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E25" w:rsidRPr="008552DC" w:rsidRDefault="00CC1E25" w:rsidP="00CC1E25">
      <w:pPr>
        <w:spacing w:line="600" w:lineRule="auto"/>
        <w:rPr>
          <w:rFonts w:ascii="Times New Roman" w:hAnsi="Times New Roman" w:cs="Times New Roman"/>
          <w:b/>
          <w:sz w:val="24"/>
          <w:szCs w:val="24"/>
        </w:rPr>
      </w:pPr>
      <w:r w:rsidRPr="008552DC">
        <w:rPr>
          <w:rFonts w:ascii="Times New Roman" w:hAnsi="Times New Roman" w:cs="Times New Roman" w:hint="eastAsia"/>
          <w:b/>
          <w:sz w:val="24"/>
          <w:szCs w:val="24"/>
        </w:rPr>
        <w:t>Supplementary Figure legends</w:t>
      </w:r>
    </w:p>
    <w:p w:rsidR="00CC1E25" w:rsidRPr="008552DC" w:rsidRDefault="00CC1E25" w:rsidP="00CC1E25">
      <w:pPr>
        <w:spacing w:before="100" w:beforeAutospacing="1" w:line="600" w:lineRule="auto"/>
        <w:rPr>
          <w:rFonts w:ascii="Times New Roman" w:hAnsi="Times New Roman" w:cs="Times New Roman"/>
          <w:sz w:val="24"/>
          <w:szCs w:val="24"/>
        </w:rPr>
      </w:pPr>
      <w:r w:rsidRPr="008552DC">
        <w:rPr>
          <w:rFonts w:ascii="Times New Roman" w:hAnsi="Times New Roman" w:cs="Times New Roman"/>
          <w:b/>
          <w:sz w:val="24"/>
          <w:szCs w:val="24"/>
        </w:rPr>
        <w:t xml:space="preserve">Supplementary Figure S1. </w:t>
      </w:r>
      <w:r w:rsidRPr="008552DC">
        <w:rPr>
          <w:rFonts w:ascii="Times New Roman" w:hAnsi="Times New Roman" w:cs="Times New Roman" w:hint="eastAsia"/>
          <w:b/>
          <w:sz w:val="24"/>
          <w:szCs w:val="24"/>
        </w:rPr>
        <w:t>The f</w:t>
      </w:r>
      <w:r w:rsidRPr="008552DC">
        <w:rPr>
          <w:rFonts w:ascii="Times New Roman" w:hAnsi="Times New Roman" w:cs="Times New Roman"/>
          <w:b/>
          <w:sz w:val="24"/>
          <w:szCs w:val="24"/>
        </w:rPr>
        <w:t>lowchart of patients screened in this study</w:t>
      </w:r>
      <w:r w:rsidRPr="008552DC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8552DC">
        <w:rPr>
          <w:rFonts w:ascii="Times New Roman" w:hAnsi="Times New Roman" w:cs="Times New Roman"/>
          <w:sz w:val="24"/>
          <w:szCs w:val="24"/>
        </w:rPr>
        <w:t xml:space="preserve">SYSUCC, Sun </w:t>
      </w:r>
      <w:proofErr w:type="spellStart"/>
      <w:r w:rsidRPr="008552DC">
        <w:rPr>
          <w:rFonts w:ascii="Times New Roman" w:hAnsi="Times New Roman" w:cs="Times New Roman"/>
          <w:sz w:val="24"/>
          <w:szCs w:val="24"/>
        </w:rPr>
        <w:t>Yat-sen</w:t>
      </w:r>
      <w:proofErr w:type="spellEnd"/>
      <w:r w:rsidRPr="008552DC">
        <w:rPr>
          <w:rFonts w:ascii="Times New Roman" w:hAnsi="Times New Roman" w:cs="Times New Roman"/>
          <w:sz w:val="24"/>
          <w:szCs w:val="24"/>
        </w:rPr>
        <w:t xml:space="preserve"> University Cancer Center; GDGH, Guangdong General Hospital, Guangdong Academy of Medical Sciences; T-LBL, </w:t>
      </w:r>
      <w:r w:rsidRPr="008552DC">
        <w:rPr>
          <w:rFonts w:ascii="Times New Roman" w:hAnsi="Times New Roman" w:cs="Times New Roman"/>
          <w:kern w:val="0"/>
          <w:sz w:val="24"/>
          <w:szCs w:val="24"/>
        </w:rPr>
        <w:t>T-cell lymphoblastic lymphoma</w:t>
      </w:r>
      <w:r w:rsidRPr="008552DC">
        <w:rPr>
          <w:rFonts w:ascii="Times New Roman" w:hAnsi="Times New Roman" w:cs="Times New Roman"/>
          <w:sz w:val="24"/>
          <w:szCs w:val="24"/>
        </w:rPr>
        <w:t xml:space="preserve">; </w:t>
      </w:r>
      <w:r w:rsidRPr="008552DC">
        <w:rPr>
          <w:rFonts w:ascii="Times New Roman" w:hAnsi="Times New Roman" w:cs="Times New Roman"/>
          <w:kern w:val="0"/>
          <w:sz w:val="24"/>
          <w:szCs w:val="24"/>
        </w:rPr>
        <w:t xml:space="preserve">CR1, first complete remission; T-ALL, T-cell lymphoblastic leukemia. BM, Bone marrow involvement; </w:t>
      </w:r>
      <w:r w:rsidRPr="008552DC">
        <w:rPr>
          <w:rFonts w:ascii="Times New Roman" w:eastAsia="Shaker2Lancet-Regular" w:hAnsi="Times New Roman" w:cs="Times New Roman"/>
          <w:i/>
          <w:kern w:val="0"/>
          <w:sz w:val="24"/>
          <w:szCs w:val="24"/>
        </w:rPr>
        <w:t>N/F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, </w:t>
      </w:r>
      <w:r w:rsidRPr="008552DC">
        <w:rPr>
          <w:rFonts w:ascii="Times New Roman" w:hAnsi="Times New Roman" w:cs="Times New Roman"/>
          <w:i/>
          <w:iCs/>
          <w:sz w:val="24"/>
          <w:szCs w:val="24"/>
        </w:rPr>
        <w:t xml:space="preserve">NOTCH1 </w:t>
      </w:r>
      <w:r w:rsidRPr="008552DC">
        <w:rPr>
          <w:rFonts w:ascii="Times New Roman" w:hAnsi="Times New Roman" w:cs="Times New Roman"/>
          <w:sz w:val="24"/>
          <w:szCs w:val="24"/>
        </w:rPr>
        <w:t xml:space="preserve">and </w:t>
      </w:r>
      <w:r w:rsidRPr="008552DC">
        <w:rPr>
          <w:rFonts w:ascii="Times New Roman" w:hAnsi="Times New Roman" w:cs="Times New Roman"/>
          <w:i/>
          <w:iCs/>
          <w:sz w:val="24"/>
          <w:szCs w:val="24"/>
        </w:rPr>
        <w:t>FBXW7.</w:t>
      </w:r>
    </w:p>
    <w:p w:rsidR="00CC1E25" w:rsidRPr="008552DC" w:rsidRDefault="00CC1E25" w:rsidP="00CC1E25">
      <w:pPr>
        <w:autoSpaceDE w:val="0"/>
        <w:autoSpaceDN w:val="0"/>
        <w:adjustRightInd w:val="0"/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8552DC">
        <w:rPr>
          <w:rFonts w:ascii="Times New Roman" w:hAnsi="Times New Roman" w:cs="Times New Roman"/>
          <w:b/>
          <w:sz w:val="24"/>
          <w:szCs w:val="24"/>
        </w:rPr>
        <w:t xml:space="preserve">Supplementary Figure S2. Optimal values of </w:t>
      </w:r>
      <w:r w:rsidRPr="008552DC">
        <w:rPr>
          <w:rFonts w:ascii="Times New Roman" w:eastAsia="AdvOTea1a7398" w:hAnsi="Times New Roman" w:cs="Times New Roman"/>
          <w:b/>
          <w:kern w:val="0"/>
          <w:sz w:val="24"/>
          <w:szCs w:val="24"/>
        </w:rPr>
        <w:t xml:space="preserve">five candidate miRNAs and LASSO risk scores for the training set were calculated by X-tile plots. </w:t>
      </w:r>
      <w:r w:rsidRPr="008552DC">
        <w:rPr>
          <w:rFonts w:ascii="Times New Roman" w:eastAsia="AdvOTea1a7398" w:hAnsi="Times New Roman" w:cs="Times New Roman"/>
          <w:kern w:val="0"/>
          <w:sz w:val="24"/>
          <w:szCs w:val="24"/>
        </w:rPr>
        <w:t>The power of the association at every division is represented by the plot colours.</w:t>
      </w:r>
      <w:r w:rsidRPr="008552DC">
        <w:rPr>
          <w:rFonts w:ascii="Times New Roman" w:eastAsia="AdvOTea1a7398" w:hAnsi="Times New Roman" w:cs="Times New Roman" w:hint="eastAsia"/>
          <w:kern w:val="0"/>
          <w:sz w:val="24"/>
          <w:szCs w:val="24"/>
        </w:rPr>
        <w:t xml:space="preserve"> </w:t>
      </w:r>
      <w:r w:rsidRPr="008552DC">
        <w:rPr>
          <w:rFonts w:ascii="Times New Roman" w:eastAsia="AdvOTea1a7398" w:hAnsi="Times New Roman" w:cs="Times New Roman"/>
          <w:kern w:val="0"/>
          <w:sz w:val="24"/>
          <w:szCs w:val="24"/>
        </w:rPr>
        <w:t>Green</w:t>
      </w:r>
      <w:r w:rsidRPr="008552DC">
        <w:rPr>
          <w:rFonts w:ascii="Times New Roman" w:eastAsia="AdvOTea1a7398" w:hAnsi="Times New Roman" w:cs="Times New Roman" w:hint="eastAsia"/>
          <w:kern w:val="0"/>
          <w:sz w:val="24"/>
          <w:szCs w:val="24"/>
        </w:rPr>
        <w:t xml:space="preserve"> </w:t>
      </w:r>
      <w:r w:rsidRPr="008552DC">
        <w:rPr>
          <w:rFonts w:ascii="Times New Roman" w:eastAsia="AdvOTea1a7398" w:hAnsi="Times New Roman" w:cs="Times New Roman"/>
          <w:kern w:val="0"/>
          <w:sz w:val="24"/>
          <w:szCs w:val="24"/>
        </w:rPr>
        <w:t>represents direct association and r</w:t>
      </w:r>
      <w:r w:rsidRPr="008552DC">
        <w:rPr>
          <w:rFonts w:ascii="Times New Roman" w:hAnsi="Times New Roman" w:cs="Times New Roman"/>
          <w:sz w:val="24"/>
          <w:szCs w:val="24"/>
        </w:rPr>
        <w:t>ed represents reverse association between marker expression and survival.</w:t>
      </w:r>
    </w:p>
    <w:p w:rsidR="00CC1E25" w:rsidRPr="008552DC" w:rsidRDefault="00CC1E25" w:rsidP="00CC1E25">
      <w:pPr>
        <w:autoSpaceDE w:val="0"/>
        <w:autoSpaceDN w:val="0"/>
        <w:adjustRightInd w:val="0"/>
        <w:spacing w:before="100" w:beforeAutospacing="1" w:line="600" w:lineRule="auto"/>
        <w:rPr>
          <w:rFonts w:ascii="Times New Roman" w:hAnsi="Times New Roman" w:cs="Times New Roman"/>
          <w:sz w:val="24"/>
          <w:szCs w:val="24"/>
        </w:rPr>
      </w:pPr>
      <w:r w:rsidRPr="008552DC">
        <w:rPr>
          <w:rFonts w:ascii="Times New Roman" w:hAnsi="Times New Roman" w:cs="Times New Roman"/>
          <w:b/>
          <w:sz w:val="24"/>
          <w:szCs w:val="24"/>
        </w:rPr>
        <w:t xml:space="preserve">Supplementary Figure S3. Kaplan-Meier analysis of overall survival </w:t>
      </w:r>
      <w:r w:rsidRPr="008552DC">
        <w:rPr>
          <w:rFonts w:ascii="Times New Roman" w:eastAsia="Shaker2Lancet-Regular" w:hAnsi="Times New Roman" w:cs="Times New Roman"/>
          <w:b/>
          <w:kern w:val="0"/>
          <w:sz w:val="24"/>
          <w:szCs w:val="24"/>
        </w:rPr>
        <w:t xml:space="preserve">stratified by five-miRNA classifier. </w:t>
      </w:r>
      <w:r w:rsidRPr="008552DC">
        <w:rPr>
          <w:rFonts w:ascii="Times New Roman" w:eastAsia="AdvOTea1a7398" w:hAnsi="Times New Roman" w:cs="Times New Roman"/>
          <w:kern w:val="0"/>
          <w:sz w:val="24"/>
          <w:szCs w:val="24"/>
        </w:rPr>
        <w:t xml:space="preserve">Kaplan–Meier survival analysis of the five-miRNA classifier in </w:t>
      </w:r>
      <w:r w:rsidRPr="008552DC">
        <w:rPr>
          <w:rFonts w:ascii="Times New Roman" w:hAnsi="Times New Roman" w:cs="Times New Roman"/>
          <w:sz w:val="24"/>
          <w:szCs w:val="24"/>
        </w:rPr>
        <w:t>training, internal testing, and independent external sets</w:t>
      </w:r>
      <w:r w:rsidRPr="008552DC">
        <w:rPr>
          <w:rFonts w:ascii="Times New Roman" w:eastAsia="AdvOTea1a7398" w:hAnsi="Times New Roman" w:cs="Times New Roman"/>
          <w:kern w:val="0"/>
          <w:sz w:val="24"/>
          <w:szCs w:val="24"/>
        </w:rPr>
        <w:t xml:space="preserve"> (log-rank test). </w:t>
      </w:r>
      <w:r w:rsidRPr="008552DC">
        <w:rPr>
          <w:rFonts w:ascii="Times New Roman" w:eastAsia="AdvOTea1a7398" w:hAnsi="Times New Roman" w:cs="Times New Roman"/>
          <w:b/>
          <w:kern w:val="0"/>
          <w:sz w:val="24"/>
          <w:szCs w:val="24"/>
        </w:rPr>
        <w:t>(A)</w:t>
      </w:r>
      <w:r w:rsidRPr="008552DC">
        <w:rPr>
          <w:rFonts w:ascii="Times New Roman" w:hAnsi="Times New Roman" w:cs="Times New Roman"/>
          <w:sz w:val="24"/>
          <w:szCs w:val="24"/>
        </w:rPr>
        <w:t xml:space="preserve"> Training set. </w:t>
      </w:r>
      <w:r w:rsidRPr="008552DC">
        <w:rPr>
          <w:rFonts w:ascii="Times New Roman" w:hAnsi="Times New Roman" w:cs="Times New Roman"/>
          <w:b/>
          <w:sz w:val="24"/>
          <w:szCs w:val="24"/>
        </w:rPr>
        <w:t>(B)</w:t>
      </w:r>
      <w:r w:rsidRPr="008552DC">
        <w:rPr>
          <w:rFonts w:ascii="Times New Roman" w:hAnsi="Times New Roman" w:cs="Times New Roman"/>
          <w:sz w:val="24"/>
          <w:szCs w:val="24"/>
        </w:rPr>
        <w:t xml:space="preserve"> Internal testing set. </w:t>
      </w:r>
      <w:r w:rsidRPr="008552DC">
        <w:rPr>
          <w:rFonts w:ascii="Times New Roman" w:hAnsi="Times New Roman" w:cs="Times New Roman"/>
          <w:b/>
          <w:sz w:val="24"/>
          <w:szCs w:val="24"/>
        </w:rPr>
        <w:t>(C)</w:t>
      </w:r>
      <w:r w:rsidRPr="008552DC">
        <w:rPr>
          <w:rFonts w:ascii="Times New Roman" w:hAnsi="Times New Roman" w:cs="Times New Roman"/>
          <w:sz w:val="24"/>
          <w:szCs w:val="24"/>
        </w:rPr>
        <w:t xml:space="preserve"> Independent external set. </w:t>
      </w:r>
    </w:p>
    <w:p w:rsidR="00CC1E25" w:rsidRPr="008552DC" w:rsidRDefault="00CC1E25" w:rsidP="00CC1E25">
      <w:pPr>
        <w:autoSpaceDE w:val="0"/>
        <w:autoSpaceDN w:val="0"/>
        <w:adjustRightInd w:val="0"/>
        <w:spacing w:before="100" w:beforeAutospacing="1" w:line="600" w:lineRule="auto"/>
        <w:rPr>
          <w:rFonts w:ascii="Times New Roman" w:hAnsi="Times New Roman" w:cs="Times New Roman"/>
          <w:sz w:val="24"/>
          <w:szCs w:val="24"/>
        </w:rPr>
      </w:pPr>
      <w:r w:rsidRPr="008552DC">
        <w:rPr>
          <w:rFonts w:ascii="Times New Roman" w:hAnsi="Times New Roman" w:cs="Times New Roman"/>
          <w:b/>
          <w:sz w:val="24"/>
          <w:szCs w:val="24"/>
        </w:rPr>
        <w:t xml:space="preserve">Supplementary Figure S4. Kaplan-Meier analysis of disease-free survival and overall survival </w:t>
      </w:r>
      <w:r w:rsidRPr="008552DC">
        <w:rPr>
          <w:rFonts w:ascii="Times New Roman" w:eastAsia="Shaker2Lancet-Regular" w:hAnsi="Times New Roman" w:cs="Times New Roman"/>
          <w:b/>
          <w:kern w:val="0"/>
          <w:sz w:val="24"/>
          <w:szCs w:val="24"/>
        </w:rPr>
        <w:t xml:space="preserve">stratified by five-miRNA classifier for the entire cohort. 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lastRenderedPageBreak/>
        <w:t xml:space="preserve">Comparisons were assessed using the </w:t>
      </w:r>
      <w:r w:rsidRPr="008552DC">
        <w:rPr>
          <w:rFonts w:ascii="Times New Roman" w:eastAsia="AdvOTea1a7398" w:hAnsi="Times New Roman" w:cs="Times New Roman"/>
          <w:kern w:val="0"/>
          <w:sz w:val="24"/>
          <w:szCs w:val="24"/>
        </w:rPr>
        <w:t xml:space="preserve">log-rank test. </w:t>
      </w:r>
      <w:r w:rsidRPr="008552DC">
        <w:rPr>
          <w:rFonts w:ascii="Times New Roman" w:eastAsia="AdvOTea1a7398" w:hAnsi="Times New Roman" w:cs="Times New Roman"/>
          <w:b/>
          <w:kern w:val="0"/>
          <w:sz w:val="24"/>
          <w:szCs w:val="24"/>
        </w:rPr>
        <w:t>(A)</w:t>
      </w:r>
      <w:r w:rsidRPr="008552DC">
        <w:rPr>
          <w:rFonts w:ascii="Times New Roman" w:hAnsi="Times New Roman" w:cs="Times New Roman"/>
          <w:sz w:val="24"/>
          <w:szCs w:val="24"/>
        </w:rPr>
        <w:t xml:space="preserve"> Disease-free survival. </w:t>
      </w:r>
      <w:r w:rsidRPr="008552DC">
        <w:rPr>
          <w:rFonts w:ascii="Times New Roman" w:hAnsi="Times New Roman" w:cs="Times New Roman"/>
          <w:b/>
          <w:sz w:val="24"/>
          <w:szCs w:val="24"/>
        </w:rPr>
        <w:t>(B)</w:t>
      </w:r>
      <w:r w:rsidRPr="008552DC">
        <w:rPr>
          <w:rFonts w:ascii="Times New Roman" w:hAnsi="Times New Roman" w:cs="Times New Roman"/>
          <w:sz w:val="24"/>
          <w:szCs w:val="24"/>
        </w:rPr>
        <w:t xml:space="preserve"> Overall survival. </w:t>
      </w:r>
    </w:p>
    <w:p w:rsidR="00CC1E25" w:rsidRPr="008552DC" w:rsidRDefault="00CC1E25" w:rsidP="00CC1E25">
      <w:pPr>
        <w:autoSpaceDE w:val="0"/>
        <w:autoSpaceDN w:val="0"/>
        <w:adjustRightInd w:val="0"/>
        <w:spacing w:before="100" w:beforeAutospacing="1" w:line="600" w:lineRule="auto"/>
        <w:rPr>
          <w:rFonts w:ascii="Times New Roman" w:eastAsia="Shaker2Lancet-Regular" w:hAnsi="Times New Roman" w:cs="Times New Roman"/>
          <w:kern w:val="0"/>
          <w:sz w:val="24"/>
          <w:szCs w:val="24"/>
        </w:rPr>
      </w:pPr>
      <w:r w:rsidRPr="008552DC">
        <w:rPr>
          <w:rFonts w:ascii="Times New Roman" w:hAnsi="Times New Roman" w:cs="Times New Roman"/>
          <w:b/>
          <w:sz w:val="24"/>
          <w:szCs w:val="24"/>
        </w:rPr>
        <w:t>Supplementary Figure S5. Stratification analysis of the five-miRNA classifier.</w:t>
      </w:r>
      <w:r w:rsidRPr="008552DC">
        <w:rPr>
          <w:rFonts w:ascii="Times New Roman" w:eastAsia="Shaker2Lancet-Regular" w:hAnsi="Times New Roman" w:cs="Times New Roman"/>
          <w:b/>
          <w:kern w:val="0"/>
          <w:sz w:val="24"/>
          <w:szCs w:val="24"/>
        </w:rPr>
        <w:t xml:space="preserve"> (A, B)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 Disease-free survival for 517 adults with T-LBL according to the five-miRNA classifier stratified by ECOG-PS and </w:t>
      </w:r>
      <w:r w:rsidRPr="008552DC">
        <w:rPr>
          <w:rFonts w:ascii="Times New Roman" w:eastAsia="Shaker2Lancet-Regular" w:hAnsi="Times New Roman" w:cs="Times New Roman"/>
          <w:i/>
          <w:kern w:val="0"/>
          <w:sz w:val="24"/>
          <w:szCs w:val="24"/>
        </w:rPr>
        <w:t>N/F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 status. </w:t>
      </w:r>
      <w:r w:rsidRPr="008552DC">
        <w:rPr>
          <w:rFonts w:ascii="Times New Roman" w:eastAsia="Shaker2Lancet-Regular" w:hAnsi="Times New Roman" w:cs="Times New Roman"/>
          <w:b/>
          <w:kern w:val="0"/>
          <w:sz w:val="24"/>
          <w:szCs w:val="24"/>
        </w:rPr>
        <w:t>(C, D)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 Overall survival of 517 adults with T-LBL according to the five-miRNA classifier stratified by ECOG-PS and </w:t>
      </w:r>
      <w:r w:rsidRPr="008552DC">
        <w:rPr>
          <w:rFonts w:ascii="Times New Roman" w:eastAsia="Shaker2Lancet-Regular" w:hAnsi="Times New Roman" w:cs="Times New Roman"/>
          <w:i/>
          <w:kern w:val="0"/>
          <w:sz w:val="24"/>
          <w:szCs w:val="24"/>
        </w:rPr>
        <w:t>N/F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 status. </w:t>
      </w:r>
      <w:r w:rsidRPr="008552DC">
        <w:rPr>
          <w:rFonts w:ascii="Times New Roman" w:eastAsia="Shaker2Lancet-Regular" w:hAnsi="Times New Roman" w:cs="Times New Roman"/>
          <w:i/>
          <w:kern w:val="0"/>
          <w:sz w:val="24"/>
          <w:szCs w:val="24"/>
        </w:rPr>
        <w:t>N/F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, </w:t>
      </w:r>
      <w:r w:rsidRPr="008552DC">
        <w:rPr>
          <w:rFonts w:ascii="Times New Roman" w:hAnsi="Times New Roman" w:cs="Times New Roman"/>
          <w:i/>
          <w:iCs/>
          <w:sz w:val="24"/>
          <w:szCs w:val="24"/>
        </w:rPr>
        <w:t xml:space="preserve">NOTCH1 </w:t>
      </w:r>
      <w:r w:rsidRPr="008552DC">
        <w:rPr>
          <w:rFonts w:ascii="Times New Roman" w:hAnsi="Times New Roman" w:cs="Times New Roman"/>
          <w:sz w:val="24"/>
          <w:szCs w:val="24"/>
        </w:rPr>
        <w:t xml:space="preserve">and </w:t>
      </w:r>
      <w:r w:rsidRPr="008552DC">
        <w:rPr>
          <w:rFonts w:ascii="Times New Roman" w:hAnsi="Times New Roman" w:cs="Times New Roman"/>
          <w:i/>
          <w:iCs/>
          <w:sz w:val="24"/>
          <w:szCs w:val="24"/>
        </w:rPr>
        <w:t>FBXW7</w:t>
      </w:r>
    </w:p>
    <w:p w:rsidR="00CC1E25" w:rsidRPr="008552DC" w:rsidRDefault="00CC1E25" w:rsidP="00CC1E25">
      <w:pPr>
        <w:autoSpaceDE w:val="0"/>
        <w:autoSpaceDN w:val="0"/>
        <w:adjustRightInd w:val="0"/>
        <w:spacing w:before="100" w:beforeAutospacing="1" w:line="600" w:lineRule="auto"/>
        <w:rPr>
          <w:rFonts w:ascii="Times New Roman" w:eastAsia="Shaker2Lancet-Regular" w:hAnsi="Times New Roman" w:cs="Times New Roman"/>
          <w:kern w:val="0"/>
          <w:sz w:val="24"/>
          <w:szCs w:val="24"/>
        </w:rPr>
      </w:pPr>
      <w:r w:rsidRPr="008552DC">
        <w:rPr>
          <w:rFonts w:ascii="Times New Roman" w:eastAsia="Shaker2Lancet-Regular" w:hAnsi="Times New Roman" w:cs="Times New Roman"/>
          <w:b/>
          <w:kern w:val="0"/>
          <w:sz w:val="24"/>
          <w:szCs w:val="24"/>
        </w:rPr>
        <w:t xml:space="preserve">Supplementary Figure S6. Comparison of the prognostic accuracy for the five-miRNA classifier, conventional predictors of poor prognostic and single miRNAs in 517 adults with T-LBL, based on </w:t>
      </w:r>
      <w:r w:rsidRPr="008552DC">
        <w:rPr>
          <w:rFonts w:ascii="Times New Roman" w:eastAsia="Shaker2Lancet-Bold" w:hAnsi="Times New Roman" w:cs="Times New Roman"/>
          <w:b/>
          <w:bCs/>
          <w:kern w:val="0"/>
          <w:sz w:val="24"/>
          <w:szCs w:val="24"/>
        </w:rPr>
        <w:t xml:space="preserve">time-dependent ROC analysis. 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Comparisons of the prognostic accuracy by the five-miRNA classifier (high </w:t>
      </w:r>
      <w:r w:rsidRPr="008552DC">
        <w:rPr>
          <w:rFonts w:ascii="Times New Roman" w:eastAsia="Shaker2Lancet-Italic" w:hAnsi="Times New Roman" w:cs="Times New Roman"/>
          <w:i/>
          <w:iCs/>
          <w:kern w:val="0"/>
          <w:sz w:val="24"/>
          <w:szCs w:val="24"/>
        </w:rPr>
        <w:t xml:space="preserve">vs 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>low risk), ECOG-PS (</w:t>
      </w:r>
      <w:r w:rsidRPr="008552DC">
        <w:rPr>
          <w:rFonts w:ascii="Times New Roman" w:eastAsia="Shaker2Lancet-Regular" w:hAnsi="Times New Roman" w:cs="Times New Roman" w:hint="eastAsia"/>
          <w:kern w:val="0"/>
          <w:sz w:val="24"/>
          <w:szCs w:val="24"/>
        </w:rPr>
        <w:t>≥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2 </w:t>
      </w:r>
      <w:r w:rsidRPr="008552DC">
        <w:rPr>
          <w:rFonts w:ascii="Times New Roman" w:eastAsia="Shaker2Lancet-Italic" w:hAnsi="Times New Roman" w:cs="Times New Roman"/>
          <w:i/>
          <w:iCs/>
          <w:kern w:val="0"/>
          <w:sz w:val="24"/>
          <w:szCs w:val="24"/>
        </w:rPr>
        <w:t xml:space="preserve">vs </w:t>
      </w:r>
      <w:r w:rsidRPr="008552DC">
        <w:rPr>
          <w:rFonts w:ascii="Times New Roman" w:eastAsia="Shaker2Lancet-Italic" w:hAnsi="Times New Roman" w:cs="Times New Roman"/>
          <w:iCs/>
          <w:kern w:val="0"/>
          <w:sz w:val="24"/>
          <w:szCs w:val="24"/>
        </w:rPr>
        <w:t>&lt;2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 ),</w:t>
      </w:r>
      <w:r w:rsidRPr="008552DC">
        <w:rPr>
          <w:rFonts w:ascii="Times New Roman" w:eastAsia="Shaker2Lancet-Regular" w:hAnsi="Times New Roman" w:cs="Times New Roman"/>
          <w:i/>
          <w:kern w:val="0"/>
          <w:sz w:val="24"/>
          <w:szCs w:val="24"/>
        </w:rPr>
        <w:t xml:space="preserve"> N/F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 status (mutated </w:t>
      </w:r>
      <w:r w:rsidRPr="008552DC">
        <w:rPr>
          <w:rFonts w:ascii="Times New Roman" w:eastAsia="Shaker2Lancet-Italic" w:hAnsi="Times New Roman" w:cs="Times New Roman"/>
          <w:i/>
          <w:iCs/>
          <w:kern w:val="0"/>
          <w:sz w:val="24"/>
          <w:szCs w:val="24"/>
        </w:rPr>
        <w:t xml:space="preserve">vs </w:t>
      </w:r>
      <w:r w:rsidRPr="008552DC">
        <w:rPr>
          <w:rFonts w:ascii="Times New Roman" w:eastAsia="Shaker2Lancet-Italic" w:hAnsi="Times New Roman" w:cs="Times New Roman"/>
          <w:iCs/>
          <w:kern w:val="0"/>
          <w:sz w:val="24"/>
          <w:szCs w:val="24"/>
        </w:rPr>
        <w:t>wild type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), miR-21-5p (low </w:t>
      </w:r>
      <w:r w:rsidRPr="008552DC">
        <w:rPr>
          <w:rFonts w:ascii="Times New Roman" w:eastAsia="Shaker2Lancet-Italic" w:hAnsi="Times New Roman" w:cs="Times New Roman"/>
          <w:i/>
          <w:iCs/>
          <w:kern w:val="0"/>
          <w:sz w:val="24"/>
          <w:szCs w:val="24"/>
        </w:rPr>
        <w:t>vs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 high expression), miR-513a-5p (low </w:t>
      </w:r>
      <w:r w:rsidRPr="008552DC">
        <w:rPr>
          <w:rFonts w:ascii="Times New Roman" w:eastAsia="Shaker2Lancet-Italic" w:hAnsi="Times New Roman" w:cs="Times New Roman"/>
          <w:i/>
          <w:iCs/>
          <w:kern w:val="0"/>
          <w:sz w:val="24"/>
          <w:szCs w:val="24"/>
        </w:rPr>
        <w:t>vs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 high expression), miR-3651 (low </w:t>
      </w:r>
      <w:r w:rsidRPr="008552DC">
        <w:rPr>
          <w:rFonts w:ascii="Times New Roman" w:eastAsia="Shaker2Lancet-Italic" w:hAnsi="Times New Roman" w:cs="Times New Roman"/>
          <w:i/>
          <w:iCs/>
          <w:kern w:val="0"/>
          <w:sz w:val="24"/>
          <w:szCs w:val="24"/>
        </w:rPr>
        <w:t xml:space="preserve">vs 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high expression), miR-423-5p (high </w:t>
      </w:r>
      <w:r w:rsidRPr="008552DC">
        <w:rPr>
          <w:rFonts w:ascii="Times New Roman" w:eastAsia="Shaker2Lancet-Italic" w:hAnsi="Times New Roman" w:cs="Times New Roman"/>
          <w:i/>
          <w:iCs/>
          <w:kern w:val="0"/>
          <w:sz w:val="24"/>
          <w:szCs w:val="24"/>
        </w:rPr>
        <w:t xml:space="preserve">vs 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>low expression), and miR-26a-5p (high</w:t>
      </w:r>
      <w:r w:rsidRPr="008552DC">
        <w:rPr>
          <w:rFonts w:ascii="Times New Roman" w:eastAsia="Shaker2Lancet-Italic" w:hAnsi="Times New Roman" w:cs="Times New Roman"/>
          <w:i/>
          <w:iCs/>
          <w:kern w:val="0"/>
          <w:sz w:val="24"/>
          <w:szCs w:val="24"/>
        </w:rPr>
        <w:t xml:space="preserve"> vs 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low expression). The </w:t>
      </w:r>
      <w:r w:rsidRPr="008552DC">
        <w:rPr>
          <w:rFonts w:ascii="Times New Roman" w:eastAsia="Shaker2Lancet-Regular" w:hAnsi="Times New Roman" w:cs="Times New Roman"/>
          <w:i/>
          <w:kern w:val="0"/>
          <w:sz w:val="24"/>
          <w:szCs w:val="24"/>
        </w:rPr>
        <w:t>p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 values refer to the AUC at 3 years for the five-miRNA classifier </w:t>
      </w:r>
      <w:r w:rsidRPr="008552DC">
        <w:rPr>
          <w:rFonts w:ascii="Times New Roman" w:eastAsia="Shaker2Lancet-Regular" w:hAnsi="Times New Roman" w:cs="Times New Roman"/>
          <w:i/>
          <w:kern w:val="0"/>
          <w:sz w:val="24"/>
          <w:szCs w:val="24"/>
        </w:rPr>
        <w:t>vs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 the AUC at 3 years for other predictors of poor prognosis. </w:t>
      </w:r>
      <w:r w:rsidRPr="008552DC">
        <w:rPr>
          <w:rFonts w:ascii="Times New Roman" w:hAnsi="Times New Roman" w:cs="Times New Roman"/>
          <w:sz w:val="24"/>
          <w:szCs w:val="24"/>
        </w:rPr>
        <w:t xml:space="preserve">ROC, receiver operator characteristic. AUC, area under the curve. </w:t>
      </w:r>
      <w:proofErr w:type="gramStart"/>
      <w:r w:rsidRPr="008552DC">
        <w:rPr>
          <w:rFonts w:ascii="Times New Roman" w:hAnsi="Times New Roman" w:cs="Times New Roman"/>
          <w:i/>
          <w:sz w:val="24"/>
          <w:szCs w:val="24"/>
        </w:rPr>
        <w:t>p</w:t>
      </w:r>
      <w:proofErr w:type="gramEnd"/>
      <w:r w:rsidRPr="008552DC">
        <w:rPr>
          <w:rFonts w:ascii="Times New Roman" w:hAnsi="Times New Roman" w:cs="Times New Roman"/>
          <w:sz w:val="24"/>
          <w:szCs w:val="24"/>
        </w:rPr>
        <w:t xml:space="preserve"> values were calculated using the log-rank test. </w:t>
      </w:r>
    </w:p>
    <w:p w:rsidR="00CC1E25" w:rsidRPr="008552DC" w:rsidRDefault="00CC1E25" w:rsidP="00CC1E25">
      <w:pPr>
        <w:autoSpaceDE w:val="0"/>
        <w:autoSpaceDN w:val="0"/>
        <w:adjustRightInd w:val="0"/>
        <w:spacing w:before="100" w:beforeAutospacing="1" w:line="600" w:lineRule="auto"/>
        <w:rPr>
          <w:rFonts w:ascii="Times New Roman" w:eastAsia="Shaker2Lancet-Regular" w:hAnsi="Times New Roman" w:cs="Times New Roman"/>
          <w:kern w:val="0"/>
          <w:sz w:val="24"/>
          <w:szCs w:val="24"/>
        </w:rPr>
      </w:pPr>
      <w:r w:rsidRPr="008552DC">
        <w:rPr>
          <w:rFonts w:ascii="Times New Roman" w:eastAsia="Shaker2Lancet-Regular" w:hAnsi="Times New Roman" w:cs="Times New Roman"/>
          <w:b/>
          <w:kern w:val="0"/>
          <w:sz w:val="24"/>
          <w:szCs w:val="24"/>
        </w:rPr>
        <w:lastRenderedPageBreak/>
        <w:t>Supplementary</w:t>
      </w:r>
      <w:r w:rsidRPr="008552DC">
        <w:rPr>
          <w:rFonts w:ascii="Times New Roman" w:eastAsia="AdvOTcb88df00" w:hAnsi="Times New Roman" w:cs="Times New Roman"/>
          <w:b/>
          <w:kern w:val="0"/>
          <w:sz w:val="24"/>
          <w:szCs w:val="24"/>
        </w:rPr>
        <w:t xml:space="preserve"> Figure S7. </w:t>
      </w:r>
      <w:r w:rsidRPr="008552DC">
        <w:rPr>
          <w:rFonts w:ascii="Times New Roman" w:eastAsia="Shaker2Lancet-Regular" w:hAnsi="Times New Roman" w:cs="Times New Roman"/>
          <w:b/>
          <w:kern w:val="0"/>
          <w:sz w:val="24"/>
          <w:szCs w:val="24"/>
        </w:rPr>
        <w:t xml:space="preserve">Disease-free survival of 517 adults with T-LBL according to whether they received HSCT or not in CR1. 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Patients were stratified by five miRNAs </w:t>
      </w:r>
      <w:r w:rsidRPr="008552DC">
        <w:rPr>
          <w:rFonts w:ascii="Times New Roman" w:eastAsia="AdvOTea1a7398" w:hAnsi="Times New Roman" w:cs="Times New Roman"/>
          <w:kern w:val="0"/>
          <w:sz w:val="24"/>
          <w:szCs w:val="24"/>
        </w:rPr>
        <w:t>(log-rank test)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. HSCT, </w:t>
      </w:r>
      <w:r w:rsidRPr="008552DC">
        <w:rPr>
          <w:rFonts w:ascii="Times New Roman" w:hAnsi="Times New Roman" w:cs="Times New Roman"/>
          <w:kern w:val="0"/>
          <w:sz w:val="24"/>
          <w:szCs w:val="24"/>
        </w:rPr>
        <w:t>haematopoietic stem cell transplantation</w:t>
      </w:r>
    </w:p>
    <w:p w:rsidR="00CC1E25" w:rsidRPr="008552DC" w:rsidRDefault="00CC1E25" w:rsidP="00CC1E25">
      <w:pPr>
        <w:autoSpaceDE w:val="0"/>
        <w:autoSpaceDN w:val="0"/>
        <w:adjustRightInd w:val="0"/>
        <w:spacing w:line="600" w:lineRule="auto"/>
        <w:rPr>
          <w:rFonts w:ascii="Times New Roman" w:eastAsia="Shaker2Lancet-Regular" w:hAnsi="Times New Roman" w:cs="Times New Roman"/>
          <w:kern w:val="0"/>
          <w:sz w:val="24"/>
          <w:szCs w:val="24"/>
        </w:rPr>
      </w:pPr>
      <w:r w:rsidRPr="008552DC">
        <w:rPr>
          <w:rFonts w:ascii="Times New Roman" w:eastAsia="Shaker2Lancet-Regular" w:hAnsi="Times New Roman" w:cs="Times New Roman"/>
          <w:b/>
          <w:kern w:val="0"/>
          <w:sz w:val="24"/>
          <w:szCs w:val="24"/>
        </w:rPr>
        <w:t>Supplementary</w:t>
      </w:r>
      <w:r w:rsidRPr="008552DC">
        <w:rPr>
          <w:rFonts w:ascii="Times New Roman" w:eastAsia="AdvOTcb88df00" w:hAnsi="Times New Roman" w:cs="Times New Roman"/>
          <w:b/>
          <w:kern w:val="0"/>
          <w:sz w:val="24"/>
          <w:szCs w:val="24"/>
        </w:rPr>
        <w:t xml:space="preserve"> Figure S8. </w:t>
      </w:r>
      <w:r w:rsidRPr="008552DC">
        <w:rPr>
          <w:rFonts w:ascii="Times New Roman" w:eastAsia="Shaker2Lancet-Regular" w:hAnsi="Times New Roman" w:cs="Times New Roman"/>
          <w:b/>
          <w:kern w:val="0"/>
          <w:sz w:val="24"/>
          <w:szCs w:val="24"/>
        </w:rPr>
        <w:t>Overall survival of 517 adults with T-LBL according to whether they received HSCT or not in CR1.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 Patients were stratified by five miRNAs </w:t>
      </w:r>
      <w:r w:rsidRPr="008552DC">
        <w:rPr>
          <w:rFonts w:ascii="Times New Roman" w:eastAsia="AdvOTea1a7398" w:hAnsi="Times New Roman" w:cs="Times New Roman"/>
          <w:kern w:val="0"/>
          <w:sz w:val="24"/>
          <w:szCs w:val="24"/>
        </w:rPr>
        <w:t>(log-rank test)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. HSCT, </w:t>
      </w:r>
      <w:r w:rsidRPr="008552DC">
        <w:rPr>
          <w:rFonts w:ascii="Times New Roman" w:hAnsi="Times New Roman" w:cs="Times New Roman"/>
          <w:kern w:val="0"/>
          <w:sz w:val="24"/>
          <w:szCs w:val="24"/>
        </w:rPr>
        <w:t>haematopoietic stem cell transplantation</w:t>
      </w:r>
    </w:p>
    <w:p w:rsidR="00CC1E25" w:rsidRPr="008552DC" w:rsidRDefault="00CC1E25" w:rsidP="00CC1E25">
      <w:pPr>
        <w:autoSpaceDE w:val="0"/>
        <w:autoSpaceDN w:val="0"/>
        <w:adjustRightInd w:val="0"/>
        <w:spacing w:before="100" w:beforeAutospacing="1" w:line="600" w:lineRule="auto"/>
        <w:rPr>
          <w:rFonts w:ascii="Times New Roman" w:eastAsia="Shaker2Lancet-Regular" w:hAnsi="Times New Roman" w:cs="Times New Roman"/>
          <w:kern w:val="0"/>
          <w:sz w:val="24"/>
          <w:szCs w:val="24"/>
        </w:rPr>
      </w:pPr>
      <w:r w:rsidRPr="008552DC">
        <w:rPr>
          <w:rFonts w:ascii="Times New Roman" w:eastAsia="Shaker2Lancet-Regular" w:hAnsi="Times New Roman" w:cs="Times New Roman"/>
          <w:b/>
          <w:kern w:val="0"/>
          <w:sz w:val="24"/>
          <w:szCs w:val="24"/>
        </w:rPr>
        <w:t>Supplementary</w:t>
      </w:r>
      <w:r w:rsidRPr="008552DC">
        <w:rPr>
          <w:rFonts w:ascii="Times New Roman" w:eastAsia="AdvOTcb88df00" w:hAnsi="Times New Roman" w:cs="Times New Roman"/>
          <w:b/>
          <w:kern w:val="0"/>
          <w:sz w:val="24"/>
          <w:szCs w:val="24"/>
        </w:rPr>
        <w:t xml:space="preserve"> Figure S9. </w:t>
      </w:r>
      <w:r w:rsidRPr="008552DC">
        <w:rPr>
          <w:rFonts w:ascii="Times New Roman" w:eastAsia="Shaker2Lancet-Regular" w:hAnsi="Times New Roman" w:cs="Times New Roman"/>
          <w:b/>
          <w:kern w:val="0"/>
          <w:sz w:val="24"/>
          <w:szCs w:val="24"/>
        </w:rPr>
        <w:t xml:space="preserve">Disease-free survival of 517 adults with T-LBL according whether they received HSCT or not in CR1. 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Patients were stratified by poor prognostic features and clinical factors </w:t>
      </w:r>
      <w:r w:rsidRPr="008552DC">
        <w:rPr>
          <w:rFonts w:ascii="Times New Roman" w:eastAsia="AdvOTea1a7398" w:hAnsi="Times New Roman" w:cs="Times New Roman"/>
          <w:kern w:val="0"/>
          <w:sz w:val="24"/>
          <w:szCs w:val="24"/>
        </w:rPr>
        <w:t>(log-rank test)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. HSCT, </w:t>
      </w:r>
      <w:r w:rsidRPr="008552DC">
        <w:rPr>
          <w:rFonts w:ascii="Times New Roman" w:hAnsi="Times New Roman" w:cs="Times New Roman"/>
          <w:kern w:val="0"/>
          <w:sz w:val="24"/>
          <w:szCs w:val="24"/>
        </w:rPr>
        <w:t>haematopoietic stem cell transplantation</w:t>
      </w:r>
    </w:p>
    <w:p w:rsidR="00CC1E25" w:rsidRPr="008552DC" w:rsidRDefault="00CC1E25" w:rsidP="00CC1E25">
      <w:pPr>
        <w:autoSpaceDE w:val="0"/>
        <w:autoSpaceDN w:val="0"/>
        <w:adjustRightInd w:val="0"/>
        <w:spacing w:before="100" w:beforeAutospacing="1" w:line="600" w:lineRule="auto"/>
        <w:rPr>
          <w:rFonts w:ascii="Times New Roman" w:eastAsia="Shaker2Lancet-Regular" w:hAnsi="Times New Roman" w:cs="Times New Roman"/>
          <w:kern w:val="0"/>
          <w:sz w:val="24"/>
          <w:szCs w:val="24"/>
        </w:rPr>
      </w:pPr>
      <w:r w:rsidRPr="008552DC">
        <w:rPr>
          <w:rFonts w:ascii="Times New Roman" w:eastAsia="Shaker2Lancet-Regular" w:hAnsi="Times New Roman" w:cs="Times New Roman"/>
          <w:b/>
          <w:kern w:val="0"/>
          <w:sz w:val="24"/>
          <w:szCs w:val="24"/>
        </w:rPr>
        <w:t>Supplementary</w:t>
      </w:r>
      <w:r w:rsidRPr="008552DC">
        <w:rPr>
          <w:rFonts w:ascii="Times New Roman" w:eastAsia="AdvOTcb88df00" w:hAnsi="Times New Roman" w:cs="Times New Roman"/>
          <w:b/>
          <w:kern w:val="0"/>
          <w:sz w:val="24"/>
          <w:szCs w:val="24"/>
        </w:rPr>
        <w:t xml:space="preserve"> Figure S10. </w:t>
      </w:r>
      <w:r w:rsidRPr="008552DC">
        <w:rPr>
          <w:rFonts w:ascii="Times New Roman" w:eastAsia="Shaker2Lancet-Regular" w:hAnsi="Times New Roman" w:cs="Times New Roman"/>
          <w:b/>
          <w:kern w:val="0"/>
          <w:sz w:val="24"/>
          <w:szCs w:val="24"/>
        </w:rPr>
        <w:t>Overall survival of 517 adults with T-LBL according to whether they received HSCT or not in CR1.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 Patients were stratified by poor prognostic features and clinical factors </w:t>
      </w:r>
      <w:r w:rsidRPr="008552DC">
        <w:rPr>
          <w:rFonts w:ascii="Times New Roman" w:eastAsia="AdvOTea1a7398" w:hAnsi="Times New Roman" w:cs="Times New Roman"/>
          <w:kern w:val="0"/>
          <w:sz w:val="24"/>
          <w:szCs w:val="24"/>
        </w:rPr>
        <w:t>(log-rank test)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. HSCT, </w:t>
      </w:r>
      <w:r w:rsidRPr="008552DC">
        <w:rPr>
          <w:rFonts w:ascii="Times New Roman" w:hAnsi="Times New Roman" w:cs="Times New Roman"/>
          <w:kern w:val="0"/>
          <w:sz w:val="24"/>
          <w:szCs w:val="24"/>
        </w:rPr>
        <w:t>haematopoietic stem cell transplantation</w:t>
      </w:r>
    </w:p>
    <w:p w:rsidR="00CC1E25" w:rsidRPr="008552DC" w:rsidRDefault="00CC1E25" w:rsidP="00CC1E25">
      <w:pPr>
        <w:autoSpaceDE w:val="0"/>
        <w:autoSpaceDN w:val="0"/>
        <w:adjustRightInd w:val="0"/>
        <w:spacing w:before="100" w:beforeAutospacing="1" w:line="600" w:lineRule="auto"/>
        <w:ind w:rightChars="-27" w:right="-57"/>
        <w:rPr>
          <w:rFonts w:ascii="Times New Roman" w:eastAsia="ScalaLancetPro" w:hAnsi="Times New Roman" w:cs="Times New Roman"/>
          <w:kern w:val="0"/>
          <w:sz w:val="24"/>
          <w:szCs w:val="24"/>
        </w:rPr>
      </w:pPr>
      <w:r w:rsidRPr="008552DC">
        <w:rPr>
          <w:rFonts w:ascii="Times New Roman" w:eastAsia="Shaker2Lancet-Regular" w:hAnsi="Times New Roman" w:cs="Times New Roman"/>
          <w:b/>
          <w:kern w:val="0"/>
          <w:sz w:val="24"/>
          <w:szCs w:val="24"/>
        </w:rPr>
        <w:t>Supplementary</w:t>
      </w:r>
      <w:r w:rsidRPr="008552DC">
        <w:rPr>
          <w:rFonts w:ascii="Times New Roman" w:eastAsia="AdvOTcb88df00" w:hAnsi="Times New Roman" w:cs="Times New Roman"/>
          <w:b/>
          <w:kern w:val="0"/>
          <w:sz w:val="24"/>
          <w:szCs w:val="24"/>
        </w:rPr>
        <w:t xml:space="preserve"> Figure S11. The clinical questions and the solution in our manuscript text.</w:t>
      </w:r>
      <w:r w:rsidRPr="008552DC">
        <w:rPr>
          <w:rFonts w:ascii="Times New Roman" w:eastAsia="AdvOTcb88df00" w:hAnsi="Times New Roman" w:cs="Times New Roman"/>
          <w:kern w:val="0"/>
          <w:sz w:val="24"/>
          <w:szCs w:val="24"/>
        </w:rPr>
        <w:t xml:space="preserve"> Which patients benefit from HSCT and which types of HSCT (</w:t>
      </w:r>
      <w:r w:rsidRPr="008552DC">
        <w:rPr>
          <w:rFonts w:ascii="Times New Roman" w:eastAsia="ScalaLancetPro" w:hAnsi="Times New Roman" w:cs="Times New Roman"/>
          <w:kern w:val="0"/>
          <w:sz w:val="24"/>
          <w:szCs w:val="24"/>
        </w:rPr>
        <w:t>allogeneic or autologous HSCT</w:t>
      </w:r>
      <w:r w:rsidRPr="008552DC">
        <w:rPr>
          <w:rFonts w:ascii="Times New Roman" w:eastAsia="AdvOTcb88df00" w:hAnsi="Times New Roman" w:cs="Times New Roman"/>
          <w:kern w:val="0"/>
          <w:sz w:val="24"/>
          <w:szCs w:val="24"/>
        </w:rPr>
        <w:t xml:space="preserve">) </w:t>
      </w:r>
      <w:r w:rsidRPr="008552DC">
        <w:rPr>
          <w:rFonts w:ascii="Times New Roman" w:eastAsia="AdvOTcb88df00" w:hAnsi="Times New Roman" w:cs="Times New Roman" w:hint="eastAsia"/>
          <w:kern w:val="0"/>
          <w:sz w:val="24"/>
          <w:szCs w:val="24"/>
        </w:rPr>
        <w:t xml:space="preserve">are </w:t>
      </w:r>
      <w:r w:rsidRPr="008552DC">
        <w:rPr>
          <w:rFonts w:ascii="Times New Roman" w:eastAsia="AdvOTcb88df00" w:hAnsi="Times New Roman" w:cs="Times New Roman"/>
          <w:kern w:val="0"/>
          <w:sz w:val="24"/>
          <w:szCs w:val="24"/>
        </w:rPr>
        <w:t xml:space="preserve">suitable for adults with T-LBL after initial </w:t>
      </w:r>
      <w:r w:rsidRPr="008552DC">
        <w:rPr>
          <w:rFonts w:ascii="Times New Roman" w:eastAsia="AdvOTcb88df00" w:hAnsi="Times New Roman" w:cs="Times New Roman"/>
          <w:kern w:val="0"/>
          <w:sz w:val="24"/>
          <w:szCs w:val="24"/>
        </w:rPr>
        <w:lastRenderedPageBreak/>
        <w:t xml:space="preserve">chemotherapy is very important issue in T-LBL filed. In this study, we identified that </w:t>
      </w:r>
      <w:r w:rsidRPr="008552DC">
        <w:rPr>
          <w:rFonts w:ascii="Times New Roman" w:eastAsia="ScalaLancetPro-Bold" w:hAnsi="Times New Roman" w:cs="Times New Roman"/>
          <w:bCs/>
          <w:kern w:val="0"/>
          <w:sz w:val="24"/>
          <w:szCs w:val="24"/>
        </w:rPr>
        <w:t>the adults with T-LBL in the high-risk group defined by five-miRNA-based ha</w:t>
      </w:r>
      <w:r w:rsidRPr="008552DC">
        <w:rPr>
          <w:rFonts w:ascii="Times New Roman" w:eastAsia="ScalaLancetPro-Bold" w:hAnsi="Times New Roman" w:cs="Times New Roman" w:hint="eastAsia"/>
          <w:bCs/>
          <w:kern w:val="0"/>
          <w:sz w:val="24"/>
          <w:szCs w:val="24"/>
        </w:rPr>
        <w:t>d</w:t>
      </w:r>
      <w:r w:rsidRPr="008552DC">
        <w:rPr>
          <w:rFonts w:ascii="Times New Roman" w:eastAsia="ScalaLancetPro-Bold" w:hAnsi="Times New Roman" w:cs="Times New Roman"/>
          <w:bCs/>
          <w:kern w:val="0"/>
          <w:sz w:val="24"/>
          <w:szCs w:val="24"/>
        </w:rPr>
        <w:t xml:space="preserve"> a favorable response to HSCT in CR1.</w:t>
      </w:r>
      <w:r w:rsidRPr="008552DC">
        <w:rPr>
          <w:rFonts w:ascii="Times New Roman" w:eastAsia="ScalaLancetPro" w:hAnsi="Times New Roman" w:cs="Times New Roman"/>
          <w:kern w:val="0"/>
          <w:sz w:val="24"/>
          <w:szCs w:val="24"/>
        </w:rPr>
        <w:t xml:space="preserve"> If </w:t>
      </w:r>
      <w:r w:rsidRPr="008552DC">
        <w:rPr>
          <w:rFonts w:ascii="Times New Roman" w:eastAsia="ScalaLancetPro-Bold" w:hAnsi="Times New Roman" w:cs="Times New Roman"/>
          <w:bCs/>
          <w:kern w:val="0"/>
          <w:sz w:val="24"/>
          <w:szCs w:val="24"/>
        </w:rPr>
        <w:t>the five-miRNA-based classifier</w:t>
      </w:r>
      <w:r w:rsidRPr="008552DC">
        <w:rPr>
          <w:rFonts w:ascii="Times New Roman" w:eastAsia="ScalaLancetPro" w:hAnsi="Times New Roman" w:cs="Times New Roman"/>
          <w:kern w:val="0"/>
          <w:sz w:val="24"/>
          <w:szCs w:val="24"/>
        </w:rPr>
        <w:t xml:space="preserve"> </w:t>
      </w:r>
      <w:r w:rsidRPr="008552DC">
        <w:rPr>
          <w:rFonts w:ascii="Times New Roman" w:hAnsi="Times New Roman" w:cs="Times New Roman" w:hint="eastAsia"/>
          <w:kern w:val="0"/>
          <w:sz w:val="24"/>
          <w:szCs w:val="24"/>
        </w:rPr>
        <w:t xml:space="preserve">was combined </w:t>
      </w:r>
      <w:r w:rsidRPr="008552DC">
        <w:rPr>
          <w:rFonts w:ascii="Times New Roman" w:eastAsia="ScalaLancetPro" w:hAnsi="Times New Roman" w:cs="Times New Roman"/>
          <w:kern w:val="0"/>
          <w:sz w:val="24"/>
          <w:szCs w:val="24"/>
        </w:rPr>
        <w:t>wi</w:t>
      </w:r>
      <w:r w:rsidRPr="008552DC">
        <w:rPr>
          <w:rFonts w:ascii="Times New Roman" w:hAnsi="Times New Roman" w:cs="Times New Roman"/>
          <w:kern w:val="0"/>
          <w:sz w:val="24"/>
          <w:szCs w:val="24"/>
        </w:rPr>
        <w:t>t</w:t>
      </w:r>
      <w:r w:rsidRPr="008552DC">
        <w:rPr>
          <w:rFonts w:ascii="Times New Roman" w:eastAsia="ScalaLancetPro" w:hAnsi="Times New Roman" w:cs="Times New Roman"/>
          <w:kern w:val="0"/>
          <w:sz w:val="24"/>
          <w:szCs w:val="24"/>
        </w:rPr>
        <w:t xml:space="preserve">h ECOG-PS and/or </w:t>
      </w:r>
      <w:r w:rsidRPr="008552DC">
        <w:rPr>
          <w:rFonts w:ascii="Times New Roman" w:hAnsi="Times New Roman" w:cs="Times New Roman"/>
          <w:i/>
          <w:kern w:val="0"/>
          <w:sz w:val="24"/>
          <w:szCs w:val="24"/>
        </w:rPr>
        <w:t xml:space="preserve">NOTCH1/FBXW7 </w:t>
      </w:r>
      <w:r w:rsidRPr="008552DC">
        <w:rPr>
          <w:rFonts w:ascii="Times New Roman" w:eastAsia="ScalaLancetPro" w:hAnsi="Times New Roman" w:cs="Times New Roman"/>
          <w:kern w:val="0"/>
          <w:sz w:val="24"/>
          <w:szCs w:val="24"/>
        </w:rPr>
        <w:t>status, survival could be further improved for these patients who received HSCT in CR1. In addition, allogeneic HSCT</w:t>
      </w:r>
      <w:r w:rsidRPr="008552D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552DC">
        <w:rPr>
          <w:rFonts w:ascii="Times New Roman" w:hAnsi="Times New Roman" w:cs="Times New Roman" w:hint="eastAsia"/>
          <w:kern w:val="0"/>
          <w:sz w:val="24"/>
          <w:szCs w:val="24"/>
        </w:rPr>
        <w:t>was</w:t>
      </w:r>
      <w:r w:rsidRPr="008552DC">
        <w:rPr>
          <w:rFonts w:ascii="Times New Roman" w:hAnsi="Times New Roman" w:cs="Times New Roman"/>
          <w:kern w:val="0"/>
          <w:sz w:val="24"/>
          <w:szCs w:val="24"/>
        </w:rPr>
        <w:t xml:space="preserve"> associated with fewer relapses than </w:t>
      </w:r>
      <w:r w:rsidRPr="008552DC">
        <w:rPr>
          <w:rFonts w:ascii="Times New Roman" w:eastAsia="ScalaLancetPro" w:hAnsi="Times New Roman" w:cs="Times New Roman"/>
          <w:kern w:val="0"/>
          <w:sz w:val="24"/>
          <w:szCs w:val="24"/>
        </w:rPr>
        <w:t>autologous HSCT</w:t>
      </w:r>
      <w:r w:rsidRPr="008552DC">
        <w:rPr>
          <w:rFonts w:ascii="Times New Roman" w:hAnsi="Times New Roman" w:cs="Times New Roman"/>
          <w:kern w:val="0"/>
          <w:sz w:val="24"/>
          <w:szCs w:val="24"/>
        </w:rPr>
        <w:t xml:space="preserve"> in miRNA </w:t>
      </w:r>
      <w:r w:rsidRPr="008552DC">
        <w:rPr>
          <w:rFonts w:ascii="Times New Roman" w:eastAsia="ScalaLancetPro" w:hAnsi="Times New Roman" w:cs="Times New Roman"/>
          <w:kern w:val="0"/>
          <w:sz w:val="24"/>
          <w:szCs w:val="24"/>
        </w:rPr>
        <w:t>classifier-defined high risk adults with T-LBL.</w:t>
      </w:r>
    </w:p>
    <w:p w:rsidR="00CC1E25" w:rsidRPr="008552DC" w:rsidRDefault="00CC1E25" w:rsidP="00CC1E25">
      <w:pPr>
        <w:autoSpaceDE w:val="0"/>
        <w:autoSpaceDN w:val="0"/>
        <w:adjustRightInd w:val="0"/>
        <w:spacing w:before="100" w:beforeAutospacing="1" w:line="600" w:lineRule="auto"/>
        <w:ind w:rightChars="-27" w:right="-57"/>
        <w:rPr>
          <w:rFonts w:ascii="Times New Roman" w:eastAsia="AdvOTcb88df00" w:hAnsi="Times New Roman" w:cs="Times New Roman"/>
          <w:b/>
          <w:kern w:val="0"/>
          <w:sz w:val="24"/>
          <w:szCs w:val="24"/>
        </w:rPr>
      </w:pPr>
      <w:r w:rsidRPr="008552DC">
        <w:rPr>
          <w:rFonts w:ascii="Times New Roman" w:eastAsia="Shaker2Lancet-Regular" w:hAnsi="Times New Roman" w:cs="Times New Roman"/>
          <w:b/>
          <w:kern w:val="0"/>
          <w:sz w:val="24"/>
          <w:szCs w:val="24"/>
        </w:rPr>
        <w:t>Supplementary</w:t>
      </w:r>
      <w:r w:rsidRPr="008552DC">
        <w:rPr>
          <w:rFonts w:ascii="Times New Roman" w:eastAsia="AdvOTcb88df00" w:hAnsi="Times New Roman" w:cs="Times New Roman"/>
          <w:b/>
          <w:kern w:val="0"/>
          <w:sz w:val="24"/>
          <w:szCs w:val="24"/>
        </w:rPr>
        <w:t xml:space="preserve"> Figure S12. RT-PCR was used to assess the reproducibility of miRNAs extracted from FFPE samples. (</w:t>
      </w:r>
      <w:r w:rsidRPr="008552DC">
        <w:rPr>
          <w:rFonts w:ascii="Times New Roman" w:eastAsia="AdvOTcb88df00" w:hAnsi="Times New Roman" w:cs="Times New Roman" w:hint="eastAsia"/>
          <w:b/>
          <w:kern w:val="0"/>
          <w:sz w:val="24"/>
          <w:szCs w:val="24"/>
        </w:rPr>
        <w:t>A</w:t>
      </w:r>
      <w:r w:rsidRPr="008552DC">
        <w:rPr>
          <w:rFonts w:ascii="Times New Roman" w:eastAsia="AdvOTcb88df00" w:hAnsi="Times New Roman" w:cs="Times New Roman"/>
          <w:b/>
          <w:kern w:val="0"/>
          <w:sz w:val="24"/>
          <w:szCs w:val="24"/>
        </w:rPr>
        <w:t>)</w:t>
      </w:r>
      <w:r w:rsidRPr="008552DC">
        <w:rPr>
          <w:rFonts w:ascii="Times New Roman" w:eastAsia="AdvOTcb88df00" w:hAnsi="Times New Roman" w:cs="Times New Roman" w:hint="eastAsia"/>
          <w:b/>
          <w:kern w:val="0"/>
          <w:sz w:val="24"/>
          <w:szCs w:val="24"/>
        </w:rPr>
        <w:t>.</w:t>
      </w:r>
      <w:r w:rsidRPr="008552DC">
        <w:rPr>
          <w:rFonts w:ascii="Times New Roman" w:eastAsia="AdvOTcb88df00" w:hAnsi="Times New Roman" w:cs="Times New Roman"/>
          <w:kern w:val="0"/>
          <w:sz w:val="24"/>
          <w:szCs w:val="24"/>
        </w:rPr>
        <w:t xml:space="preserve"> A comparative study was performed to detect the miRNAs level between FFPE tissues and pleural or pericardiac effusion cells from the same 20 samples.</w:t>
      </w:r>
      <w:r w:rsidRPr="008552DC">
        <w:rPr>
          <w:rFonts w:ascii="Times New Roman" w:hAnsi="Times New Roman" w:cs="Times New Roman"/>
          <w:b/>
          <w:sz w:val="24"/>
          <w:szCs w:val="24"/>
        </w:rPr>
        <w:t xml:space="preserve"> (B)</w:t>
      </w:r>
      <w:r w:rsidRPr="008552DC">
        <w:rPr>
          <w:rFonts w:ascii="Times New Roman" w:eastAsia="AdvOTcb88df00" w:hAnsi="Times New Roman" w:cs="Times New Roman"/>
          <w:kern w:val="0"/>
          <w:sz w:val="24"/>
          <w:szCs w:val="24"/>
        </w:rPr>
        <w:t>. A comparative study was performed to detect the miRNAs level between FFPE tissues and fresh</w:t>
      </w:r>
      <w:r w:rsidRPr="008552DC">
        <w:rPr>
          <w:rFonts w:ascii="Times New Roman" w:eastAsia="AdvOTcb88df00" w:hAnsi="Times New Roman" w:cs="Times New Roman" w:hint="eastAsia"/>
          <w:kern w:val="0"/>
          <w:sz w:val="24"/>
          <w:szCs w:val="24"/>
        </w:rPr>
        <w:t>-</w:t>
      </w:r>
      <w:r w:rsidRPr="008552DC">
        <w:rPr>
          <w:rFonts w:ascii="Times New Roman" w:eastAsia="AdvOTcb88df00" w:hAnsi="Times New Roman" w:cs="Times New Roman"/>
          <w:kern w:val="0"/>
          <w:sz w:val="24"/>
          <w:szCs w:val="24"/>
        </w:rPr>
        <w:t xml:space="preserve">frozen sample from the same 45 samples. </w:t>
      </w:r>
      <w:r w:rsidRPr="008552DC">
        <w:rPr>
          <w:rFonts w:ascii="Times New Roman" w:eastAsia="AdvOTcb88df00" w:hAnsi="Times New Roman" w:cs="Times New Roman"/>
          <w:i/>
          <w:kern w:val="0"/>
          <w:sz w:val="24"/>
          <w:szCs w:val="24"/>
        </w:rPr>
        <w:t>P</w:t>
      </w:r>
      <w:r w:rsidRPr="008552DC">
        <w:rPr>
          <w:rFonts w:ascii="Times New Roman" w:eastAsia="AdvOTcb88df00" w:hAnsi="Times New Roman" w:cs="Times New Roman"/>
          <w:kern w:val="0"/>
          <w:sz w:val="24"/>
          <w:szCs w:val="24"/>
        </w:rPr>
        <w:t xml:space="preserve"> value was calculated by Pearson Chi-squared test. </w:t>
      </w:r>
    </w:p>
    <w:p w:rsidR="00BA6626" w:rsidRPr="00CC1E25" w:rsidRDefault="00CC1E25" w:rsidP="00CC1E25">
      <w:pPr>
        <w:autoSpaceDE w:val="0"/>
        <w:autoSpaceDN w:val="0"/>
        <w:adjustRightInd w:val="0"/>
        <w:spacing w:before="100" w:beforeAutospacing="1" w:line="600" w:lineRule="auto"/>
        <w:rPr>
          <w:rFonts w:ascii="Times New Roman" w:hAnsi="Times New Roman" w:cs="Times New Roman" w:hint="eastAsia"/>
          <w:sz w:val="24"/>
          <w:szCs w:val="24"/>
        </w:rPr>
      </w:pPr>
      <w:r w:rsidRPr="008552DC">
        <w:rPr>
          <w:rFonts w:ascii="Times New Roman" w:eastAsia="Shaker2Lancet-Regular" w:hAnsi="Times New Roman" w:cs="Times New Roman"/>
          <w:b/>
          <w:kern w:val="0"/>
          <w:sz w:val="24"/>
          <w:szCs w:val="24"/>
        </w:rPr>
        <w:t>Supplementary</w:t>
      </w:r>
      <w:r w:rsidRPr="008552DC">
        <w:rPr>
          <w:rFonts w:ascii="Times New Roman" w:eastAsia="AdvOTcb88df00" w:hAnsi="Times New Roman" w:cs="Times New Roman"/>
          <w:b/>
          <w:kern w:val="0"/>
          <w:sz w:val="24"/>
          <w:szCs w:val="24"/>
        </w:rPr>
        <w:t xml:space="preserve"> Figure S13. </w:t>
      </w:r>
      <w:r w:rsidRPr="008552DC">
        <w:rPr>
          <w:rFonts w:ascii="Times New Roman" w:hAnsi="Times New Roman" w:cs="Times New Roman"/>
          <w:b/>
          <w:sz w:val="24"/>
          <w:szCs w:val="24"/>
        </w:rPr>
        <w:t xml:space="preserve">Kaplan-Meier analysis of disease-free survival and overall survival </w:t>
      </w:r>
      <w:r w:rsidRPr="008552DC">
        <w:rPr>
          <w:rFonts w:ascii="Times New Roman" w:eastAsia="Shaker2Lancet-Regular" w:hAnsi="Times New Roman" w:cs="Times New Roman"/>
          <w:b/>
          <w:kern w:val="0"/>
          <w:sz w:val="24"/>
          <w:szCs w:val="24"/>
        </w:rPr>
        <w:t xml:space="preserve">stratified by five-miRNA classifier for the related donors groups. </w:t>
      </w:r>
      <w:r w:rsidRPr="008552DC">
        <w:rPr>
          <w:rFonts w:ascii="Times New Roman" w:eastAsia="Shaker2Lancet-Regular" w:hAnsi="Times New Roman" w:cs="Times New Roman"/>
          <w:kern w:val="0"/>
          <w:sz w:val="24"/>
          <w:szCs w:val="24"/>
        </w:rPr>
        <w:t xml:space="preserve">Comparisons were assessed using the </w:t>
      </w:r>
      <w:r w:rsidRPr="008552DC">
        <w:rPr>
          <w:rFonts w:ascii="Times New Roman" w:eastAsia="AdvOTea1a7398" w:hAnsi="Times New Roman" w:cs="Times New Roman"/>
          <w:kern w:val="0"/>
          <w:sz w:val="24"/>
          <w:szCs w:val="24"/>
        </w:rPr>
        <w:t xml:space="preserve">log-rank test. </w:t>
      </w:r>
      <w:r w:rsidRPr="008552DC">
        <w:rPr>
          <w:rFonts w:ascii="Times New Roman" w:eastAsia="AdvOTea1a7398" w:hAnsi="Times New Roman" w:cs="Times New Roman"/>
          <w:b/>
          <w:kern w:val="0"/>
          <w:sz w:val="24"/>
          <w:szCs w:val="24"/>
        </w:rPr>
        <w:t>(A)</w:t>
      </w:r>
      <w:r w:rsidRPr="008552DC">
        <w:rPr>
          <w:rFonts w:ascii="Times New Roman" w:hAnsi="Times New Roman" w:cs="Times New Roman"/>
          <w:sz w:val="24"/>
          <w:szCs w:val="24"/>
        </w:rPr>
        <w:t xml:space="preserve"> Disease-free survival. </w:t>
      </w:r>
      <w:r w:rsidRPr="008552DC">
        <w:rPr>
          <w:rFonts w:ascii="Times New Roman" w:hAnsi="Times New Roman" w:cs="Times New Roman"/>
          <w:b/>
          <w:sz w:val="24"/>
          <w:szCs w:val="24"/>
        </w:rPr>
        <w:t>(B)</w:t>
      </w:r>
      <w:r w:rsidRPr="008552DC">
        <w:rPr>
          <w:rFonts w:ascii="Times New Roman" w:hAnsi="Times New Roman" w:cs="Times New Roman"/>
          <w:sz w:val="24"/>
          <w:szCs w:val="24"/>
        </w:rPr>
        <w:t xml:space="preserve"> Overall survival. </w:t>
      </w:r>
      <w:bookmarkStart w:id="0" w:name="_GoBack"/>
      <w:bookmarkEnd w:id="0"/>
    </w:p>
    <w:sectPr w:rsidR="00BA6626" w:rsidRPr="00CC1E25" w:rsidSect="00A51858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50B" w:rsidRDefault="00DD150B" w:rsidP="00CC1E25">
      <w:r>
        <w:separator/>
      </w:r>
    </w:p>
  </w:endnote>
  <w:endnote w:type="continuationSeparator" w:id="0">
    <w:p w:rsidR="00DD150B" w:rsidRDefault="00DD150B" w:rsidP="00CC1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aker2Lancet-Regular">
    <w:altName w:val="MS Gothic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OTea1a7398">
    <w:altName w:val="MS Gothic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haker2Lancet-Bold">
    <w:altName w:val="MS Gothic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haker2Lancet-Italic">
    <w:altName w:val="MS Gothic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OTcb88df00">
    <w:altName w:val="MS Gothic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calaLancetPro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calaLancetPro-Bold">
    <w:altName w:val="MS Gothic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9212347"/>
      <w:docPartObj>
        <w:docPartGallery w:val="Page Numbers (Bottom of Page)"/>
        <w:docPartUnique/>
      </w:docPartObj>
    </w:sdtPr>
    <w:sdtEndPr/>
    <w:sdtContent>
      <w:p w:rsidR="00E9368C" w:rsidRDefault="00DD150B">
        <w:pPr>
          <w:pStyle w:val="a4"/>
        </w:pPr>
        <w:r>
          <w:ptab w:relativeTo="margin" w:alignment="center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C1E25" w:rsidRPr="00CC1E25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E9368C" w:rsidRDefault="00DD150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50B" w:rsidRDefault="00DD150B" w:rsidP="00CC1E25">
      <w:r>
        <w:separator/>
      </w:r>
    </w:p>
  </w:footnote>
  <w:footnote w:type="continuationSeparator" w:id="0">
    <w:p w:rsidR="00DD150B" w:rsidRDefault="00DD150B" w:rsidP="00CC1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241"/>
    <w:rsid w:val="00952241"/>
    <w:rsid w:val="00BA6626"/>
    <w:rsid w:val="00CC1E25"/>
    <w:rsid w:val="00DD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254A04-8B2F-400F-A054-F60FA6E0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E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1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1E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1E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1E25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CC1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729</Words>
  <Characters>4159</Characters>
  <Application>Microsoft Office Word</Application>
  <DocSecurity>0</DocSecurity>
  <Lines>34</Lines>
  <Paragraphs>9</Paragraphs>
  <ScaleCrop>false</ScaleCrop>
  <Company>中国</Company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2019-02-26T11:09:00Z</dcterms:created>
  <dcterms:modified xsi:type="dcterms:W3CDTF">2019-02-26T11:09:00Z</dcterms:modified>
</cp:coreProperties>
</file>