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128" w:rsidRPr="0071200B" w:rsidRDefault="002E1AB3" w:rsidP="00D87128">
      <w:pPr>
        <w:rPr>
          <w:rFonts w:ascii="Times New Roman" w:eastAsiaTheme="minorEastAsia" w:hAnsi="Times New Roman"/>
          <w:color w:val="FF0000"/>
          <w:sz w:val="24"/>
          <w:szCs w:val="24"/>
          <w:shd w:val="clear" w:color="000000" w:fill="FFFFFF"/>
        </w:rPr>
      </w:pPr>
      <w:bookmarkStart w:id="0" w:name="_GoBack"/>
      <w:bookmarkEnd w:id="0"/>
      <w:r>
        <w:rPr>
          <w:rFonts w:ascii="Times New Roman" w:eastAsiaTheme="minorEastAsia" w:hAnsi="Times New Roman"/>
          <w:color w:val="000000" w:themeColor="text1"/>
          <w:sz w:val="24"/>
          <w:szCs w:val="24"/>
          <w:shd w:val="clear" w:color="000000" w:fill="FFFFFF"/>
        </w:rPr>
        <w:t>Supplementary Table S2</w:t>
      </w:r>
      <w:r w:rsidR="00D87128" w:rsidRPr="003C7D90">
        <w:rPr>
          <w:rFonts w:ascii="Times New Roman" w:eastAsiaTheme="minorEastAsia" w:hAnsi="Times New Roman"/>
          <w:color w:val="000000" w:themeColor="text1"/>
          <w:sz w:val="24"/>
          <w:szCs w:val="24"/>
          <w:shd w:val="clear" w:color="000000" w:fill="FFFFFF"/>
        </w:rPr>
        <w:t>.</w:t>
      </w:r>
      <w:r w:rsidR="00D87128" w:rsidRPr="0071200B">
        <w:rPr>
          <w:rFonts w:ascii="Times New Roman" w:hAnsi="Times New Roman"/>
          <w:sz w:val="24"/>
          <w:szCs w:val="24"/>
        </w:rPr>
        <w:t xml:space="preserve">Clinicopathological characteristics of T-LBL patients with HSCT and no HSCT in </w:t>
      </w:r>
      <w:r w:rsidR="00A31A63">
        <w:rPr>
          <w:rFonts w:ascii="Times New Roman" w:hAnsi="Times New Roman" w:hint="eastAsia"/>
          <w:sz w:val="24"/>
          <w:szCs w:val="24"/>
        </w:rPr>
        <w:t xml:space="preserve">the </w:t>
      </w:r>
      <w:r w:rsidR="00D87128" w:rsidRPr="0071200B">
        <w:rPr>
          <w:rFonts w:ascii="Times New Roman" w:hAnsi="Times New Roman"/>
          <w:sz w:val="24"/>
          <w:szCs w:val="24"/>
        </w:rPr>
        <w:t>entire cohort.</w:t>
      </w:r>
    </w:p>
    <w:tbl>
      <w:tblPr>
        <w:tblStyle w:val="a5"/>
        <w:tblW w:w="822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367"/>
        <w:gridCol w:w="967"/>
        <w:gridCol w:w="1194"/>
        <w:gridCol w:w="1040"/>
      </w:tblGrid>
      <w:tr w:rsidR="00D87128" w:rsidRPr="0071200B" w:rsidTr="001861FC">
        <w:trPr>
          <w:jc w:val="center"/>
        </w:trPr>
        <w:tc>
          <w:tcPr>
            <w:tcW w:w="3652" w:type="dxa"/>
            <w:tcBorders>
              <w:bottom w:val="single" w:sz="4" w:space="0" w:color="auto"/>
            </w:tcBorders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Variables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D87128" w:rsidRPr="0071200B" w:rsidRDefault="00D87128" w:rsidP="00186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Number of patients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HSCT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No HSCT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bookmarkStart w:id="1" w:name="OLE_LINK1"/>
            <w:bookmarkStart w:id="2" w:name="OLE_LINK2"/>
            <w:r w:rsidRPr="0071200B">
              <w:rPr>
                <w:rFonts w:ascii="Times New Roman" w:hAnsi="Times New Roman"/>
                <w:sz w:val="24"/>
                <w:szCs w:val="24"/>
              </w:rPr>
              <w:t>*</w:t>
            </w:r>
            <w:bookmarkEnd w:id="1"/>
            <w:bookmarkEnd w:id="2"/>
          </w:p>
        </w:tc>
      </w:tr>
      <w:tr w:rsidR="00D87128" w:rsidRPr="0071200B" w:rsidTr="001861FC">
        <w:trPr>
          <w:jc w:val="center"/>
        </w:trPr>
        <w:tc>
          <w:tcPr>
            <w:tcW w:w="3652" w:type="dxa"/>
            <w:tcBorders>
              <w:top w:val="single" w:sz="4" w:space="0" w:color="auto"/>
            </w:tcBorders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Sex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Male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.120</w:t>
            </w: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Female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Age(years)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≤45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.995</w:t>
            </w: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＞</w:t>
            </w:r>
            <w:r w:rsidRPr="0071200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ECOG-PS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＜</w:t>
            </w:r>
            <w:r w:rsidRPr="007120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.335</w:t>
            </w: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≥2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Effusion, pleural and/or pericardia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.246</w:t>
            </w: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CNS involvement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</w:t>
            </w: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.479</w:t>
            </w: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Mediastinal involvement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.275</w:t>
            </w: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Bone marrow involvement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.675</w:t>
            </w: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LDH concentration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Normal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.116</w:t>
            </w: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Elevated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Ann Arbor Stage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≤2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</w:t>
            </w: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.029</w:t>
            </w: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&gt;2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469</w:t>
            </w: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i/>
                <w:sz w:val="24"/>
                <w:szCs w:val="24"/>
              </w:rPr>
              <w:t>N/F</w:t>
            </w:r>
            <w:r w:rsidRPr="0071200B">
              <w:rPr>
                <w:rFonts w:ascii="Times New Roman" w:hAnsi="Times New Roman"/>
                <w:sz w:val="24"/>
                <w:szCs w:val="24"/>
              </w:rPr>
              <w:t xml:space="preserve"> status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Mutated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.673</w:t>
            </w:r>
          </w:p>
        </w:tc>
      </w:tr>
      <w:tr w:rsidR="00D87128" w:rsidRPr="0071200B" w:rsidTr="001861FC">
        <w:trPr>
          <w:jc w:val="center"/>
        </w:trPr>
        <w:tc>
          <w:tcPr>
            <w:tcW w:w="3652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 w:rsidRPr="0071200B">
              <w:rPr>
                <w:rFonts w:ascii="Times New Roman" w:hAnsi="Times New Roman"/>
                <w:sz w:val="24"/>
                <w:szCs w:val="24"/>
              </w:rPr>
              <w:t>Wild type</w:t>
            </w:r>
          </w:p>
        </w:tc>
        <w:tc>
          <w:tcPr>
            <w:tcW w:w="13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67" w:type="dxa"/>
          </w:tcPr>
          <w:p w:rsidR="00D87128" w:rsidRPr="0071200B" w:rsidRDefault="00D87128" w:rsidP="001861F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94" w:type="dxa"/>
          </w:tcPr>
          <w:p w:rsidR="00D87128" w:rsidRPr="0071200B" w:rsidRDefault="00D87128" w:rsidP="001861F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1040" w:type="dxa"/>
          </w:tcPr>
          <w:p w:rsidR="00D87128" w:rsidRPr="0071200B" w:rsidRDefault="00D87128" w:rsidP="00186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7128" w:rsidRPr="00404E8D" w:rsidRDefault="00D87128" w:rsidP="00D87128">
      <w:r>
        <w:rPr>
          <w:rFonts w:ascii="Times New Roman" w:hAnsi="Times New Roman" w:hint="eastAsia"/>
        </w:rPr>
        <w:t>Abb</w:t>
      </w:r>
      <w:r>
        <w:rPr>
          <w:rFonts w:ascii="Times New Roman" w:hAnsi="Times New Roman"/>
        </w:rPr>
        <w:t xml:space="preserve">reviation: T-LBL, </w:t>
      </w:r>
      <w:r w:rsidRPr="00691E55">
        <w:rPr>
          <w:rFonts w:ascii="Times New Roman" w:hAnsi="Times New Roman"/>
          <w:sz w:val="24"/>
          <w:szCs w:val="24"/>
        </w:rPr>
        <w:t>T-cell lymphoblastic lymphomas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</w:rPr>
        <w:t xml:space="preserve">CNS, central nervous; ECOG-PS, </w:t>
      </w:r>
      <w:r>
        <w:rPr>
          <w:rFonts w:ascii="Times New Roman" w:hAnsi="Times New Roman"/>
          <w:sz w:val="24"/>
          <w:szCs w:val="24"/>
        </w:rPr>
        <w:t>E</w:t>
      </w:r>
      <w:r w:rsidRPr="00B400AE">
        <w:rPr>
          <w:rFonts w:ascii="Times New Roman" w:hAnsi="Times New Roman"/>
          <w:sz w:val="24"/>
          <w:szCs w:val="24"/>
        </w:rPr>
        <w:t>astern Cooperative Oncology Group criteria</w:t>
      </w:r>
      <w:r>
        <w:rPr>
          <w:rFonts w:ascii="Times New Roman" w:hAnsi="Times New Roman"/>
          <w:sz w:val="24"/>
          <w:szCs w:val="24"/>
        </w:rPr>
        <w:t xml:space="preserve"> performance status</w:t>
      </w:r>
      <w:r>
        <w:rPr>
          <w:rFonts w:ascii="Times New Roman" w:hAnsi="Times New Roman"/>
        </w:rPr>
        <w:t>; LDH, lactate dehydrogenase;</w:t>
      </w:r>
      <w:r w:rsidRPr="004E6016">
        <w:rPr>
          <w:rFonts w:ascii="Times New Roman" w:hAnsi="Times New Roman"/>
          <w:i/>
        </w:rPr>
        <w:t xml:space="preserve"> N/F</w:t>
      </w:r>
      <w:r>
        <w:rPr>
          <w:rFonts w:ascii="Times New Roman" w:hAnsi="Times New Roman"/>
        </w:rPr>
        <w:t>,</w:t>
      </w:r>
      <w:r w:rsidRPr="00CB3DF8">
        <w:rPr>
          <w:rFonts w:ascii="Times New Roman" w:hAnsi="Times New Roman"/>
          <w:i/>
          <w:iCs/>
        </w:rPr>
        <w:t xml:space="preserve">NOTCH1 </w:t>
      </w:r>
      <w:r w:rsidRPr="00CB3DF8">
        <w:rPr>
          <w:rFonts w:ascii="Times New Roman" w:hAnsi="Times New Roman"/>
        </w:rPr>
        <w:t xml:space="preserve">and </w:t>
      </w:r>
      <w:r w:rsidRPr="00CB3DF8">
        <w:rPr>
          <w:rFonts w:ascii="Times New Roman" w:hAnsi="Times New Roman"/>
          <w:i/>
          <w:iCs/>
        </w:rPr>
        <w:t>FBXW7</w:t>
      </w:r>
      <w:r>
        <w:rPr>
          <w:rFonts w:ascii="Times New Roman" w:hAnsi="Times New Roman"/>
        </w:rPr>
        <w:t xml:space="preserve">; </w:t>
      </w:r>
      <w:r w:rsidRPr="00CD03AE">
        <w:rPr>
          <w:rFonts w:ascii="Times New Roman" w:hAnsi="Times New Roman"/>
          <w:sz w:val="24"/>
          <w:szCs w:val="24"/>
        </w:rPr>
        <w:t>HSCT, hematopoietic stem cell transplantation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</w:rPr>
        <w:t xml:space="preserve"> CR1, </w:t>
      </w:r>
      <w:r w:rsidRPr="00B400AE">
        <w:rPr>
          <w:rFonts w:ascii="Times New Roman" w:hAnsi="Times New Roman"/>
          <w:sz w:val="24"/>
          <w:szCs w:val="24"/>
        </w:rPr>
        <w:t>first complete remission</w:t>
      </w:r>
      <w:r>
        <w:rPr>
          <w:rFonts w:ascii="Times New Roman" w:hAnsi="Times New Roman"/>
          <w:sz w:val="24"/>
          <w:szCs w:val="24"/>
        </w:rPr>
        <w:t xml:space="preserve">; *, </w:t>
      </w:r>
      <w:r w:rsidRPr="00FC7477">
        <w:rPr>
          <w:rFonts w:ascii="Times New Roman" w:hAnsi="Times New Roman"/>
          <w:i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value was calculated by Pearson Chi-Square test.</w:t>
      </w:r>
    </w:p>
    <w:p w:rsidR="00F13E70" w:rsidRPr="00D87128" w:rsidRDefault="00F13E70"/>
    <w:sectPr w:rsidR="00F13E70" w:rsidRPr="00D87128" w:rsidSect="000061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5CD" w:rsidRDefault="00AB45CD" w:rsidP="00D87128">
      <w:r>
        <w:separator/>
      </w:r>
    </w:p>
  </w:endnote>
  <w:endnote w:type="continuationSeparator" w:id="0">
    <w:p w:rsidR="00AB45CD" w:rsidRDefault="00AB45CD" w:rsidP="00D87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5CD" w:rsidRDefault="00AB45CD" w:rsidP="00D87128">
      <w:r>
        <w:separator/>
      </w:r>
    </w:p>
  </w:footnote>
  <w:footnote w:type="continuationSeparator" w:id="0">
    <w:p w:rsidR="00AB45CD" w:rsidRDefault="00AB45CD" w:rsidP="00D871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0A69"/>
    <w:rsid w:val="0000612C"/>
    <w:rsid w:val="002E1AB3"/>
    <w:rsid w:val="003B15E2"/>
    <w:rsid w:val="003C7D90"/>
    <w:rsid w:val="00594417"/>
    <w:rsid w:val="00803B2B"/>
    <w:rsid w:val="00890A69"/>
    <w:rsid w:val="00A31A63"/>
    <w:rsid w:val="00A61B27"/>
    <w:rsid w:val="00AB45CD"/>
    <w:rsid w:val="00CD4805"/>
    <w:rsid w:val="00D4421A"/>
    <w:rsid w:val="00D87128"/>
    <w:rsid w:val="00F13E70"/>
    <w:rsid w:val="00FC7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C32C35-61A7-48BC-8F47-8A119F03D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87128"/>
    <w:pPr>
      <w:jc w:val="both"/>
    </w:pPr>
    <w:rPr>
      <w:rFonts w:ascii="Calibri" w:eastAsia="宋体" w:hAnsi="Calibri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712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71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7128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7128"/>
    <w:rPr>
      <w:sz w:val="18"/>
      <w:szCs w:val="18"/>
    </w:rPr>
  </w:style>
  <w:style w:type="table" w:styleId="a5">
    <w:name w:val="Table Grid"/>
    <w:basedOn w:val="a1"/>
    <w:uiPriority w:val="39"/>
    <w:rsid w:val="00D87128"/>
    <w:rPr>
      <w:rFonts w:ascii="Calibri" w:eastAsia="宋体" w:hAnsi="Calibri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>中国</Company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2019-01-04T16:36:00Z</dcterms:created>
  <dcterms:modified xsi:type="dcterms:W3CDTF">2019-01-10T04:17:00Z</dcterms:modified>
</cp:coreProperties>
</file>