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80E" w:rsidRDefault="00DE580E" w:rsidP="00DE580E">
      <w:pPr>
        <w:spacing w:before="120" w:after="12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2239B4">
        <w:rPr>
          <w:rFonts w:ascii="Arial" w:hAnsi="Arial" w:cs="Arial"/>
          <w:b/>
          <w:sz w:val="24"/>
          <w:szCs w:val="24"/>
          <w:lang w:val="en-US"/>
        </w:rPr>
        <w:t>S</w:t>
      </w:r>
      <w:r>
        <w:rPr>
          <w:rFonts w:ascii="Arial" w:hAnsi="Arial" w:cs="Arial"/>
          <w:b/>
          <w:sz w:val="24"/>
          <w:szCs w:val="24"/>
          <w:lang w:val="en-US"/>
        </w:rPr>
        <w:t>upplementary information</w:t>
      </w:r>
    </w:p>
    <w:p w:rsidR="00DE580E" w:rsidRPr="00B32B8F" w:rsidRDefault="00DE580E" w:rsidP="00DE580E">
      <w:pPr>
        <w:spacing w:before="120" w:after="120" w:line="360" w:lineRule="auto"/>
        <w:rPr>
          <w:rFonts w:ascii="Arial" w:hAnsi="Arial" w:cs="Arial"/>
          <w:b/>
          <w:sz w:val="22"/>
          <w:szCs w:val="24"/>
          <w:lang w:val="en-US"/>
        </w:rPr>
      </w:pPr>
      <w:r w:rsidRPr="00B32B8F">
        <w:rPr>
          <w:rFonts w:ascii="Arial" w:hAnsi="Arial" w:cs="Arial"/>
          <w:sz w:val="22"/>
          <w:szCs w:val="24"/>
          <w:lang w:val="en-US"/>
        </w:rPr>
        <w:t>The supplementary information includes five supplementary tables and one supplementary figure.</w:t>
      </w:r>
    </w:p>
    <w:p w:rsidR="00DE580E" w:rsidRPr="00B32B8F" w:rsidRDefault="00DE580E" w:rsidP="00DE580E">
      <w:pPr>
        <w:spacing w:before="120" w:after="120" w:line="360" w:lineRule="auto"/>
        <w:rPr>
          <w:rFonts w:ascii="Arial" w:hAnsi="Arial" w:cs="Arial"/>
          <w:b/>
          <w:sz w:val="22"/>
          <w:szCs w:val="24"/>
          <w:lang w:val="en-US"/>
        </w:rPr>
      </w:pPr>
      <w:r w:rsidRPr="00B32B8F">
        <w:rPr>
          <w:rFonts w:ascii="Arial" w:hAnsi="Arial" w:cs="Arial"/>
          <w:b/>
          <w:sz w:val="22"/>
          <w:szCs w:val="24"/>
          <w:lang w:val="en-US"/>
        </w:rPr>
        <w:t xml:space="preserve">Table S1. </w:t>
      </w:r>
      <w:r w:rsidRPr="00B32B8F">
        <w:rPr>
          <w:rFonts w:ascii="Arial" w:hAnsi="Arial" w:cs="Arial"/>
          <w:sz w:val="22"/>
          <w:szCs w:val="24"/>
          <w:lang w:val="en-US"/>
        </w:rPr>
        <w:t xml:space="preserve">Adverse events not considered in the manuscript that occurred prior to cut-off but were reported after the data </w:t>
      </w:r>
      <w:r w:rsidRPr="00B32B8F">
        <w:rPr>
          <w:rFonts w:ascii="Arial" w:hAnsi="Arial" w:cs="Arial"/>
          <w:sz w:val="22"/>
          <w:szCs w:val="24"/>
          <w:lang w:val="en-US"/>
        </w:rPr>
        <w:br/>
        <w:t>analysis snapshot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0"/>
        <w:gridCol w:w="1473"/>
        <w:gridCol w:w="1473"/>
        <w:gridCol w:w="1473"/>
        <w:gridCol w:w="1473"/>
        <w:gridCol w:w="1474"/>
        <w:gridCol w:w="2883"/>
        <w:gridCol w:w="1709"/>
      </w:tblGrid>
      <w:tr w:rsidR="00DE580E" w:rsidRPr="002239B4" w:rsidTr="00DB5BC0"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80E" w:rsidRPr="00C80926" w:rsidRDefault="00DE580E" w:rsidP="00DB5BC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80926">
              <w:rPr>
                <w:rFonts w:ascii="Arial" w:hAnsi="Arial" w:cs="Arial"/>
                <w:sz w:val="22"/>
                <w:szCs w:val="22"/>
              </w:rPr>
              <w:t>AE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80E" w:rsidRPr="00C80926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0926">
              <w:rPr>
                <w:rFonts w:ascii="Arial" w:hAnsi="Arial" w:cs="Arial"/>
                <w:sz w:val="22"/>
                <w:szCs w:val="22"/>
              </w:rPr>
              <w:t>Age, years</w:t>
            </w:r>
          </w:p>
          <w:p w:rsidR="00DE580E" w:rsidRPr="00C80926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0926">
              <w:rPr>
                <w:rFonts w:ascii="Arial" w:hAnsi="Arial" w:cs="Arial"/>
                <w:sz w:val="22"/>
                <w:szCs w:val="22"/>
              </w:rPr>
              <w:t>(gender)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80E" w:rsidRPr="00C80926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0926">
              <w:rPr>
                <w:rFonts w:ascii="Arial" w:hAnsi="Arial" w:cs="Arial"/>
                <w:sz w:val="22"/>
                <w:szCs w:val="22"/>
              </w:rPr>
              <w:t>Onset</w:t>
            </w:r>
          </w:p>
          <w:p w:rsidR="00DE580E" w:rsidRPr="00C80926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0926">
              <w:rPr>
                <w:rFonts w:ascii="Arial" w:hAnsi="Arial" w:cs="Arial"/>
                <w:sz w:val="22"/>
                <w:szCs w:val="22"/>
              </w:rPr>
              <w:t>(study day)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80E" w:rsidRPr="00C80926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0926">
              <w:rPr>
                <w:rFonts w:ascii="Arial" w:hAnsi="Arial" w:cs="Arial"/>
                <w:sz w:val="22"/>
                <w:szCs w:val="22"/>
              </w:rPr>
              <w:t>End</w:t>
            </w:r>
          </w:p>
          <w:p w:rsidR="00DE580E" w:rsidRPr="00C80926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0926">
              <w:rPr>
                <w:rFonts w:ascii="Arial" w:hAnsi="Arial" w:cs="Arial"/>
                <w:sz w:val="22"/>
                <w:szCs w:val="22"/>
              </w:rPr>
              <w:t>(study day)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80E" w:rsidRPr="00C80926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0926">
              <w:rPr>
                <w:rFonts w:ascii="Arial" w:hAnsi="Arial" w:cs="Arial"/>
                <w:sz w:val="22"/>
                <w:szCs w:val="22"/>
              </w:rPr>
              <w:t>Grade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80E" w:rsidRPr="00C80926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0926">
              <w:rPr>
                <w:rFonts w:ascii="Arial" w:hAnsi="Arial" w:cs="Arial"/>
                <w:sz w:val="22"/>
                <w:szCs w:val="22"/>
              </w:rPr>
              <w:t>SAE</w:t>
            </w:r>
          </w:p>
        </w:tc>
        <w:tc>
          <w:tcPr>
            <w:tcW w:w="28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80E" w:rsidRPr="00C80926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0926">
              <w:rPr>
                <w:rFonts w:ascii="Arial" w:hAnsi="Arial" w:cs="Arial"/>
                <w:sz w:val="22"/>
                <w:szCs w:val="22"/>
              </w:rPr>
              <w:t>Relationship to obinutuzumab/</w:t>
            </w:r>
            <w:r w:rsidRPr="00C80926">
              <w:rPr>
                <w:rFonts w:ascii="Arial" w:hAnsi="Arial" w:cs="Arial"/>
                <w:sz w:val="22"/>
                <w:szCs w:val="22"/>
              </w:rPr>
              <w:br/>
              <w:t>chemotherapy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80E" w:rsidRPr="00C80926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0926">
              <w:rPr>
                <w:rFonts w:ascii="Arial" w:hAnsi="Arial" w:cs="Arial"/>
                <w:sz w:val="22"/>
                <w:szCs w:val="22"/>
              </w:rPr>
              <w:t>Outcome</w:t>
            </w:r>
          </w:p>
        </w:tc>
      </w:tr>
      <w:tr w:rsidR="00DE580E" w:rsidRPr="002239B4" w:rsidTr="00DB5BC0">
        <w:tc>
          <w:tcPr>
            <w:tcW w:w="1990" w:type="dxa"/>
            <w:tcBorders>
              <w:top w:val="single" w:sz="4" w:space="0" w:color="auto"/>
            </w:tcBorders>
            <w:vAlign w:val="center"/>
          </w:tcPr>
          <w:p w:rsidR="00DE580E" w:rsidRPr="002239B4" w:rsidRDefault="00DE580E" w:rsidP="00DB5BC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Hepatitis E</w:t>
            </w:r>
          </w:p>
        </w:tc>
        <w:tc>
          <w:tcPr>
            <w:tcW w:w="1473" w:type="dxa"/>
            <w:tcBorders>
              <w:top w:val="single" w:sz="4" w:space="0" w:color="auto"/>
            </w:tcBorders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58 (F)</w:t>
            </w:r>
          </w:p>
        </w:tc>
        <w:tc>
          <w:tcPr>
            <w:tcW w:w="1473" w:type="dxa"/>
            <w:tcBorders>
              <w:top w:val="single" w:sz="4" w:space="0" w:color="auto"/>
            </w:tcBorders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570</w:t>
            </w:r>
          </w:p>
        </w:tc>
        <w:tc>
          <w:tcPr>
            <w:tcW w:w="1473" w:type="dxa"/>
            <w:tcBorders>
              <w:top w:val="single" w:sz="4" w:space="0" w:color="auto"/>
            </w:tcBorders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1024</w:t>
            </w:r>
          </w:p>
        </w:tc>
        <w:tc>
          <w:tcPr>
            <w:tcW w:w="1473" w:type="dxa"/>
            <w:tcBorders>
              <w:top w:val="single" w:sz="4" w:space="0" w:color="auto"/>
            </w:tcBorders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2883" w:type="dxa"/>
            <w:tcBorders>
              <w:top w:val="single" w:sz="4" w:space="0" w:color="auto"/>
            </w:tcBorders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 xml:space="preserve">Related to obinutuzumab and chemotherapy </w:t>
            </w:r>
          </w:p>
        </w:tc>
        <w:tc>
          <w:tcPr>
            <w:tcW w:w="1709" w:type="dxa"/>
            <w:tcBorders>
              <w:top w:val="single" w:sz="4" w:space="0" w:color="auto"/>
            </w:tcBorders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Resolved</w:t>
            </w:r>
          </w:p>
        </w:tc>
      </w:tr>
      <w:tr w:rsidR="00DE580E" w:rsidRPr="002239B4" w:rsidTr="00DB5BC0">
        <w:trPr>
          <w:trHeight w:val="748"/>
        </w:trPr>
        <w:tc>
          <w:tcPr>
            <w:tcW w:w="1990" w:type="dxa"/>
            <w:vAlign w:val="center"/>
          </w:tcPr>
          <w:p w:rsidR="00DE580E" w:rsidRPr="002239B4" w:rsidRDefault="00DE580E" w:rsidP="00DB5BC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Neutropenia</w:t>
            </w:r>
          </w:p>
        </w:tc>
        <w:tc>
          <w:tcPr>
            <w:tcW w:w="1473" w:type="dxa"/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66 (M)</w:t>
            </w:r>
          </w:p>
        </w:tc>
        <w:tc>
          <w:tcPr>
            <w:tcW w:w="1473" w:type="dxa"/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113</w:t>
            </w:r>
          </w:p>
        </w:tc>
        <w:tc>
          <w:tcPr>
            <w:tcW w:w="1473" w:type="dxa"/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1473" w:type="dxa"/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74" w:type="dxa"/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N</w:t>
            </w:r>
          </w:p>
        </w:tc>
        <w:tc>
          <w:tcPr>
            <w:tcW w:w="2883" w:type="dxa"/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Related to chemotherapy</w:t>
            </w:r>
          </w:p>
        </w:tc>
        <w:tc>
          <w:tcPr>
            <w:tcW w:w="1709" w:type="dxa"/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Ongoing</w:t>
            </w:r>
          </w:p>
        </w:tc>
      </w:tr>
      <w:tr w:rsidR="00DE580E" w:rsidRPr="002239B4" w:rsidTr="00DB5BC0">
        <w:trPr>
          <w:trHeight w:val="748"/>
        </w:trPr>
        <w:tc>
          <w:tcPr>
            <w:tcW w:w="1990" w:type="dxa"/>
            <w:vAlign w:val="center"/>
          </w:tcPr>
          <w:p w:rsidR="00DE580E" w:rsidRPr="002239B4" w:rsidRDefault="00DE580E" w:rsidP="00DB5BC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Myelosuppression</w:t>
            </w:r>
          </w:p>
        </w:tc>
        <w:tc>
          <w:tcPr>
            <w:tcW w:w="1473" w:type="dxa"/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61 (M)</w:t>
            </w:r>
          </w:p>
        </w:tc>
        <w:tc>
          <w:tcPr>
            <w:tcW w:w="1473" w:type="dxa"/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181</w:t>
            </w:r>
          </w:p>
        </w:tc>
        <w:tc>
          <w:tcPr>
            <w:tcW w:w="1473" w:type="dxa"/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203</w:t>
            </w:r>
          </w:p>
        </w:tc>
        <w:tc>
          <w:tcPr>
            <w:tcW w:w="1473" w:type="dxa"/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74" w:type="dxa"/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N</w:t>
            </w:r>
          </w:p>
        </w:tc>
        <w:tc>
          <w:tcPr>
            <w:tcW w:w="2883" w:type="dxa"/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Related to chemotherapy</w:t>
            </w:r>
          </w:p>
        </w:tc>
        <w:tc>
          <w:tcPr>
            <w:tcW w:w="1709" w:type="dxa"/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Resolved</w:t>
            </w:r>
          </w:p>
        </w:tc>
      </w:tr>
      <w:tr w:rsidR="00DE580E" w:rsidRPr="002239B4" w:rsidTr="00DB5BC0">
        <w:tc>
          <w:tcPr>
            <w:tcW w:w="1990" w:type="dxa"/>
            <w:vAlign w:val="center"/>
          </w:tcPr>
          <w:p w:rsidR="00DE580E" w:rsidRPr="002239B4" w:rsidRDefault="00DE580E" w:rsidP="00DB5BC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Headache</w:t>
            </w:r>
          </w:p>
        </w:tc>
        <w:tc>
          <w:tcPr>
            <w:tcW w:w="1473" w:type="dxa"/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41 (M)</w:t>
            </w:r>
          </w:p>
        </w:tc>
        <w:tc>
          <w:tcPr>
            <w:tcW w:w="1473" w:type="dxa"/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1473" w:type="dxa"/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755</w:t>
            </w:r>
          </w:p>
        </w:tc>
        <w:tc>
          <w:tcPr>
            <w:tcW w:w="1473" w:type="dxa"/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74" w:type="dxa"/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2883" w:type="dxa"/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Not related</w:t>
            </w:r>
          </w:p>
        </w:tc>
        <w:tc>
          <w:tcPr>
            <w:tcW w:w="1709" w:type="dxa"/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Resolved with sequelae</w:t>
            </w:r>
          </w:p>
        </w:tc>
      </w:tr>
      <w:tr w:rsidR="00DE580E" w:rsidRPr="002239B4" w:rsidTr="00DB5BC0">
        <w:tc>
          <w:tcPr>
            <w:tcW w:w="1990" w:type="dxa"/>
            <w:vAlign w:val="center"/>
          </w:tcPr>
          <w:p w:rsidR="00DE580E" w:rsidRPr="002239B4" w:rsidRDefault="00DE580E" w:rsidP="00DB5BC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Fatigue*</w:t>
            </w:r>
          </w:p>
        </w:tc>
        <w:tc>
          <w:tcPr>
            <w:tcW w:w="1473" w:type="dxa"/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58 (F)</w:t>
            </w:r>
          </w:p>
        </w:tc>
        <w:tc>
          <w:tcPr>
            <w:tcW w:w="1473" w:type="dxa"/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 xml:space="preserve">161 </w:t>
            </w:r>
          </w:p>
        </w:tc>
        <w:tc>
          <w:tcPr>
            <w:tcW w:w="1473" w:type="dxa"/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1473" w:type="dxa"/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74" w:type="dxa"/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N</w:t>
            </w:r>
          </w:p>
        </w:tc>
        <w:tc>
          <w:tcPr>
            <w:tcW w:w="2883" w:type="dxa"/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Related to obinutuzumab and chemotherapy</w:t>
            </w:r>
          </w:p>
        </w:tc>
        <w:tc>
          <w:tcPr>
            <w:tcW w:w="1709" w:type="dxa"/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Ongoing</w:t>
            </w:r>
          </w:p>
        </w:tc>
      </w:tr>
      <w:tr w:rsidR="00DE580E" w:rsidRPr="002239B4" w:rsidTr="00DB5BC0">
        <w:tc>
          <w:tcPr>
            <w:tcW w:w="1990" w:type="dxa"/>
            <w:vAlign w:val="center"/>
          </w:tcPr>
          <w:p w:rsidR="00DE580E" w:rsidRPr="002239B4" w:rsidRDefault="00DE580E" w:rsidP="00DB5BC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Neuropathy*</w:t>
            </w:r>
          </w:p>
        </w:tc>
        <w:tc>
          <w:tcPr>
            <w:tcW w:w="1473" w:type="dxa"/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58 (F)</w:t>
            </w:r>
          </w:p>
        </w:tc>
        <w:tc>
          <w:tcPr>
            <w:tcW w:w="1473" w:type="dxa"/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245</w:t>
            </w:r>
          </w:p>
        </w:tc>
        <w:tc>
          <w:tcPr>
            <w:tcW w:w="1473" w:type="dxa"/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480</w:t>
            </w:r>
          </w:p>
        </w:tc>
        <w:tc>
          <w:tcPr>
            <w:tcW w:w="1473" w:type="dxa"/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74" w:type="dxa"/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N</w:t>
            </w:r>
          </w:p>
        </w:tc>
        <w:tc>
          <w:tcPr>
            <w:tcW w:w="2883" w:type="dxa"/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Related to obinutuzumab and chemotherapy</w:t>
            </w:r>
          </w:p>
        </w:tc>
        <w:tc>
          <w:tcPr>
            <w:tcW w:w="1709" w:type="dxa"/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Resolved</w:t>
            </w:r>
          </w:p>
        </w:tc>
      </w:tr>
      <w:tr w:rsidR="00DE580E" w:rsidRPr="002239B4" w:rsidTr="00DB5BC0">
        <w:tc>
          <w:tcPr>
            <w:tcW w:w="1990" w:type="dxa"/>
            <w:tcBorders>
              <w:bottom w:val="single" w:sz="4" w:space="0" w:color="auto"/>
            </w:tcBorders>
            <w:vAlign w:val="center"/>
          </w:tcPr>
          <w:p w:rsidR="00DE580E" w:rsidRPr="002239B4" w:rsidRDefault="00DE580E" w:rsidP="00DB5BC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Febrile neutropenia</w:t>
            </w:r>
          </w:p>
        </w:tc>
        <w:tc>
          <w:tcPr>
            <w:tcW w:w="1473" w:type="dxa"/>
            <w:tcBorders>
              <w:bottom w:val="single" w:sz="4" w:space="0" w:color="auto"/>
            </w:tcBorders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50 (M)</w:t>
            </w:r>
          </w:p>
        </w:tc>
        <w:tc>
          <w:tcPr>
            <w:tcW w:w="1473" w:type="dxa"/>
            <w:tcBorders>
              <w:bottom w:val="single" w:sz="4" w:space="0" w:color="auto"/>
            </w:tcBorders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99</w:t>
            </w:r>
          </w:p>
        </w:tc>
        <w:tc>
          <w:tcPr>
            <w:tcW w:w="1473" w:type="dxa"/>
            <w:tcBorders>
              <w:bottom w:val="single" w:sz="4" w:space="0" w:color="auto"/>
            </w:tcBorders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99</w:t>
            </w:r>
          </w:p>
        </w:tc>
        <w:tc>
          <w:tcPr>
            <w:tcW w:w="1473" w:type="dxa"/>
            <w:tcBorders>
              <w:bottom w:val="single" w:sz="4" w:space="0" w:color="auto"/>
            </w:tcBorders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2883" w:type="dxa"/>
            <w:tcBorders>
              <w:bottom w:val="single" w:sz="4" w:space="0" w:color="auto"/>
            </w:tcBorders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Related to obinutuzumab and chemotherapy</w:t>
            </w:r>
          </w:p>
        </w:tc>
        <w:tc>
          <w:tcPr>
            <w:tcW w:w="1709" w:type="dxa"/>
            <w:tcBorders>
              <w:bottom w:val="single" w:sz="4" w:space="0" w:color="auto"/>
            </w:tcBorders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Resolved</w:t>
            </w:r>
          </w:p>
        </w:tc>
      </w:tr>
    </w:tbl>
    <w:p w:rsidR="00DE580E" w:rsidRDefault="00DE580E" w:rsidP="00DE580E">
      <w:pPr>
        <w:spacing w:before="120" w:after="120"/>
        <w:rPr>
          <w:rFonts w:ascii="Arial" w:hAnsi="Arial" w:cs="Arial"/>
          <w:sz w:val="22"/>
          <w:szCs w:val="22"/>
          <w:lang w:val="en-US"/>
        </w:rPr>
      </w:pPr>
      <w:r w:rsidRPr="002239B4">
        <w:rPr>
          <w:rFonts w:ascii="Arial" w:hAnsi="Arial" w:cs="Arial"/>
          <w:sz w:val="22"/>
          <w:szCs w:val="22"/>
          <w:lang w:val="en-US"/>
        </w:rPr>
        <w:t>*AEs occurred in the same patient.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Pr="002239B4">
        <w:rPr>
          <w:rFonts w:ascii="Arial" w:hAnsi="Arial" w:cs="Arial"/>
          <w:sz w:val="22"/>
          <w:szCs w:val="22"/>
          <w:lang w:val="en-US"/>
        </w:rPr>
        <w:t>AE, adverse event; F, female; M, male; N, no; NA, not available; SAE, serious adverse event; Y, yes</w:t>
      </w:r>
      <w:r>
        <w:rPr>
          <w:rFonts w:ascii="Arial" w:hAnsi="Arial" w:cs="Arial"/>
          <w:sz w:val="22"/>
          <w:szCs w:val="22"/>
          <w:lang w:val="en-US"/>
        </w:rPr>
        <w:t>.</w:t>
      </w:r>
    </w:p>
    <w:p w:rsidR="00DE580E" w:rsidRDefault="00DE580E" w:rsidP="00DE580E">
      <w:pPr>
        <w:spacing w:after="160" w:line="259" w:lineRule="auto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br w:type="page"/>
      </w:r>
    </w:p>
    <w:p w:rsidR="00DE580E" w:rsidRPr="002239B4" w:rsidRDefault="00DE580E" w:rsidP="00DE580E">
      <w:pPr>
        <w:spacing w:before="120" w:after="120" w:line="360" w:lineRule="auto"/>
        <w:rPr>
          <w:rFonts w:ascii="Arial" w:hAnsi="Arial" w:cs="Arial"/>
          <w:b/>
          <w:sz w:val="22"/>
          <w:szCs w:val="22"/>
          <w:lang w:val="en-US"/>
        </w:rPr>
      </w:pPr>
      <w:r w:rsidRPr="002239B4">
        <w:rPr>
          <w:rFonts w:ascii="Arial" w:hAnsi="Arial" w:cs="Arial"/>
          <w:b/>
          <w:sz w:val="22"/>
          <w:szCs w:val="22"/>
          <w:lang w:val="en-US"/>
        </w:rPr>
        <w:lastRenderedPageBreak/>
        <w:t xml:space="preserve">Table S2. </w:t>
      </w:r>
      <w:r w:rsidRPr="00C80926">
        <w:rPr>
          <w:rFonts w:ascii="Arial" w:hAnsi="Arial" w:cs="Arial"/>
          <w:sz w:val="22"/>
          <w:szCs w:val="22"/>
          <w:lang w:val="en-US"/>
        </w:rPr>
        <w:t>Change in final response assessment*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DE580E" w:rsidRPr="002239B4" w:rsidTr="00DB5BC0">
        <w:tc>
          <w:tcPr>
            <w:tcW w:w="3487" w:type="dxa"/>
            <w:tcBorders>
              <w:bottom w:val="single" w:sz="4" w:space="0" w:color="auto"/>
            </w:tcBorders>
            <w:vAlign w:val="center"/>
          </w:tcPr>
          <w:p w:rsidR="00DE580E" w:rsidRPr="002239B4" w:rsidRDefault="00DE580E" w:rsidP="00DB5BC0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80E" w:rsidRPr="00C80926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0926">
              <w:rPr>
                <w:rFonts w:ascii="Arial" w:hAnsi="Arial" w:cs="Arial"/>
                <w:sz w:val="22"/>
                <w:szCs w:val="22"/>
              </w:rPr>
              <w:t>Age, years (gender)</w:t>
            </w:r>
          </w:p>
        </w:tc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80E" w:rsidRPr="00C80926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0926">
              <w:rPr>
                <w:rFonts w:ascii="Arial" w:hAnsi="Arial" w:cs="Arial"/>
                <w:sz w:val="22"/>
                <w:szCs w:val="22"/>
              </w:rPr>
              <w:t>Primary analysis snapshot</w:t>
            </w:r>
          </w:p>
        </w:tc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80E" w:rsidRPr="00C80926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0926">
              <w:rPr>
                <w:rFonts w:ascii="Arial" w:hAnsi="Arial" w:cs="Arial"/>
                <w:sz w:val="22"/>
                <w:szCs w:val="22"/>
              </w:rPr>
              <w:t>Updated to</w:t>
            </w:r>
          </w:p>
        </w:tc>
      </w:tr>
      <w:tr w:rsidR="00DE580E" w:rsidRPr="002239B4" w:rsidTr="00DB5BC0"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80E" w:rsidRPr="002239B4" w:rsidRDefault="00DE580E" w:rsidP="00DB5BC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Response</w:t>
            </w:r>
          </w:p>
        </w:tc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58 (M)</w:t>
            </w:r>
          </w:p>
        </w:tc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CR</w:t>
            </w:r>
          </w:p>
        </w:tc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80E" w:rsidRPr="002239B4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9B4">
              <w:rPr>
                <w:rFonts w:ascii="Arial" w:hAnsi="Arial" w:cs="Arial"/>
                <w:sz w:val="22"/>
                <w:szCs w:val="22"/>
              </w:rPr>
              <w:t>CRi</w:t>
            </w:r>
          </w:p>
        </w:tc>
      </w:tr>
    </w:tbl>
    <w:p w:rsidR="00DE580E" w:rsidRPr="002239B4" w:rsidRDefault="00DE580E" w:rsidP="00DE580E">
      <w:pPr>
        <w:spacing w:before="120" w:after="120"/>
        <w:rPr>
          <w:rFonts w:ascii="Arial" w:hAnsi="Arial" w:cs="Arial"/>
          <w:sz w:val="22"/>
          <w:szCs w:val="22"/>
          <w:lang w:val="en-US"/>
        </w:rPr>
      </w:pPr>
      <w:r w:rsidRPr="002239B4">
        <w:rPr>
          <w:rFonts w:ascii="Arial" w:hAnsi="Arial" w:cs="Arial"/>
          <w:b/>
          <w:sz w:val="22"/>
          <w:szCs w:val="22"/>
          <w:lang w:val="en-US"/>
        </w:rPr>
        <w:t>*</w:t>
      </w:r>
      <w:r w:rsidRPr="002239B4">
        <w:rPr>
          <w:rFonts w:ascii="Arial" w:hAnsi="Arial" w:cs="Arial"/>
          <w:sz w:val="22"/>
          <w:szCs w:val="22"/>
          <w:lang w:val="en-US"/>
        </w:rPr>
        <w:t>After the data analysis snapshot was taken, one response was changed from CR to CRi by a site on the database that remained open to continue collecting information until the final analysis.</w:t>
      </w:r>
    </w:p>
    <w:p w:rsidR="00DE580E" w:rsidRPr="002239B4" w:rsidRDefault="00DE580E" w:rsidP="00DE580E">
      <w:pPr>
        <w:spacing w:before="120" w:after="120"/>
        <w:rPr>
          <w:rFonts w:ascii="Arial" w:hAnsi="Arial" w:cs="Arial"/>
          <w:sz w:val="22"/>
          <w:szCs w:val="22"/>
          <w:lang w:val="en-US"/>
        </w:rPr>
      </w:pPr>
      <w:r w:rsidRPr="002239B4">
        <w:rPr>
          <w:rFonts w:ascii="Arial" w:hAnsi="Arial" w:cs="Arial"/>
          <w:sz w:val="22"/>
          <w:szCs w:val="22"/>
          <w:lang w:val="en-US"/>
        </w:rPr>
        <w:t>CR, complete response; CRi, complete response with incomplete marrow recovery; M, male</w:t>
      </w:r>
      <w:r>
        <w:rPr>
          <w:rFonts w:ascii="Arial" w:hAnsi="Arial" w:cs="Arial"/>
          <w:sz w:val="22"/>
          <w:szCs w:val="22"/>
          <w:lang w:val="en-US"/>
        </w:rPr>
        <w:t>.</w:t>
      </w:r>
    </w:p>
    <w:p w:rsidR="00DE580E" w:rsidRPr="002239B4" w:rsidRDefault="00DE580E" w:rsidP="00DE580E">
      <w:pPr>
        <w:spacing w:before="120" w:after="120"/>
        <w:rPr>
          <w:rFonts w:ascii="Arial" w:hAnsi="Arial" w:cs="Arial"/>
          <w:sz w:val="22"/>
          <w:szCs w:val="22"/>
          <w:lang w:val="en-US"/>
        </w:rPr>
      </w:pPr>
    </w:p>
    <w:p w:rsidR="00DE580E" w:rsidRPr="002239B4" w:rsidRDefault="00DE580E" w:rsidP="00DE580E">
      <w:pPr>
        <w:spacing w:before="120" w:after="120"/>
        <w:rPr>
          <w:rFonts w:ascii="Arial" w:hAnsi="Arial" w:cs="Arial"/>
          <w:sz w:val="22"/>
          <w:szCs w:val="22"/>
          <w:lang w:val="en-US"/>
        </w:rPr>
        <w:sectPr w:rsidR="00DE580E" w:rsidRPr="002239B4" w:rsidSect="00300E6E">
          <w:pgSz w:w="16838" w:h="11906" w:orient="landscape"/>
          <w:pgMar w:top="1418" w:right="1418" w:bottom="1418" w:left="1418" w:header="709" w:footer="709" w:gutter="0"/>
          <w:lnNumType w:countBy="1" w:restart="continuous"/>
          <w:cols w:space="708"/>
          <w:docGrid w:linePitch="360"/>
        </w:sectPr>
      </w:pPr>
    </w:p>
    <w:p w:rsidR="00DE580E" w:rsidRPr="00090E45" w:rsidRDefault="00DE580E" w:rsidP="00DE580E">
      <w:pPr>
        <w:spacing w:before="120" w:after="120"/>
        <w:rPr>
          <w:rFonts w:ascii="Arial" w:hAnsi="Arial" w:cs="Arial"/>
          <w:b/>
          <w:bCs/>
          <w:sz w:val="22"/>
          <w:szCs w:val="22"/>
          <w:lang w:val="en-US"/>
        </w:rPr>
      </w:pPr>
      <w:r w:rsidRPr="00090E45">
        <w:rPr>
          <w:rFonts w:ascii="Arial" w:hAnsi="Arial" w:cs="Arial"/>
          <w:b/>
          <w:bCs/>
          <w:sz w:val="22"/>
          <w:szCs w:val="22"/>
          <w:lang w:val="en-US"/>
        </w:rPr>
        <w:lastRenderedPageBreak/>
        <w:t xml:space="preserve">Table S3. </w:t>
      </w:r>
      <w:r w:rsidRPr="00C80926">
        <w:rPr>
          <w:rFonts w:ascii="Arial" w:hAnsi="Arial" w:cs="Arial"/>
          <w:bCs/>
          <w:sz w:val="22"/>
          <w:szCs w:val="22"/>
          <w:lang w:val="en-US"/>
        </w:rPr>
        <w:t>Summary of infusion-related reactions (safety population)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3820"/>
      </w:tblGrid>
      <w:tr w:rsidR="00DE580E" w:rsidRPr="00090E45" w:rsidTr="00DB5BC0"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80E" w:rsidRPr="00090E45" w:rsidRDefault="00DE580E" w:rsidP="00DB5BC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80E" w:rsidRPr="008728F3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0926">
              <w:rPr>
                <w:rFonts w:ascii="Arial" w:eastAsia="Calibri" w:hAnsi="Arial" w:cs="Arial"/>
                <w:bCs/>
                <w:i/>
                <w:color w:val="000000"/>
                <w:sz w:val="22"/>
                <w:szCs w:val="22"/>
              </w:rPr>
              <w:t>N</w:t>
            </w:r>
            <w:r w:rsidRPr="00C80926"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 xml:space="preserve"> (%) of patients reporting IRRs </w:t>
            </w:r>
            <w:r w:rsidRPr="00C80926"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br/>
              <w:t>(</w:t>
            </w:r>
            <w:r w:rsidRPr="00C80926">
              <w:rPr>
                <w:rFonts w:ascii="Arial" w:eastAsia="Calibri" w:hAnsi="Arial" w:cs="Arial"/>
                <w:bCs/>
                <w:i/>
                <w:color w:val="000000"/>
                <w:sz w:val="22"/>
                <w:szCs w:val="22"/>
              </w:rPr>
              <w:t>N</w:t>
            </w: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C80926"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=</w:t>
            </w: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C80926"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140)</w:t>
            </w:r>
          </w:p>
        </w:tc>
      </w:tr>
      <w:tr w:rsidR="00DE580E" w:rsidRPr="00090E45" w:rsidTr="00DB5BC0">
        <w:tc>
          <w:tcPr>
            <w:tcW w:w="5240" w:type="dxa"/>
            <w:tcBorders>
              <w:top w:val="single" w:sz="4" w:space="0" w:color="auto"/>
            </w:tcBorders>
          </w:tcPr>
          <w:p w:rsidR="00DE580E" w:rsidRPr="00090E45" w:rsidRDefault="00DE580E" w:rsidP="00DB5BC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Any IRR</w:t>
            </w:r>
          </w:p>
        </w:tc>
        <w:tc>
          <w:tcPr>
            <w:tcW w:w="3820" w:type="dxa"/>
            <w:tcBorders>
              <w:top w:val="single" w:sz="4" w:space="0" w:color="auto"/>
            </w:tcBorders>
          </w:tcPr>
          <w:p w:rsidR="00DE580E" w:rsidRPr="00090E45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97 (69.3)</w:t>
            </w:r>
          </w:p>
        </w:tc>
      </w:tr>
      <w:tr w:rsidR="00DE580E" w:rsidRPr="00090E45" w:rsidTr="00DB5BC0">
        <w:tc>
          <w:tcPr>
            <w:tcW w:w="5240" w:type="dxa"/>
          </w:tcPr>
          <w:p w:rsidR="00DE580E" w:rsidRPr="00090E45" w:rsidRDefault="00DE580E" w:rsidP="00DB5BC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Grade ≥3 IRRs</w:t>
            </w:r>
          </w:p>
        </w:tc>
        <w:tc>
          <w:tcPr>
            <w:tcW w:w="3820" w:type="dxa"/>
          </w:tcPr>
          <w:p w:rsidR="00DE580E" w:rsidRPr="00090E45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27 (19.3)</w:t>
            </w:r>
          </w:p>
        </w:tc>
      </w:tr>
      <w:tr w:rsidR="00DE580E" w:rsidRPr="00090E45" w:rsidTr="00DB5BC0">
        <w:tc>
          <w:tcPr>
            <w:tcW w:w="5240" w:type="dxa"/>
          </w:tcPr>
          <w:p w:rsidR="00DE580E" w:rsidRPr="00090E45" w:rsidRDefault="00DE580E" w:rsidP="00DB5BC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Serious IRRs</w:t>
            </w:r>
          </w:p>
        </w:tc>
        <w:tc>
          <w:tcPr>
            <w:tcW w:w="3820" w:type="dxa"/>
          </w:tcPr>
          <w:p w:rsidR="00DE580E" w:rsidRPr="00090E45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13 (9.3)</w:t>
            </w:r>
          </w:p>
        </w:tc>
      </w:tr>
      <w:tr w:rsidR="00DE580E" w:rsidRPr="00090E45" w:rsidTr="00DB5BC0">
        <w:tc>
          <w:tcPr>
            <w:tcW w:w="5240" w:type="dxa"/>
          </w:tcPr>
          <w:p w:rsidR="00DE580E" w:rsidRPr="00090E45" w:rsidRDefault="00DE580E" w:rsidP="00DB5BC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IRRs leading to treatment discontinuation</w:t>
            </w:r>
          </w:p>
        </w:tc>
        <w:tc>
          <w:tcPr>
            <w:tcW w:w="3820" w:type="dxa"/>
          </w:tcPr>
          <w:p w:rsidR="00DE580E" w:rsidRPr="00090E45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1 (&lt;1.0)</w:t>
            </w:r>
          </w:p>
        </w:tc>
      </w:tr>
      <w:tr w:rsidR="00DE580E" w:rsidRPr="00090E45" w:rsidTr="00DB5BC0">
        <w:tc>
          <w:tcPr>
            <w:tcW w:w="5240" w:type="dxa"/>
          </w:tcPr>
          <w:p w:rsidR="00DE580E" w:rsidRPr="00090E45" w:rsidRDefault="00DE580E" w:rsidP="00DB5BC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IRRs (reported by ≥2% patients, any grade by preferred term)</w:t>
            </w:r>
          </w:p>
        </w:tc>
        <w:tc>
          <w:tcPr>
            <w:tcW w:w="3820" w:type="dxa"/>
          </w:tcPr>
          <w:p w:rsidR="00DE580E" w:rsidRPr="00090E45" w:rsidRDefault="00DE580E" w:rsidP="00DB5BC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580E" w:rsidRPr="00090E45" w:rsidTr="00DB5BC0">
        <w:tc>
          <w:tcPr>
            <w:tcW w:w="5240" w:type="dxa"/>
          </w:tcPr>
          <w:p w:rsidR="00DE580E" w:rsidRPr="00090E45" w:rsidRDefault="00DE580E" w:rsidP="00DB5BC0">
            <w:pPr>
              <w:spacing w:before="120" w:after="120"/>
              <w:ind w:left="284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Pyrexia</w:t>
            </w:r>
          </w:p>
        </w:tc>
        <w:tc>
          <w:tcPr>
            <w:tcW w:w="3820" w:type="dxa"/>
          </w:tcPr>
          <w:p w:rsidR="00DE580E" w:rsidRPr="00090E45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27 (19.3)</w:t>
            </w:r>
          </w:p>
        </w:tc>
      </w:tr>
      <w:tr w:rsidR="00DE580E" w:rsidRPr="00090E45" w:rsidTr="00DB5BC0">
        <w:tc>
          <w:tcPr>
            <w:tcW w:w="5240" w:type="dxa"/>
          </w:tcPr>
          <w:p w:rsidR="00DE580E" w:rsidRPr="00090E45" w:rsidRDefault="00DE580E" w:rsidP="00DB5BC0">
            <w:pPr>
              <w:spacing w:before="120" w:after="120"/>
              <w:ind w:left="284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Nausea</w:t>
            </w:r>
          </w:p>
        </w:tc>
        <w:tc>
          <w:tcPr>
            <w:tcW w:w="3820" w:type="dxa"/>
          </w:tcPr>
          <w:p w:rsidR="00DE580E" w:rsidRPr="00090E45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21 (15.0)</w:t>
            </w:r>
          </w:p>
        </w:tc>
      </w:tr>
      <w:tr w:rsidR="00DE580E" w:rsidRPr="00090E45" w:rsidTr="00DB5BC0">
        <w:tc>
          <w:tcPr>
            <w:tcW w:w="5240" w:type="dxa"/>
          </w:tcPr>
          <w:p w:rsidR="00DE580E" w:rsidRPr="00090E45" w:rsidRDefault="00DE580E" w:rsidP="00DB5BC0">
            <w:pPr>
              <w:spacing w:before="120" w:after="120"/>
              <w:ind w:left="284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Chills</w:t>
            </w:r>
          </w:p>
        </w:tc>
        <w:tc>
          <w:tcPr>
            <w:tcW w:w="3820" w:type="dxa"/>
          </w:tcPr>
          <w:p w:rsidR="00DE580E" w:rsidRPr="00090E45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11 (7.9)</w:t>
            </w:r>
          </w:p>
        </w:tc>
      </w:tr>
      <w:tr w:rsidR="00DE580E" w:rsidRPr="00090E45" w:rsidTr="00DB5BC0">
        <w:tc>
          <w:tcPr>
            <w:tcW w:w="5240" w:type="dxa"/>
          </w:tcPr>
          <w:p w:rsidR="00DE580E" w:rsidRPr="00090E45" w:rsidRDefault="00DE580E" w:rsidP="00DB5BC0">
            <w:pPr>
              <w:spacing w:before="120" w:after="120"/>
              <w:ind w:left="284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Vomiting</w:t>
            </w:r>
          </w:p>
        </w:tc>
        <w:tc>
          <w:tcPr>
            <w:tcW w:w="3820" w:type="dxa"/>
          </w:tcPr>
          <w:p w:rsidR="00DE580E" w:rsidRPr="00090E45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10 (7.1)</w:t>
            </w:r>
          </w:p>
        </w:tc>
      </w:tr>
      <w:tr w:rsidR="00DE580E" w:rsidRPr="00090E45" w:rsidTr="00DB5BC0">
        <w:tc>
          <w:tcPr>
            <w:tcW w:w="5240" w:type="dxa"/>
          </w:tcPr>
          <w:p w:rsidR="00DE580E" w:rsidRPr="00090E45" w:rsidRDefault="00DE580E" w:rsidP="00DB5BC0">
            <w:pPr>
              <w:spacing w:before="120" w:after="120"/>
              <w:ind w:left="284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Dyspnea</w:t>
            </w:r>
          </w:p>
        </w:tc>
        <w:tc>
          <w:tcPr>
            <w:tcW w:w="3820" w:type="dxa"/>
          </w:tcPr>
          <w:p w:rsidR="00DE580E" w:rsidRPr="00090E45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10 (7.1)</w:t>
            </w:r>
          </w:p>
        </w:tc>
      </w:tr>
      <w:tr w:rsidR="00DE580E" w:rsidRPr="00090E45" w:rsidTr="00DB5BC0">
        <w:tc>
          <w:tcPr>
            <w:tcW w:w="5240" w:type="dxa"/>
          </w:tcPr>
          <w:p w:rsidR="00DE580E" w:rsidRPr="00090E45" w:rsidRDefault="00DE580E" w:rsidP="00DB5BC0">
            <w:pPr>
              <w:spacing w:before="120" w:after="120"/>
              <w:ind w:left="284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Rash</w:t>
            </w:r>
          </w:p>
        </w:tc>
        <w:tc>
          <w:tcPr>
            <w:tcW w:w="3820" w:type="dxa"/>
          </w:tcPr>
          <w:p w:rsidR="00DE580E" w:rsidRPr="00090E45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9 (6.4)</w:t>
            </w:r>
          </w:p>
        </w:tc>
      </w:tr>
      <w:tr w:rsidR="00DE580E" w:rsidRPr="00090E45" w:rsidTr="00DB5BC0">
        <w:tc>
          <w:tcPr>
            <w:tcW w:w="5240" w:type="dxa"/>
          </w:tcPr>
          <w:p w:rsidR="00DE580E" w:rsidRPr="00090E45" w:rsidRDefault="00DE580E" w:rsidP="00DB5BC0">
            <w:pPr>
              <w:spacing w:before="120" w:after="120"/>
              <w:ind w:left="284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Hypertension</w:t>
            </w:r>
          </w:p>
        </w:tc>
        <w:tc>
          <w:tcPr>
            <w:tcW w:w="3820" w:type="dxa"/>
          </w:tcPr>
          <w:p w:rsidR="00DE580E" w:rsidRPr="00090E45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8 (5.7)</w:t>
            </w:r>
          </w:p>
        </w:tc>
      </w:tr>
      <w:tr w:rsidR="00DE580E" w:rsidRPr="00090E45" w:rsidTr="00DB5BC0">
        <w:tc>
          <w:tcPr>
            <w:tcW w:w="5240" w:type="dxa"/>
          </w:tcPr>
          <w:p w:rsidR="00DE580E" w:rsidRPr="00090E45" w:rsidRDefault="00DE580E" w:rsidP="00DB5BC0">
            <w:pPr>
              <w:spacing w:before="120" w:after="120"/>
              <w:ind w:left="284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Hyperhidrosis</w:t>
            </w:r>
          </w:p>
        </w:tc>
        <w:tc>
          <w:tcPr>
            <w:tcW w:w="3820" w:type="dxa"/>
          </w:tcPr>
          <w:p w:rsidR="00DE580E" w:rsidRPr="00090E45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7 (5.0)</w:t>
            </w:r>
          </w:p>
        </w:tc>
      </w:tr>
      <w:tr w:rsidR="00DE580E" w:rsidRPr="00090E45" w:rsidTr="00DB5BC0">
        <w:tc>
          <w:tcPr>
            <w:tcW w:w="5240" w:type="dxa"/>
          </w:tcPr>
          <w:p w:rsidR="00DE580E" w:rsidRPr="00090E45" w:rsidRDefault="00DE580E" w:rsidP="00DB5BC0">
            <w:pPr>
              <w:spacing w:before="120" w:after="120"/>
              <w:ind w:left="284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Chest discomfort</w:t>
            </w:r>
          </w:p>
        </w:tc>
        <w:tc>
          <w:tcPr>
            <w:tcW w:w="3820" w:type="dxa"/>
          </w:tcPr>
          <w:p w:rsidR="00DE580E" w:rsidRPr="00090E45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7 (5.0)</w:t>
            </w:r>
          </w:p>
        </w:tc>
      </w:tr>
      <w:tr w:rsidR="00DE580E" w:rsidRPr="00090E45" w:rsidTr="00DB5BC0">
        <w:tc>
          <w:tcPr>
            <w:tcW w:w="5240" w:type="dxa"/>
          </w:tcPr>
          <w:p w:rsidR="00DE580E" w:rsidRPr="00090E45" w:rsidRDefault="00DE580E" w:rsidP="00DB5BC0">
            <w:pPr>
              <w:spacing w:before="120" w:after="120"/>
              <w:ind w:left="284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Hyperthermia</w:t>
            </w:r>
          </w:p>
        </w:tc>
        <w:tc>
          <w:tcPr>
            <w:tcW w:w="3820" w:type="dxa"/>
          </w:tcPr>
          <w:p w:rsidR="00DE580E" w:rsidRPr="00090E45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7 (5.0)</w:t>
            </w:r>
          </w:p>
        </w:tc>
      </w:tr>
      <w:tr w:rsidR="00DE580E" w:rsidRPr="00090E45" w:rsidTr="00DB5BC0">
        <w:tc>
          <w:tcPr>
            <w:tcW w:w="5240" w:type="dxa"/>
          </w:tcPr>
          <w:p w:rsidR="00DE580E" w:rsidRPr="00090E45" w:rsidRDefault="00DE580E" w:rsidP="00DB5BC0">
            <w:pPr>
              <w:spacing w:before="120" w:after="120"/>
              <w:ind w:left="284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Hypotension</w:t>
            </w:r>
          </w:p>
        </w:tc>
        <w:tc>
          <w:tcPr>
            <w:tcW w:w="3820" w:type="dxa"/>
          </w:tcPr>
          <w:p w:rsidR="00DE580E" w:rsidRPr="00090E45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7 (5.0)</w:t>
            </w:r>
          </w:p>
        </w:tc>
      </w:tr>
      <w:tr w:rsidR="00DE580E" w:rsidRPr="00090E45" w:rsidTr="00DB5BC0">
        <w:tc>
          <w:tcPr>
            <w:tcW w:w="5240" w:type="dxa"/>
          </w:tcPr>
          <w:p w:rsidR="00DE580E" w:rsidRPr="00090E45" w:rsidRDefault="00DE580E" w:rsidP="00DB5BC0">
            <w:pPr>
              <w:spacing w:before="120" w:after="120"/>
              <w:ind w:left="284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Headache</w:t>
            </w:r>
          </w:p>
        </w:tc>
        <w:tc>
          <w:tcPr>
            <w:tcW w:w="3820" w:type="dxa"/>
          </w:tcPr>
          <w:p w:rsidR="00DE580E" w:rsidRPr="00090E45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6 (4.3)</w:t>
            </w:r>
          </w:p>
        </w:tc>
      </w:tr>
      <w:tr w:rsidR="00DE580E" w:rsidRPr="00090E45" w:rsidTr="00DB5BC0">
        <w:tc>
          <w:tcPr>
            <w:tcW w:w="5240" w:type="dxa"/>
          </w:tcPr>
          <w:p w:rsidR="00DE580E" w:rsidRPr="00090E45" w:rsidRDefault="00DE580E" w:rsidP="00DB5BC0">
            <w:pPr>
              <w:spacing w:before="120" w:after="120"/>
              <w:ind w:left="284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Thrombocytopenia</w:t>
            </w:r>
          </w:p>
        </w:tc>
        <w:tc>
          <w:tcPr>
            <w:tcW w:w="3820" w:type="dxa"/>
          </w:tcPr>
          <w:p w:rsidR="00DE580E" w:rsidRPr="00090E45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6 (4.3)</w:t>
            </w:r>
          </w:p>
        </w:tc>
      </w:tr>
      <w:tr w:rsidR="00DE580E" w:rsidRPr="00090E45" w:rsidTr="00DB5BC0">
        <w:tc>
          <w:tcPr>
            <w:tcW w:w="5240" w:type="dxa"/>
          </w:tcPr>
          <w:p w:rsidR="00DE580E" w:rsidRPr="00090E45" w:rsidRDefault="00DE580E" w:rsidP="00DB5BC0">
            <w:pPr>
              <w:spacing w:before="120" w:after="120"/>
              <w:ind w:left="284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Alanine aminotransferase increased</w:t>
            </w:r>
          </w:p>
        </w:tc>
        <w:tc>
          <w:tcPr>
            <w:tcW w:w="3820" w:type="dxa"/>
          </w:tcPr>
          <w:p w:rsidR="00DE580E" w:rsidRPr="00090E45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5 (3.6)</w:t>
            </w:r>
          </w:p>
        </w:tc>
      </w:tr>
      <w:tr w:rsidR="00DE580E" w:rsidRPr="00090E45" w:rsidTr="00DB5BC0">
        <w:tc>
          <w:tcPr>
            <w:tcW w:w="5240" w:type="dxa"/>
          </w:tcPr>
          <w:p w:rsidR="00DE580E" w:rsidRPr="00090E45" w:rsidRDefault="00DE580E" w:rsidP="00DB5BC0">
            <w:pPr>
              <w:spacing w:before="120" w:after="120"/>
              <w:ind w:left="284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Aspartate aminotransferase increased</w:t>
            </w:r>
          </w:p>
        </w:tc>
        <w:tc>
          <w:tcPr>
            <w:tcW w:w="3820" w:type="dxa"/>
          </w:tcPr>
          <w:p w:rsidR="00DE580E" w:rsidRPr="00090E45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5 (3.6)</w:t>
            </w:r>
          </w:p>
        </w:tc>
      </w:tr>
      <w:tr w:rsidR="00DE580E" w:rsidRPr="00090E45" w:rsidTr="00DB5BC0">
        <w:tc>
          <w:tcPr>
            <w:tcW w:w="5240" w:type="dxa"/>
          </w:tcPr>
          <w:p w:rsidR="00DE580E" w:rsidRPr="00090E45" w:rsidRDefault="00DE580E" w:rsidP="00DB5BC0">
            <w:pPr>
              <w:spacing w:before="120" w:after="120"/>
              <w:ind w:left="284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Hot flush</w:t>
            </w:r>
          </w:p>
        </w:tc>
        <w:tc>
          <w:tcPr>
            <w:tcW w:w="3820" w:type="dxa"/>
          </w:tcPr>
          <w:p w:rsidR="00DE580E" w:rsidRPr="00090E45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5 (3.6)</w:t>
            </w:r>
          </w:p>
        </w:tc>
      </w:tr>
      <w:tr w:rsidR="00DE580E" w:rsidRPr="00090E45" w:rsidTr="00DB5BC0">
        <w:tc>
          <w:tcPr>
            <w:tcW w:w="5240" w:type="dxa"/>
          </w:tcPr>
          <w:p w:rsidR="00DE580E" w:rsidRPr="00090E45" w:rsidRDefault="00DE580E" w:rsidP="00DB5BC0">
            <w:pPr>
              <w:spacing w:before="120" w:after="120"/>
              <w:ind w:left="284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Cytokine release syndrome</w:t>
            </w:r>
          </w:p>
        </w:tc>
        <w:tc>
          <w:tcPr>
            <w:tcW w:w="3820" w:type="dxa"/>
          </w:tcPr>
          <w:p w:rsidR="00DE580E" w:rsidRPr="00090E45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4 (2.9)</w:t>
            </w:r>
          </w:p>
        </w:tc>
      </w:tr>
      <w:tr w:rsidR="00DE580E" w:rsidRPr="00090E45" w:rsidTr="00DB5BC0">
        <w:tc>
          <w:tcPr>
            <w:tcW w:w="5240" w:type="dxa"/>
          </w:tcPr>
          <w:p w:rsidR="00DE580E" w:rsidRPr="00090E45" w:rsidRDefault="00DE580E" w:rsidP="00DB5BC0">
            <w:pPr>
              <w:spacing w:before="120" w:after="120"/>
              <w:ind w:left="284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Tachycardia</w:t>
            </w:r>
          </w:p>
        </w:tc>
        <w:tc>
          <w:tcPr>
            <w:tcW w:w="3820" w:type="dxa"/>
          </w:tcPr>
          <w:p w:rsidR="00DE580E" w:rsidRPr="00090E45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4 (2.9)</w:t>
            </w:r>
          </w:p>
        </w:tc>
      </w:tr>
      <w:tr w:rsidR="00DE580E" w:rsidRPr="00090E45" w:rsidTr="00DB5BC0">
        <w:tc>
          <w:tcPr>
            <w:tcW w:w="5240" w:type="dxa"/>
          </w:tcPr>
          <w:p w:rsidR="00DE580E" w:rsidRPr="00090E45" w:rsidRDefault="00DE580E" w:rsidP="00DB5BC0">
            <w:pPr>
              <w:spacing w:before="120" w:after="120"/>
              <w:ind w:left="284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Asthenia</w:t>
            </w:r>
          </w:p>
        </w:tc>
        <w:tc>
          <w:tcPr>
            <w:tcW w:w="3820" w:type="dxa"/>
          </w:tcPr>
          <w:p w:rsidR="00DE580E" w:rsidRPr="00090E45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3 (2.1)</w:t>
            </w:r>
          </w:p>
        </w:tc>
      </w:tr>
      <w:tr w:rsidR="00DE580E" w:rsidRPr="00090E45" w:rsidTr="00DB5BC0">
        <w:tc>
          <w:tcPr>
            <w:tcW w:w="5240" w:type="dxa"/>
          </w:tcPr>
          <w:p w:rsidR="00DE580E" w:rsidRPr="00090E45" w:rsidRDefault="00DE580E" w:rsidP="00DB5BC0">
            <w:pPr>
              <w:spacing w:before="120" w:after="120"/>
              <w:ind w:left="284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Anemia</w:t>
            </w:r>
          </w:p>
        </w:tc>
        <w:tc>
          <w:tcPr>
            <w:tcW w:w="3820" w:type="dxa"/>
          </w:tcPr>
          <w:p w:rsidR="00DE580E" w:rsidRPr="00090E45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3 (2.1)</w:t>
            </w:r>
          </w:p>
        </w:tc>
      </w:tr>
      <w:tr w:rsidR="00DE580E" w:rsidRPr="00090E45" w:rsidTr="00DB5BC0">
        <w:tc>
          <w:tcPr>
            <w:tcW w:w="5240" w:type="dxa"/>
          </w:tcPr>
          <w:p w:rsidR="00DE580E" w:rsidRPr="00090E45" w:rsidRDefault="00DE580E" w:rsidP="00DB5BC0">
            <w:pPr>
              <w:spacing w:before="120" w:after="120"/>
              <w:ind w:left="284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lastRenderedPageBreak/>
              <w:t>Neutropenia</w:t>
            </w:r>
          </w:p>
        </w:tc>
        <w:tc>
          <w:tcPr>
            <w:tcW w:w="3820" w:type="dxa"/>
          </w:tcPr>
          <w:p w:rsidR="00DE580E" w:rsidRPr="00090E45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3 (2.1)</w:t>
            </w:r>
          </w:p>
        </w:tc>
      </w:tr>
      <w:tr w:rsidR="00DE580E" w:rsidRPr="00090E45" w:rsidTr="00DB5BC0">
        <w:tc>
          <w:tcPr>
            <w:tcW w:w="5240" w:type="dxa"/>
            <w:tcBorders>
              <w:bottom w:val="single" w:sz="4" w:space="0" w:color="auto"/>
            </w:tcBorders>
          </w:tcPr>
          <w:p w:rsidR="00DE580E" w:rsidRPr="00090E45" w:rsidRDefault="00DE580E" w:rsidP="00DB5BC0">
            <w:pPr>
              <w:spacing w:before="120" w:after="120"/>
              <w:ind w:left="284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Tumor lysis syndrome</w:t>
            </w:r>
          </w:p>
        </w:tc>
        <w:tc>
          <w:tcPr>
            <w:tcW w:w="3820" w:type="dxa"/>
            <w:tcBorders>
              <w:bottom w:val="single" w:sz="4" w:space="0" w:color="auto"/>
            </w:tcBorders>
          </w:tcPr>
          <w:p w:rsidR="00DE580E" w:rsidRPr="00090E45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3 (2.1)</w:t>
            </w:r>
          </w:p>
        </w:tc>
      </w:tr>
    </w:tbl>
    <w:p w:rsidR="00DE580E" w:rsidRPr="002239B4" w:rsidRDefault="00DE580E" w:rsidP="00DE580E">
      <w:pPr>
        <w:spacing w:before="120" w:after="120"/>
        <w:rPr>
          <w:rFonts w:ascii="Arial" w:hAnsi="Arial" w:cs="Arial"/>
          <w:sz w:val="22"/>
          <w:szCs w:val="22"/>
          <w:lang w:val="en-US"/>
        </w:rPr>
      </w:pPr>
      <w:r w:rsidRPr="00090E45">
        <w:rPr>
          <w:rFonts w:ascii="Arial" w:hAnsi="Arial" w:cs="Arial"/>
          <w:sz w:val="22"/>
          <w:szCs w:val="22"/>
          <w:lang w:val="en-US"/>
        </w:rPr>
        <w:t>IRRs, infusion-related reactions</w:t>
      </w:r>
      <w:r>
        <w:rPr>
          <w:rFonts w:ascii="Arial" w:hAnsi="Arial" w:cs="Arial"/>
          <w:sz w:val="22"/>
          <w:szCs w:val="22"/>
          <w:lang w:val="en-US"/>
        </w:rPr>
        <w:t>.</w:t>
      </w:r>
    </w:p>
    <w:p w:rsidR="00DE580E" w:rsidRPr="002239B4" w:rsidRDefault="00DE580E" w:rsidP="00DE580E">
      <w:pPr>
        <w:spacing w:before="120" w:after="120"/>
        <w:rPr>
          <w:rFonts w:ascii="Arial" w:hAnsi="Arial" w:cs="Arial"/>
          <w:sz w:val="22"/>
          <w:szCs w:val="22"/>
          <w:lang w:val="en-US"/>
        </w:rPr>
      </w:pPr>
      <w:r w:rsidRPr="002239B4">
        <w:rPr>
          <w:rFonts w:ascii="Arial" w:hAnsi="Arial" w:cs="Arial"/>
          <w:sz w:val="22"/>
          <w:szCs w:val="22"/>
          <w:lang w:val="en-US"/>
        </w:rPr>
        <w:br w:type="page"/>
      </w:r>
    </w:p>
    <w:p w:rsidR="00DE580E" w:rsidRPr="002239B4" w:rsidRDefault="00DE580E" w:rsidP="00DE580E">
      <w:pPr>
        <w:spacing w:before="120" w:after="120"/>
        <w:rPr>
          <w:rFonts w:ascii="Arial" w:hAnsi="Arial" w:cs="Arial"/>
          <w:sz w:val="22"/>
          <w:szCs w:val="22"/>
          <w:lang w:val="en-US"/>
        </w:rPr>
        <w:sectPr w:rsidR="00DE580E" w:rsidRPr="002239B4" w:rsidSect="00300E6E">
          <w:pgSz w:w="11906" w:h="16838"/>
          <w:pgMar w:top="1418" w:right="1418" w:bottom="1418" w:left="1418" w:header="709" w:footer="709" w:gutter="0"/>
          <w:lnNumType w:countBy="1" w:restart="continuous"/>
          <w:cols w:space="708"/>
          <w:docGrid w:linePitch="360"/>
        </w:sectPr>
      </w:pPr>
    </w:p>
    <w:p w:rsidR="00DE580E" w:rsidRPr="00090E45" w:rsidRDefault="00DE580E" w:rsidP="00DE580E">
      <w:pPr>
        <w:spacing w:before="120" w:after="120"/>
        <w:jc w:val="both"/>
        <w:rPr>
          <w:rFonts w:ascii="Arial" w:hAnsi="Arial" w:cs="Arial"/>
          <w:sz w:val="22"/>
          <w:szCs w:val="22"/>
          <w:lang w:val="en-US"/>
        </w:rPr>
      </w:pPr>
      <w:r w:rsidRPr="00090E45">
        <w:rPr>
          <w:rFonts w:ascii="Arial" w:hAnsi="Arial" w:cs="Arial"/>
          <w:b/>
          <w:bCs/>
          <w:sz w:val="22"/>
          <w:szCs w:val="22"/>
          <w:lang w:val="en-US"/>
        </w:rPr>
        <w:lastRenderedPageBreak/>
        <w:t xml:space="preserve">Table S4. </w:t>
      </w:r>
      <w:r w:rsidRPr="00C80926">
        <w:rPr>
          <w:rFonts w:ascii="Arial" w:hAnsi="Arial" w:cs="Arial"/>
          <w:bCs/>
          <w:sz w:val="22"/>
          <w:szCs w:val="22"/>
          <w:lang w:val="en-US"/>
        </w:rPr>
        <w:t>Listing of grade 5 (</w:t>
      </w:r>
      <w:r w:rsidRPr="00175BBE">
        <w:rPr>
          <w:rFonts w:ascii="Arial" w:hAnsi="Arial" w:cs="Arial"/>
          <w:bCs/>
          <w:sz w:val="22"/>
          <w:szCs w:val="22"/>
          <w:lang w:val="en-US"/>
        </w:rPr>
        <w:t>fatal) adverse events (safety population)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1"/>
        <w:gridCol w:w="1916"/>
        <w:gridCol w:w="2297"/>
        <w:gridCol w:w="1533"/>
        <w:gridCol w:w="1915"/>
        <w:gridCol w:w="3750"/>
      </w:tblGrid>
      <w:tr w:rsidR="00DE580E" w:rsidRPr="00090E45" w:rsidTr="00DB5BC0">
        <w:tc>
          <w:tcPr>
            <w:tcW w:w="9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80E" w:rsidRPr="00C80926" w:rsidRDefault="00DE580E" w:rsidP="00DB5BC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80926">
              <w:rPr>
                <w:rFonts w:ascii="Arial" w:hAnsi="Arial" w:cs="Arial"/>
                <w:sz w:val="22"/>
                <w:szCs w:val="22"/>
              </w:rPr>
              <w:t>AE</w:t>
            </w:r>
            <w:r w:rsidRPr="00C80926">
              <w:rPr>
                <w:rFonts w:ascii="Arial" w:hAnsi="Arial" w:cs="Arial"/>
                <w:sz w:val="22"/>
                <w:szCs w:val="22"/>
              </w:rPr>
              <w:br/>
              <w:t>(preferred term)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80E" w:rsidRPr="00C80926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0926">
              <w:rPr>
                <w:rFonts w:ascii="Arial" w:hAnsi="Arial" w:cs="Arial"/>
                <w:sz w:val="22"/>
                <w:szCs w:val="22"/>
              </w:rPr>
              <w:t>Age, years</w:t>
            </w:r>
            <w:r w:rsidRPr="00C80926">
              <w:rPr>
                <w:rFonts w:ascii="Arial" w:hAnsi="Arial" w:cs="Arial"/>
                <w:sz w:val="22"/>
                <w:szCs w:val="22"/>
              </w:rPr>
              <w:br/>
              <w:t>(gender)</w:t>
            </w:r>
          </w:p>
        </w:tc>
        <w:tc>
          <w:tcPr>
            <w:tcW w:w="8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80E" w:rsidRPr="00C80926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0926">
              <w:rPr>
                <w:rFonts w:ascii="Arial" w:hAnsi="Arial" w:cs="Arial"/>
                <w:sz w:val="22"/>
                <w:szCs w:val="22"/>
              </w:rPr>
              <w:t xml:space="preserve">Treatment period (onset of </w:t>
            </w:r>
            <w:r w:rsidRPr="00175BBE">
              <w:rPr>
                <w:rFonts w:ascii="Arial" w:hAnsi="Arial" w:cs="Arial"/>
                <w:sz w:val="22"/>
                <w:szCs w:val="22"/>
              </w:rPr>
              <w:t>event)*</w:t>
            </w:r>
          </w:p>
        </w:tc>
        <w:tc>
          <w:tcPr>
            <w:tcW w:w="5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80E" w:rsidRPr="00C80926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0926">
              <w:rPr>
                <w:rFonts w:ascii="Arial" w:hAnsi="Arial" w:cs="Arial"/>
                <w:sz w:val="22"/>
                <w:szCs w:val="22"/>
              </w:rPr>
              <w:t>AESI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80E" w:rsidRPr="00C80926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0926">
              <w:rPr>
                <w:rFonts w:ascii="Arial" w:hAnsi="Arial" w:cs="Arial"/>
                <w:sz w:val="22"/>
                <w:szCs w:val="22"/>
              </w:rPr>
              <w:t>AEPI</w:t>
            </w:r>
          </w:p>
        </w:tc>
        <w:tc>
          <w:tcPr>
            <w:tcW w:w="13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80E" w:rsidRPr="00C80926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0926">
              <w:rPr>
                <w:rFonts w:ascii="Arial" w:hAnsi="Arial" w:cs="Arial"/>
                <w:sz w:val="22"/>
                <w:szCs w:val="22"/>
              </w:rPr>
              <w:t>Relationship to obinutuzumab/</w:t>
            </w:r>
            <w:r w:rsidRPr="00C80926">
              <w:rPr>
                <w:rFonts w:ascii="Arial" w:hAnsi="Arial" w:cs="Arial"/>
                <w:sz w:val="22"/>
                <w:szCs w:val="22"/>
              </w:rPr>
              <w:br/>
              <w:t>chemotherapy</w:t>
            </w:r>
          </w:p>
        </w:tc>
      </w:tr>
      <w:tr w:rsidR="00DE580E" w:rsidRPr="00090E45" w:rsidTr="00DB5BC0">
        <w:trPr>
          <w:trHeight w:val="748"/>
        </w:trPr>
        <w:tc>
          <w:tcPr>
            <w:tcW w:w="925" w:type="pct"/>
            <w:tcBorders>
              <w:top w:val="single" w:sz="4" w:space="0" w:color="auto"/>
            </w:tcBorders>
            <w:vAlign w:val="center"/>
          </w:tcPr>
          <w:p w:rsidR="00DE580E" w:rsidRPr="00090E45" w:rsidRDefault="00DE580E" w:rsidP="00DB5BC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Unexplained death</w:t>
            </w:r>
          </w:p>
        </w:tc>
        <w:tc>
          <w:tcPr>
            <w:tcW w:w="684" w:type="pct"/>
            <w:tcBorders>
              <w:top w:val="single" w:sz="4" w:space="0" w:color="auto"/>
            </w:tcBorders>
            <w:vAlign w:val="center"/>
          </w:tcPr>
          <w:p w:rsidR="00DE580E" w:rsidRPr="00090E45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65 (M)</w:t>
            </w:r>
          </w:p>
        </w:tc>
        <w:tc>
          <w:tcPr>
            <w:tcW w:w="820" w:type="pct"/>
            <w:tcBorders>
              <w:top w:val="single" w:sz="4" w:space="0" w:color="auto"/>
            </w:tcBorders>
            <w:vAlign w:val="center"/>
          </w:tcPr>
          <w:p w:rsidR="00DE580E" w:rsidRPr="00175BBE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5BBE">
              <w:rPr>
                <w:rFonts w:ascii="Arial" w:hAnsi="Arial" w:cs="Arial"/>
                <w:sz w:val="22"/>
                <w:szCs w:val="22"/>
              </w:rPr>
              <w:t>Post (Day 146)</w:t>
            </w:r>
          </w:p>
        </w:tc>
        <w:tc>
          <w:tcPr>
            <w:tcW w:w="547" w:type="pct"/>
            <w:tcBorders>
              <w:top w:val="single" w:sz="4" w:space="0" w:color="auto"/>
            </w:tcBorders>
            <w:vAlign w:val="center"/>
          </w:tcPr>
          <w:p w:rsidR="00DE580E" w:rsidRPr="00090E45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N</w:t>
            </w:r>
          </w:p>
        </w:tc>
        <w:tc>
          <w:tcPr>
            <w:tcW w:w="684" w:type="pct"/>
            <w:tcBorders>
              <w:top w:val="single" w:sz="4" w:space="0" w:color="auto"/>
            </w:tcBorders>
            <w:vAlign w:val="center"/>
          </w:tcPr>
          <w:p w:rsidR="00DE580E" w:rsidRPr="00090E45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N</w:t>
            </w:r>
          </w:p>
        </w:tc>
        <w:tc>
          <w:tcPr>
            <w:tcW w:w="1339" w:type="pct"/>
            <w:tcBorders>
              <w:top w:val="single" w:sz="4" w:space="0" w:color="auto"/>
            </w:tcBorders>
            <w:vAlign w:val="center"/>
          </w:tcPr>
          <w:p w:rsidR="00DE580E" w:rsidRPr="00090E45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Not related</w:t>
            </w:r>
          </w:p>
        </w:tc>
      </w:tr>
      <w:tr w:rsidR="00DE580E" w:rsidRPr="00090E45" w:rsidTr="00DB5BC0">
        <w:trPr>
          <w:trHeight w:val="748"/>
        </w:trPr>
        <w:tc>
          <w:tcPr>
            <w:tcW w:w="925" w:type="pct"/>
            <w:vAlign w:val="center"/>
          </w:tcPr>
          <w:p w:rsidR="00DE580E" w:rsidRPr="00090E45" w:rsidRDefault="00DE580E" w:rsidP="00DB5BC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Sepsis</w:t>
            </w:r>
          </w:p>
        </w:tc>
        <w:tc>
          <w:tcPr>
            <w:tcW w:w="684" w:type="pct"/>
            <w:vAlign w:val="center"/>
          </w:tcPr>
          <w:p w:rsidR="00DE580E" w:rsidRPr="00090E45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74 (F)</w:t>
            </w:r>
          </w:p>
        </w:tc>
        <w:tc>
          <w:tcPr>
            <w:tcW w:w="820" w:type="pct"/>
            <w:vAlign w:val="center"/>
          </w:tcPr>
          <w:p w:rsidR="00DE580E" w:rsidRPr="00175BBE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5BBE">
              <w:rPr>
                <w:rFonts w:ascii="Arial" w:hAnsi="Arial" w:cs="Arial"/>
                <w:sz w:val="22"/>
                <w:szCs w:val="22"/>
              </w:rPr>
              <w:t>Post (Day 180)</w:t>
            </w:r>
          </w:p>
        </w:tc>
        <w:tc>
          <w:tcPr>
            <w:tcW w:w="547" w:type="pct"/>
            <w:vAlign w:val="center"/>
          </w:tcPr>
          <w:p w:rsidR="00DE580E" w:rsidRPr="00090E45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684" w:type="pct"/>
            <w:vAlign w:val="center"/>
          </w:tcPr>
          <w:p w:rsidR="00DE580E" w:rsidRPr="00090E45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N</w:t>
            </w:r>
          </w:p>
        </w:tc>
        <w:tc>
          <w:tcPr>
            <w:tcW w:w="1339" w:type="pct"/>
            <w:vAlign w:val="center"/>
          </w:tcPr>
          <w:p w:rsidR="00DE580E" w:rsidRPr="00090E45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Not related</w:t>
            </w:r>
          </w:p>
        </w:tc>
      </w:tr>
      <w:tr w:rsidR="00DE580E" w:rsidRPr="00090E45" w:rsidTr="00DB5BC0">
        <w:tc>
          <w:tcPr>
            <w:tcW w:w="925" w:type="pct"/>
            <w:vAlign w:val="center"/>
          </w:tcPr>
          <w:p w:rsidR="00DE580E" w:rsidRPr="00090E45" w:rsidRDefault="00DE580E" w:rsidP="00DB5BC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Acute fibrinous organizing p</w:t>
            </w:r>
            <w:r w:rsidRPr="00090E45">
              <w:rPr>
                <w:rFonts w:ascii="Arial" w:hAnsi="Arial" w:cs="Arial"/>
                <w:sz w:val="22"/>
                <w:szCs w:val="22"/>
              </w:rPr>
              <w:t>neumonia</w:t>
            </w:r>
          </w:p>
        </w:tc>
        <w:tc>
          <w:tcPr>
            <w:tcW w:w="684" w:type="pct"/>
            <w:vAlign w:val="center"/>
          </w:tcPr>
          <w:p w:rsidR="00DE580E" w:rsidRPr="00090E45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47 (F)</w:t>
            </w:r>
          </w:p>
        </w:tc>
        <w:tc>
          <w:tcPr>
            <w:tcW w:w="820" w:type="pct"/>
            <w:vAlign w:val="center"/>
          </w:tcPr>
          <w:p w:rsidR="00DE580E" w:rsidRPr="00175BBE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5BBE">
              <w:rPr>
                <w:rFonts w:ascii="Arial" w:hAnsi="Arial" w:cs="Arial"/>
                <w:sz w:val="22"/>
                <w:szCs w:val="22"/>
              </w:rPr>
              <w:t>During (Day 105)</w:t>
            </w:r>
          </w:p>
        </w:tc>
        <w:tc>
          <w:tcPr>
            <w:tcW w:w="547" w:type="pct"/>
            <w:vAlign w:val="center"/>
          </w:tcPr>
          <w:p w:rsidR="00DE580E" w:rsidRPr="00090E45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  <w:tc>
          <w:tcPr>
            <w:tcW w:w="684" w:type="pct"/>
            <w:vAlign w:val="center"/>
          </w:tcPr>
          <w:p w:rsidR="00DE580E" w:rsidRPr="00090E45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N</w:t>
            </w:r>
          </w:p>
        </w:tc>
        <w:tc>
          <w:tcPr>
            <w:tcW w:w="1339" w:type="pct"/>
            <w:vAlign w:val="center"/>
          </w:tcPr>
          <w:p w:rsidR="00DE580E" w:rsidRPr="00090E45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Related to obinutuzumab and chemotherapy</w:t>
            </w:r>
          </w:p>
        </w:tc>
      </w:tr>
      <w:tr w:rsidR="00DE580E" w:rsidRPr="00090E45" w:rsidTr="00DB5BC0">
        <w:trPr>
          <w:trHeight w:val="748"/>
        </w:trPr>
        <w:tc>
          <w:tcPr>
            <w:tcW w:w="925" w:type="pct"/>
            <w:tcBorders>
              <w:bottom w:val="single" w:sz="4" w:space="0" w:color="auto"/>
            </w:tcBorders>
            <w:vAlign w:val="center"/>
          </w:tcPr>
          <w:p w:rsidR="00DE580E" w:rsidRPr="00090E45" w:rsidRDefault="00DE580E" w:rsidP="00DB5BC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Acute myeloid leukemia</w:t>
            </w:r>
          </w:p>
        </w:tc>
        <w:tc>
          <w:tcPr>
            <w:tcW w:w="684" w:type="pct"/>
            <w:tcBorders>
              <w:bottom w:val="single" w:sz="4" w:space="0" w:color="auto"/>
            </w:tcBorders>
            <w:vAlign w:val="center"/>
          </w:tcPr>
          <w:p w:rsidR="00DE580E" w:rsidRPr="00090E45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64 (M)</w:t>
            </w:r>
          </w:p>
        </w:tc>
        <w:tc>
          <w:tcPr>
            <w:tcW w:w="820" w:type="pct"/>
            <w:tcBorders>
              <w:bottom w:val="single" w:sz="4" w:space="0" w:color="auto"/>
            </w:tcBorders>
            <w:vAlign w:val="center"/>
          </w:tcPr>
          <w:p w:rsidR="00DE580E" w:rsidRPr="00175BBE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5BBE">
              <w:rPr>
                <w:rFonts w:ascii="Arial" w:hAnsi="Arial" w:cs="Arial"/>
                <w:sz w:val="22"/>
                <w:szCs w:val="22"/>
              </w:rPr>
              <w:t>Post (Day 903)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:rsidR="00DE580E" w:rsidRPr="00090E45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N</w:t>
            </w:r>
          </w:p>
        </w:tc>
        <w:tc>
          <w:tcPr>
            <w:tcW w:w="684" w:type="pct"/>
            <w:tcBorders>
              <w:bottom w:val="single" w:sz="4" w:space="0" w:color="auto"/>
            </w:tcBorders>
            <w:vAlign w:val="center"/>
          </w:tcPr>
          <w:p w:rsidR="00DE580E" w:rsidRPr="00090E45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1339" w:type="pct"/>
            <w:tcBorders>
              <w:bottom w:val="single" w:sz="4" w:space="0" w:color="auto"/>
            </w:tcBorders>
            <w:vAlign w:val="center"/>
          </w:tcPr>
          <w:p w:rsidR="00DE580E" w:rsidRPr="00090E45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E45">
              <w:rPr>
                <w:rFonts w:ascii="Arial" w:hAnsi="Arial" w:cs="Arial"/>
                <w:sz w:val="22"/>
                <w:szCs w:val="22"/>
              </w:rPr>
              <w:t>Not related</w:t>
            </w:r>
          </w:p>
        </w:tc>
      </w:tr>
    </w:tbl>
    <w:p w:rsidR="00DE580E" w:rsidRPr="00090E45" w:rsidRDefault="00DE580E" w:rsidP="00DE580E">
      <w:pPr>
        <w:spacing w:before="120" w:after="120"/>
        <w:jc w:val="both"/>
        <w:rPr>
          <w:rFonts w:ascii="Arial" w:hAnsi="Arial" w:cs="Arial"/>
          <w:sz w:val="22"/>
          <w:szCs w:val="22"/>
          <w:lang w:val="en-US"/>
        </w:rPr>
      </w:pPr>
      <w:r w:rsidRPr="00090E45">
        <w:rPr>
          <w:rFonts w:ascii="Arial" w:hAnsi="Arial" w:cs="Arial"/>
          <w:b/>
          <w:bCs/>
          <w:sz w:val="22"/>
          <w:szCs w:val="22"/>
          <w:lang w:val="en-US"/>
        </w:rPr>
        <w:t>*</w:t>
      </w:r>
      <w:r w:rsidRPr="00090E45">
        <w:rPr>
          <w:rFonts w:ascii="Arial" w:hAnsi="Arial" w:cs="Arial"/>
          <w:sz w:val="22"/>
          <w:szCs w:val="22"/>
          <w:lang w:val="en-US"/>
        </w:rPr>
        <w:t>Post = post treatment period; during = during treatment period.</w:t>
      </w:r>
    </w:p>
    <w:p w:rsidR="00DE580E" w:rsidRPr="00090E45" w:rsidRDefault="00DE580E" w:rsidP="00DE580E">
      <w:pPr>
        <w:spacing w:before="120" w:after="120"/>
        <w:jc w:val="both"/>
        <w:rPr>
          <w:rFonts w:ascii="Arial" w:hAnsi="Arial" w:cs="Arial"/>
          <w:sz w:val="22"/>
          <w:szCs w:val="22"/>
          <w:lang w:val="en-US"/>
        </w:rPr>
      </w:pPr>
      <w:r w:rsidRPr="00090E45">
        <w:rPr>
          <w:rFonts w:ascii="Arial" w:hAnsi="Arial" w:cs="Arial"/>
          <w:sz w:val="22"/>
          <w:szCs w:val="22"/>
          <w:lang w:val="en-US"/>
        </w:rPr>
        <w:t>AE, adverse event; AEPI, adverse events of particular interest; AESI, adverse event of special interest</w:t>
      </w:r>
      <w:r>
        <w:rPr>
          <w:rFonts w:ascii="Arial" w:hAnsi="Arial" w:cs="Arial"/>
          <w:sz w:val="22"/>
          <w:szCs w:val="22"/>
          <w:lang w:val="en-US"/>
        </w:rPr>
        <w:t>; F, female; M, male; N, no; Y, yes.</w:t>
      </w:r>
    </w:p>
    <w:p w:rsidR="00DE580E" w:rsidRPr="00090E45" w:rsidRDefault="00DE580E" w:rsidP="00DE580E">
      <w:pPr>
        <w:rPr>
          <w:rFonts w:ascii="Arial" w:hAnsi="Arial" w:cs="Arial"/>
          <w:sz w:val="22"/>
          <w:szCs w:val="22"/>
          <w:lang w:val="en-US"/>
        </w:rPr>
        <w:sectPr w:rsidR="00DE580E" w:rsidRPr="00090E45" w:rsidSect="00300E6E">
          <w:pgSz w:w="16838" w:h="11906" w:orient="landscape"/>
          <w:pgMar w:top="1418" w:right="1418" w:bottom="1418" w:left="1418" w:header="709" w:footer="709" w:gutter="0"/>
          <w:lnNumType w:countBy="1" w:restart="continuous"/>
          <w:cols w:space="708"/>
          <w:docGrid w:linePitch="360"/>
        </w:sectPr>
      </w:pPr>
    </w:p>
    <w:p w:rsidR="00DE580E" w:rsidRPr="00B32B8F" w:rsidRDefault="00DE580E" w:rsidP="00DE580E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4"/>
          <w:lang w:val="en-US"/>
        </w:rPr>
      </w:pPr>
      <w:r w:rsidRPr="00B32B8F">
        <w:rPr>
          <w:rFonts w:ascii="Arial" w:hAnsi="Arial" w:cs="Arial"/>
          <w:b/>
          <w:bCs/>
          <w:sz w:val="22"/>
          <w:szCs w:val="24"/>
          <w:lang w:val="en-US"/>
        </w:rPr>
        <w:lastRenderedPageBreak/>
        <w:t xml:space="preserve">Table S5. </w:t>
      </w:r>
      <w:r w:rsidRPr="00B32B8F">
        <w:rPr>
          <w:rFonts w:ascii="Arial" w:hAnsi="Arial" w:cs="Arial"/>
          <w:bCs/>
          <w:sz w:val="22"/>
          <w:szCs w:val="24"/>
          <w:lang w:val="en-US"/>
        </w:rPr>
        <w:t>Minimal residual disease response in peripheral blood and bone marrow according to IGHV mutation status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3918"/>
      </w:tblGrid>
      <w:tr w:rsidR="00DE580E" w:rsidRPr="00B32B8F" w:rsidTr="00DB5BC0"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:rsidR="00DE580E" w:rsidRPr="00B32B8F" w:rsidRDefault="00DE580E" w:rsidP="00DB5BC0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B32B8F">
              <w:rPr>
                <w:rFonts w:ascii="Arial" w:hAnsi="Arial" w:cs="Arial"/>
                <w:bCs/>
                <w:sz w:val="22"/>
                <w:szCs w:val="22"/>
              </w:rPr>
              <w:t>n/N (%)</w:t>
            </w:r>
          </w:p>
        </w:tc>
        <w:tc>
          <w:tcPr>
            <w:tcW w:w="3918" w:type="dxa"/>
            <w:tcBorders>
              <w:top w:val="single" w:sz="4" w:space="0" w:color="auto"/>
              <w:bottom w:val="single" w:sz="4" w:space="0" w:color="auto"/>
            </w:tcBorders>
          </w:tcPr>
          <w:p w:rsidR="00DE580E" w:rsidRPr="00B32B8F" w:rsidRDefault="00DE580E" w:rsidP="00DB5BC0">
            <w:pPr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32B8F">
              <w:rPr>
                <w:rFonts w:ascii="Arial" w:hAnsi="Arial" w:cs="Arial"/>
                <w:bCs/>
                <w:sz w:val="22"/>
                <w:szCs w:val="22"/>
              </w:rPr>
              <w:t>All patients (</w:t>
            </w:r>
            <w:r w:rsidRPr="00B32B8F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N </w:t>
            </w:r>
            <w:r w:rsidRPr="00B32B8F">
              <w:rPr>
                <w:rFonts w:ascii="Arial" w:hAnsi="Arial" w:cs="Arial"/>
                <w:bCs/>
                <w:sz w:val="22"/>
                <w:szCs w:val="22"/>
              </w:rPr>
              <w:t>= 140)</w:t>
            </w:r>
          </w:p>
        </w:tc>
      </w:tr>
      <w:tr w:rsidR="00DE580E" w:rsidRPr="00B32B8F" w:rsidTr="00DB5BC0">
        <w:tc>
          <w:tcPr>
            <w:tcW w:w="9016" w:type="dxa"/>
            <w:gridSpan w:val="2"/>
            <w:tcBorders>
              <w:top w:val="single" w:sz="4" w:space="0" w:color="auto"/>
            </w:tcBorders>
          </w:tcPr>
          <w:p w:rsidR="00DE580E" w:rsidRPr="00B32B8F" w:rsidRDefault="00DE580E" w:rsidP="00DB5BC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32B8F">
              <w:rPr>
                <w:rFonts w:ascii="Arial" w:hAnsi="Arial" w:cs="Arial"/>
                <w:b/>
                <w:bCs/>
                <w:sz w:val="22"/>
                <w:szCs w:val="22"/>
              </w:rPr>
              <w:t>Peripheral blood</w:t>
            </w:r>
          </w:p>
        </w:tc>
      </w:tr>
      <w:tr w:rsidR="00DE580E" w:rsidRPr="00B32B8F" w:rsidTr="00DB5BC0">
        <w:tc>
          <w:tcPr>
            <w:tcW w:w="5098" w:type="dxa"/>
          </w:tcPr>
          <w:p w:rsidR="00DE580E" w:rsidRPr="00B32B8F" w:rsidRDefault="00DE580E" w:rsidP="00DB5BC0">
            <w:pPr>
              <w:spacing w:before="120" w:after="120"/>
              <w:ind w:left="284"/>
              <w:rPr>
                <w:rFonts w:ascii="Arial" w:hAnsi="Arial" w:cs="Arial"/>
                <w:sz w:val="22"/>
                <w:szCs w:val="22"/>
              </w:rPr>
            </w:pPr>
            <w:r w:rsidRPr="00B32B8F">
              <w:rPr>
                <w:rFonts w:ascii="Arial" w:hAnsi="Arial" w:cs="Arial"/>
                <w:sz w:val="22"/>
                <w:szCs w:val="22"/>
              </w:rPr>
              <w:t>IGHV mutated</w:t>
            </w:r>
          </w:p>
        </w:tc>
        <w:tc>
          <w:tcPr>
            <w:tcW w:w="3918" w:type="dxa"/>
          </w:tcPr>
          <w:p w:rsidR="00DE580E" w:rsidRPr="00B32B8F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B8F">
              <w:rPr>
                <w:rFonts w:ascii="Arial" w:hAnsi="Arial" w:cs="Arial"/>
                <w:i/>
                <w:sz w:val="22"/>
                <w:szCs w:val="22"/>
              </w:rPr>
              <w:t>N</w:t>
            </w:r>
            <w:r w:rsidRPr="00B32B8F">
              <w:rPr>
                <w:rFonts w:ascii="Arial" w:hAnsi="Arial" w:cs="Arial"/>
                <w:sz w:val="22"/>
                <w:szCs w:val="22"/>
              </w:rPr>
              <w:t xml:space="preserve"> = 37</w:t>
            </w:r>
          </w:p>
        </w:tc>
      </w:tr>
      <w:tr w:rsidR="00DE580E" w:rsidRPr="00B32B8F" w:rsidTr="00DB5BC0">
        <w:tc>
          <w:tcPr>
            <w:tcW w:w="5098" w:type="dxa"/>
          </w:tcPr>
          <w:p w:rsidR="00DE580E" w:rsidRPr="00B32B8F" w:rsidRDefault="00DE580E" w:rsidP="00DB5BC0">
            <w:pPr>
              <w:spacing w:before="120" w:after="120"/>
              <w:ind w:left="567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32B8F">
              <w:rPr>
                <w:rFonts w:ascii="Arial" w:hAnsi="Arial" w:cs="Arial"/>
                <w:i/>
                <w:iCs/>
                <w:sz w:val="22"/>
                <w:szCs w:val="22"/>
              </w:rPr>
              <w:t>Number of patients included in analysis</w:t>
            </w:r>
          </w:p>
        </w:tc>
        <w:tc>
          <w:tcPr>
            <w:tcW w:w="3918" w:type="dxa"/>
          </w:tcPr>
          <w:p w:rsidR="00DE580E" w:rsidRPr="00B32B8F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B8F">
              <w:rPr>
                <w:rFonts w:ascii="Arial" w:hAnsi="Arial" w:cs="Arial"/>
                <w:sz w:val="22"/>
                <w:szCs w:val="22"/>
              </w:rPr>
              <w:t>29</w:t>
            </w:r>
          </w:p>
        </w:tc>
      </w:tr>
      <w:tr w:rsidR="00DE580E" w:rsidRPr="00B32B8F" w:rsidTr="00DB5BC0">
        <w:tc>
          <w:tcPr>
            <w:tcW w:w="5098" w:type="dxa"/>
          </w:tcPr>
          <w:p w:rsidR="00DE580E" w:rsidRPr="00B32B8F" w:rsidRDefault="00DE580E" w:rsidP="00DB5BC0">
            <w:pPr>
              <w:spacing w:before="120" w:after="120"/>
              <w:ind w:left="851"/>
              <w:rPr>
                <w:rFonts w:ascii="Arial" w:hAnsi="Arial" w:cs="Arial"/>
                <w:sz w:val="22"/>
                <w:szCs w:val="22"/>
              </w:rPr>
            </w:pPr>
            <w:r w:rsidRPr="00B32B8F">
              <w:rPr>
                <w:rFonts w:ascii="Arial" w:hAnsi="Arial" w:cs="Arial"/>
                <w:sz w:val="22"/>
                <w:szCs w:val="22"/>
              </w:rPr>
              <w:t>MRD negative</w:t>
            </w:r>
          </w:p>
        </w:tc>
        <w:tc>
          <w:tcPr>
            <w:tcW w:w="3918" w:type="dxa"/>
          </w:tcPr>
          <w:p w:rsidR="00DE580E" w:rsidRPr="00B32B8F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B8F">
              <w:rPr>
                <w:rFonts w:ascii="Arial" w:hAnsi="Arial" w:cs="Arial"/>
                <w:sz w:val="22"/>
                <w:szCs w:val="22"/>
              </w:rPr>
              <w:t>28/29 (96.6)</w:t>
            </w:r>
          </w:p>
        </w:tc>
      </w:tr>
      <w:tr w:rsidR="00DE580E" w:rsidRPr="00B32B8F" w:rsidTr="00DB5BC0">
        <w:tc>
          <w:tcPr>
            <w:tcW w:w="5098" w:type="dxa"/>
          </w:tcPr>
          <w:p w:rsidR="00DE580E" w:rsidRPr="00B32B8F" w:rsidRDefault="00DE580E" w:rsidP="00DB5BC0">
            <w:pPr>
              <w:spacing w:before="120" w:after="120"/>
              <w:ind w:left="851"/>
              <w:rPr>
                <w:rFonts w:ascii="Arial" w:hAnsi="Arial" w:cs="Arial"/>
                <w:sz w:val="22"/>
                <w:szCs w:val="22"/>
              </w:rPr>
            </w:pPr>
            <w:r w:rsidRPr="00B32B8F">
              <w:rPr>
                <w:rFonts w:ascii="Arial" w:hAnsi="Arial" w:cs="Arial"/>
                <w:sz w:val="22"/>
                <w:szCs w:val="22"/>
              </w:rPr>
              <w:t>MRD positive</w:t>
            </w:r>
          </w:p>
        </w:tc>
        <w:tc>
          <w:tcPr>
            <w:tcW w:w="3918" w:type="dxa"/>
          </w:tcPr>
          <w:p w:rsidR="00DE580E" w:rsidRPr="00B32B8F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B8F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E580E" w:rsidRPr="00B32B8F" w:rsidTr="00DB5BC0">
        <w:tc>
          <w:tcPr>
            <w:tcW w:w="5098" w:type="dxa"/>
          </w:tcPr>
          <w:p w:rsidR="00DE580E" w:rsidRPr="00B32B8F" w:rsidRDefault="00DE580E" w:rsidP="00DB5BC0">
            <w:pPr>
              <w:spacing w:before="120" w:after="120"/>
              <w:ind w:left="851"/>
              <w:rPr>
                <w:rFonts w:ascii="Arial" w:hAnsi="Arial" w:cs="Arial"/>
                <w:sz w:val="22"/>
                <w:szCs w:val="22"/>
              </w:rPr>
            </w:pPr>
            <w:r w:rsidRPr="00B32B8F">
              <w:rPr>
                <w:rFonts w:ascii="Arial" w:hAnsi="Arial" w:cs="Arial"/>
                <w:sz w:val="22"/>
                <w:szCs w:val="22"/>
              </w:rPr>
              <w:t>MRD unknown</w:t>
            </w:r>
          </w:p>
        </w:tc>
        <w:tc>
          <w:tcPr>
            <w:tcW w:w="3918" w:type="dxa"/>
          </w:tcPr>
          <w:p w:rsidR="00DE580E" w:rsidRPr="00B32B8F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B8F">
              <w:rPr>
                <w:rFonts w:ascii="Arial" w:hAnsi="Arial" w:cs="Arial"/>
                <w:sz w:val="22"/>
                <w:szCs w:val="22"/>
              </w:rPr>
              <w:t>1/29 (3.4)</w:t>
            </w:r>
          </w:p>
        </w:tc>
      </w:tr>
      <w:tr w:rsidR="00DE580E" w:rsidRPr="00B32B8F" w:rsidTr="00DB5BC0">
        <w:tc>
          <w:tcPr>
            <w:tcW w:w="5098" w:type="dxa"/>
          </w:tcPr>
          <w:p w:rsidR="00DE580E" w:rsidRPr="00B32B8F" w:rsidRDefault="00DE580E" w:rsidP="00DB5BC0">
            <w:pPr>
              <w:spacing w:before="120" w:after="120"/>
              <w:ind w:left="284"/>
              <w:rPr>
                <w:rFonts w:ascii="Arial" w:hAnsi="Arial" w:cs="Arial"/>
                <w:sz w:val="22"/>
                <w:szCs w:val="22"/>
              </w:rPr>
            </w:pPr>
            <w:r w:rsidRPr="00B32B8F">
              <w:rPr>
                <w:rFonts w:ascii="Arial" w:hAnsi="Arial" w:cs="Arial"/>
                <w:sz w:val="22"/>
                <w:szCs w:val="22"/>
              </w:rPr>
              <w:t>IGHV unmutated</w:t>
            </w:r>
          </w:p>
        </w:tc>
        <w:tc>
          <w:tcPr>
            <w:tcW w:w="3918" w:type="dxa"/>
          </w:tcPr>
          <w:p w:rsidR="00DE580E" w:rsidRPr="00B32B8F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B8F">
              <w:rPr>
                <w:rFonts w:ascii="Arial" w:hAnsi="Arial" w:cs="Arial"/>
                <w:i/>
                <w:sz w:val="22"/>
                <w:szCs w:val="22"/>
              </w:rPr>
              <w:t>N</w:t>
            </w:r>
            <w:r w:rsidRPr="00B32B8F">
              <w:rPr>
                <w:rFonts w:ascii="Arial" w:hAnsi="Arial" w:cs="Arial"/>
                <w:sz w:val="22"/>
                <w:szCs w:val="22"/>
              </w:rPr>
              <w:t xml:space="preserve"> = 77</w:t>
            </w:r>
          </w:p>
        </w:tc>
      </w:tr>
      <w:tr w:rsidR="00DE580E" w:rsidRPr="00B32B8F" w:rsidTr="00DB5BC0">
        <w:tc>
          <w:tcPr>
            <w:tcW w:w="5098" w:type="dxa"/>
          </w:tcPr>
          <w:p w:rsidR="00DE580E" w:rsidRPr="00B32B8F" w:rsidRDefault="00DE580E" w:rsidP="00DB5BC0">
            <w:pPr>
              <w:spacing w:before="120" w:after="120"/>
              <w:ind w:left="567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32B8F">
              <w:rPr>
                <w:rFonts w:ascii="Arial" w:hAnsi="Arial" w:cs="Arial"/>
                <w:i/>
                <w:iCs/>
                <w:sz w:val="22"/>
                <w:szCs w:val="22"/>
              </w:rPr>
              <w:t>Number of patients included in analysis</w:t>
            </w:r>
          </w:p>
        </w:tc>
        <w:tc>
          <w:tcPr>
            <w:tcW w:w="3918" w:type="dxa"/>
          </w:tcPr>
          <w:p w:rsidR="00DE580E" w:rsidRPr="00B32B8F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B8F">
              <w:rPr>
                <w:rFonts w:ascii="Arial" w:hAnsi="Arial" w:cs="Arial"/>
                <w:sz w:val="22"/>
                <w:szCs w:val="22"/>
              </w:rPr>
              <w:t>59</w:t>
            </w:r>
          </w:p>
        </w:tc>
      </w:tr>
      <w:tr w:rsidR="00DE580E" w:rsidRPr="00B32B8F" w:rsidTr="00DB5BC0">
        <w:tc>
          <w:tcPr>
            <w:tcW w:w="5098" w:type="dxa"/>
          </w:tcPr>
          <w:p w:rsidR="00DE580E" w:rsidRPr="00B32B8F" w:rsidRDefault="00DE580E" w:rsidP="00DB5BC0">
            <w:pPr>
              <w:spacing w:before="120" w:after="120"/>
              <w:ind w:left="851"/>
              <w:rPr>
                <w:rFonts w:ascii="Arial" w:hAnsi="Arial" w:cs="Arial"/>
                <w:sz w:val="22"/>
                <w:szCs w:val="22"/>
              </w:rPr>
            </w:pPr>
            <w:r w:rsidRPr="00B32B8F">
              <w:rPr>
                <w:rFonts w:ascii="Arial" w:hAnsi="Arial" w:cs="Arial"/>
                <w:sz w:val="22"/>
                <w:szCs w:val="22"/>
              </w:rPr>
              <w:t>MRD negative</w:t>
            </w:r>
          </w:p>
        </w:tc>
        <w:tc>
          <w:tcPr>
            <w:tcW w:w="3918" w:type="dxa"/>
          </w:tcPr>
          <w:p w:rsidR="00DE580E" w:rsidRPr="00B32B8F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B8F">
              <w:rPr>
                <w:rFonts w:ascii="Arial" w:hAnsi="Arial" w:cs="Arial"/>
                <w:sz w:val="22"/>
                <w:szCs w:val="22"/>
              </w:rPr>
              <w:t>54/59 (91.5)</w:t>
            </w:r>
          </w:p>
        </w:tc>
      </w:tr>
      <w:tr w:rsidR="00DE580E" w:rsidRPr="00B32B8F" w:rsidTr="00DB5BC0">
        <w:tc>
          <w:tcPr>
            <w:tcW w:w="5098" w:type="dxa"/>
          </w:tcPr>
          <w:p w:rsidR="00DE580E" w:rsidRPr="00B32B8F" w:rsidRDefault="00DE580E" w:rsidP="00DB5BC0">
            <w:pPr>
              <w:spacing w:before="120" w:after="120"/>
              <w:ind w:left="851"/>
              <w:rPr>
                <w:rFonts w:ascii="Arial" w:hAnsi="Arial" w:cs="Arial"/>
                <w:sz w:val="22"/>
                <w:szCs w:val="22"/>
              </w:rPr>
            </w:pPr>
            <w:r w:rsidRPr="00B32B8F">
              <w:rPr>
                <w:rFonts w:ascii="Arial" w:hAnsi="Arial" w:cs="Arial"/>
                <w:sz w:val="22"/>
                <w:szCs w:val="22"/>
              </w:rPr>
              <w:t>MRD positive</w:t>
            </w:r>
          </w:p>
        </w:tc>
        <w:tc>
          <w:tcPr>
            <w:tcW w:w="3918" w:type="dxa"/>
          </w:tcPr>
          <w:p w:rsidR="00DE580E" w:rsidRPr="00B32B8F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B8F">
              <w:rPr>
                <w:rFonts w:ascii="Arial" w:hAnsi="Arial" w:cs="Arial"/>
                <w:sz w:val="22"/>
                <w:szCs w:val="22"/>
              </w:rPr>
              <w:t>5/59 (8.5)</w:t>
            </w:r>
          </w:p>
        </w:tc>
      </w:tr>
      <w:tr w:rsidR="00DE580E" w:rsidRPr="00B32B8F" w:rsidTr="00DB5BC0">
        <w:tc>
          <w:tcPr>
            <w:tcW w:w="9016" w:type="dxa"/>
            <w:gridSpan w:val="2"/>
          </w:tcPr>
          <w:p w:rsidR="00DE580E" w:rsidRPr="00B32B8F" w:rsidRDefault="00DE580E" w:rsidP="00DB5BC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32B8F">
              <w:rPr>
                <w:rFonts w:ascii="Arial" w:hAnsi="Arial" w:cs="Arial"/>
                <w:b/>
                <w:bCs/>
                <w:sz w:val="22"/>
                <w:szCs w:val="22"/>
              </w:rPr>
              <w:t>Bone marrow</w:t>
            </w:r>
          </w:p>
        </w:tc>
      </w:tr>
      <w:tr w:rsidR="00DE580E" w:rsidRPr="00B32B8F" w:rsidTr="00DB5BC0">
        <w:tc>
          <w:tcPr>
            <w:tcW w:w="5098" w:type="dxa"/>
          </w:tcPr>
          <w:p w:rsidR="00DE580E" w:rsidRPr="00B32B8F" w:rsidRDefault="00DE580E" w:rsidP="00DB5BC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32B8F">
              <w:rPr>
                <w:rFonts w:ascii="Arial" w:hAnsi="Arial" w:cs="Arial"/>
                <w:sz w:val="22"/>
                <w:szCs w:val="22"/>
              </w:rPr>
              <w:t>IGHV mutated</w:t>
            </w:r>
          </w:p>
        </w:tc>
        <w:tc>
          <w:tcPr>
            <w:tcW w:w="3918" w:type="dxa"/>
          </w:tcPr>
          <w:p w:rsidR="00DE580E" w:rsidRPr="00B32B8F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B8F">
              <w:rPr>
                <w:rFonts w:ascii="Arial" w:hAnsi="Arial" w:cs="Arial"/>
                <w:i/>
                <w:sz w:val="22"/>
                <w:szCs w:val="22"/>
              </w:rPr>
              <w:t>N</w:t>
            </w:r>
            <w:r w:rsidRPr="00B32B8F">
              <w:rPr>
                <w:rFonts w:ascii="Arial" w:hAnsi="Arial" w:cs="Arial"/>
                <w:sz w:val="22"/>
                <w:szCs w:val="22"/>
              </w:rPr>
              <w:t xml:space="preserve"> = 37</w:t>
            </w:r>
          </w:p>
        </w:tc>
      </w:tr>
      <w:tr w:rsidR="00DE580E" w:rsidRPr="00B32B8F" w:rsidTr="00DB5BC0">
        <w:tc>
          <w:tcPr>
            <w:tcW w:w="5098" w:type="dxa"/>
          </w:tcPr>
          <w:p w:rsidR="00DE580E" w:rsidRPr="00B32B8F" w:rsidRDefault="00DE580E" w:rsidP="00DB5BC0">
            <w:pPr>
              <w:spacing w:before="120" w:after="120"/>
              <w:ind w:left="567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32B8F">
              <w:rPr>
                <w:rFonts w:ascii="Arial" w:hAnsi="Arial" w:cs="Arial"/>
                <w:i/>
                <w:iCs/>
                <w:sz w:val="22"/>
                <w:szCs w:val="22"/>
              </w:rPr>
              <w:t>Number of patients included in analysis</w:t>
            </w:r>
          </w:p>
        </w:tc>
        <w:tc>
          <w:tcPr>
            <w:tcW w:w="3918" w:type="dxa"/>
          </w:tcPr>
          <w:p w:rsidR="00DE580E" w:rsidRPr="00B32B8F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B8F">
              <w:rPr>
                <w:rFonts w:ascii="Arial" w:hAnsi="Arial" w:cs="Arial"/>
                <w:sz w:val="22"/>
                <w:szCs w:val="22"/>
              </w:rPr>
              <w:t>21</w:t>
            </w:r>
          </w:p>
        </w:tc>
      </w:tr>
      <w:tr w:rsidR="00DE580E" w:rsidRPr="00B32B8F" w:rsidTr="00DB5BC0">
        <w:tc>
          <w:tcPr>
            <w:tcW w:w="5098" w:type="dxa"/>
          </w:tcPr>
          <w:p w:rsidR="00DE580E" w:rsidRPr="00B32B8F" w:rsidRDefault="00DE580E" w:rsidP="00DB5BC0">
            <w:pPr>
              <w:spacing w:before="120" w:after="120"/>
              <w:ind w:left="851"/>
              <w:rPr>
                <w:rFonts w:ascii="Arial" w:hAnsi="Arial" w:cs="Arial"/>
                <w:sz w:val="22"/>
                <w:szCs w:val="22"/>
              </w:rPr>
            </w:pPr>
            <w:r w:rsidRPr="00B32B8F">
              <w:rPr>
                <w:rFonts w:ascii="Arial" w:hAnsi="Arial" w:cs="Arial"/>
                <w:sz w:val="22"/>
                <w:szCs w:val="22"/>
              </w:rPr>
              <w:t>MRD negative</w:t>
            </w:r>
          </w:p>
        </w:tc>
        <w:tc>
          <w:tcPr>
            <w:tcW w:w="3918" w:type="dxa"/>
          </w:tcPr>
          <w:p w:rsidR="00DE580E" w:rsidRPr="00B32B8F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B8F">
              <w:rPr>
                <w:rFonts w:ascii="Arial" w:hAnsi="Arial" w:cs="Arial"/>
                <w:sz w:val="22"/>
                <w:szCs w:val="22"/>
              </w:rPr>
              <w:t>14/21 (66.7)</w:t>
            </w:r>
          </w:p>
        </w:tc>
      </w:tr>
      <w:tr w:rsidR="00DE580E" w:rsidRPr="00B32B8F" w:rsidTr="00DB5BC0">
        <w:tc>
          <w:tcPr>
            <w:tcW w:w="5098" w:type="dxa"/>
          </w:tcPr>
          <w:p w:rsidR="00DE580E" w:rsidRPr="00B32B8F" w:rsidRDefault="00DE580E" w:rsidP="00DB5BC0">
            <w:pPr>
              <w:spacing w:before="120" w:after="120"/>
              <w:ind w:left="851"/>
              <w:rPr>
                <w:rFonts w:ascii="Arial" w:hAnsi="Arial" w:cs="Arial"/>
                <w:sz w:val="22"/>
                <w:szCs w:val="22"/>
              </w:rPr>
            </w:pPr>
            <w:r w:rsidRPr="00B32B8F">
              <w:rPr>
                <w:rFonts w:ascii="Arial" w:hAnsi="Arial" w:cs="Arial"/>
                <w:sz w:val="22"/>
                <w:szCs w:val="22"/>
              </w:rPr>
              <w:t>MRD positive</w:t>
            </w:r>
          </w:p>
        </w:tc>
        <w:tc>
          <w:tcPr>
            <w:tcW w:w="3918" w:type="dxa"/>
          </w:tcPr>
          <w:p w:rsidR="00DE580E" w:rsidRPr="00B32B8F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B8F">
              <w:rPr>
                <w:rFonts w:ascii="Arial" w:hAnsi="Arial" w:cs="Arial"/>
                <w:sz w:val="22"/>
                <w:szCs w:val="22"/>
              </w:rPr>
              <w:t>7/21 (33.3)</w:t>
            </w:r>
          </w:p>
        </w:tc>
      </w:tr>
      <w:tr w:rsidR="00DE580E" w:rsidRPr="00B32B8F" w:rsidTr="00DB5BC0">
        <w:tc>
          <w:tcPr>
            <w:tcW w:w="5098" w:type="dxa"/>
          </w:tcPr>
          <w:p w:rsidR="00DE580E" w:rsidRPr="00B32B8F" w:rsidRDefault="00DE580E" w:rsidP="00DB5BC0">
            <w:pPr>
              <w:spacing w:before="120" w:after="120"/>
              <w:ind w:left="284"/>
              <w:rPr>
                <w:rFonts w:ascii="Arial" w:hAnsi="Arial" w:cs="Arial"/>
                <w:sz w:val="22"/>
                <w:szCs w:val="22"/>
              </w:rPr>
            </w:pPr>
            <w:r w:rsidRPr="00B32B8F">
              <w:rPr>
                <w:rFonts w:ascii="Arial" w:hAnsi="Arial" w:cs="Arial"/>
                <w:sz w:val="22"/>
                <w:szCs w:val="22"/>
              </w:rPr>
              <w:t>IGHV unmutated</w:t>
            </w:r>
          </w:p>
        </w:tc>
        <w:tc>
          <w:tcPr>
            <w:tcW w:w="3918" w:type="dxa"/>
          </w:tcPr>
          <w:p w:rsidR="00DE580E" w:rsidRPr="00B32B8F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B8F">
              <w:rPr>
                <w:rFonts w:ascii="Arial" w:hAnsi="Arial" w:cs="Arial"/>
                <w:i/>
                <w:sz w:val="22"/>
                <w:szCs w:val="22"/>
              </w:rPr>
              <w:t>N</w:t>
            </w:r>
            <w:r w:rsidRPr="00B32B8F">
              <w:rPr>
                <w:rFonts w:ascii="Arial" w:hAnsi="Arial" w:cs="Arial"/>
                <w:sz w:val="22"/>
                <w:szCs w:val="22"/>
              </w:rPr>
              <w:t xml:space="preserve"> = 77</w:t>
            </w:r>
          </w:p>
        </w:tc>
      </w:tr>
      <w:tr w:rsidR="00DE580E" w:rsidRPr="00B32B8F" w:rsidTr="00DB5BC0">
        <w:tc>
          <w:tcPr>
            <w:tcW w:w="5098" w:type="dxa"/>
          </w:tcPr>
          <w:p w:rsidR="00DE580E" w:rsidRPr="00B32B8F" w:rsidRDefault="00DE580E" w:rsidP="00DB5BC0">
            <w:pPr>
              <w:spacing w:before="120" w:after="120"/>
              <w:ind w:left="567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32B8F">
              <w:rPr>
                <w:rFonts w:ascii="Arial" w:hAnsi="Arial" w:cs="Arial"/>
                <w:i/>
                <w:iCs/>
                <w:sz w:val="22"/>
                <w:szCs w:val="22"/>
              </w:rPr>
              <w:t>Number of patients included in analysis</w:t>
            </w:r>
          </w:p>
        </w:tc>
        <w:tc>
          <w:tcPr>
            <w:tcW w:w="3918" w:type="dxa"/>
          </w:tcPr>
          <w:p w:rsidR="00DE580E" w:rsidRPr="00B32B8F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B8F">
              <w:rPr>
                <w:rFonts w:ascii="Arial" w:hAnsi="Arial" w:cs="Arial"/>
                <w:sz w:val="22"/>
                <w:szCs w:val="22"/>
              </w:rPr>
              <w:t>43</w:t>
            </w:r>
          </w:p>
        </w:tc>
      </w:tr>
      <w:tr w:rsidR="00DE580E" w:rsidRPr="00B32B8F" w:rsidTr="00DB5BC0">
        <w:tc>
          <w:tcPr>
            <w:tcW w:w="5098" w:type="dxa"/>
          </w:tcPr>
          <w:p w:rsidR="00DE580E" w:rsidRPr="00B32B8F" w:rsidRDefault="00DE580E" w:rsidP="00DB5BC0">
            <w:pPr>
              <w:spacing w:before="120" w:after="120"/>
              <w:ind w:left="851"/>
              <w:rPr>
                <w:rFonts w:ascii="Arial" w:hAnsi="Arial" w:cs="Arial"/>
                <w:sz w:val="22"/>
                <w:szCs w:val="22"/>
              </w:rPr>
            </w:pPr>
            <w:r w:rsidRPr="00B32B8F">
              <w:rPr>
                <w:rFonts w:ascii="Arial" w:hAnsi="Arial" w:cs="Arial"/>
                <w:sz w:val="22"/>
                <w:szCs w:val="22"/>
              </w:rPr>
              <w:t>MRD negative</w:t>
            </w:r>
          </w:p>
        </w:tc>
        <w:tc>
          <w:tcPr>
            <w:tcW w:w="3918" w:type="dxa"/>
          </w:tcPr>
          <w:p w:rsidR="00DE580E" w:rsidRPr="00B32B8F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B8F">
              <w:rPr>
                <w:rFonts w:ascii="Arial" w:hAnsi="Arial" w:cs="Arial"/>
                <w:sz w:val="22"/>
                <w:szCs w:val="22"/>
              </w:rPr>
              <w:t>31/43 (72.1)</w:t>
            </w:r>
          </w:p>
        </w:tc>
      </w:tr>
      <w:tr w:rsidR="00DE580E" w:rsidRPr="00B32B8F" w:rsidTr="00DB5BC0">
        <w:tc>
          <w:tcPr>
            <w:tcW w:w="5098" w:type="dxa"/>
          </w:tcPr>
          <w:p w:rsidR="00DE580E" w:rsidRPr="00B32B8F" w:rsidRDefault="00DE580E" w:rsidP="00DB5BC0">
            <w:pPr>
              <w:spacing w:before="120" w:after="120"/>
              <w:ind w:left="851"/>
              <w:rPr>
                <w:rFonts w:ascii="Arial" w:hAnsi="Arial" w:cs="Arial"/>
                <w:sz w:val="22"/>
                <w:szCs w:val="22"/>
              </w:rPr>
            </w:pPr>
            <w:r w:rsidRPr="00B32B8F">
              <w:rPr>
                <w:rFonts w:ascii="Arial" w:hAnsi="Arial" w:cs="Arial"/>
                <w:sz w:val="22"/>
                <w:szCs w:val="22"/>
              </w:rPr>
              <w:t>MRD positive</w:t>
            </w:r>
          </w:p>
        </w:tc>
        <w:tc>
          <w:tcPr>
            <w:tcW w:w="3918" w:type="dxa"/>
          </w:tcPr>
          <w:p w:rsidR="00DE580E" w:rsidRPr="00B32B8F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B8F">
              <w:rPr>
                <w:rFonts w:ascii="Arial" w:hAnsi="Arial" w:cs="Arial"/>
                <w:sz w:val="22"/>
                <w:szCs w:val="22"/>
              </w:rPr>
              <w:t>11/43 (25.6)</w:t>
            </w:r>
          </w:p>
        </w:tc>
      </w:tr>
      <w:tr w:rsidR="00DE580E" w:rsidRPr="00B32B8F" w:rsidTr="00DB5BC0">
        <w:tc>
          <w:tcPr>
            <w:tcW w:w="5098" w:type="dxa"/>
            <w:tcBorders>
              <w:bottom w:val="single" w:sz="4" w:space="0" w:color="auto"/>
            </w:tcBorders>
          </w:tcPr>
          <w:p w:rsidR="00DE580E" w:rsidRPr="00B32B8F" w:rsidRDefault="00DE580E" w:rsidP="00DB5BC0">
            <w:pPr>
              <w:spacing w:before="120" w:after="120"/>
              <w:ind w:left="851"/>
              <w:rPr>
                <w:rFonts w:ascii="Arial" w:hAnsi="Arial" w:cs="Arial"/>
                <w:sz w:val="22"/>
                <w:szCs w:val="22"/>
              </w:rPr>
            </w:pPr>
            <w:r w:rsidRPr="00B32B8F">
              <w:rPr>
                <w:rFonts w:ascii="Arial" w:hAnsi="Arial" w:cs="Arial"/>
                <w:sz w:val="22"/>
                <w:szCs w:val="22"/>
              </w:rPr>
              <w:t>MRD unknown</w:t>
            </w:r>
          </w:p>
        </w:tc>
        <w:tc>
          <w:tcPr>
            <w:tcW w:w="3918" w:type="dxa"/>
            <w:tcBorders>
              <w:bottom w:val="single" w:sz="4" w:space="0" w:color="auto"/>
            </w:tcBorders>
          </w:tcPr>
          <w:p w:rsidR="00DE580E" w:rsidRPr="00B32B8F" w:rsidRDefault="00DE580E" w:rsidP="00DB5B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B8F">
              <w:rPr>
                <w:rFonts w:ascii="Arial" w:hAnsi="Arial" w:cs="Arial"/>
                <w:sz w:val="22"/>
                <w:szCs w:val="22"/>
              </w:rPr>
              <w:t>1 (2.3)</w:t>
            </w:r>
          </w:p>
        </w:tc>
      </w:tr>
    </w:tbl>
    <w:p w:rsidR="00DE580E" w:rsidRPr="00B32B8F" w:rsidRDefault="00DE580E" w:rsidP="00DE580E">
      <w:pPr>
        <w:spacing w:before="120" w:after="120"/>
        <w:rPr>
          <w:rFonts w:ascii="Arial" w:hAnsi="Arial" w:cs="Arial"/>
          <w:sz w:val="22"/>
          <w:szCs w:val="22"/>
          <w:lang w:val="en-US"/>
        </w:rPr>
      </w:pPr>
      <w:r w:rsidRPr="00B32B8F">
        <w:rPr>
          <w:rFonts w:ascii="Arial" w:hAnsi="Arial" w:cs="Arial"/>
          <w:sz w:val="22"/>
          <w:szCs w:val="22"/>
          <w:lang w:val="en-US"/>
        </w:rPr>
        <w:t>IGHV, immunoglobulin heavy chain variable region; MRD, minimal residual disease.</w:t>
      </w:r>
    </w:p>
    <w:p w:rsidR="00DE580E" w:rsidRPr="00090E45" w:rsidRDefault="00DE580E" w:rsidP="00DE580E">
      <w:pPr>
        <w:rPr>
          <w:rFonts w:ascii="Arial" w:hAnsi="Arial" w:cs="Arial"/>
          <w:sz w:val="22"/>
          <w:szCs w:val="22"/>
          <w:lang w:val="en-US"/>
        </w:rPr>
        <w:sectPr w:rsidR="00DE580E" w:rsidRPr="00090E45" w:rsidSect="00300E6E">
          <w:pgSz w:w="11906" w:h="16838"/>
          <w:pgMar w:top="1418" w:right="1418" w:bottom="1418" w:left="1418" w:header="709" w:footer="709" w:gutter="0"/>
          <w:lnNumType w:countBy="1" w:restart="continuous"/>
          <w:cols w:space="708"/>
          <w:docGrid w:linePitch="360"/>
        </w:sectPr>
      </w:pPr>
    </w:p>
    <w:p w:rsidR="00DE580E" w:rsidRPr="00B32B8F" w:rsidRDefault="00DE580E" w:rsidP="00DE580E">
      <w:pPr>
        <w:spacing w:before="120" w:after="120" w:line="360" w:lineRule="auto"/>
        <w:jc w:val="both"/>
        <w:rPr>
          <w:rFonts w:ascii="Arial" w:hAnsi="Arial" w:cs="Arial"/>
          <w:b/>
          <w:bCs/>
          <w:color w:val="000000"/>
          <w:sz w:val="22"/>
          <w:szCs w:val="24"/>
          <w:lang w:val="en-US"/>
        </w:rPr>
      </w:pPr>
      <w:r w:rsidRPr="00B32B8F">
        <w:rPr>
          <w:rFonts w:ascii="Arial" w:eastAsia="Calibri" w:hAnsi="Arial" w:cs="Arial"/>
          <w:b/>
          <w:sz w:val="22"/>
          <w:szCs w:val="24"/>
          <w:lang w:val="en-US"/>
        </w:rPr>
        <w:lastRenderedPageBreak/>
        <w:t xml:space="preserve">Fig. S1. </w:t>
      </w:r>
      <w:r w:rsidRPr="00B32B8F">
        <w:rPr>
          <w:rFonts w:ascii="Arial" w:eastAsia="Calibri" w:hAnsi="Arial" w:cs="Arial"/>
          <w:sz w:val="22"/>
          <w:szCs w:val="24"/>
          <w:lang w:val="en-US"/>
        </w:rPr>
        <w:t xml:space="preserve">Kaplan−Meier plot of progression-free survival </w:t>
      </w:r>
      <w:r w:rsidRPr="00B32B8F">
        <w:rPr>
          <w:rFonts w:ascii="Arial" w:hAnsi="Arial" w:cs="Arial"/>
          <w:bCs/>
          <w:color w:val="000000"/>
          <w:sz w:val="22"/>
          <w:szCs w:val="24"/>
          <w:lang w:val="en-US"/>
        </w:rPr>
        <w:t>according to IGHV mutation status (ITT population)</w:t>
      </w:r>
    </w:p>
    <w:p w:rsidR="00DE580E" w:rsidRDefault="00DE580E" w:rsidP="00DE580E">
      <w:pPr>
        <w:spacing w:before="120" w:after="120"/>
        <w:jc w:val="both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4AB1C65F" wp14:editId="211401CE">
            <wp:extent cx="5759450" cy="361378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61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80E" w:rsidRPr="00B32B8F" w:rsidRDefault="00DE580E" w:rsidP="00DE580E">
      <w:pPr>
        <w:spacing w:before="120" w:after="12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t>IGHV, immunoglobulin heavy chain variable region; ITT, intent-to-treat; PFS, progression-free survival.</w:t>
      </w:r>
    </w:p>
    <w:p w:rsidR="005138F6" w:rsidRDefault="005138F6">
      <w:bookmarkStart w:id="0" w:name="_GoBack"/>
      <w:bookmarkEnd w:id="0"/>
    </w:p>
    <w:sectPr w:rsidR="005138F6" w:rsidSect="00300E6E">
      <w:pgSz w:w="11906" w:h="16838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80E"/>
    <w:rsid w:val="005138F6"/>
    <w:rsid w:val="00DE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D26729-C5E7-4F02-801C-7948F2398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580E"/>
    <w:pPr>
      <w:spacing w:after="0" w:line="240" w:lineRule="auto"/>
    </w:pPr>
    <w:rPr>
      <w:rFonts w:ascii="Century Gothic" w:eastAsia="Times New Roman" w:hAnsi="Century Gothic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58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DE5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UDG Healthcare</Company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Weston</dc:creator>
  <cp:keywords/>
  <dc:description/>
  <cp:lastModifiedBy>Matthew Weston</cp:lastModifiedBy>
  <cp:revision>1</cp:revision>
  <dcterms:created xsi:type="dcterms:W3CDTF">2019-03-28T13:31:00Z</dcterms:created>
  <dcterms:modified xsi:type="dcterms:W3CDTF">2019-03-28T13:32:00Z</dcterms:modified>
</cp:coreProperties>
</file>