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96E" w:rsidRPr="0016296E" w:rsidRDefault="0016296E" w:rsidP="0016296E">
      <w:pPr>
        <w:pStyle w:val="Textkrper"/>
        <w:jc w:val="both"/>
        <w:rPr>
          <w:rFonts w:ascii="Arial" w:hAnsi="Arial" w:cs="Arial"/>
          <w:b/>
          <w:bCs/>
          <w:sz w:val="42"/>
          <w:szCs w:val="42"/>
        </w:rPr>
      </w:pPr>
      <w:r w:rsidRPr="0016296E">
        <w:rPr>
          <w:rFonts w:ascii="Arial" w:hAnsi="Arial" w:cs="Arial"/>
          <w:b/>
          <w:bCs/>
          <w:sz w:val="42"/>
          <w:szCs w:val="42"/>
        </w:rPr>
        <w:t xml:space="preserve">Supplementary </w:t>
      </w:r>
      <w:r w:rsidRPr="0016296E">
        <w:rPr>
          <w:rFonts w:ascii="Arial" w:hAnsi="Arial" w:cs="Arial"/>
          <w:b/>
          <w:bCs/>
          <w:sz w:val="42"/>
          <w:szCs w:val="42"/>
        </w:rPr>
        <w:t>tables</w:t>
      </w:r>
    </w:p>
    <w:p w:rsidR="0016296E" w:rsidRPr="0012214F" w:rsidRDefault="0016296E" w:rsidP="0016296E">
      <w:pPr>
        <w:pStyle w:val="Textkrper"/>
        <w:jc w:val="both"/>
        <w:rPr>
          <w:rFonts w:ascii="Arial" w:hAnsi="Arial" w:cs="Arial"/>
        </w:rPr>
      </w:pPr>
      <w:r w:rsidRPr="0012214F">
        <w:rPr>
          <w:rFonts w:ascii="Arial" w:hAnsi="Arial" w:cs="Arial"/>
          <w:b/>
        </w:rPr>
        <w:t>Supplementary table 1:</w:t>
      </w:r>
      <w:r w:rsidRPr="0012214F">
        <w:rPr>
          <w:rFonts w:ascii="Arial" w:hAnsi="Arial" w:cs="Arial"/>
        </w:rPr>
        <w:t xml:space="preserve"> antibodies used in flow cytometry</w:t>
      </w:r>
    </w:p>
    <w:p w:rsidR="0016296E" w:rsidRPr="0012214F" w:rsidRDefault="0016296E" w:rsidP="0016296E">
      <w:pPr>
        <w:pStyle w:val="Textkrper"/>
        <w:jc w:val="both"/>
        <w:rPr>
          <w:rFonts w:ascii="Arial" w:hAnsi="Arial" w:cs="Arial"/>
        </w:rPr>
      </w:pPr>
      <w:r w:rsidRPr="0012214F">
        <w:rPr>
          <w:rFonts w:ascii="Arial" w:hAnsi="Arial" w:cs="Arial"/>
          <w:b/>
        </w:rPr>
        <w:t>Supplementary table 2:</w:t>
      </w:r>
      <w:r w:rsidRPr="0012214F">
        <w:rPr>
          <w:rFonts w:ascii="Arial" w:hAnsi="Arial" w:cs="Arial"/>
        </w:rPr>
        <w:t xml:space="preserve"> primary antibodies used in immunoblotting</w:t>
      </w:r>
    </w:p>
    <w:p w:rsidR="0016296E" w:rsidRPr="0016296E" w:rsidRDefault="0016296E" w:rsidP="0016296E">
      <w:pPr>
        <w:pStyle w:val="Textkrper"/>
        <w:jc w:val="both"/>
        <w:rPr>
          <w:rFonts w:ascii="Arial" w:hAnsi="Arial" w:cs="Arial"/>
          <w:b/>
          <w:bCs/>
          <w:sz w:val="42"/>
          <w:szCs w:val="42"/>
        </w:rPr>
      </w:pPr>
      <w:bookmarkStart w:id="0" w:name="_GoBack"/>
      <w:r w:rsidRPr="0016296E">
        <w:rPr>
          <w:rFonts w:ascii="Arial" w:hAnsi="Arial" w:cs="Arial"/>
          <w:b/>
          <w:bCs/>
          <w:sz w:val="42"/>
          <w:szCs w:val="42"/>
        </w:rPr>
        <w:t>Supplementary Figure Legends</w:t>
      </w:r>
    </w:p>
    <w:bookmarkEnd w:id="0"/>
    <w:p w:rsidR="0016296E" w:rsidRPr="0012214F" w:rsidRDefault="0016296E" w:rsidP="0016296E">
      <w:pPr>
        <w:pStyle w:val="Textkrper"/>
        <w:jc w:val="both"/>
        <w:rPr>
          <w:rFonts w:ascii="Arial" w:hAnsi="Arial" w:cs="Arial"/>
          <w:b/>
        </w:rPr>
      </w:pPr>
      <w:r w:rsidRPr="0012214F">
        <w:rPr>
          <w:rFonts w:ascii="Arial" w:hAnsi="Arial" w:cs="Arial"/>
          <w:b/>
        </w:rPr>
        <w:t>Supplementary Figure 1: Representative histograms of CLL patient PBMCs stained for SLAMF1 and SLAMF7</w:t>
      </w:r>
    </w:p>
    <w:p w:rsidR="0016296E" w:rsidRPr="0012214F" w:rsidRDefault="0016296E" w:rsidP="0016296E">
      <w:pPr>
        <w:pStyle w:val="Textkrper"/>
        <w:jc w:val="both"/>
        <w:rPr>
          <w:rFonts w:ascii="Arial" w:hAnsi="Arial" w:cs="Arial"/>
        </w:rPr>
      </w:pPr>
      <w:r w:rsidRPr="0012214F">
        <w:rPr>
          <w:rFonts w:ascii="Arial" w:hAnsi="Arial" w:cs="Arial"/>
          <w:b/>
        </w:rPr>
        <w:t xml:space="preserve">Supplementary Figure 2: SLAMF1 and SLAMF7 expression and survival in CLL. (A) </w:t>
      </w:r>
      <w:r w:rsidRPr="0012214F">
        <w:rPr>
          <w:rFonts w:ascii="Arial" w:hAnsi="Arial" w:cs="Arial"/>
        </w:rPr>
        <w:t>OS</w:t>
      </w:r>
      <w:r w:rsidRPr="0012214F">
        <w:rPr>
          <w:rFonts w:ascii="Arial" w:hAnsi="Arial" w:cs="Arial"/>
        </w:rPr>
        <w:noBreakHyphen/>
        <w:t>Kaplan-Meier analysis of CLL patients from the ICGC dataset expressing both (</w:t>
      </w:r>
      <w:proofErr w:type="spellStart"/>
      <w:r w:rsidRPr="0012214F">
        <w:rPr>
          <w:rFonts w:ascii="Arial" w:hAnsi="Arial" w:cs="Arial"/>
        </w:rPr>
        <w:t>SLAMF</w:t>
      </w:r>
      <w:r w:rsidRPr="0012214F">
        <w:rPr>
          <w:rFonts w:ascii="Arial" w:hAnsi="Arial" w:cs="Arial"/>
          <w:vertAlign w:val="superscript"/>
        </w:rPr>
        <w:t>double</w:t>
      </w:r>
      <w:proofErr w:type="spellEnd"/>
      <w:r w:rsidRPr="0012214F">
        <w:rPr>
          <w:rFonts w:ascii="Arial" w:hAnsi="Arial" w:cs="Arial"/>
          <w:vertAlign w:val="superscript"/>
        </w:rPr>
        <w:t>-high</w:t>
      </w:r>
      <w:r w:rsidRPr="0012214F">
        <w:rPr>
          <w:rFonts w:ascii="Arial" w:hAnsi="Arial" w:cs="Arial"/>
        </w:rPr>
        <w:t>, N=10), only one (SLAMF</w:t>
      </w:r>
      <w:r w:rsidRPr="0012214F">
        <w:rPr>
          <w:rFonts w:ascii="Arial" w:hAnsi="Arial" w:cs="Arial"/>
          <w:vertAlign w:val="superscript"/>
        </w:rPr>
        <w:t>high</w:t>
      </w:r>
      <w:r w:rsidRPr="0012214F">
        <w:rPr>
          <w:rFonts w:ascii="Arial" w:hAnsi="Arial" w:cs="Arial"/>
        </w:rPr>
        <w:t>, N=65)</w:t>
      </w:r>
      <w:r w:rsidRPr="0012214F">
        <w:rPr>
          <w:rFonts w:ascii="Arial" w:hAnsi="Arial" w:cs="Arial"/>
          <w:vertAlign w:val="superscript"/>
        </w:rPr>
        <w:t xml:space="preserve"> </w:t>
      </w:r>
      <w:r w:rsidRPr="0012214F">
        <w:rPr>
          <w:rFonts w:ascii="Arial" w:hAnsi="Arial" w:cs="Arial"/>
        </w:rPr>
        <w:t>or none (SLAMF</w:t>
      </w:r>
      <w:r w:rsidRPr="0012214F">
        <w:rPr>
          <w:rFonts w:ascii="Arial" w:hAnsi="Arial" w:cs="Arial"/>
          <w:vertAlign w:val="superscript"/>
        </w:rPr>
        <w:t>low</w:t>
      </w:r>
      <w:r w:rsidRPr="0012214F">
        <w:rPr>
          <w:rFonts w:ascii="Arial" w:hAnsi="Arial" w:cs="Arial"/>
        </w:rPr>
        <w:t xml:space="preserve">, N=229) of the SLAMF1 and SLAMF7 receptors as defined in Figure 1F. p= 0.0126. </w:t>
      </w:r>
      <w:r w:rsidRPr="0012214F">
        <w:rPr>
          <w:rFonts w:ascii="Arial" w:hAnsi="Arial" w:cs="Arial"/>
          <w:b/>
          <w:bCs/>
        </w:rPr>
        <w:t xml:space="preserve">(B) </w:t>
      </w:r>
      <w:r w:rsidRPr="0012214F">
        <w:rPr>
          <w:rFonts w:ascii="Arial" w:hAnsi="Arial" w:cs="Arial"/>
        </w:rPr>
        <w:t>OS-Kaplan-Meier analysis of M-CLL cases in the ICGC dataset according to their SLAMF status. p=0.0722. N=98</w:t>
      </w:r>
      <w:proofErr w:type="gramStart"/>
      <w:r w:rsidRPr="0012214F">
        <w:rPr>
          <w:rFonts w:ascii="Arial" w:hAnsi="Arial" w:cs="Arial"/>
        </w:rPr>
        <w:t>;</w:t>
      </w:r>
      <w:proofErr w:type="gramEnd"/>
      <w:r w:rsidRPr="0012214F">
        <w:rPr>
          <w:rFonts w:ascii="Arial" w:hAnsi="Arial" w:cs="Arial"/>
        </w:rPr>
        <w:t> M</w:t>
      </w:r>
      <w:r w:rsidRPr="0012214F">
        <w:rPr>
          <w:rFonts w:ascii="Arial" w:hAnsi="Arial" w:cs="Arial"/>
        </w:rPr>
        <w:noBreakHyphen/>
        <w:t>CLL</w:t>
      </w:r>
      <w:r w:rsidRPr="0012214F">
        <w:rPr>
          <w:rFonts w:ascii="Arial" w:hAnsi="Arial" w:cs="Arial"/>
        </w:rPr>
        <w:noBreakHyphen/>
        <w:t>SLAMF</w:t>
      </w:r>
      <w:r w:rsidRPr="0012214F">
        <w:rPr>
          <w:rFonts w:ascii="Arial" w:hAnsi="Arial" w:cs="Arial"/>
          <w:vertAlign w:val="superscript"/>
        </w:rPr>
        <w:t>high</w:t>
      </w:r>
      <w:r w:rsidRPr="0012214F">
        <w:rPr>
          <w:rFonts w:ascii="Arial" w:hAnsi="Arial" w:cs="Arial"/>
        </w:rPr>
        <w:t>=36, M-CLL</w:t>
      </w:r>
      <w:r w:rsidRPr="0012214F">
        <w:rPr>
          <w:rFonts w:ascii="Arial" w:hAnsi="Arial" w:cs="Arial"/>
        </w:rPr>
        <w:noBreakHyphen/>
        <w:t>SLAMF</w:t>
      </w:r>
      <w:r w:rsidRPr="0012214F">
        <w:rPr>
          <w:rFonts w:ascii="Arial" w:hAnsi="Arial" w:cs="Arial"/>
          <w:vertAlign w:val="superscript"/>
        </w:rPr>
        <w:t>low</w:t>
      </w:r>
      <w:r w:rsidRPr="0012214F">
        <w:rPr>
          <w:rFonts w:ascii="Arial" w:hAnsi="Arial" w:cs="Arial"/>
        </w:rPr>
        <w:t xml:space="preserve">=62. </w:t>
      </w:r>
      <w:r w:rsidRPr="0012214F">
        <w:rPr>
          <w:rFonts w:ascii="Arial" w:hAnsi="Arial" w:cs="Arial"/>
        </w:rPr>
        <w:br/>
        <w:t xml:space="preserve">Statistical significance </w:t>
      </w:r>
      <w:proofErr w:type="gramStart"/>
      <w:r w:rsidRPr="0012214F">
        <w:rPr>
          <w:rFonts w:ascii="Arial" w:hAnsi="Arial" w:cs="Arial"/>
        </w:rPr>
        <w:t>was calculated</w:t>
      </w:r>
      <w:proofErr w:type="gramEnd"/>
      <w:r w:rsidRPr="0012214F">
        <w:rPr>
          <w:rFonts w:ascii="Arial" w:hAnsi="Arial" w:cs="Arial"/>
        </w:rPr>
        <w:t xml:space="preserve"> by using log-rank test.</w:t>
      </w:r>
    </w:p>
    <w:p w:rsidR="0016296E" w:rsidRPr="0012214F" w:rsidRDefault="0016296E" w:rsidP="0016296E">
      <w:pPr>
        <w:pStyle w:val="Textkrper"/>
        <w:jc w:val="both"/>
        <w:rPr>
          <w:rFonts w:ascii="Arial" w:hAnsi="Arial" w:cs="Arial"/>
        </w:rPr>
      </w:pPr>
      <w:r w:rsidRPr="0012214F">
        <w:rPr>
          <w:rFonts w:ascii="Arial" w:hAnsi="Arial" w:cs="Arial"/>
        </w:rPr>
        <w:t>OS – overall survival; M-CLL – CLL patients with a mutated immunoglobulin heavy chain gene</w:t>
      </w:r>
    </w:p>
    <w:p w:rsidR="0016296E" w:rsidRPr="0012214F" w:rsidRDefault="0016296E" w:rsidP="0016296E">
      <w:pPr>
        <w:pStyle w:val="Textkrper"/>
        <w:jc w:val="both"/>
        <w:rPr>
          <w:rFonts w:ascii="Arial" w:hAnsi="Arial" w:cs="Arial"/>
        </w:rPr>
      </w:pPr>
      <w:r w:rsidRPr="0012214F">
        <w:rPr>
          <w:rFonts w:ascii="Arial" w:hAnsi="Arial" w:cs="Arial"/>
          <w:b/>
        </w:rPr>
        <w:t>Supplementary Figure 3: SLAMF1 and SLAMF7 overexpression in the CLL cell lines JVM3 and Hg3. (A)</w:t>
      </w:r>
      <w:r w:rsidRPr="0012214F">
        <w:rPr>
          <w:rFonts w:ascii="Arial" w:hAnsi="Arial" w:cs="Arial"/>
        </w:rPr>
        <w:t xml:space="preserve"> JVM3 cells and </w:t>
      </w:r>
      <w:r w:rsidRPr="0012214F">
        <w:rPr>
          <w:rFonts w:ascii="Arial" w:hAnsi="Arial" w:cs="Arial"/>
          <w:b/>
        </w:rPr>
        <w:t xml:space="preserve">(C) </w:t>
      </w:r>
      <w:r w:rsidRPr="0012214F">
        <w:rPr>
          <w:rFonts w:ascii="Arial" w:hAnsi="Arial" w:cs="Arial"/>
        </w:rPr>
        <w:t xml:space="preserve">Hg3 cells </w:t>
      </w:r>
      <w:proofErr w:type="gramStart"/>
      <w:r w:rsidRPr="0012214F">
        <w:rPr>
          <w:rFonts w:ascii="Arial" w:hAnsi="Arial" w:cs="Arial"/>
        </w:rPr>
        <w:t>were transduced</w:t>
      </w:r>
      <w:proofErr w:type="gramEnd"/>
      <w:r w:rsidRPr="0012214F">
        <w:rPr>
          <w:rFonts w:ascii="Arial" w:hAnsi="Arial" w:cs="Arial"/>
        </w:rPr>
        <w:t xml:space="preserve"> with lentiviral particles encoding SLAMF1 and SLAMF7, overexpression was controlle</w:t>
      </w:r>
      <w:bookmarkStart w:id="1" w:name="hrmsuitjvjm"/>
      <w:r w:rsidRPr="0012214F">
        <w:rPr>
          <w:rFonts w:ascii="Arial" w:hAnsi="Arial" w:cs="Arial"/>
        </w:rPr>
        <w:t xml:space="preserve">d via FC. Proliferation of SLAMF1 or </w:t>
      </w:r>
      <w:proofErr w:type="gramStart"/>
      <w:r w:rsidRPr="0012214F">
        <w:rPr>
          <w:rFonts w:ascii="Arial" w:hAnsi="Arial" w:cs="Arial"/>
        </w:rPr>
        <w:t>7</w:t>
      </w:r>
      <w:proofErr w:type="gramEnd"/>
      <w:r w:rsidRPr="0012214F">
        <w:rPr>
          <w:rFonts w:ascii="Arial" w:hAnsi="Arial" w:cs="Arial"/>
        </w:rPr>
        <w:t xml:space="preserve"> overexpressing </w:t>
      </w:r>
      <w:r w:rsidRPr="0012214F">
        <w:rPr>
          <w:rFonts w:ascii="Arial" w:hAnsi="Arial" w:cs="Arial"/>
          <w:b/>
        </w:rPr>
        <w:t>(B)</w:t>
      </w:r>
      <w:r w:rsidRPr="0012214F">
        <w:rPr>
          <w:rFonts w:ascii="Arial" w:hAnsi="Arial" w:cs="Arial"/>
        </w:rPr>
        <w:t xml:space="preserve"> JVM3 and </w:t>
      </w:r>
      <w:r w:rsidRPr="0012214F">
        <w:rPr>
          <w:rFonts w:ascii="Arial" w:hAnsi="Arial" w:cs="Arial"/>
          <w:b/>
        </w:rPr>
        <w:t>(D)</w:t>
      </w:r>
      <w:r w:rsidRPr="0012214F">
        <w:rPr>
          <w:rFonts w:ascii="Arial" w:hAnsi="Arial" w:cs="Arial"/>
        </w:rPr>
        <w:t xml:space="preserve"> Hg3 cells </w:t>
      </w:r>
      <w:proofErr w:type="spellStart"/>
      <w:r w:rsidRPr="0012214F">
        <w:rPr>
          <w:rFonts w:ascii="Arial" w:hAnsi="Arial" w:cs="Arial"/>
        </w:rPr>
        <w:t>cells</w:t>
      </w:r>
      <w:proofErr w:type="spellEnd"/>
      <w:r w:rsidRPr="0012214F">
        <w:rPr>
          <w:rFonts w:ascii="Arial" w:hAnsi="Arial" w:cs="Arial"/>
        </w:rPr>
        <w:t xml:space="preserve"> after 120h compared to control cell line transduced with empty vector. N=</w:t>
      </w:r>
      <w:bookmarkEnd w:id="1"/>
      <w:proofErr w:type="gramStart"/>
      <w:r w:rsidRPr="0012214F">
        <w:rPr>
          <w:rFonts w:ascii="Arial" w:hAnsi="Arial" w:cs="Arial"/>
        </w:rPr>
        <w:t>9</w:t>
      </w:r>
      <w:proofErr w:type="gramEnd"/>
      <w:r w:rsidRPr="0012214F">
        <w:rPr>
          <w:rFonts w:ascii="Arial" w:hAnsi="Arial" w:cs="Arial"/>
        </w:rPr>
        <w:t xml:space="preserve">. </w:t>
      </w:r>
      <w:r w:rsidRPr="0012214F">
        <w:rPr>
          <w:rFonts w:ascii="Arial" w:hAnsi="Arial" w:cs="Arial"/>
        </w:rPr>
        <w:br/>
        <w:t xml:space="preserve">Data from independent experiments </w:t>
      </w:r>
      <w:proofErr w:type="gramStart"/>
      <w:r w:rsidRPr="0012214F">
        <w:rPr>
          <w:rFonts w:ascii="Arial" w:hAnsi="Arial" w:cs="Arial"/>
        </w:rPr>
        <w:t>are shown</w:t>
      </w:r>
      <w:proofErr w:type="gramEnd"/>
      <w:r w:rsidRPr="0012214F">
        <w:rPr>
          <w:rFonts w:ascii="Arial" w:hAnsi="Arial" w:cs="Arial"/>
        </w:rPr>
        <w:t xml:space="preserve"> as mean, error bars represent SEM, statistical significance was calculated using one-way </w:t>
      </w:r>
      <w:proofErr w:type="spellStart"/>
      <w:r w:rsidRPr="0012214F">
        <w:rPr>
          <w:rFonts w:ascii="Arial" w:hAnsi="Arial" w:cs="Arial"/>
        </w:rPr>
        <w:t>Anova</w:t>
      </w:r>
      <w:proofErr w:type="spellEnd"/>
      <w:r w:rsidRPr="0012214F">
        <w:rPr>
          <w:rFonts w:ascii="Arial" w:hAnsi="Arial" w:cs="Arial"/>
        </w:rPr>
        <w:t xml:space="preserve"> and </w:t>
      </w:r>
      <w:proofErr w:type="spellStart"/>
      <w:r w:rsidRPr="0012214F">
        <w:rPr>
          <w:rFonts w:ascii="Arial" w:hAnsi="Arial" w:cs="Arial"/>
        </w:rPr>
        <w:t>Bonferroni’s</w:t>
      </w:r>
      <w:proofErr w:type="spellEnd"/>
      <w:r w:rsidRPr="0012214F">
        <w:rPr>
          <w:rFonts w:ascii="Arial" w:hAnsi="Arial" w:cs="Arial"/>
        </w:rPr>
        <w:t xml:space="preserve"> post-hoc tests.</w:t>
      </w:r>
    </w:p>
    <w:p w:rsidR="0016296E" w:rsidRPr="0012214F" w:rsidRDefault="0016296E" w:rsidP="0016296E">
      <w:pPr>
        <w:pStyle w:val="Textkrper"/>
        <w:jc w:val="both"/>
        <w:rPr>
          <w:rFonts w:ascii="Arial" w:hAnsi="Arial" w:cs="Arial"/>
          <w:bCs/>
        </w:rPr>
      </w:pPr>
      <w:r w:rsidRPr="0012214F">
        <w:rPr>
          <w:rFonts w:ascii="Arial" w:hAnsi="Arial" w:cs="Arial"/>
          <w:bCs/>
        </w:rPr>
        <w:t>FC – flow cytometry; SEM – standard error of the mean</w:t>
      </w:r>
    </w:p>
    <w:p w:rsidR="0016296E" w:rsidRPr="0012214F" w:rsidRDefault="0016296E" w:rsidP="0016296E">
      <w:pPr>
        <w:pStyle w:val="Textkrper"/>
        <w:jc w:val="both"/>
        <w:rPr>
          <w:rFonts w:ascii="Arial" w:hAnsi="Arial" w:cs="Arial"/>
        </w:rPr>
      </w:pPr>
      <w:r w:rsidRPr="0012214F">
        <w:rPr>
          <w:rFonts w:ascii="Arial" w:hAnsi="Arial" w:cs="Arial"/>
          <w:b/>
        </w:rPr>
        <w:t xml:space="preserve">Supplementary Figure 4: Modulation of BCR signaling by SLAMF1 and SLAMF7 in JVM3 and Hg3 CLL cells. </w:t>
      </w:r>
      <w:r w:rsidRPr="0012214F">
        <w:rPr>
          <w:rFonts w:ascii="Arial" w:hAnsi="Arial" w:cs="Arial"/>
          <w:b/>
          <w:bCs/>
        </w:rPr>
        <w:t>(A)</w:t>
      </w:r>
      <w:r w:rsidRPr="0012214F">
        <w:rPr>
          <w:rFonts w:ascii="Arial" w:hAnsi="Arial" w:cs="Arial"/>
        </w:rPr>
        <w:t xml:space="preserve"> JVM3 cells were stained with FLUO4 and Ca</w:t>
      </w:r>
      <w:r w:rsidRPr="0012214F">
        <w:rPr>
          <w:rFonts w:ascii="Arial" w:hAnsi="Arial" w:cs="Arial"/>
          <w:vertAlign w:val="superscript"/>
        </w:rPr>
        <w:t>2+</w:t>
      </w:r>
      <w:r w:rsidRPr="0012214F">
        <w:rPr>
          <w:rFonts w:ascii="Arial" w:hAnsi="Arial" w:cs="Arial"/>
        </w:rPr>
        <w:t xml:space="preserve"> flux was assessed via FC after stimulation with anti-IgM in SLAMF1 or 7 overexpressing JVM3 cells, N=8. </w:t>
      </w:r>
      <w:r w:rsidRPr="0012214F">
        <w:rPr>
          <w:rFonts w:ascii="Arial" w:hAnsi="Arial" w:cs="Arial"/>
          <w:b/>
          <w:bCs/>
        </w:rPr>
        <w:t>(B)</w:t>
      </w:r>
      <w:r w:rsidRPr="0012214F">
        <w:rPr>
          <w:rFonts w:ascii="Arial" w:hAnsi="Arial" w:cs="Arial"/>
        </w:rPr>
        <w:t xml:space="preserve"> Proliferation of JVM3 cells overexpressing SLAMF1 or SLAMF7 treated with 1µM </w:t>
      </w:r>
      <w:proofErr w:type="spellStart"/>
      <w:r w:rsidRPr="0012214F">
        <w:rPr>
          <w:rFonts w:ascii="Arial" w:hAnsi="Arial" w:cs="Arial"/>
        </w:rPr>
        <w:t>Ibrutinb</w:t>
      </w:r>
      <w:proofErr w:type="spellEnd"/>
      <w:r w:rsidRPr="0012214F">
        <w:rPr>
          <w:rFonts w:ascii="Arial" w:hAnsi="Arial" w:cs="Arial"/>
        </w:rPr>
        <w:t xml:space="preserve"> relative to untreated control after 96h. N=12. </w:t>
      </w:r>
      <w:r w:rsidRPr="0012214F">
        <w:rPr>
          <w:rFonts w:ascii="Arial" w:hAnsi="Arial" w:cs="Arial"/>
          <w:b/>
          <w:bCs/>
        </w:rPr>
        <w:t>(C)</w:t>
      </w:r>
      <w:r w:rsidRPr="0012214F">
        <w:rPr>
          <w:rFonts w:ascii="Arial" w:hAnsi="Arial" w:cs="Arial"/>
        </w:rPr>
        <w:t xml:space="preserve"> Hg3 cells </w:t>
      </w:r>
      <w:proofErr w:type="gramStart"/>
      <w:r w:rsidRPr="0012214F">
        <w:rPr>
          <w:rFonts w:ascii="Arial" w:hAnsi="Arial" w:cs="Arial"/>
        </w:rPr>
        <w:t>were stained</w:t>
      </w:r>
      <w:proofErr w:type="gramEnd"/>
      <w:r w:rsidRPr="0012214F">
        <w:rPr>
          <w:rFonts w:ascii="Arial" w:hAnsi="Arial" w:cs="Arial"/>
        </w:rPr>
        <w:t xml:space="preserve"> with FLUO4 and Ca</w:t>
      </w:r>
      <w:r w:rsidRPr="0012214F">
        <w:rPr>
          <w:rFonts w:ascii="Arial" w:hAnsi="Arial" w:cs="Arial"/>
          <w:vertAlign w:val="superscript"/>
        </w:rPr>
        <w:t>2+</w:t>
      </w:r>
      <w:r w:rsidRPr="0012214F">
        <w:rPr>
          <w:rFonts w:ascii="Arial" w:hAnsi="Arial" w:cs="Arial"/>
        </w:rPr>
        <w:t xml:space="preserve"> flux was assessed via FC after stimulation with </w:t>
      </w:r>
      <w:r w:rsidRPr="0012214F">
        <w:rPr>
          <w:rFonts w:ascii="Arial" w:hAnsi="Arial" w:cs="Arial"/>
        </w:rPr>
        <w:lastRenderedPageBreak/>
        <w:t>anti</w:t>
      </w:r>
      <w:r w:rsidRPr="0012214F">
        <w:rPr>
          <w:rFonts w:ascii="Arial" w:hAnsi="Arial" w:cs="Arial"/>
        </w:rPr>
        <w:noBreakHyphen/>
        <w:t xml:space="preserve">IgM in Hg3 cells after overexpression of SLAMF1 or SLAMF7. N=12. </w:t>
      </w:r>
      <w:r w:rsidRPr="0012214F">
        <w:rPr>
          <w:rFonts w:ascii="Arial" w:hAnsi="Arial" w:cs="Arial"/>
          <w:b/>
          <w:bCs/>
        </w:rPr>
        <w:t>(D)</w:t>
      </w:r>
      <w:r w:rsidRPr="0012214F">
        <w:rPr>
          <w:rFonts w:ascii="Arial" w:hAnsi="Arial" w:cs="Arial"/>
        </w:rPr>
        <w:t xml:space="preserve"> Proliferation of Hg3 cells after overexpression of SLAMF1 or SLAMF7 treated with 1µM Ibrutinib relative to untreated control after 120h. N=12.</w:t>
      </w:r>
      <w:r w:rsidRPr="0012214F">
        <w:rPr>
          <w:rFonts w:ascii="Arial" w:hAnsi="Arial" w:cs="Arial"/>
        </w:rPr>
        <w:br/>
        <w:t xml:space="preserve">Data from independent experiments </w:t>
      </w:r>
      <w:proofErr w:type="gramStart"/>
      <w:r w:rsidRPr="0012214F">
        <w:rPr>
          <w:rFonts w:ascii="Arial" w:hAnsi="Arial" w:cs="Arial"/>
        </w:rPr>
        <w:t>are shown</w:t>
      </w:r>
      <w:proofErr w:type="gramEnd"/>
      <w:r w:rsidRPr="0012214F">
        <w:rPr>
          <w:rFonts w:ascii="Arial" w:hAnsi="Arial" w:cs="Arial"/>
        </w:rPr>
        <w:t xml:space="preserve"> as mean, error bars represent SEM, statistical significance was calculated by one-way ANOVA and </w:t>
      </w:r>
      <w:proofErr w:type="spellStart"/>
      <w:r w:rsidRPr="0012214F">
        <w:rPr>
          <w:rFonts w:ascii="Arial" w:hAnsi="Arial" w:cs="Arial"/>
        </w:rPr>
        <w:t>Bonferroni’s</w:t>
      </w:r>
      <w:proofErr w:type="spellEnd"/>
      <w:r w:rsidRPr="0012214F">
        <w:rPr>
          <w:rFonts w:ascii="Arial" w:hAnsi="Arial" w:cs="Arial"/>
        </w:rPr>
        <w:t xml:space="preserve"> post-hoc test.</w:t>
      </w:r>
    </w:p>
    <w:p w:rsidR="0016296E" w:rsidRPr="0012214F" w:rsidRDefault="0016296E" w:rsidP="0016296E">
      <w:pPr>
        <w:pStyle w:val="Textkrper"/>
        <w:jc w:val="both"/>
        <w:rPr>
          <w:rFonts w:ascii="Arial" w:hAnsi="Arial" w:cs="Arial"/>
          <w:bCs/>
        </w:rPr>
      </w:pPr>
      <w:r w:rsidRPr="0012214F">
        <w:rPr>
          <w:rFonts w:ascii="Arial" w:hAnsi="Arial" w:cs="Arial"/>
          <w:bCs/>
        </w:rPr>
        <w:t>FC – flow cytometry; SEM – standard error of the mean</w:t>
      </w:r>
    </w:p>
    <w:p w:rsidR="0016296E" w:rsidRPr="0012214F" w:rsidRDefault="0016296E" w:rsidP="0016296E">
      <w:pPr>
        <w:pStyle w:val="Textkrper"/>
        <w:jc w:val="both"/>
        <w:rPr>
          <w:rFonts w:ascii="Arial" w:hAnsi="Arial" w:cs="Arial"/>
          <w:bCs/>
        </w:rPr>
      </w:pPr>
      <w:r w:rsidRPr="0012214F">
        <w:rPr>
          <w:rFonts w:ascii="Arial" w:hAnsi="Arial" w:cs="Arial"/>
          <w:b/>
          <w:bCs/>
        </w:rPr>
        <w:t>Supplementary Figure 5</w:t>
      </w:r>
      <w:proofErr w:type="gramStart"/>
      <w:r w:rsidRPr="0012214F">
        <w:rPr>
          <w:rFonts w:ascii="Arial" w:hAnsi="Arial" w:cs="Arial"/>
          <w:b/>
          <w:bCs/>
        </w:rPr>
        <w:t>:MEC</w:t>
      </w:r>
      <w:proofErr w:type="gramEnd"/>
      <w:r w:rsidRPr="0012214F">
        <w:rPr>
          <w:rFonts w:ascii="Arial" w:hAnsi="Arial" w:cs="Arial"/>
          <w:b/>
          <w:bCs/>
        </w:rPr>
        <w:t xml:space="preserve">-1 Ig switch model (A) </w:t>
      </w:r>
      <w:r w:rsidRPr="0012214F">
        <w:rPr>
          <w:rFonts w:ascii="Arial" w:hAnsi="Arial" w:cs="Arial"/>
          <w:bCs/>
        </w:rPr>
        <w:t>FC analysis of IgG switched MEC-1 cells.</w:t>
      </w:r>
      <w:r w:rsidRPr="0012214F">
        <w:rPr>
          <w:rFonts w:ascii="Arial" w:hAnsi="Arial" w:cs="Arial"/>
          <w:b/>
          <w:bCs/>
        </w:rPr>
        <w:t xml:space="preserve"> (B</w:t>
      </w:r>
      <w:r w:rsidRPr="0012214F">
        <w:rPr>
          <w:rFonts w:ascii="Arial" w:hAnsi="Arial" w:cs="Arial"/>
          <w:bCs/>
        </w:rPr>
        <w:t>) FC analysis of IgG expressing MEC-1 cells transduced with lentiviral particles encoding for SLAMF1 or SLAMF7.</w:t>
      </w:r>
    </w:p>
    <w:p w:rsidR="0016296E" w:rsidRPr="0075700E" w:rsidRDefault="0016296E" w:rsidP="0016296E">
      <w:pPr>
        <w:pStyle w:val="Textkrper"/>
        <w:jc w:val="both"/>
        <w:rPr>
          <w:rFonts w:ascii="Arial" w:hAnsi="Arial" w:cs="Arial"/>
          <w:bCs/>
        </w:rPr>
      </w:pPr>
      <w:r w:rsidRPr="0012214F">
        <w:rPr>
          <w:rFonts w:ascii="Arial" w:hAnsi="Arial" w:cs="Arial"/>
          <w:bCs/>
        </w:rPr>
        <w:t>FC- flow cytometry</w:t>
      </w:r>
    </w:p>
    <w:p w:rsidR="0016296E" w:rsidRPr="009208B9" w:rsidRDefault="0016296E" w:rsidP="0016296E">
      <w:pPr>
        <w:pStyle w:val="Textkrper"/>
        <w:jc w:val="both"/>
        <w:rPr>
          <w:rFonts w:ascii="Arial" w:hAnsi="Arial" w:cs="Arial"/>
          <w:bCs/>
        </w:rPr>
      </w:pPr>
    </w:p>
    <w:p w:rsidR="00C86592" w:rsidRDefault="00EC1C22"/>
    <w:sectPr w:rsidR="00C865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6E"/>
    <w:rsid w:val="0016296E"/>
    <w:rsid w:val="001B7DD8"/>
    <w:rsid w:val="00C57E5B"/>
    <w:rsid w:val="00EC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8708"/>
  <w15:chartTrackingRefBased/>
  <w15:docId w15:val="{796DA308-35AE-4DEF-AF66-EF0E1085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16296E"/>
    <w:pPr>
      <w:spacing w:after="144" w:line="360" w:lineRule="auto"/>
    </w:pPr>
    <w:rPr>
      <w:rFonts w:ascii="Verdana" w:eastAsia="Tahoma" w:hAnsi="Verdana" w:cs="Tahoma"/>
      <w:kern w:val="2"/>
      <w:sz w:val="24"/>
      <w:szCs w:val="24"/>
      <w:lang w:val="en-US" w:bidi="en-US"/>
    </w:rPr>
  </w:style>
  <w:style w:type="character" w:customStyle="1" w:styleId="TextkrperZchn">
    <w:name w:val="Textkörper Zchn"/>
    <w:basedOn w:val="Absatz-Standardschriftart"/>
    <w:link w:val="Textkrper"/>
    <w:rsid w:val="0016296E"/>
    <w:rPr>
      <w:rFonts w:ascii="Verdana" w:eastAsia="Tahoma" w:hAnsi="Verdana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Halle (Saale)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Wenserski, Lisa</dc:creator>
  <cp:keywords/>
  <dc:description/>
  <cp:lastModifiedBy>von Wenserski, Lisa</cp:lastModifiedBy>
  <cp:revision>1</cp:revision>
  <dcterms:created xsi:type="dcterms:W3CDTF">2020-07-30T09:47:00Z</dcterms:created>
  <dcterms:modified xsi:type="dcterms:W3CDTF">2020-07-30T11:23:00Z</dcterms:modified>
</cp:coreProperties>
</file>