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CONTENT</w:t>
      </w: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Tables</w:t>
      </w:r>
    </w:p>
    <w:p w:rsidR="00BC5C5D" w:rsidRDefault="00BC5C5D" w:rsidP="00BC5C5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Table 1. Treatment exposure</w:t>
      </w:r>
    </w:p>
    <w:p w:rsidR="00BC5C5D" w:rsidRDefault="00BC5C5D" w:rsidP="00BC5C5D">
      <w:pPr>
        <w:spacing w:after="0" w:line="240" w:lineRule="auto"/>
        <w:rPr>
          <w:rFonts w:ascii="Arial" w:hAnsi="Arial" w:cs="Arial"/>
          <w:b/>
        </w:rPr>
      </w:pPr>
    </w:p>
    <w:tbl>
      <w:tblPr>
        <w:tblStyle w:val="3"/>
        <w:tblW w:w="130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06"/>
        <w:gridCol w:w="3181"/>
        <w:gridCol w:w="3181"/>
        <w:gridCol w:w="3088"/>
        <w:gridCol w:w="94"/>
      </w:tblGrid>
      <w:tr w:rsidR="00BC5C5D" w:rsidTr="00BC5C5D">
        <w:tc>
          <w:tcPr>
            <w:tcW w:w="3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Treatment exposure </w:t>
            </w:r>
          </w:p>
        </w:tc>
        <w:tc>
          <w:tcPr>
            <w:tcW w:w="9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Safety Population</w:t>
            </w:r>
            <w:r>
              <w:rPr>
                <w:rFonts w:ascii="Arial" w:eastAsia="Arial" w:hAnsi="Arial" w:cs="Arial"/>
                <w:b/>
              </w:rPr>
              <w:br/>
              <w:t>(N = 112)</w:t>
            </w:r>
          </w:p>
        </w:tc>
      </w:tr>
      <w:tr w:rsidR="00BC5C5D" w:rsidTr="00BC5C5D">
        <w:trPr>
          <w:trHeight w:val="440"/>
        </w:trPr>
        <w:tc>
          <w:tcPr>
            <w:tcW w:w="12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Pomalidomide</w:t>
            </w:r>
          </w:p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(n = 112)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Low-Dose Dexamethasone</w:t>
            </w:r>
          </w:p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b/>
              </w:rPr>
              <w:t>(n = 112)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Daratumumab</w:t>
            </w:r>
            <w:r>
              <w:rPr>
                <w:rFonts w:ascii="Arial" w:eastAsia="Arial" w:hAnsi="Arial" w:cs="Arial"/>
                <w:b/>
              </w:rPr>
              <w:br/>
              <w:t>(n = 112)</w:t>
            </w:r>
          </w:p>
        </w:tc>
      </w:tr>
      <w:tr w:rsidR="00BC5C5D" w:rsidTr="00BC5C5D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Treatment duration, median (range), months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14.6 (0.3-28.1)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13.2 (0.3-28.3)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14.4 (0.3-29.0)</w:t>
            </w:r>
          </w:p>
        </w:tc>
      </w:tr>
      <w:tr w:rsidR="00BC5C5D" w:rsidTr="00BC5C5D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Treatment cycles, median (range), n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16.0 (1.0-30.0)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15.0 (1.0-30.0)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15.0 (1.0-31.0)</w:t>
            </w:r>
          </w:p>
        </w:tc>
      </w:tr>
      <w:tr w:rsidR="00BC5C5D" w:rsidTr="00BC5C5D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Cumulative dose, median (range), mg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1079 (32.0-2443.0)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1250 (40.0-4640.0)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29,136.5 (56.0-73,418.0)</w:t>
            </w:r>
          </w:p>
        </w:tc>
      </w:tr>
      <w:tr w:rsidR="00BC5C5D" w:rsidTr="00BC5C5D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Relative dose intensity, median (range)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 (0.3-1.3)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 (0.3-1.0)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 (0.0-1.3)</w:t>
            </w:r>
          </w:p>
        </w:tc>
      </w:tr>
      <w:tr w:rsidR="00BC5C5D" w:rsidTr="00BC5C5D">
        <w:trPr>
          <w:gridAfter w:val="1"/>
          <w:wAfter w:w="94" w:type="dxa"/>
        </w:trPr>
        <w:tc>
          <w:tcPr>
            <w:tcW w:w="1295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C5C5D" w:rsidRDefault="00BC5C5D">
            <w:pPr>
              <w:spacing w:line="240" w:lineRule="auto"/>
              <w:rPr>
                <w:rFonts w:ascii="Arial" w:eastAsia="Arial" w:hAnsi="Arial" w:cs="Arial"/>
              </w:rPr>
            </w:pPr>
          </w:p>
        </w:tc>
      </w:tr>
    </w:tbl>
    <w:p w:rsidR="00BC5C5D" w:rsidRDefault="00BC5C5D" w:rsidP="00BC5C5D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Supplemental Table 2. Response (</w:t>
      </w:r>
      <w:proofErr w:type="spellStart"/>
      <w:r>
        <w:rPr>
          <w:rFonts w:ascii="Arial" w:eastAsia="Arial" w:hAnsi="Arial" w:cs="Arial"/>
          <w:b/>
        </w:rPr>
        <w:t>mIMWG</w:t>
      </w:r>
      <w:proofErr w:type="spellEnd"/>
      <w:r>
        <w:rPr>
          <w:rFonts w:ascii="Arial" w:eastAsia="Arial" w:hAnsi="Arial" w:cs="Arial"/>
          <w:b/>
        </w:rPr>
        <w:t xml:space="preserve"> criteria) by number of prior lines of therapy, lenalidomide treatment failure status, last prior lenalidomide dose, prior proteasome inhibitor exposure, and cytogenetic risk status</w:t>
      </w:r>
    </w:p>
    <w:p w:rsidR="00BC5C5D" w:rsidRDefault="00BC5C5D" w:rsidP="00BC5C5D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139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28"/>
        <w:gridCol w:w="1401"/>
        <w:gridCol w:w="1402"/>
        <w:gridCol w:w="1402"/>
        <w:gridCol w:w="1403"/>
        <w:gridCol w:w="1402"/>
        <w:gridCol w:w="1403"/>
        <w:gridCol w:w="1403"/>
        <w:gridCol w:w="1403"/>
        <w:gridCol w:w="1403"/>
      </w:tblGrid>
      <w:tr w:rsidR="00BC5C5D" w:rsidTr="00BC5C5D"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Response, n (%)</w:t>
            </w:r>
          </w:p>
        </w:tc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ITT Population</w:t>
            </w:r>
          </w:p>
        </w:tc>
      </w:tr>
      <w:tr w:rsidR="00BC5C5D" w:rsidTr="00BC5C5D"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Prior Line of Therapy</w:t>
            </w:r>
            <w:r>
              <w:rPr>
                <w:rFonts w:ascii="Arial" w:hAnsi="Arial" w:cs="Arial"/>
                <w:b/>
              </w:rPr>
              <w:br/>
              <w:t>(N = 70)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Prior Lines of Therapy</w:t>
            </w:r>
            <w:r>
              <w:rPr>
                <w:rFonts w:ascii="Arial" w:hAnsi="Arial" w:cs="Arial"/>
                <w:b/>
              </w:rPr>
              <w:br/>
              <w:t>(N = 42)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LEN Relapsed</w:t>
            </w:r>
          </w:p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(n = 28)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LEN Refractory</w:t>
            </w:r>
            <w:r>
              <w:rPr>
                <w:rFonts w:ascii="Arial" w:eastAsia="Arial" w:hAnsi="Arial" w:cs="Arial"/>
                <w:b/>
              </w:rPr>
              <w:br/>
              <w:t>(n = 84)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Last Prior LEN Dose </w:t>
            </w:r>
            <w:r>
              <w:rPr>
                <w:rFonts w:ascii="Arial" w:eastAsia="Arial" w:hAnsi="Arial" w:cs="Arial"/>
                <w:b/>
              </w:rPr>
              <w:br/>
              <w:t>≤ 10 mg</w:t>
            </w:r>
            <w:r>
              <w:rPr>
                <w:rFonts w:ascii="Arial" w:eastAsia="Arial" w:hAnsi="Arial" w:cs="Arial"/>
                <w:b/>
              </w:rPr>
              <w:br/>
              <w:t>(n = 54)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Last Prior LEN Dose </w:t>
            </w:r>
            <w:r>
              <w:rPr>
                <w:rFonts w:ascii="Arial" w:eastAsia="Arial" w:hAnsi="Arial" w:cs="Arial"/>
                <w:b/>
              </w:rPr>
              <w:br/>
              <w:t>&gt; 10 mg</w:t>
            </w:r>
          </w:p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(n = 57)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Prior PI Exposure</w:t>
            </w:r>
            <w:r>
              <w:rPr>
                <w:rFonts w:ascii="Arial" w:eastAsia="Arial" w:hAnsi="Arial" w:cs="Arial"/>
                <w:b/>
              </w:rPr>
              <w:br/>
              <w:t>(n = 89)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SR </w:t>
            </w:r>
            <w:proofErr w:type="spellStart"/>
            <w:r>
              <w:rPr>
                <w:rFonts w:ascii="Arial" w:eastAsia="Arial" w:hAnsi="Arial" w:cs="Arial"/>
                <w:b/>
              </w:rPr>
              <w:t>CAs</w:t>
            </w:r>
            <w:r>
              <w:rPr>
                <w:rFonts w:ascii="Arial" w:eastAsia="Arial" w:hAnsi="Arial" w:cs="Arial"/>
                <w:b/>
                <w:vertAlign w:val="superscript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</w:rPr>
              <w:br/>
              <w:t>(n = 73)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HR </w:t>
            </w:r>
            <w:proofErr w:type="spellStart"/>
            <w:r>
              <w:rPr>
                <w:rFonts w:ascii="Arial" w:eastAsia="Arial" w:hAnsi="Arial" w:cs="Arial"/>
                <w:b/>
              </w:rPr>
              <w:t>CAs</w:t>
            </w:r>
            <w:r>
              <w:rPr>
                <w:rFonts w:ascii="Arial" w:eastAsia="Arial" w:hAnsi="Arial" w:cs="Arial"/>
                <w:b/>
                <w:vertAlign w:val="superscript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</w:rPr>
              <w:br/>
              <w:t>(n = 20)</w:t>
            </w:r>
          </w:p>
        </w:tc>
      </w:tr>
      <w:tr w:rsidR="00BC5C5D" w:rsidTr="00BC5C5D"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rPr>
                <w:rFonts w:ascii="Arial" w:hAnsi="Arial" w:cs="Arial"/>
                <w:b/>
                <w:vertAlign w:val="superscript"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CBR</w:t>
            </w:r>
            <w:r>
              <w:rPr>
                <w:rFonts w:ascii="Arial" w:eastAsia="Arial" w:hAnsi="Arial" w:cs="Arial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 (85.7)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 (85.7)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25 (89.3)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71 (84.5)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48 (88.9)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47 (82.5)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78 (87.6)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63 (86.3)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(75.0)</w:t>
            </w:r>
          </w:p>
        </w:tc>
      </w:tr>
      <w:tr w:rsidR="00BC5C5D" w:rsidTr="00BC5C5D"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rPr>
                <w:rFonts w:ascii="Arial" w:hAnsi="Arial" w:cs="Arial"/>
                <w:b/>
                <w:vertAlign w:val="superscript"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ORR</w:t>
            </w:r>
            <w:r>
              <w:rPr>
                <w:rFonts w:ascii="Arial" w:eastAsia="Arial" w:hAnsi="Arial" w:cs="Arial"/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 (78.6)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 (76.2)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23 (82.1)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64 (76.2)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46 (85.2)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40 (70.2)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70 (78.7)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58 (79.5)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 (55.0)</w:t>
            </w:r>
          </w:p>
        </w:tc>
      </w:tr>
      <w:tr w:rsidR="00BC5C5D" w:rsidTr="00BC5C5D">
        <w:tc>
          <w:tcPr>
            <w:tcW w:w="13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ind w:left="288"/>
              <w:contextualSpacing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CR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 (32.9)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(9.5)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11 (39.3)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16 (19.0)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19 (35.2)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7 (12.3)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 (23.6)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 (24.7)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(10.0)</w:t>
            </w:r>
          </w:p>
        </w:tc>
      </w:tr>
      <w:tr w:rsidR="00BC5C5D" w:rsidTr="00BC5C5D">
        <w:tc>
          <w:tcPr>
            <w:tcW w:w="13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ind w:left="288"/>
              <w:contextualSpacing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VGPR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 (25.7)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 (28.6)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6 (21.4)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24 (28.6)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15 (27.8)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15 (26.3)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(29.2)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 (28.8)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(15.0)</w:t>
            </w:r>
          </w:p>
        </w:tc>
      </w:tr>
      <w:tr w:rsidR="00BC5C5D" w:rsidTr="00BC5C5D"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ind w:left="288"/>
              <w:contextualSpacing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PR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 (20.0)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 (38.1)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6 (21.4)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24 (28.6)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12 (22.2)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18 (31.6)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 (25.8)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 (26.0)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 (30.0)</w:t>
            </w:r>
          </w:p>
        </w:tc>
      </w:tr>
      <w:tr w:rsidR="00BC5C5D" w:rsidTr="00BC5C5D"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MR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(7.1)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(9.5)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 (7.1)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7 (8.3)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 (3.7)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7 (12.3)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 (9.0)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(6.8)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(20.0)</w:t>
            </w:r>
          </w:p>
        </w:tc>
      </w:tr>
      <w:tr w:rsidR="00BC5C5D" w:rsidTr="00BC5C5D"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(5.7)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(9.5)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 (3.6)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7 (8.3)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3 (5.6)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5 (8.8)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 (9.0)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(6.8)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(15.0)</w:t>
            </w:r>
          </w:p>
        </w:tc>
      </w:tr>
      <w:tr w:rsidR="00BC5C5D" w:rsidTr="00BC5C5D"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(7.1)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 (3.6)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4 (4.8)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3 (5.6)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 (3.5)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(2.2)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(4.1)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(10.0)</w:t>
            </w:r>
          </w:p>
        </w:tc>
      </w:tr>
      <w:tr w:rsidR="00BC5C5D" w:rsidTr="00BC5C5D"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NE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(1.4)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(2.4)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 (3.6)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 (1.2)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 (3.5)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(1.4)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BC5C5D" w:rsidTr="00BC5C5D"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Missing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(2.4)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 (1.2)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 (1.8)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(1.1)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(1.4)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C5D" w:rsidRDefault="00BC5C5D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</w:tbl>
    <w:p w:rsidR="00BC5C5D" w:rsidRDefault="00BC5C5D" w:rsidP="00BC5C5D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CA; cytogenetic abnormality; CBR, clinical benefit response; CR, complete response; HR, high-risk; ITT, intention-to-treat; LEN, lenalidomide; </w:t>
      </w:r>
      <w:proofErr w:type="spellStart"/>
      <w:r>
        <w:rPr>
          <w:rFonts w:ascii="Arial" w:eastAsia="Arial" w:hAnsi="Arial" w:cs="Arial"/>
        </w:rPr>
        <w:t>mIMWG</w:t>
      </w:r>
      <w:proofErr w:type="spellEnd"/>
      <w:r>
        <w:rPr>
          <w:rFonts w:ascii="Arial" w:eastAsia="Arial" w:hAnsi="Arial" w:cs="Arial"/>
        </w:rPr>
        <w:t>, modified International Myeloma Working Group; MR, minimal response; NE, not evaluable; ORR, overall response rate; PD, progressive disease; PI, proteasome inhibitor; PR, partial response; SD, stable disease; SR, standard-risk; and VGPR, very good partial response.</w:t>
      </w:r>
    </w:p>
    <w:p w:rsidR="00BC5C5D" w:rsidRDefault="00BC5C5D" w:rsidP="00BC5C5D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vertAlign w:val="superscript"/>
        </w:rPr>
        <w:t>a</w:t>
      </w:r>
      <w:r>
        <w:rPr>
          <w:rFonts w:ascii="Arial" w:eastAsia="Arial" w:hAnsi="Arial" w:cs="Arial"/>
        </w:rPr>
        <w:t xml:space="preserve"> HR was defined as presence of del(17p), </w:t>
      </w:r>
      <w:proofErr w:type="gramStart"/>
      <w:r>
        <w:rPr>
          <w:rFonts w:ascii="Arial" w:eastAsia="Arial" w:hAnsi="Arial" w:cs="Arial"/>
        </w:rPr>
        <w:t>t(</w:t>
      </w:r>
      <w:proofErr w:type="gramEnd"/>
      <w:r>
        <w:rPr>
          <w:rFonts w:ascii="Arial" w:eastAsia="Arial" w:hAnsi="Arial" w:cs="Arial"/>
        </w:rPr>
        <w:t>4;14), and/or t(14;16). SR was defined as absence of all these abnormalities.</w:t>
      </w:r>
      <w:r>
        <w:rPr>
          <w:rFonts w:ascii="Arial" w:eastAsia="Arial" w:hAnsi="Arial" w:cs="Arial"/>
          <w:vertAlign w:val="superscript"/>
        </w:rPr>
        <w:t xml:space="preserve"> b</w:t>
      </w:r>
      <w:r>
        <w:rPr>
          <w:rFonts w:ascii="Arial" w:eastAsia="Arial" w:hAnsi="Arial" w:cs="Arial"/>
        </w:rPr>
        <w:t xml:space="preserve"> CBR is defined as response ≥ MR. </w:t>
      </w:r>
      <w:r>
        <w:rPr>
          <w:rFonts w:ascii="Arial" w:eastAsia="Arial" w:hAnsi="Arial" w:cs="Arial"/>
          <w:vertAlign w:val="superscript"/>
        </w:rPr>
        <w:t>c</w:t>
      </w:r>
      <w:r>
        <w:rPr>
          <w:rFonts w:ascii="Arial" w:eastAsia="Arial" w:hAnsi="Arial" w:cs="Arial"/>
        </w:rPr>
        <w:t xml:space="preserve"> ORR is defined as response ≥ PR. </w:t>
      </w:r>
      <w:r>
        <w:rPr>
          <w:rFonts w:ascii="Arial" w:eastAsia="Arial" w:hAnsi="Arial" w:cs="Arial"/>
        </w:rPr>
        <w:br/>
      </w:r>
    </w:p>
    <w:p w:rsidR="00BC5C5D" w:rsidRDefault="00BC5C5D" w:rsidP="00BC5C5D">
      <w:pPr>
        <w:spacing w:line="240" w:lineRule="auto"/>
        <w:rPr>
          <w:rFonts w:ascii="Arial" w:eastAsia="Arial" w:hAnsi="Arial" w:cs="Arial"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Supplemental Figures</w:t>
      </w: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Fig. 1. Progression-free survival by number of prior lines of therapy. </w:t>
      </w:r>
      <w:r>
        <w:rPr>
          <w:rFonts w:ascii="Arial" w:hAnsi="Arial" w:cs="Arial"/>
          <w:bCs/>
        </w:rPr>
        <w:t>Median PFS was not reached in either subgroup.</w:t>
      </w: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798820" cy="4541520"/>
            <wp:effectExtent l="0" t="0" r="0" b="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screenshot of a social media po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Supplemental Fig. 2. Progression-free survival in patients with prior lenalidomide and proteasome inhibitor exposure. </w:t>
      </w:r>
      <w:r>
        <w:rPr>
          <w:rFonts w:ascii="Arial" w:hAnsi="Arial" w:cs="Arial"/>
          <w:bCs/>
        </w:rPr>
        <w:t>Median PFS was not reached in this subgroup.</w:t>
      </w: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943600" cy="3549015"/>
            <wp:effectExtent l="0" t="0" r="0" b="0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close up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Fig. 3. Progression-free survival by cytogenetic risk status. </w:t>
      </w:r>
      <w:r>
        <w:rPr>
          <w:rFonts w:ascii="Arial" w:hAnsi="Arial" w:cs="Arial"/>
          <w:bCs/>
        </w:rPr>
        <w:t>Median PFS was 10.8 months in patients with high-risk cytogenetic abnormalities and not reached in patients with standard-risk cytogenetics.</w:t>
      </w:r>
    </w:p>
    <w:p w:rsidR="00BC5C5D" w:rsidRDefault="00BC5C5D" w:rsidP="00BC5C5D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5852160" cy="4770120"/>
            <wp:effectExtent l="0" t="0" r="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close up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C5D" w:rsidRDefault="00BC5C5D" w:rsidP="00BC5C5D">
      <w:pPr>
        <w:spacing w:line="240" w:lineRule="auto"/>
        <w:rPr>
          <w:rFonts w:ascii="Arial" w:hAnsi="Arial" w:cs="Arial"/>
          <w:b/>
        </w:rPr>
      </w:pPr>
    </w:p>
    <w:p w:rsidR="00917397" w:rsidRDefault="00917397">
      <w:bookmarkStart w:id="0" w:name="_GoBack"/>
      <w:bookmarkEnd w:id="0"/>
    </w:p>
    <w:sectPr w:rsidR="00917397" w:rsidSect="00BC5C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5D"/>
    <w:rsid w:val="00917397"/>
    <w:rsid w:val="00BC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C64C48-DA57-43FF-82EB-6D111A7C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C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5C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eNormal"/>
    <w:rsid w:val="00BC5C5D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1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Luthcke</dc:creator>
  <cp:keywords/>
  <dc:description/>
  <cp:lastModifiedBy>Jacqueline Luthcke</cp:lastModifiedBy>
  <cp:revision>1</cp:revision>
  <dcterms:created xsi:type="dcterms:W3CDTF">2020-01-10T00:30:00Z</dcterms:created>
  <dcterms:modified xsi:type="dcterms:W3CDTF">2020-01-10T00:31:00Z</dcterms:modified>
</cp:coreProperties>
</file>