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0B7B79" w14:textId="77777777" w:rsidR="00C85F28" w:rsidRDefault="003A29BC">
      <w:pPr>
        <w:spacing w:after="0" w:line="360" w:lineRule="auto"/>
        <w:rPr>
          <w:rFonts w:cs="Times New Roman"/>
          <w:b/>
          <w:bCs/>
          <w:sz w:val="24"/>
          <w:szCs w:val="24"/>
        </w:rPr>
      </w:pPr>
      <w:r>
        <w:rPr>
          <w:rFonts w:cs="Times New Roman"/>
          <w:b/>
          <w:bCs/>
          <w:sz w:val="24"/>
          <w:szCs w:val="24"/>
        </w:rPr>
        <w:t>Supplementary Methods</w:t>
      </w:r>
    </w:p>
    <w:p w14:paraId="168C96B8" w14:textId="77777777" w:rsidR="00C85F28" w:rsidRDefault="003A29BC">
      <w:pPr>
        <w:spacing w:after="0" w:line="360" w:lineRule="auto"/>
        <w:rPr>
          <w:rFonts w:cs="Times New Roman"/>
          <w:b/>
          <w:bCs/>
          <w:sz w:val="24"/>
          <w:szCs w:val="24"/>
        </w:rPr>
      </w:pPr>
      <w:r>
        <w:rPr>
          <w:rFonts w:cs="Times New Roman"/>
          <w:b/>
          <w:bCs/>
          <w:sz w:val="24"/>
          <w:szCs w:val="24"/>
        </w:rPr>
        <w:t>Mouse models</w:t>
      </w:r>
    </w:p>
    <w:p w14:paraId="2A7EC871" w14:textId="77777777" w:rsidR="00C85F28" w:rsidRDefault="003A29BC">
      <w:pPr>
        <w:spacing w:after="0" w:line="360" w:lineRule="auto"/>
        <w:jc w:val="both"/>
        <w:rPr>
          <w:rFonts w:cs="Times New Roman"/>
          <w:sz w:val="24"/>
          <w:szCs w:val="24"/>
        </w:rPr>
      </w:pPr>
      <w:r>
        <w:rPr>
          <w:rFonts w:cs="Times New Roman"/>
          <w:sz w:val="24"/>
          <w:szCs w:val="24"/>
        </w:rPr>
        <w:t>Eµ-</w:t>
      </w:r>
      <w:r>
        <w:rPr>
          <w:rFonts w:cs="Times New Roman"/>
          <w:i/>
          <w:iCs/>
          <w:sz w:val="24"/>
          <w:szCs w:val="24"/>
        </w:rPr>
        <w:t>TCL1</w:t>
      </w:r>
      <w:r>
        <w:rPr>
          <w:rFonts w:cs="Times New Roman"/>
          <w:sz w:val="24"/>
          <w:szCs w:val="24"/>
        </w:rPr>
        <w:t xml:space="preserve"> (</w:t>
      </w:r>
      <w:r>
        <w:rPr>
          <w:rFonts w:cs="Times New Roman"/>
          <w:i/>
          <w:iCs/>
          <w:sz w:val="24"/>
          <w:szCs w:val="24"/>
        </w:rPr>
        <w:t>TCL1</w:t>
      </w:r>
      <w:r>
        <w:rPr>
          <w:rFonts w:cs="Times New Roman"/>
          <w:sz w:val="24"/>
          <w:szCs w:val="24"/>
        </w:rPr>
        <w:t xml:space="preserve">) mice on C57BL/6 background were kindly provided by Carlo M. Croce (The Ohio State University, Columbus, Ohio, USA) and crossed at least 10 times to ensure C57BL/6J or C57BL/6N background </w:t>
      </w:r>
      <w:r>
        <w:rPr>
          <w:rFonts w:cs="Times New Roman"/>
          <w:sz w:val="24"/>
          <w:szCs w:val="24"/>
        </w:rPr>
        <w:fldChar w:fldCharType="begin"/>
      </w:r>
      <w:r>
        <w:rPr>
          <w:rFonts w:cs="Times New Roman"/>
          <w:sz w:val="24"/>
          <w:szCs w:val="24"/>
        </w:rPr>
        <w:instrText xml:space="preserve"> ADDIN EN.CITE </w:instrText>
      </w:r>
      <w:r>
        <w:rPr>
          <w:rFonts w:cs="Times New Roman"/>
          <w:sz w:val="24"/>
          <w:szCs w:val="24"/>
        </w:rPr>
        <w:fldChar w:fldCharType="begin"/>
      </w:r>
      <w:r>
        <w:rPr>
          <w:rFonts w:cs="Times New Roman"/>
          <w:sz w:val="24"/>
          <w:szCs w:val="24"/>
        </w:rPr>
        <w:instrText xml:space="preserve"> ADDIN EN.CITE.DATA </w:instrText>
      </w:r>
      <w:r>
        <w:rPr>
          <w:rFonts w:cs="Times New Roman"/>
          <w:sz w:val="24"/>
          <w:szCs w:val="24"/>
        </w:rPr>
        <w:fldChar w:fldCharType="end"/>
      </w:r>
      <w:r>
        <w:rPr>
          <w:rFonts w:cs="Times New Roman"/>
          <w:sz w:val="24"/>
          <w:szCs w:val="24"/>
        </w:rPr>
        <w:fldChar w:fldCharType="separate"/>
      </w:r>
      <w:r>
        <w:rPr>
          <w:rFonts w:cs="Times New Roman"/>
          <w:sz w:val="24"/>
          <w:szCs w:val="24"/>
        </w:rPr>
        <w:t>(1)</w:t>
      </w:r>
      <w:r>
        <w:rPr>
          <w:rFonts w:cs="Times New Roman"/>
          <w:sz w:val="24"/>
          <w:szCs w:val="24"/>
        </w:rPr>
        <w:fldChar w:fldCharType="end"/>
      </w:r>
      <w:r>
        <w:rPr>
          <w:rFonts w:cs="Times New Roman"/>
          <w:sz w:val="24"/>
          <w:szCs w:val="24"/>
        </w:rPr>
        <w:t xml:space="preserve">. 6-10 weeks old female WT mice for adoptive transfer of </w:t>
      </w:r>
      <w:r>
        <w:rPr>
          <w:rFonts w:cs="Times New Roman"/>
          <w:i/>
          <w:iCs/>
          <w:sz w:val="24"/>
          <w:szCs w:val="24"/>
        </w:rPr>
        <w:t>TCL1</w:t>
      </w:r>
      <w:r>
        <w:rPr>
          <w:rFonts w:cs="Times New Roman"/>
          <w:sz w:val="24"/>
          <w:szCs w:val="24"/>
        </w:rPr>
        <w:t xml:space="preserve"> </w:t>
      </w:r>
      <w:proofErr w:type="spellStart"/>
      <w:r>
        <w:rPr>
          <w:rFonts w:cs="Times New Roman"/>
          <w:sz w:val="24"/>
          <w:szCs w:val="24"/>
        </w:rPr>
        <w:t>tumor</w:t>
      </w:r>
      <w:proofErr w:type="spellEnd"/>
      <w:r>
        <w:rPr>
          <w:rFonts w:cs="Times New Roman"/>
          <w:sz w:val="24"/>
          <w:szCs w:val="24"/>
        </w:rPr>
        <w:t xml:space="preserve"> cells were purchased from </w:t>
      </w:r>
      <w:proofErr w:type="spellStart"/>
      <w:r>
        <w:rPr>
          <w:rFonts w:cs="Times New Roman"/>
          <w:sz w:val="24"/>
          <w:szCs w:val="24"/>
        </w:rPr>
        <w:t>Janvier</w:t>
      </w:r>
      <w:proofErr w:type="spellEnd"/>
      <w:r>
        <w:rPr>
          <w:rFonts w:cs="Times New Roman"/>
          <w:sz w:val="24"/>
          <w:szCs w:val="24"/>
        </w:rPr>
        <w:t xml:space="preserve"> Labs. </w:t>
      </w:r>
    </w:p>
    <w:p w14:paraId="5CDC6859" w14:textId="77777777" w:rsidR="00C85F28" w:rsidRDefault="003A29BC">
      <w:pPr>
        <w:spacing w:after="0" w:line="360" w:lineRule="auto"/>
        <w:jc w:val="both"/>
        <w:rPr>
          <w:rFonts w:cs="Times New Roman"/>
          <w:sz w:val="24"/>
          <w:szCs w:val="24"/>
        </w:rPr>
      </w:pPr>
      <w:r>
        <w:rPr>
          <w:rFonts w:cs="Times New Roman"/>
          <w:sz w:val="24"/>
          <w:szCs w:val="24"/>
        </w:rPr>
        <w:t>Characteristics of all Eµ-</w:t>
      </w:r>
      <w:r>
        <w:rPr>
          <w:rFonts w:cs="Times New Roman"/>
          <w:i/>
          <w:iCs/>
          <w:sz w:val="24"/>
          <w:szCs w:val="24"/>
        </w:rPr>
        <w:t xml:space="preserve">TCL1 </w:t>
      </w:r>
      <w:r>
        <w:rPr>
          <w:rFonts w:cs="Times New Roman"/>
          <w:sz w:val="24"/>
          <w:szCs w:val="24"/>
        </w:rPr>
        <w:t>mice used for RACE-PCR and Exome-</w:t>
      </w:r>
      <w:proofErr w:type="spellStart"/>
      <w:r>
        <w:rPr>
          <w:rFonts w:cs="Times New Roman"/>
          <w:sz w:val="24"/>
          <w:szCs w:val="24"/>
        </w:rPr>
        <w:t>seq</w:t>
      </w:r>
      <w:proofErr w:type="spellEnd"/>
      <w:r>
        <w:rPr>
          <w:rFonts w:cs="Times New Roman"/>
          <w:sz w:val="24"/>
          <w:szCs w:val="24"/>
        </w:rPr>
        <w:t xml:space="preserve"> are</w:t>
      </w:r>
      <w:r>
        <w:rPr>
          <w:rFonts w:cs="Times New Roman"/>
          <w:i/>
          <w:iCs/>
          <w:sz w:val="24"/>
          <w:szCs w:val="24"/>
        </w:rPr>
        <w:t xml:space="preserve"> </w:t>
      </w:r>
      <w:r>
        <w:rPr>
          <w:rFonts w:cs="Times New Roman"/>
          <w:sz w:val="24"/>
          <w:szCs w:val="24"/>
        </w:rPr>
        <w:t>described in Suppl. Table 8. Characteristics of all Eµ-</w:t>
      </w:r>
      <w:r>
        <w:rPr>
          <w:rFonts w:cs="Times New Roman"/>
          <w:i/>
          <w:iCs/>
          <w:sz w:val="24"/>
          <w:szCs w:val="24"/>
        </w:rPr>
        <w:t xml:space="preserve">TCL1 </w:t>
      </w:r>
      <w:r>
        <w:rPr>
          <w:rFonts w:cs="Times New Roman"/>
          <w:sz w:val="24"/>
          <w:szCs w:val="24"/>
        </w:rPr>
        <w:t>mice used for FISH are described in Suppl. Table 7.</w:t>
      </w:r>
    </w:p>
    <w:p w14:paraId="0E9BFB3F" w14:textId="77777777" w:rsidR="00C85F28" w:rsidRDefault="003A29BC">
      <w:pPr>
        <w:spacing w:after="0" w:line="360" w:lineRule="auto"/>
        <w:jc w:val="both"/>
        <w:rPr>
          <w:rFonts w:cs="Times New Roman"/>
          <w:sz w:val="24"/>
          <w:szCs w:val="24"/>
        </w:rPr>
      </w:pPr>
      <w:r>
        <w:rPr>
          <w:rFonts w:cs="Times New Roman"/>
          <w:sz w:val="24"/>
          <w:szCs w:val="24"/>
        </w:rPr>
        <w:t xml:space="preserve">Adoptive transfer (AT) of TCL1 </w:t>
      </w:r>
      <w:proofErr w:type="spellStart"/>
      <w:r>
        <w:rPr>
          <w:rFonts w:cs="Times New Roman"/>
          <w:sz w:val="24"/>
          <w:szCs w:val="24"/>
        </w:rPr>
        <w:t>tumors</w:t>
      </w:r>
      <w:proofErr w:type="spellEnd"/>
      <w:r>
        <w:rPr>
          <w:rFonts w:cs="Times New Roman"/>
          <w:sz w:val="24"/>
          <w:szCs w:val="24"/>
        </w:rPr>
        <w:t xml:space="preserve"> was performed as previously described </w:t>
      </w:r>
      <w:r>
        <w:rPr>
          <w:rFonts w:cs="Times New Roman"/>
          <w:sz w:val="24"/>
          <w:szCs w:val="24"/>
        </w:rPr>
        <w:fldChar w:fldCharType="begin"/>
      </w:r>
      <w:r>
        <w:rPr>
          <w:rFonts w:cs="Times New Roman"/>
          <w:sz w:val="24"/>
          <w:szCs w:val="24"/>
        </w:rPr>
        <w:instrText xml:space="preserve"> ADDIN EN.CITE </w:instrText>
      </w:r>
      <w:r>
        <w:rPr>
          <w:rFonts w:cs="Times New Roman"/>
          <w:sz w:val="24"/>
          <w:szCs w:val="24"/>
        </w:rPr>
        <w:fldChar w:fldCharType="begin"/>
      </w:r>
      <w:r>
        <w:rPr>
          <w:rFonts w:cs="Times New Roman"/>
          <w:sz w:val="24"/>
          <w:szCs w:val="24"/>
        </w:rPr>
        <w:instrText xml:space="preserve"> ADDIN EN.CITE.DATA </w:instrText>
      </w:r>
      <w:r>
        <w:rPr>
          <w:rFonts w:cs="Times New Roman"/>
          <w:sz w:val="24"/>
          <w:szCs w:val="24"/>
        </w:rPr>
        <w:fldChar w:fldCharType="end"/>
      </w:r>
      <w:r>
        <w:rPr>
          <w:rFonts w:cs="Times New Roman"/>
          <w:sz w:val="24"/>
          <w:szCs w:val="24"/>
        </w:rPr>
        <w:fldChar w:fldCharType="separate"/>
      </w:r>
      <w:r>
        <w:rPr>
          <w:rFonts w:cs="Times New Roman"/>
          <w:sz w:val="24"/>
          <w:szCs w:val="24"/>
        </w:rPr>
        <w:t>(2)</w:t>
      </w:r>
      <w:r>
        <w:rPr>
          <w:rFonts w:cs="Times New Roman"/>
          <w:sz w:val="24"/>
          <w:szCs w:val="24"/>
        </w:rPr>
        <w:fldChar w:fldCharType="end"/>
      </w:r>
      <w:r>
        <w:rPr>
          <w:rFonts w:cs="Times New Roman"/>
          <w:sz w:val="24"/>
          <w:szCs w:val="24"/>
        </w:rPr>
        <w:t xml:space="preserve">. Briefly, </w:t>
      </w:r>
      <w:proofErr w:type="spellStart"/>
      <w:r>
        <w:rPr>
          <w:rFonts w:cs="Times New Roman"/>
          <w:sz w:val="24"/>
          <w:szCs w:val="24"/>
        </w:rPr>
        <w:t>tumor</w:t>
      </w:r>
      <w:proofErr w:type="spellEnd"/>
      <w:r>
        <w:rPr>
          <w:rFonts w:cs="Times New Roman"/>
          <w:sz w:val="24"/>
          <w:szCs w:val="24"/>
        </w:rPr>
        <w:t xml:space="preserve"> cells were enriched from </w:t>
      </w:r>
      <w:proofErr w:type="spellStart"/>
      <w:r>
        <w:rPr>
          <w:rFonts w:cs="Times New Roman"/>
          <w:sz w:val="24"/>
          <w:szCs w:val="24"/>
        </w:rPr>
        <w:t>splenocytes</w:t>
      </w:r>
      <w:proofErr w:type="spellEnd"/>
      <w:r>
        <w:rPr>
          <w:rFonts w:cs="Times New Roman"/>
          <w:sz w:val="24"/>
          <w:szCs w:val="24"/>
        </w:rPr>
        <w:t xml:space="preserve"> of </w:t>
      </w:r>
      <w:r>
        <w:rPr>
          <w:rFonts w:cs="Times New Roman"/>
          <w:i/>
          <w:iCs/>
          <w:sz w:val="24"/>
          <w:szCs w:val="24"/>
        </w:rPr>
        <w:t>TCL1</w:t>
      </w:r>
      <w:r>
        <w:rPr>
          <w:rFonts w:cs="Times New Roman"/>
          <w:sz w:val="24"/>
          <w:szCs w:val="24"/>
        </w:rPr>
        <w:t xml:space="preserve"> mice using </w:t>
      </w:r>
      <w:proofErr w:type="spellStart"/>
      <w:r>
        <w:rPr>
          <w:rFonts w:cs="Times New Roman"/>
          <w:sz w:val="24"/>
          <w:szCs w:val="24"/>
        </w:rPr>
        <w:t>EasySep</w:t>
      </w:r>
      <w:proofErr w:type="spellEnd"/>
      <w:r>
        <w:rPr>
          <w:rFonts w:cs="Times New Roman"/>
          <w:sz w:val="24"/>
          <w:szCs w:val="24"/>
        </w:rPr>
        <w:t>™ Mouse Pan-B Cell Isolation Kit (</w:t>
      </w:r>
      <w:proofErr w:type="spellStart"/>
      <w:r>
        <w:rPr>
          <w:rFonts w:cs="Times New Roman"/>
          <w:sz w:val="24"/>
          <w:szCs w:val="24"/>
        </w:rPr>
        <w:t>Stemcell</w:t>
      </w:r>
      <w:proofErr w:type="spellEnd"/>
      <w:r>
        <w:rPr>
          <w:rFonts w:cs="Times New Roman"/>
          <w:sz w:val="24"/>
          <w:szCs w:val="24"/>
        </w:rPr>
        <w:t xml:space="preserve"> Technologies, 19844) according to the manufacturer’s protocol. The CD5</w:t>
      </w:r>
      <w:r>
        <w:rPr>
          <w:rFonts w:cs="Times New Roman"/>
          <w:sz w:val="24"/>
          <w:szCs w:val="24"/>
          <w:vertAlign w:val="superscript"/>
        </w:rPr>
        <w:t>+</w:t>
      </w:r>
      <w:r>
        <w:rPr>
          <w:rFonts w:cs="Times New Roman"/>
          <w:sz w:val="24"/>
          <w:szCs w:val="24"/>
        </w:rPr>
        <w:t>CD19</w:t>
      </w:r>
      <w:r>
        <w:rPr>
          <w:rFonts w:cs="Times New Roman"/>
          <w:sz w:val="24"/>
          <w:szCs w:val="24"/>
          <w:vertAlign w:val="superscript"/>
        </w:rPr>
        <w:t>+</w:t>
      </w:r>
      <w:r>
        <w:rPr>
          <w:rFonts w:cs="Times New Roman"/>
          <w:sz w:val="24"/>
          <w:szCs w:val="24"/>
        </w:rPr>
        <w:t xml:space="preserve"> content of purified cells was typically above 95 %, as measured by flow cytometry. 2x10</w:t>
      </w:r>
      <w:r>
        <w:rPr>
          <w:rFonts w:cs="Times New Roman"/>
          <w:sz w:val="24"/>
          <w:szCs w:val="24"/>
          <w:vertAlign w:val="superscript"/>
        </w:rPr>
        <w:t>7</w:t>
      </w:r>
      <w:r>
        <w:rPr>
          <w:rFonts w:cs="Times New Roman"/>
          <w:sz w:val="24"/>
          <w:szCs w:val="24"/>
        </w:rPr>
        <w:t xml:space="preserve"> of these enriched TCL1 </w:t>
      </w:r>
      <w:proofErr w:type="spellStart"/>
      <w:r>
        <w:rPr>
          <w:rFonts w:cs="Times New Roman"/>
          <w:sz w:val="24"/>
          <w:szCs w:val="24"/>
        </w:rPr>
        <w:t>splenocytes</w:t>
      </w:r>
      <w:proofErr w:type="spellEnd"/>
      <w:r>
        <w:rPr>
          <w:rFonts w:cs="Times New Roman"/>
          <w:sz w:val="24"/>
          <w:szCs w:val="24"/>
        </w:rPr>
        <w:t xml:space="preserve"> were transplanted by intraperitoneal (</w:t>
      </w:r>
      <w:proofErr w:type="spellStart"/>
      <w:r>
        <w:rPr>
          <w:rFonts w:cs="Times New Roman"/>
          <w:sz w:val="24"/>
          <w:szCs w:val="24"/>
        </w:rPr>
        <w:t>i.p</w:t>
      </w:r>
      <w:proofErr w:type="spellEnd"/>
      <w:r>
        <w:rPr>
          <w:rFonts w:cs="Times New Roman"/>
          <w:sz w:val="24"/>
          <w:szCs w:val="24"/>
        </w:rPr>
        <w:t>.) injection into 6-10 weeks old C57BL/6 WT females.</w:t>
      </w:r>
    </w:p>
    <w:p w14:paraId="6F625D3B" w14:textId="77777777" w:rsidR="00097CBC" w:rsidRDefault="003A29BC" w:rsidP="00097CBC">
      <w:pPr>
        <w:spacing w:after="0" w:line="360" w:lineRule="auto"/>
        <w:jc w:val="both"/>
        <w:rPr>
          <w:rFonts w:cs="Times New Roman"/>
          <w:bCs/>
          <w:iCs/>
          <w:sz w:val="24"/>
          <w:szCs w:val="24"/>
          <w:lang w:val="en-US"/>
        </w:rPr>
      </w:pPr>
      <w:r>
        <w:rPr>
          <w:rFonts w:cs="Times New Roman"/>
          <w:sz w:val="24"/>
          <w:szCs w:val="24"/>
        </w:rPr>
        <w:t>All animal experiments were carried out according to governmental and institutional guidelines and authorized by the local authorities (</w:t>
      </w:r>
      <w:proofErr w:type="spellStart"/>
      <w:r>
        <w:rPr>
          <w:rFonts w:cs="Times New Roman"/>
          <w:sz w:val="24"/>
          <w:szCs w:val="24"/>
        </w:rPr>
        <w:t>Regierungspräsidium</w:t>
      </w:r>
      <w:proofErr w:type="spellEnd"/>
      <w:r>
        <w:rPr>
          <w:rFonts w:cs="Times New Roman"/>
          <w:sz w:val="24"/>
          <w:szCs w:val="24"/>
        </w:rPr>
        <w:t xml:space="preserve"> Karlsruhe, Germany, permit numbers: DKFZ337, G-36/14, and G-98/16, G123/14).</w:t>
      </w:r>
      <w:r w:rsidR="00097CBC" w:rsidRPr="00097CBC">
        <w:rPr>
          <w:rFonts w:cs="Times New Roman"/>
          <w:bCs/>
          <w:iCs/>
          <w:sz w:val="24"/>
          <w:szCs w:val="24"/>
          <w:lang w:val="en-US"/>
        </w:rPr>
        <w:t xml:space="preserve"> </w:t>
      </w:r>
    </w:p>
    <w:p w14:paraId="5386E84D" w14:textId="6427AE83" w:rsidR="00097CBC" w:rsidRDefault="00097CBC" w:rsidP="00097CBC">
      <w:pPr>
        <w:spacing w:after="0" w:line="360" w:lineRule="auto"/>
        <w:jc w:val="both"/>
        <w:rPr>
          <w:rFonts w:cs="Times New Roman"/>
          <w:sz w:val="24"/>
          <w:szCs w:val="24"/>
        </w:rPr>
      </w:pPr>
      <w:r w:rsidRPr="00097CBC">
        <w:rPr>
          <w:rFonts w:cs="Times New Roman"/>
          <w:bCs/>
          <w:iCs/>
          <w:sz w:val="24"/>
          <w:szCs w:val="24"/>
          <w:lang w:val="en-US"/>
        </w:rPr>
        <w:t>Sample size was determined based on expected variance of read-out.</w:t>
      </w:r>
      <w:r w:rsidRPr="00097CBC">
        <w:rPr>
          <w:rFonts w:asciiTheme="minorHAnsi" w:eastAsiaTheme="minorEastAsia" w:hAnsiTheme="minorHAnsi" w:cstheme="minorBidi"/>
          <w:bCs/>
          <w:iCs/>
          <w:lang w:val="en-US" w:eastAsia="de-DE"/>
        </w:rPr>
        <w:t xml:space="preserve"> </w:t>
      </w:r>
      <w:r w:rsidRPr="00097CBC">
        <w:rPr>
          <w:rFonts w:cs="Times New Roman"/>
          <w:bCs/>
          <w:iCs/>
          <w:sz w:val="24"/>
          <w:szCs w:val="24"/>
          <w:lang w:val="en-US"/>
        </w:rPr>
        <w:t>Samples or animals were excluded from the analyses if they did not develop CLL-like disease, either in the primary Eµ-TCL1 mouse line or after adoptive transfer of TCL1 leukemia cells. No randomization or blinding was used in animal studies.</w:t>
      </w:r>
    </w:p>
    <w:p w14:paraId="229DD8F1" w14:textId="77777777" w:rsidR="00C85F28" w:rsidRDefault="00C85F28">
      <w:pPr>
        <w:spacing w:after="0" w:line="360" w:lineRule="auto"/>
        <w:jc w:val="both"/>
        <w:rPr>
          <w:rFonts w:cs="Times New Roman"/>
          <w:sz w:val="24"/>
          <w:szCs w:val="24"/>
        </w:rPr>
      </w:pPr>
    </w:p>
    <w:p w14:paraId="1C984CC7" w14:textId="77777777" w:rsidR="00C85F28" w:rsidRDefault="003A29BC">
      <w:pPr>
        <w:spacing w:after="0" w:line="360" w:lineRule="auto"/>
        <w:jc w:val="both"/>
        <w:rPr>
          <w:rFonts w:cs="Times New Roman"/>
          <w:sz w:val="24"/>
          <w:szCs w:val="24"/>
          <w:u w:val="single"/>
        </w:rPr>
      </w:pPr>
      <w:r>
        <w:rPr>
          <w:rFonts w:cs="Times New Roman"/>
          <w:b/>
          <w:sz w:val="24"/>
          <w:szCs w:val="24"/>
        </w:rPr>
        <w:t>Collection of tissue samples and preparation of cell suspensions from mice</w:t>
      </w:r>
    </w:p>
    <w:p w14:paraId="19C61CC0" w14:textId="77777777" w:rsidR="00C85F28" w:rsidRDefault="003A29BC">
      <w:pPr>
        <w:spacing w:after="0" w:line="360" w:lineRule="auto"/>
        <w:jc w:val="both"/>
        <w:rPr>
          <w:rFonts w:cs="Times New Roman"/>
          <w:sz w:val="24"/>
          <w:szCs w:val="24"/>
        </w:rPr>
      </w:pPr>
      <w:r>
        <w:rPr>
          <w:rFonts w:cs="Times New Roman"/>
          <w:sz w:val="24"/>
          <w:szCs w:val="24"/>
        </w:rPr>
        <w:t xml:space="preserve">Peripheral blood was drawn from the submandibular vein for measurements during ongoing </w:t>
      </w:r>
      <w:proofErr w:type="spellStart"/>
      <w:r>
        <w:rPr>
          <w:rFonts w:cs="Times New Roman"/>
          <w:sz w:val="24"/>
          <w:szCs w:val="24"/>
        </w:rPr>
        <w:t>tumor</w:t>
      </w:r>
      <w:proofErr w:type="spellEnd"/>
      <w:r>
        <w:rPr>
          <w:rFonts w:cs="Times New Roman"/>
          <w:sz w:val="24"/>
          <w:szCs w:val="24"/>
        </w:rPr>
        <w:t xml:space="preserve"> growth and by heart puncture at the endpoint of the experiment, and collected in </w:t>
      </w:r>
      <w:proofErr w:type="spellStart"/>
      <w:r>
        <w:rPr>
          <w:rFonts w:cs="Times New Roman"/>
          <w:sz w:val="24"/>
          <w:szCs w:val="24"/>
        </w:rPr>
        <w:t>ethylenediaminetetraacetic</w:t>
      </w:r>
      <w:proofErr w:type="spellEnd"/>
      <w:r>
        <w:rPr>
          <w:rFonts w:cs="Times New Roman"/>
          <w:sz w:val="24"/>
          <w:szCs w:val="24"/>
        </w:rPr>
        <w:t xml:space="preserve"> acid (EDTA)-coated tubes (</w:t>
      </w:r>
      <w:proofErr w:type="spellStart"/>
      <w:r>
        <w:rPr>
          <w:rFonts w:cs="Times New Roman"/>
          <w:sz w:val="24"/>
          <w:szCs w:val="24"/>
        </w:rPr>
        <w:t>Sarstedt</w:t>
      </w:r>
      <w:proofErr w:type="spellEnd"/>
      <w:r>
        <w:rPr>
          <w:rFonts w:cs="Times New Roman"/>
          <w:sz w:val="24"/>
          <w:szCs w:val="24"/>
        </w:rPr>
        <w:t>). Mice were euthanized by increasing concentrations of carbon dioxide (CO</w:t>
      </w:r>
      <w:r>
        <w:rPr>
          <w:rFonts w:cs="Times New Roman"/>
          <w:sz w:val="24"/>
          <w:szCs w:val="24"/>
          <w:vertAlign w:val="subscript"/>
        </w:rPr>
        <w:t>2</w:t>
      </w:r>
      <w:r>
        <w:rPr>
          <w:rFonts w:cs="Times New Roman"/>
          <w:sz w:val="24"/>
          <w:szCs w:val="24"/>
        </w:rPr>
        <w:t xml:space="preserve">). Spleen single-cell suspensions were generated by using the </w:t>
      </w:r>
      <w:proofErr w:type="spellStart"/>
      <w:r>
        <w:rPr>
          <w:rFonts w:cs="Times New Roman"/>
          <w:sz w:val="24"/>
          <w:szCs w:val="24"/>
        </w:rPr>
        <w:t>gentleMACS</w:t>
      </w:r>
      <w:proofErr w:type="spellEnd"/>
      <w:r>
        <w:rPr>
          <w:rFonts w:cs="Times New Roman"/>
          <w:sz w:val="24"/>
          <w:szCs w:val="24"/>
        </w:rPr>
        <w:t xml:space="preserve"> tissue </w:t>
      </w:r>
      <w:proofErr w:type="spellStart"/>
      <w:r>
        <w:rPr>
          <w:rFonts w:cs="Times New Roman"/>
          <w:sz w:val="24"/>
          <w:szCs w:val="24"/>
        </w:rPr>
        <w:t>dissociator</w:t>
      </w:r>
      <w:proofErr w:type="spellEnd"/>
      <w:r>
        <w:rPr>
          <w:rFonts w:cs="Times New Roman"/>
          <w:sz w:val="24"/>
          <w:szCs w:val="24"/>
        </w:rPr>
        <w:t xml:space="preserve"> with Gentle MACS tubes C (</w:t>
      </w:r>
      <w:proofErr w:type="spellStart"/>
      <w:r>
        <w:rPr>
          <w:rFonts w:cs="Times New Roman"/>
          <w:sz w:val="24"/>
          <w:szCs w:val="24"/>
        </w:rPr>
        <w:t>Miltenyi</w:t>
      </w:r>
      <w:proofErr w:type="spellEnd"/>
      <w:r>
        <w:rPr>
          <w:rFonts w:cs="Times New Roman"/>
          <w:sz w:val="24"/>
          <w:szCs w:val="24"/>
        </w:rPr>
        <w:t xml:space="preserve"> </w:t>
      </w:r>
      <w:proofErr w:type="spellStart"/>
      <w:r>
        <w:rPr>
          <w:rFonts w:cs="Times New Roman"/>
          <w:sz w:val="24"/>
          <w:szCs w:val="24"/>
        </w:rPr>
        <w:t>Biotec</w:t>
      </w:r>
      <w:proofErr w:type="spellEnd"/>
      <w:r>
        <w:rPr>
          <w:rFonts w:cs="Times New Roman"/>
          <w:sz w:val="24"/>
          <w:szCs w:val="24"/>
        </w:rPr>
        <w:t xml:space="preserve">) and passing the cells through 70 </w:t>
      </w:r>
      <w:proofErr w:type="spellStart"/>
      <w:r>
        <w:rPr>
          <w:rFonts w:cs="Times New Roman"/>
          <w:sz w:val="24"/>
          <w:szCs w:val="24"/>
        </w:rPr>
        <w:t>μm</w:t>
      </w:r>
      <w:proofErr w:type="spellEnd"/>
      <w:r>
        <w:rPr>
          <w:rFonts w:cs="Times New Roman"/>
          <w:sz w:val="24"/>
          <w:szCs w:val="24"/>
        </w:rPr>
        <w:t xml:space="preserve"> cell strainers (BD Biosciences). Erythrocytes were lysed by using Red blood cell lysis buffer (</w:t>
      </w:r>
      <w:proofErr w:type="spellStart"/>
      <w:r>
        <w:rPr>
          <w:rFonts w:cs="Times New Roman"/>
          <w:sz w:val="24"/>
          <w:szCs w:val="24"/>
        </w:rPr>
        <w:t>Biolegend</w:t>
      </w:r>
      <w:proofErr w:type="spellEnd"/>
      <w:r>
        <w:rPr>
          <w:rFonts w:cs="Times New Roman"/>
          <w:sz w:val="24"/>
          <w:szCs w:val="24"/>
        </w:rPr>
        <w:t>, 420302).</w:t>
      </w:r>
    </w:p>
    <w:p w14:paraId="6049BCE7" w14:textId="77777777" w:rsidR="00C85F28" w:rsidRDefault="00C85F28">
      <w:pPr>
        <w:spacing w:after="0" w:line="360" w:lineRule="auto"/>
        <w:jc w:val="both"/>
        <w:rPr>
          <w:rFonts w:cs="Times New Roman"/>
          <w:sz w:val="24"/>
          <w:szCs w:val="24"/>
        </w:rPr>
      </w:pPr>
    </w:p>
    <w:p w14:paraId="07E0CAE1" w14:textId="77777777" w:rsidR="00C85F28" w:rsidRDefault="003A29BC">
      <w:pPr>
        <w:spacing w:after="0" w:line="360" w:lineRule="auto"/>
        <w:jc w:val="both"/>
        <w:rPr>
          <w:rFonts w:cs="Times New Roman"/>
          <w:b/>
          <w:sz w:val="24"/>
          <w:szCs w:val="24"/>
        </w:rPr>
      </w:pPr>
      <w:r>
        <w:rPr>
          <w:rFonts w:cs="Times New Roman"/>
          <w:b/>
          <w:sz w:val="24"/>
          <w:szCs w:val="24"/>
        </w:rPr>
        <w:t>Flow cytometry</w:t>
      </w:r>
    </w:p>
    <w:p w14:paraId="55D3CEDD" w14:textId="77777777" w:rsidR="00C85F28" w:rsidRDefault="003A29BC">
      <w:pPr>
        <w:spacing w:after="0" w:line="360" w:lineRule="auto"/>
        <w:jc w:val="both"/>
        <w:rPr>
          <w:rFonts w:cs="Times New Roman"/>
          <w:sz w:val="24"/>
          <w:szCs w:val="24"/>
        </w:rPr>
      </w:pPr>
      <w:r>
        <w:rPr>
          <w:rFonts w:cs="Times New Roman"/>
          <w:sz w:val="24"/>
          <w:szCs w:val="24"/>
        </w:rPr>
        <w:t>After preparation of single-cell suspensions, cells were blocked for 15 min with rat serum, diluted 1:50 in PBS. Afterwards, the cells were incubated with recommended dilutions of antibodies (</w:t>
      </w:r>
      <w:proofErr w:type="spellStart"/>
      <w:r>
        <w:rPr>
          <w:rFonts w:cs="Times New Roman"/>
          <w:sz w:val="24"/>
          <w:szCs w:val="24"/>
        </w:rPr>
        <w:t>PerCP</w:t>
      </w:r>
      <w:proofErr w:type="spellEnd"/>
      <w:r>
        <w:rPr>
          <w:rFonts w:cs="Times New Roman"/>
          <w:sz w:val="24"/>
          <w:szCs w:val="24"/>
        </w:rPr>
        <w:t xml:space="preserve">/Cyanine5.5 anti-mouse CD45, </w:t>
      </w:r>
      <w:proofErr w:type="spellStart"/>
      <w:r>
        <w:rPr>
          <w:rFonts w:cs="Times New Roman"/>
          <w:sz w:val="24"/>
          <w:szCs w:val="24"/>
        </w:rPr>
        <w:t>Biolegend</w:t>
      </w:r>
      <w:proofErr w:type="spellEnd"/>
      <w:r>
        <w:rPr>
          <w:rFonts w:cs="Times New Roman"/>
          <w:sz w:val="24"/>
          <w:szCs w:val="24"/>
        </w:rPr>
        <w:t xml:space="preserve"> 103132; FITC anti-mouse CD19, </w:t>
      </w:r>
      <w:proofErr w:type="spellStart"/>
      <w:r>
        <w:rPr>
          <w:rFonts w:cs="Times New Roman"/>
          <w:sz w:val="24"/>
          <w:szCs w:val="24"/>
        </w:rPr>
        <w:lastRenderedPageBreak/>
        <w:t>ThermoFisher</w:t>
      </w:r>
      <w:proofErr w:type="spellEnd"/>
      <w:r>
        <w:rPr>
          <w:rFonts w:cs="Times New Roman"/>
          <w:sz w:val="24"/>
          <w:szCs w:val="24"/>
        </w:rPr>
        <w:t xml:space="preserve"> Scientific 11-0193-82; PE anti-mouse CD5, </w:t>
      </w:r>
      <w:proofErr w:type="spellStart"/>
      <w:r>
        <w:rPr>
          <w:rFonts w:cs="Times New Roman"/>
          <w:sz w:val="24"/>
          <w:szCs w:val="24"/>
        </w:rPr>
        <w:t>Biolegend</w:t>
      </w:r>
      <w:proofErr w:type="spellEnd"/>
      <w:r>
        <w:rPr>
          <w:rFonts w:cs="Times New Roman"/>
          <w:sz w:val="24"/>
          <w:szCs w:val="24"/>
        </w:rPr>
        <w:t xml:space="preserve"> 100608) against cell surface proteins in PBS containing 0.1 % fixable viability dye (</w:t>
      </w:r>
      <w:proofErr w:type="spellStart"/>
      <w:r>
        <w:rPr>
          <w:rFonts w:cs="Times New Roman"/>
          <w:sz w:val="24"/>
          <w:szCs w:val="24"/>
        </w:rPr>
        <w:t>ThermoFisher</w:t>
      </w:r>
      <w:proofErr w:type="spellEnd"/>
      <w:r>
        <w:rPr>
          <w:rFonts w:cs="Times New Roman"/>
          <w:sz w:val="24"/>
          <w:szCs w:val="24"/>
        </w:rPr>
        <w:t xml:space="preserve"> Scientific, 65-0866-14) for 30 min at 4 °C. After washing twice with PBS/2 % FCS, cells were fixed using IC fixation buffer (</w:t>
      </w:r>
      <w:proofErr w:type="spellStart"/>
      <w:r>
        <w:rPr>
          <w:rFonts w:cs="Times New Roman"/>
          <w:sz w:val="24"/>
          <w:szCs w:val="24"/>
        </w:rPr>
        <w:t>Thermo</w:t>
      </w:r>
      <w:proofErr w:type="spellEnd"/>
      <w:r>
        <w:rPr>
          <w:rFonts w:cs="Times New Roman"/>
          <w:sz w:val="24"/>
          <w:szCs w:val="24"/>
        </w:rPr>
        <w:t xml:space="preserve"> Fisher Scientific, 00-8222-49), washed and stored in PBS/2 % FCS at 4 °C in the dark until </w:t>
      </w:r>
      <w:proofErr w:type="spellStart"/>
      <w:r>
        <w:rPr>
          <w:rFonts w:cs="Times New Roman"/>
          <w:sz w:val="24"/>
          <w:szCs w:val="24"/>
        </w:rPr>
        <w:t>analyzed</w:t>
      </w:r>
      <w:proofErr w:type="spellEnd"/>
      <w:r>
        <w:rPr>
          <w:rFonts w:cs="Times New Roman"/>
          <w:sz w:val="24"/>
          <w:szCs w:val="24"/>
        </w:rPr>
        <w:t xml:space="preserve"> by flow cytometry. </w:t>
      </w:r>
    </w:p>
    <w:p w14:paraId="39B3C5CF" w14:textId="77777777" w:rsidR="00C85F28" w:rsidRDefault="003A29BC">
      <w:pPr>
        <w:spacing w:after="0" w:line="360" w:lineRule="auto"/>
        <w:jc w:val="both"/>
        <w:rPr>
          <w:rFonts w:cs="Times New Roman"/>
          <w:sz w:val="24"/>
          <w:szCs w:val="24"/>
        </w:rPr>
      </w:pPr>
      <w:r>
        <w:rPr>
          <w:rFonts w:cs="Times New Roman"/>
          <w:sz w:val="24"/>
          <w:szCs w:val="24"/>
        </w:rPr>
        <w:t>For intracellular c-</w:t>
      </w:r>
      <w:proofErr w:type="spellStart"/>
      <w:r>
        <w:rPr>
          <w:rFonts w:cs="Times New Roman"/>
          <w:sz w:val="24"/>
          <w:szCs w:val="24"/>
        </w:rPr>
        <w:t>Myc</w:t>
      </w:r>
      <w:proofErr w:type="spellEnd"/>
      <w:r>
        <w:rPr>
          <w:rFonts w:cs="Times New Roman"/>
          <w:sz w:val="24"/>
          <w:szCs w:val="24"/>
        </w:rPr>
        <w:t xml:space="preserve"> staining, cells were fixed after surface staining with Foxp3 fixation/</w:t>
      </w:r>
      <w:proofErr w:type="spellStart"/>
      <w:r>
        <w:rPr>
          <w:rFonts w:cs="Times New Roman"/>
          <w:sz w:val="24"/>
          <w:szCs w:val="24"/>
        </w:rPr>
        <w:t>permeabilization</w:t>
      </w:r>
      <w:proofErr w:type="spellEnd"/>
      <w:r>
        <w:rPr>
          <w:rFonts w:cs="Times New Roman"/>
          <w:sz w:val="24"/>
          <w:szCs w:val="24"/>
        </w:rPr>
        <w:t xml:space="preserve"> buffer (</w:t>
      </w:r>
      <w:proofErr w:type="spellStart"/>
      <w:r>
        <w:rPr>
          <w:rFonts w:cs="Times New Roman"/>
          <w:sz w:val="24"/>
          <w:szCs w:val="24"/>
        </w:rPr>
        <w:t>Thermo</w:t>
      </w:r>
      <w:proofErr w:type="spellEnd"/>
      <w:r>
        <w:rPr>
          <w:rFonts w:cs="Times New Roman"/>
          <w:sz w:val="24"/>
          <w:szCs w:val="24"/>
        </w:rPr>
        <w:t xml:space="preserve"> Fisher Scientific, 00-5523-00) for 30 min at RT, followed by </w:t>
      </w:r>
      <w:proofErr w:type="spellStart"/>
      <w:r>
        <w:rPr>
          <w:rFonts w:cs="Times New Roman"/>
          <w:sz w:val="24"/>
          <w:szCs w:val="24"/>
        </w:rPr>
        <w:t>permeabilization</w:t>
      </w:r>
      <w:proofErr w:type="spellEnd"/>
      <w:r>
        <w:rPr>
          <w:rFonts w:cs="Times New Roman"/>
          <w:sz w:val="24"/>
          <w:szCs w:val="24"/>
        </w:rPr>
        <w:t xml:space="preserve"> with 1X </w:t>
      </w:r>
      <w:proofErr w:type="spellStart"/>
      <w:r>
        <w:rPr>
          <w:rFonts w:cs="Times New Roman"/>
          <w:sz w:val="24"/>
          <w:szCs w:val="24"/>
        </w:rPr>
        <w:t>permeabilization</w:t>
      </w:r>
      <w:proofErr w:type="spellEnd"/>
      <w:r>
        <w:rPr>
          <w:rFonts w:cs="Times New Roman"/>
          <w:sz w:val="24"/>
          <w:szCs w:val="24"/>
        </w:rPr>
        <w:t xml:space="preserve"> buffer (</w:t>
      </w:r>
      <w:proofErr w:type="spellStart"/>
      <w:r>
        <w:rPr>
          <w:rFonts w:cs="Times New Roman"/>
          <w:sz w:val="24"/>
          <w:szCs w:val="24"/>
        </w:rPr>
        <w:t>Thermo</w:t>
      </w:r>
      <w:proofErr w:type="spellEnd"/>
      <w:r>
        <w:rPr>
          <w:rFonts w:cs="Times New Roman"/>
          <w:sz w:val="24"/>
          <w:szCs w:val="24"/>
        </w:rPr>
        <w:t xml:space="preserve"> Fisher Scientific, 00-5523-00) and then staining with an antibody against c-</w:t>
      </w:r>
      <w:proofErr w:type="spellStart"/>
      <w:r>
        <w:rPr>
          <w:rFonts w:cs="Times New Roman"/>
          <w:sz w:val="24"/>
          <w:szCs w:val="24"/>
        </w:rPr>
        <w:t>Myc</w:t>
      </w:r>
      <w:proofErr w:type="spellEnd"/>
      <w:r>
        <w:rPr>
          <w:rFonts w:cs="Times New Roman"/>
          <w:sz w:val="24"/>
          <w:szCs w:val="24"/>
        </w:rPr>
        <w:t xml:space="preserve"> (Alexa Fluor 647 D84C12) or an isotype antibody (Rabbit (DA1E) Isotype Alexa Fluor 647 #2985) in 1X </w:t>
      </w:r>
      <w:proofErr w:type="spellStart"/>
      <w:r>
        <w:rPr>
          <w:rFonts w:cs="Times New Roman"/>
          <w:sz w:val="24"/>
          <w:szCs w:val="24"/>
        </w:rPr>
        <w:t>permeabilization</w:t>
      </w:r>
      <w:proofErr w:type="spellEnd"/>
      <w:r>
        <w:rPr>
          <w:rFonts w:cs="Times New Roman"/>
          <w:sz w:val="24"/>
          <w:szCs w:val="24"/>
        </w:rPr>
        <w:t xml:space="preserve"> buffer for 30 min at 4 °C. After washing twice with 1X </w:t>
      </w:r>
      <w:proofErr w:type="spellStart"/>
      <w:r>
        <w:rPr>
          <w:rFonts w:cs="Times New Roman"/>
          <w:sz w:val="24"/>
          <w:szCs w:val="24"/>
        </w:rPr>
        <w:t>permeabilization</w:t>
      </w:r>
      <w:proofErr w:type="spellEnd"/>
      <w:r>
        <w:rPr>
          <w:rFonts w:cs="Times New Roman"/>
          <w:sz w:val="24"/>
          <w:szCs w:val="24"/>
        </w:rPr>
        <w:t xml:space="preserve"> buffer, cells were </w:t>
      </w:r>
      <w:proofErr w:type="spellStart"/>
      <w:r>
        <w:rPr>
          <w:rFonts w:cs="Times New Roman"/>
          <w:sz w:val="24"/>
          <w:szCs w:val="24"/>
        </w:rPr>
        <w:t>resuspended</w:t>
      </w:r>
      <w:proofErr w:type="spellEnd"/>
      <w:r>
        <w:rPr>
          <w:rFonts w:cs="Times New Roman"/>
          <w:sz w:val="24"/>
          <w:szCs w:val="24"/>
        </w:rPr>
        <w:t xml:space="preserve"> in 1X </w:t>
      </w:r>
      <w:proofErr w:type="spellStart"/>
      <w:r>
        <w:rPr>
          <w:rFonts w:cs="Times New Roman"/>
          <w:sz w:val="24"/>
          <w:szCs w:val="24"/>
        </w:rPr>
        <w:t>permeabilization</w:t>
      </w:r>
      <w:proofErr w:type="spellEnd"/>
      <w:r>
        <w:rPr>
          <w:rFonts w:cs="Times New Roman"/>
          <w:sz w:val="24"/>
          <w:szCs w:val="24"/>
        </w:rPr>
        <w:t xml:space="preserve"> buffer and stored at 4 °C in the dark until </w:t>
      </w:r>
      <w:proofErr w:type="spellStart"/>
      <w:r>
        <w:rPr>
          <w:rFonts w:cs="Times New Roman"/>
          <w:sz w:val="24"/>
          <w:szCs w:val="24"/>
        </w:rPr>
        <w:t>analyzed</w:t>
      </w:r>
      <w:proofErr w:type="spellEnd"/>
      <w:r>
        <w:rPr>
          <w:rFonts w:cs="Times New Roman"/>
          <w:sz w:val="24"/>
          <w:szCs w:val="24"/>
        </w:rPr>
        <w:t xml:space="preserve"> by flow cytometry. </w:t>
      </w:r>
    </w:p>
    <w:p w14:paraId="40B861A7" w14:textId="77777777" w:rsidR="00C85F28" w:rsidRDefault="003A29BC">
      <w:pPr>
        <w:spacing w:after="0" w:line="360" w:lineRule="auto"/>
        <w:jc w:val="both"/>
        <w:rPr>
          <w:rFonts w:cs="Times New Roman"/>
          <w:sz w:val="24"/>
          <w:szCs w:val="24"/>
        </w:rPr>
      </w:pPr>
      <w:r>
        <w:rPr>
          <w:rFonts w:cs="Times New Roman"/>
          <w:sz w:val="24"/>
          <w:szCs w:val="24"/>
        </w:rPr>
        <w:t>For labelling of cells in whole blood, 25 µL of PB was stained with antibodies specific for surface molecules (</w:t>
      </w:r>
      <w:proofErr w:type="spellStart"/>
      <w:r>
        <w:rPr>
          <w:rFonts w:cs="Times New Roman"/>
          <w:sz w:val="24"/>
          <w:szCs w:val="24"/>
        </w:rPr>
        <w:t>PerCP</w:t>
      </w:r>
      <w:proofErr w:type="spellEnd"/>
      <w:r>
        <w:rPr>
          <w:rFonts w:cs="Times New Roman"/>
          <w:sz w:val="24"/>
          <w:szCs w:val="24"/>
        </w:rPr>
        <w:t xml:space="preserve">/Cyanine5.5 anti-mouse CD45, </w:t>
      </w:r>
      <w:proofErr w:type="spellStart"/>
      <w:r>
        <w:rPr>
          <w:rFonts w:cs="Times New Roman"/>
          <w:sz w:val="24"/>
          <w:szCs w:val="24"/>
        </w:rPr>
        <w:t>Biolegend</w:t>
      </w:r>
      <w:proofErr w:type="spellEnd"/>
      <w:r>
        <w:rPr>
          <w:rFonts w:cs="Times New Roman"/>
          <w:sz w:val="24"/>
          <w:szCs w:val="24"/>
        </w:rPr>
        <w:t xml:space="preserve"> 103132; FITC anti-mouse CD19, </w:t>
      </w:r>
      <w:proofErr w:type="spellStart"/>
      <w:r>
        <w:rPr>
          <w:rFonts w:cs="Times New Roman"/>
          <w:sz w:val="24"/>
          <w:szCs w:val="24"/>
        </w:rPr>
        <w:t>ThermoFisher</w:t>
      </w:r>
      <w:proofErr w:type="spellEnd"/>
      <w:r>
        <w:rPr>
          <w:rFonts w:cs="Times New Roman"/>
          <w:sz w:val="24"/>
          <w:szCs w:val="24"/>
        </w:rPr>
        <w:t xml:space="preserve"> Scientific 11-0193-82; PE anti-mouse CD5, </w:t>
      </w:r>
      <w:proofErr w:type="spellStart"/>
      <w:r>
        <w:rPr>
          <w:rFonts w:cs="Times New Roman"/>
          <w:sz w:val="24"/>
          <w:szCs w:val="24"/>
        </w:rPr>
        <w:t>Biolegend</w:t>
      </w:r>
      <w:proofErr w:type="spellEnd"/>
      <w:r>
        <w:rPr>
          <w:rFonts w:cs="Times New Roman"/>
          <w:sz w:val="24"/>
          <w:szCs w:val="24"/>
        </w:rPr>
        <w:t xml:space="preserve"> 100608) for 30 min at 4 °C, followed by incubation for 10 min with 2 mL of 1-step Fix/Lyse Solution (</w:t>
      </w:r>
      <w:proofErr w:type="spellStart"/>
      <w:r>
        <w:rPr>
          <w:rFonts w:cs="Times New Roman"/>
          <w:sz w:val="24"/>
          <w:szCs w:val="24"/>
        </w:rPr>
        <w:t>Thermo</w:t>
      </w:r>
      <w:proofErr w:type="spellEnd"/>
      <w:r>
        <w:rPr>
          <w:rFonts w:cs="Times New Roman"/>
          <w:sz w:val="24"/>
          <w:szCs w:val="24"/>
        </w:rPr>
        <w:t xml:space="preserve"> Fisher Scientific, 00-5333-57) to remove erythrocytes. After centrifugation, supernatants were carefully aspirated, and pelleted cells were </w:t>
      </w:r>
      <w:proofErr w:type="spellStart"/>
      <w:r>
        <w:rPr>
          <w:rFonts w:cs="Times New Roman"/>
          <w:sz w:val="24"/>
          <w:szCs w:val="24"/>
        </w:rPr>
        <w:t>resuspended</w:t>
      </w:r>
      <w:proofErr w:type="spellEnd"/>
      <w:r>
        <w:rPr>
          <w:rFonts w:cs="Times New Roman"/>
          <w:sz w:val="24"/>
          <w:szCs w:val="24"/>
        </w:rPr>
        <w:t xml:space="preserve"> in PBS. </w:t>
      </w:r>
    </w:p>
    <w:p w14:paraId="7C871A22" w14:textId="77777777" w:rsidR="00C85F28" w:rsidRDefault="003A29BC">
      <w:pPr>
        <w:spacing w:after="0" w:line="360" w:lineRule="auto"/>
        <w:jc w:val="both"/>
        <w:rPr>
          <w:rFonts w:cs="Times New Roman"/>
          <w:sz w:val="24"/>
          <w:szCs w:val="24"/>
        </w:rPr>
      </w:pPr>
      <w:r>
        <w:rPr>
          <w:rFonts w:cs="Times New Roman"/>
          <w:sz w:val="24"/>
          <w:szCs w:val="24"/>
        </w:rPr>
        <w:t xml:space="preserve">Flow cytometry data was acquired using a BD FACS Canto II or BD LSR </w:t>
      </w:r>
      <w:proofErr w:type="spellStart"/>
      <w:r>
        <w:rPr>
          <w:rFonts w:cs="Times New Roman"/>
          <w:sz w:val="24"/>
          <w:szCs w:val="24"/>
        </w:rPr>
        <w:t>Fortessa</w:t>
      </w:r>
      <w:proofErr w:type="spellEnd"/>
      <w:r>
        <w:rPr>
          <w:rFonts w:cs="Times New Roman"/>
          <w:sz w:val="24"/>
          <w:szCs w:val="24"/>
        </w:rPr>
        <w:t xml:space="preserve"> (BD Biosciences, Heidelberg, Germany) FACS </w:t>
      </w:r>
      <w:proofErr w:type="spellStart"/>
      <w:r>
        <w:rPr>
          <w:rFonts w:cs="Times New Roman"/>
          <w:sz w:val="24"/>
          <w:szCs w:val="24"/>
        </w:rPr>
        <w:t>analyzer</w:t>
      </w:r>
      <w:proofErr w:type="spellEnd"/>
      <w:r>
        <w:rPr>
          <w:rFonts w:cs="Times New Roman"/>
          <w:sz w:val="24"/>
          <w:szCs w:val="24"/>
        </w:rPr>
        <w:t xml:space="preserve"> and </w:t>
      </w:r>
      <w:proofErr w:type="spellStart"/>
      <w:r>
        <w:rPr>
          <w:rFonts w:cs="Times New Roman"/>
          <w:sz w:val="24"/>
          <w:szCs w:val="24"/>
        </w:rPr>
        <w:t>analyzed</w:t>
      </w:r>
      <w:proofErr w:type="spellEnd"/>
      <w:r>
        <w:rPr>
          <w:rFonts w:cs="Times New Roman"/>
          <w:sz w:val="24"/>
          <w:szCs w:val="24"/>
        </w:rPr>
        <w:t xml:space="preserve"> by </w:t>
      </w:r>
      <w:proofErr w:type="spellStart"/>
      <w:r>
        <w:rPr>
          <w:rFonts w:cs="Times New Roman"/>
          <w:sz w:val="24"/>
          <w:szCs w:val="24"/>
        </w:rPr>
        <w:t>FlowJo</w:t>
      </w:r>
      <w:proofErr w:type="spellEnd"/>
      <w:r>
        <w:rPr>
          <w:rFonts w:cs="Times New Roman"/>
          <w:sz w:val="24"/>
          <w:szCs w:val="24"/>
        </w:rPr>
        <w:t xml:space="preserve"> X 10.0.7 software (</w:t>
      </w:r>
      <w:proofErr w:type="spellStart"/>
      <w:r>
        <w:rPr>
          <w:rFonts w:cs="Times New Roman"/>
          <w:sz w:val="24"/>
          <w:szCs w:val="24"/>
        </w:rPr>
        <w:t>FlowJo</w:t>
      </w:r>
      <w:proofErr w:type="spellEnd"/>
      <w:r>
        <w:rPr>
          <w:rFonts w:cs="Times New Roman"/>
          <w:sz w:val="24"/>
          <w:szCs w:val="24"/>
        </w:rPr>
        <w:t>, Ashland, OR, USA).</w:t>
      </w:r>
    </w:p>
    <w:p w14:paraId="66027BB7" w14:textId="77777777" w:rsidR="00C85F28" w:rsidRDefault="00C85F28">
      <w:pPr>
        <w:spacing w:after="0" w:line="360" w:lineRule="auto"/>
        <w:rPr>
          <w:rFonts w:cs="Times New Roman"/>
          <w:sz w:val="24"/>
          <w:szCs w:val="24"/>
        </w:rPr>
      </w:pPr>
    </w:p>
    <w:p w14:paraId="085114F1" w14:textId="77777777" w:rsidR="00C85F28" w:rsidRDefault="003A29BC">
      <w:pPr>
        <w:pStyle w:val="KeinLeerraum"/>
        <w:spacing w:after="0" w:line="360" w:lineRule="auto"/>
        <w:jc w:val="both"/>
        <w:rPr>
          <w:rFonts w:eastAsia="Times New Roman" w:cs="Times New Roman"/>
          <w:b/>
          <w:bCs/>
          <w:sz w:val="24"/>
          <w:szCs w:val="24"/>
        </w:rPr>
      </w:pPr>
      <w:r>
        <w:rPr>
          <w:rFonts w:cs="Times New Roman"/>
          <w:b/>
          <w:bCs/>
          <w:sz w:val="24"/>
          <w:szCs w:val="24"/>
        </w:rPr>
        <w:t>Mouse immunoglobulin repertoire sequencing</w:t>
      </w:r>
    </w:p>
    <w:p w14:paraId="299D25E3" w14:textId="77777777" w:rsidR="00C85F28" w:rsidRDefault="003A29BC">
      <w:pPr>
        <w:pStyle w:val="Body"/>
        <w:spacing w:after="0" w:line="360" w:lineRule="auto"/>
        <w:jc w:val="both"/>
        <w:rPr>
          <w:rFonts w:eastAsia="Times New Roman" w:cs="Times New Roman"/>
          <w:b/>
          <w:bCs/>
          <w:sz w:val="24"/>
          <w:szCs w:val="24"/>
        </w:rPr>
      </w:pPr>
      <w:r>
        <w:rPr>
          <w:rFonts w:cs="Times New Roman"/>
          <w:sz w:val="24"/>
          <w:szCs w:val="24"/>
        </w:rPr>
        <w:t xml:space="preserve">RNA quality was assessed with the Agilent </w:t>
      </w:r>
      <w:proofErr w:type="spellStart"/>
      <w:r>
        <w:rPr>
          <w:rFonts w:cs="Times New Roman"/>
          <w:sz w:val="24"/>
          <w:szCs w:val="24"/>
        </w:rPr>
        <w:t>Bioanalyzer</w:t>
      </w:r>
      <w:proofErr w:type="spellEnd"/>
      <w:r>
        <w:rPr>
          <w:rFonts w:cs="Times New Roman"/>
          <w:sz w:val="24"/>
          <w:szCs w:val="24"/>
        </w:rPr>
        <w:t xml:space="preserve"> and 300-500ng </w:t>
      </w:r>
      <w:proofErr w:type="gramStart"/>
      <w:r>
        <w:rPr>
          <w:rFonts w:cs="Times New Roman"/>
          <w:sz w:val="24"/>
          <w:szCs w:val="24"/>
        </w:rPr>
        <w:t>were</w:t>
      </w:r>
      <w:proofErr w:type="gramEnd"/>
      <w:r>
        <w:rPr>
          <w:rFonts w:cs="Times New Roman"/>
          <w:sz w:val="24"/>
          <w:szCs w:val="24"/>
        </w:rPr>
        <w:t xml:space="preserve"> used for RACE PCR according to previously described protocols </w:t>
      </w:r>
      <w:r>
        <w:rPr>
          <w:rFonts w:cs="Times New Roman"/>
          <w:sz w:val="24"/>
          <w:szCs w:val="24"/>
        </w:rPr>
        <w:fldChar w:fldCharType="begin"/>
      </w:r>
      <w:r>
        <w:rPr>
          <w:rFonts w:cs="Times New Roman"/>
          <w:sz w:val="24"/>
          <w:szCs w:val="24"/>
        </w:rPr>
        <w:instrText xml:space="preserve"> ADDIN EN.CITE </w:instrText>
      </w:r>
      <w:r>
        <w:rPr>
          <w:rFonts w:cs="Times New Roman"/>
          <w:sz w:val="24"/>
          <w:szCs w:val="24"/>
        </w:rPr>
        <w:fldChar w:fldCharType="begin"/>
      </w:r>
      <w:r>
        <w:rPr>
          <w:rFonts w:cs="Times New Roman"/>
          <w:sz w:val="24"/>
          <w:szCs w:val="24"/>
        </w:rPr>
        <w:instrText xml:space="preserve"> ADDIN EN.CITE.DATA </w:instrText>
      </w:r>
      <w:r>
        <w:rPr>
          <w:rFonts w:cs="Times New Roman"/>
          <w:sz w:val="24"/>
          <w:szCs w:val="24"/>
        </w:rPr>
        <w:fldChar w:fldCharType="end"/>
      </w:r>
      <w:r>
        <w:rPr>
          <w:rFonts w:cs="Times New Roman"/>
          <w:sz w:val="24"/>
          <w:szCs w:val="24"/>
        </w:rPr>
        <w:fldChar w:fldCharType="separate"/>
      </w:r>
      <w:r>
        <w:rPr>
          <w:rFonts w:cs="Times New Roman"/>
          <w:sz w:val="24"/>
          <w:szCs w:val="24"/>
        </w:rPr>
        <w:t>(3, 4)</w:t>
      </w:r>
      <w:r>
        <w:rPr>
          <w:rFonts w:cs="Times New Roman"/>
          <w:sz w:val="24"/>
          <w:szCs w:val="24"/>
        </w:rPr>
        <w:fldChar w:fldCharType="end"/>
      </w:r>
      <w:r>
        <w:rPr>
          <w:rFonts w:cs="Times New Roman"/>
          <w:sz w:val="24"/>
          <w:szCs w:val="24"/>
        </w:rPr>
        <w:t xml:space="preserve"> with minor modifications. Briefly, cDNA was synthesized using primers annealing to heavy or light chain constant regions and a barcoded template-switching primer followed by </w:t>
      </w:r>
      <w:proofErr w:type="spellStart"/>
      <w:r>
        <w:rPr>
          <w:rFonts w:cs="Times New Roman"/>
          <w:sz w:val="24"/>
          <w:szCs w:val="24"/>
        </w:rPr>
        <w:t>AMPure</w:t>
      </w:r>
      <w:proofErr w:type="spellEnd"/>
      <w:r>
        <w:rPr>
          <w:rFonts w:cs="Times New Roman"/>
          <w:sz w:val="24"/>
          <w:szCs w:val="24"/>
        </w:rPr>
        <w:t xml:space="preserve"> bead purification. Two consecutive exponential PCRs were subsequently performed using 2 </w:t>
      </w:r>
      <w:proofErr w:type="spellStart"/>
      <w:r>
        <w:rPr>
          <w:rFonts w:cs="Times New Roman"/>
          <w:sz w:val="24"/>
          <w:szCs w:val="24"/>
        </w:rPr>
        <w:t>μl</w:t>
      </w:r>
      <w:proofErr w:type="spellEnd"/>
      <w:r>
        <w:rPr>
          <w:rFonts w:cs="Times New Roman"/>
          <w:sz w:val="24"/>
          <w:szCs w:val="24"/>
        </w:rPr>
        <w:t xml:space="preserve"> of the single-stranded cDNA or the first amplification product, respectively. Libraries were purified with </w:t>
      </w:r>
      <w:proofErr w:type="spellStart"/>
      <w:r>
        <w:rPr>
          <w:rFonts w:cs="Times New Roman"/>
          <w:sz w:val="24"/>
          <w:szCs w:val="24"/>
        </w:rPr>
        <w:t>AMPure</w:t>
      </w:r>
      <w:proofErr w:type="spellEnd"/>
      <w:r>
        <w:rPr>
          <w:rFonts w:cs="Times New Roman"/>
          <w:sz w:val="24"/>
          <w:szCs w:val="24"/>
        </w:rPr>
        <w:t xml:space="preserve"> beads and pools size selection was performed on agarose gels prior to 400+100bp paired-end sequencing in the Illumina </w:t>
      </w:r>
      <w:proofErr w:type="spellStart"/>
      <w:r>
        <w:rPr>
          <w:rFonts w:cs="Times New Roman"/>
          <w:sz w:val="24"/>
          <w:szCs w:val="24"/>
        </w:rPr>
        <w:t>MiSeq</w:t>
      </w:r>
      <w:proofErr w:type="spellEnd"/>
      <w:r>
        <w:rPr>
          <w:rFonts w:cs="Times New Roman"/>
          <w:sz w:val="24"/>
          <w:szCs w:val="24"/>
        </w:rPr>
        <w:t xml:space="preserve"> platform.</w:t>
      </w:r>
    </w:p>
    <w:p w14:paraId="0CC3421F" w14:textId="77777777" w:rsidR="00C85F28" w:rsidRDefault="003A29BC">
      <w:pPr>
        <w:pStyle w:val="Body"/>
        <w:spacing w:after="0" w:line="360" w:lineRule="auto"/>
        <w:rPr>
          <w:rFonts w:cs="Times New Roman"/>
          <w:sz w:val="24"/>
          <w:szCs w:val="24"/>
          <w:lang w:val="it-IT"/>
        </w:rPr>
      </w:pPr>
      <w:r>
        <w:rPr>
          <w:rFonts w:cs="Times New Roman"/>
          <w:sz w:val="24"/>
          <w:szCs w:val="24"/>
        </w:rPr>
        <w:lastRenderedPageBreak/>
        <w:t>List of</w:t>
      </w:r>
      <w:r>
        <w:rPr>
          <w:rFonts w:cs="Times New Roman"/>
          <w:sz w:val="24"/>
          <w:szCs w:val="24"/>
          <w:lang w:val="it-IT"/>
        </w:rPr>
        <w:t xml:space="preserve"> RACE PCR </w:t>
      </w:r>
      <w:proofErr w:type="spellStart"/>
      <w:r>
        <w:rPr>
          <w:rFonts w:cs="Times New Roman"/>
          <w:sz w:val="24"/>
          <w:szCs w:val="24"/>
          <w:lang w:val="it-IT"/>
        </w:rPr>
        <w:t>oligonucleotides</w:t>
      </w:r>
      <w:proofErr w:type="spellEnd"/>
      <w:r>
        <w:rPr>
          <w:rFonts w:cs="Times New Roman"/>
          <w:sz w:val="24"/>
          <w:szCs w:val="24"/>
          <w:lang w:val="it-IT"/>
        </w:rPr>
        <w:t xml:space="preserve"> are </w:t>
      </w:r>
      <w:proofErr w:type="spellStart"/>
      <w:r>
        <w:rPr>
          <w:rFonts w:cs="Times New Roman"/>
          <w:sz w:val="24"/>
          <w:szCs w:val="24"/>
          <w:lang w:val="it-IT"/>
        </w:rPr>
        <w:t>provided</w:t>
      </w:r>
      <w:proofErr w:type="spellEnd"/>
      <w:r>
        <w:rPr>
          <w:rFonts w:cs="Times New Roman"/>
          <w:sz w:val="24"/>
          <w:szCs w:val="24"/>
          <w:lang w:val="it-IT"/>
        </w:rPr>
        <w:t xml:space="preserve"> in </w:t>
      </w:r>
      <w:proofErr w:type="spellStart"/>
      <w:r>
        <w:rPr>
          <w:rFonts w:cs="Times New Roman"/>
          <w:sz w:val="24"/>
          <w:szCs w:val="24"/>
          <w:lang w:val="it-IT"/>
        </w:rPr>
        <w:t>Supplementary</w:t>
      </w:r>
      <w:proofErr w:type="spellEnd"/>
      <w:r>
        <w:rPr>
          <w:rFonts w:cs="Times New Roman"/>
          <w:sz w:val="24"/>
          <w:szCs w:val="24"/>
          <w:lang w:val="it-IT"/>
        </w:rPr>
        <w:t xml:space="preserve"> </w:t>
      </w:r>
      <w:proofErr w:type="spellStart"/>
      <w:r>
        <w:rPr>
          <w:rFonts w:cs="Times New Roman"/>
          <w:sz w:val="24"/>
          <w:szCs w:val="24"/>
          <w:lang w:val="it-IT"/>
        </w:rPr>
        <w:t>Table</w:t>
      </w:r>
      <w:proofErr w:type="spellEnd"/>
      <w:r>
        <w:rPr>
          <w:rFonts w:cs="Times New Roman"/>
          <w:sz w:val="24"/>
          <w:szCs w:val="24"/>
          <w:lang w:val="it-IT"/>
        </w:rPr>
        <w:t xml:space="preserve"> 9.</w:t>
      </w:r>
    </w:p>
    <w:p w14:paraId="368046C3" w14:textId="77777777" w:rsidR="00001C06" w:rsidRDefault="00001C06">
      <w:pPr>
        <w:pStyle w:val="Body"/>
        <w:spacing w:after="0" w:line="360" w:lineRule="auto"/>
        <w:rPr>
          <w:rFonts w:eastAsia="Times New Roman" w:cs="Times New Roman"/>
          <w:sz w:val="24"/>
          <w:szCs w:val="24"/>
        </w:rPr>
      </w:pPr>
    </w:p>
    <w:p w14:paraId="39CC4BC5" w14:textId="77777777" w:rsidR="00C85F28" w:rsidRDefault="003A29BC">
      <w:pPr>
        <w:spacing w:after="0" w:line="360" w:lineRule="auto"/>
        <w:rPr>
          <w:rFonts w:eastAsia="Droid Sans Fallback" w:cs="Times New Roman"/>
          <w:b/>
          <w:bCs/>
          <w:color w:val="000000"/>
          <w:sz w:val="24"/>
          <w:szCs w:val="24"/>
          <w:lang w:eastAsia="zh-CN" w:bidi="hi-IN"/>
        </w:rPr>
      </w:pPr>
      <w:r>
        <w:rPr>
          <w:rFonts w:cs="Times New Roman"/>
          <w:b/>
          <w:bCs/>
          <w:color w:val="000000" w:themeColor="text1"/>
          <w:sz w:val="24"/>
          <w:szCs w:val="24"/>
        </w:rPr>
        <w:t>Sequencing and alignment</w:t>
      </w:r>
    </w:p>
    <w:p w14:paraId="6D839A5B" w14:textId="77777777" w:rsidR="00C85F28" w:rsidRDefault="003A29BC">
      <w:pPr>
        <w:tabs>
          <w:tab w:val="left" w:pos="7230"/>
        </w:tabs>
        <w:spacing w:after="0" w:line="360" w:lineRule="auto"/>
        <w:jc w:val="both"/>
        <w:rPr>
          <w:rFonts w:eastAsia="Droid Sans Fallback" w:cs="Times New Roman"/>
          <w:color w:val="000000"/>
          <w:sz w:val="24"/>
          <w:szCs w:val="24"/>
          <w:lang w:eastAsia="zh-CN" w:bidi="hi-IN"/>
        </w:rPr>
      </w:pPr>
      <w:r>
        <w:rPr>
          <w:rFonts w:eastAsia="Droid Sans Fallback" w:cs="Times New Roman"/>
          <w:color w:val="000000" w:themeColor="text1"/>
          <w:sz w:val="24"/>
          <w:szCs w:val="24"/>
          <w:lang w:eastAsia="zh-CN" w:bidi="hi-IN"/>
        </w:rPr>
        <w:t xml:space="preserve">Library preparation for targeted sequencing was performed using </w:t>
      </w:r>
      <w:proofErr w:type="spellStart"/>
      <w:r>
        <w:rPr>
          <w:rFonts w:eastAsia="Droid Sans Fallback" w:cs="Times New Roman"/>
          <w:color w:val="000000" w:themeColor="text1"/>
          <w:sz w:val="24"/>
          <w:szCs w:val="24"/>
          <w:lang w:eastAsia="zh-CN" w:bidi="hi-IN"/>
        </w:rPr>
        <w:t>SureSelectXT</w:t>
      </w:r>
      <w:proofErr w:type="spellEnd"/>
      <w:r>
        <w:rPr>
          <w:rFonts w:eastAsia="Droid Sans Fallback" w:cs="Times New Roman"/>
          <w:color w:val="000000" w:themeColor="text1"/>
          <w:sz w:val="24"/>
          <w:szCs w:val="24"/>
          <w:lang w:eastAsia="zh-CN" w:bidi="hi-IN"/>
        </w:rPr>
        <w:t xml:space="preserve"> Mouse All Exon kit from Agilent. The samples were subsequently sequenced on HiSeq2000 (n=8, 4 </w:t>
      </w:r>
      <w:r>
        <w:rPr>
          <w:rFonts w:eastAsia="Times New Roman" w:cs="Arial"/>
          <w:bCs/>
          <w:sz w:val="24"/>
          <w:szCs w:val="24"/>
        </w:rPr>
        <w:t>Eµ-</w:t>
      </w:r>
      <w:r>
        <w:rPr>
          <w:rFonts w:eastAsia="Droid Sans Fallback" w:cs="Times New Roman"/>
          <w:i/>
          <w:iCs/>
          <w:color w:val="000000" w:themeColor="text1"/>
          <w:sz w:val="24"/>
          <w:szCs w:val="24"/>
          <w:lang w:eastAsia="zh-CN" w:bidi="hi-IN"/>
        </w:rPr>
        <w:t>TCL1</w:t>
      </w:r>
      <w:r>
        <w:rPr>
          <w:rFonts w:eastAsia="Droid Sans Fallback" w:cs="Times New Roman"/>
          <w:color w:val="000000" w:themeColor="text1"/>
          <w:sz w:val="24"/>
          <w:szCs w:val="24"/>
          <w:lang w:eastAsia="zh-CN" w:bidi="hi-IN"/>
        </w:rPr>
        <w:t xml:space="preserve"> mouse </w:t>
      </w:r>
      <w:proofErr w:type="spellStart"/>
      <w:r>
        <w:rPr>
          <w:rFonts w:eastAsia="Droid Sans Fallback" w:cs="Times New Roman"/>
          <w:color w:val="000000" w:themeColor="text1"/>
          <w:sz w:val="24"/>
          <w:szCs w:val="24"/>
          <w:lang w:eastAsia="zh-CN" w:bidi="hi-IN"/>
        </w:rPr>
        <w:t>tumors</w:t>
      </w:r>
      <w:proofErr w:type="spellEnd"/>
      <w:r>
        <w:rPr>
          <w:rFonts w:eastAsia="Droid Sans Fallback" w:cs="Times New Roman"/>
          <w:color w:val="000000" w:themeColor="text1"/>
          <w:sz w:val="24"/>
          <w:szCs w:val="24"/>
          <w:lang w:eastAsia="zh-CN" w:bidi="hi-IN"/>
        </w:rPr>
        <w:t xml:space="preserve"> and matched controls); and </w:t>
      </w:r>
      <w:proofErr w:type="spellStart"/>
      <w:r>
        <w:rPr>
          <w:rFonts w:eastAsia="Droid Sans Fallback" w:cs="Times New Roman"/>
          <w:color w:val="000000" w:themeColor="text1"/>
          <w:sz w:val="24"/>
          <w:szCs w:val="24"/>
          <w:lang w:eastAsia="zh-CN" w:bidi="hi-IN"/>
        </w:rPr>
        <w:t>HiSeq</w:t>
      </w:r>
      <w:proofErr w:type="spellEnd"/>
      <w:r>
        <w:rPr>
          <w:rFonts w:eastAsia="Droid Sans Fallback" w:cs="Times New Roman"/>
          <w:color w:val="000000" w:themeColor="text1"/>
          <w:sz w:val="24"/>
          <w:szCs w:val="24"/>
          <w:lang w:eastAsia="zh-CN" w:bidi="hi-IN"/>
        </w:rPr>
        <w:t xml:space="preserve"> 4000  (n=12; 4 primary </w:t>
      </w:r>
      <w:proofErr w:type="spellStart"/>
      <w:r>
        <w:rPr>
          <w:rFonts w:eastAsia="Droid Sans Fallback" w:cs="Times New Roman"/>
          <w:color w:val="000000" w:themeColor="text1"/>
          <w:sz w:val="24"/>
          <w:szCs w:val="24"/>
          <w:lang w:eastAsia="zh-CN" w:bidi="hi-IN"/>
        </w:rPr>
        <w:t>tumors</w:t>
      </w:r>
      <w:proofErr w:type="spellEnd"/>
      <w:r>
        <w:rPr>
          <w:rFonts w:eastAsia="Droid Sans Fallback" w:cs="Times New Roman"/>
          <w:color w:val="000000" w:themeColor="text1"/>
          <w:sz w:val="24"/>
          <w:szCs w:val="24"/>
          <w:lang w:eastAsia="zh-CN" w:bidi="hi-IN"/>
        </w:rPr>
        <w:t xml:space="preserve">, 4 secondary transplanted </w:t>
      </w:r>
      <w:proofErr w:type="spellStart"/>
      <w:r>
        <w:rPr>
          <w:rFonts w:eastAsia="Droid Sans Fallback" w:cs="Times New Roman"/>
          <w:color w:val="000000" w:themeColor="text1"/>
          <w:sz w:val="24"/>
          <w:szCs w:val="24"/>
          <w:lang w:eastAsia="zh-CN" w:bidi="hi-IN"/>
        </w:rPr>
        <w:t>tumors</w:t>
      </w:r>
      <w:proofErr w:type="spellEnd"/>
      <w:r>
        <w:rPr>
          <w:rFonts w:eastAsia="Droid Sans Fallback" w:cs="Times New Roman"/>
          <w:color w:val="000000" w:themeColor="text1"/>
          <w:sz w:val="24"/>
          <w:szCs w:val="24"/>
          <w:lang w:eastAsia="zh-CN" w:bidi="hi-IN"/>
        </w:rPr>
        <w:t xml:space="preserve">, 4 matched controls from the primary </w:t>
      </w:r>
      <w:proofErr w:type="spellStart"/>
      <w:r>
        <w:rPr>
          <w:rFonts w:eastAsia="Droid Sans Fallback" w:cs="Times New Roman"/>
          <w:color w:val="000000" w:themeColor="text1"/>
          <w:sz w:val="24"/>
          <w:szCs w:val="24"/>
          <w:lang w:eastAsia="zh-CN" w:bidi="hi-IN"/>
        </w:rPr>
        <w:t>tumors</w:t>
      </w:r>
      <w:proofErr w:type="spellEnd"/>
      <w:r>
        <w:rPr>
          <w:rFonts w:eastAsia="Droid Sans Fallback" w:cs="Times New Roman"/>
          <w:color w:val="000000" w:themeColor="text1"/>
          <w:sz w:val="24"/>
          <w:szCs w:val="24"/>
          <w:lang w:eastAsia="zh-CN" w:bidi="hi-IN"/>
        </w:rPr>
        <w:t xml:space="preserve">) platforms using 100bp paired-end reads with 4 samples per lane according to the manufacturer’s instructions at the DKFZ Genomics and Proteomics Core Facility. </w:t>
      </w:r>
    </w:p>
    <w:p w14:paraId="6CC5946F" w14:textId="77777777" w:rsidR="00C85F28" w:rsidRDefault="003A29BC">
      <w:pPr>
        <w:spacing w:after="0" w:line="360" w:lineRule="auto"/>
        <w:jc w:val="both"/>
        <w:rPr>
          <w:rFonts w:cs="Times New Roman"/>
          <w:sz w:val="24"/>
          <w:szCs w:val="24"/>
          <w:shd w:val="clear" w:color="auto" w:fill="FFFFFF"/>
        </w:rPr>
      </w:pPr>
      <w:r>
        <w:rPr>
          <w:rFonts w:cs="Times New Roman"/>
          <w:sz w:val="24"/>
          <w:szCs w:val="24"/>
          <w:shd w:val="clear" w:color="auto" w:fill="FFFFFF"/>
        </w:rPr>
        <w:t xml:space="preserve">Raw </w:t>
      </w:r>
      <w:proofErr w:type="spellStart"/>
      <w:r>
        <w:rPr>
          <w:rFonts w:cs="Times New Roman"/>
          <w:sz w:val="24"/>
          <w:szCs w:val="24"/>
          <w:shd w:val="clear" w:color="auto" w:fill="FFFFFF"/>
        </w:rPr>
        <w:t>exonic</w:t>
      </w:r>
      <w:proofErr w:type="spellEnd"/>
      <w:r>
        <w:rPr>
          <w:rFonts w:cs="Times New Roman"/>
          <w:sz w:val="24"/>
          <w:szCs w:val="24"/>
          <w:shd w:val="clear" w:color="auto" w:fill="FFFFFF"/>
        </w:rPr>
        <w:t xml:space="preserve"> reads (FASTQ) were aligned using </w:t>
      </w:r>
      <w:r>
        <w:rPr>
          <w:rFonts w:cs="Times New Roman"/>
          <w:sz w:val="24"/>
          <w:szCs w:val="24"/>
          <w:lang w:eastAsia="de-AT"/>
        </w:rPr>
        <w:t xml:space="preserve">Burrows-Wheeler Aligner </w:t>
      </w:r>
      <w:r>
        <w:rPr>
          <w:rFonts w:cs="Times New Roman"/>
          <w:sz w:val="24"/>
          <w:szCs w:val="24"/>
          <w:shd w:val="clear" w:color="auto" w:fill="FFFFFF"/>
        </w:rPr>
        <w:t>(</w:t>
      </w:r>
      <w:proofErr w:type="spellStart"/>
      <w:r>
        <w:rPr>
          <w:rFonts w:cs="Times New Roman"/>
          <w:sz w:val="24"/>
          <w:szCs w:val="24"/>
          <w:shd w:val="clear" w:color="auto" w:fill="FFFFFF"/>
        </w:rPr>
        <w:t>bwa</w:t>
      </w:r>
      <w:proofErr w:type="spellEnd"/>
      <w:r>
        <w:rPr>
          <w:rFonts w:cs="Times New Roman"/>
          <w:sz w:val="24"/>
          <w:szCs w:val="24"/>
          <w:shd w:val="clear" w:color="auto" w:fill="FFFFFF"/>
        </w:rPr>
        <w:t>-mem v0.7.8) to the mouse reference assembly (UCSC mm10) using default parameters. Biobambam2 (v0.0.148) was used for sorting. Duplicates were marked using Picard and temporary alignment files were merged.</w:t>
      </w:r>
    </w:p>
    <w:p w14:paraId="72DC5E6E" w14:textId="77777777" w:rsidR="00C85F28" w:rsidRDefault="003A29BC">
      <w:pPr>
        <w:spacing w:after="0" w:line="360" w:lineRule="auto"/>
        <w:jc w:val="both"/>
        <w:rPr>
          <w:rFonts w:cs="Times New Roman"/>
          <w:sz w:val="24"/>
          <w:szCs w:val="24"/>
          <w:shd w:val="clear" w:color="auto" w:fill="FFFFFF"/>
        </w:rPr>
      </w:pPr>
      <w:r>
        <w:rPr>
          <w:rFonts w:cs="Times New Roman"/>
          <w:sz w:val="24"/>
          <w:szCs w:val="24"/>
          <w:shd w:val="clear" w:color="auto" w:fill="FFFFFF"/>
        </w:rPr>
        <w:t xml:space="preserve">Data from WES and targeted sequencing can be viewed and downloaded at </w:t>
      </w:r>
      <w:hyperlink r:id="rId7" w:tooltip="https://www.ebi.ac.uk/ena/browser/home" w:history="1">
        <w:r>
          <w:rPr>
            <w:rStyle w:val="Hyperlink"/>
            <w:rFonts w:cs="Times New Roman"/>
            <w:sz w:val="24"/>
            <w:szCs w:val="24"/>
            <w:shd w:val="clear" w:color="auto" w:fill="FFFFFF"/>
          </w:rPr>
          <w:t>https://www.ebi.ac.uk/ena/browser/home</w:t>
        </w:r>
      </w:hyperlink>
      <w:r>
        <w:rPr>
          <w:rFonts w:cs="Times New Roman"/>
          <w:sz w:val="24"/>
          <w:szCs w:val="24"/>
          <w:shd w:val="clear" w:color="auto" w:fill="FFFFFF"/>
        </w:rPr>
        <w:t> under the project Id PRJEB42362.</w:t>
      </w:r>
    </w:p>
    <w:p w14:paraId="0B1FA8C3" w14:textId="77777777" w:rsidR="00C85F28" w:rsidRDefault="00C85F28">
      <w:pPr>
        <w:spacing w:after="0" w:line="360" w:lineRule="auto"/>
        <w:jc w:val="both"/>
        <w:rPr>
          <w:rFonts w:cs="Times New Roman"/>
          <w:sz w:val="24"/>
          <w:szCs w:val="24"/>
        </w:rPr>
      </w:pPr>
    </w:p>
    <w:p w14:paraId="5899EB9F" w14:textId="77777777" w:rsidR="00C85F28" w:rsidRDefault="003A29BC">
      <w:pPr>
        <w:spacing w:after="0" w:line="360" w:lineRule="auto"/>
        <w:rPr>
          <w:rFonts w:eastAsia="Droid Sans Fallback" w:cs="Times New Roman"/>
          <w:b/>
          <w:bCs/>
          <w:color w:val="000000"/>
          <w:sz w:val="24"/>
          <w:szCs w:val="24"/>
          <w:lang w:eastAsia="zh-CN" w:bidi="hi-IN"/>
        </w:rPr>
      </w:pPr>
      <w:r>
        <w:rPr>
          <w:rFonts w:cs="Times New Roman"/>
          <w:b/>
          <w:bCs/>
          <w:color w:val="000000" w:themeColor="text1"/>
          <w:sz w:val="24"/>
          <w:szCs w:val="24"/>
        </w:rPr>
        <w:t>Calling single nucleotide variants (SNVs)</w:t>
      </w:r>
    </w:p>
    <w:p w14:paraId="23F1281A" w14:textId="77777777" w:rsidR="00C85F28" w:rsidRDefault="003A29BC">
      <w:pPr>
        <w:spacing w:after="0" w:line="360" w:lineRule="auto"/>
        <w:jc w:val="both"/>
        <w:rPr>
          <w:rFonts w:eastAsia="Droid Sans Fallback" w:cs="Times New Roman"/>
          <w:color w:val="000000"/>
          <w:sz w:val="24"/>
          <w:szCs w:val="24"/>
          <w:lang w:eastAsia="zh-CN" w:bidi="hi-IN"/>
        </w:rPr>
      </w:pPr>
      <w:r>
        <w:rPr>
          <w:rFonts w:cs="Times New Roman"/>
          <w:sz w:val="24"/>
          <w:szCs w:val="24"/>
        </w:rPr>
        <w:t xml:space="preserve">SNVs were called from aligned whole exome sequencing (WES) data of mouse </w:t>
      </w:r>
      <w:proofErr w:type="spellStart"/>
      <w:r>
        <w:rPr>
          <w:rFonts w:cs="Times New Roman"/>
          <w:sz w:val="24"/>
          <w:szCs w:val="24"/>
        </w:rPr>
        <w:t>tumors</w:t>
      </w:r>
      <w:proofErr w:type="spellEnd"/>
      <w:r>
        <w:rPr>
          <w:rFonts w:cs="Times New Roman"/>
          <w:sz w:val="24"/>
          <w:szCs w:val="24"/>
        </w:rPr>
        <w:t xml:space="preserve"> and matched control samples using the command line tool Mutect2 from GATK (v4.0.2.0) </w:t>
      </w:r>
      <w:r>
        <w:rPr>
          <w:rFonts w:cs="Times New Roman"/>
          <w:sz w:val="24"/>
          <w:szCs w:val="24"/>
        </w:rPr>
        <w:fldChar w:fldCharType="begin"/>
      </w:r>
      <w:r>
        <w:rPr>
          <w:rFonts w:cs="Times New Roman"/>
          <w:sz w:val="24"/>
          <w:szCs w:val="24"/>
        </w:rPr>
        <w:instrText xml:space="preserve"> ADDIN EN.CITE &lt;EndNote&gt;&lt;Cite&gt;&lt;Author&gt;Benjamin&lt;/Author&gt;&lt;Year&gt;2019&lt;/Year&gt;&lt;RecNum&gt;116&lt;/RecNum&gt;&lt;DisplayText&gt;(5)&lt;/DisplayText&gt;&lt;record&gt;&lt;rec-number&gt;116&lt;/rec-number&gt;&lt;foreign-keys&gt;&lt;key app="EN" db-id="zsxft0d9m0rawce02fmvszwn5wszese0vr5t" timestamp="1587755984"&gt;116&lt;/key&gt;&lt;/foreign-keys&gt;&lt;ref-type name="Journal Article"&gt;17&lt;/ref-type&gt;&lt;contributors&gt;&lt;authors&gt;&lt;author&gt;Benjamin, David&lt;/author&gt;&lt;author&gt;Sato, Takuto&lt;/author&gt;&lt;author&gt;Cibulskis, Kristian&lt;/author&gt;&lt;author&gt;Getz, Gad&lt;/author&gt;&lt;author&gt;Stewart, Chip&lt;/author&gt;&lt;author&gt;Lichtenstein, Lee&lt;/author&gt;&lt;/authors&gt;&lt;/contributors&gt;&lt;titles&gt;&lt;title&gt;Calling Somatic SNVs and Indels with Mutect2&lt;/title&gt;&lt;/titles&gt;&lt;dates&gt;&lt;year&gt;2019&lt;/year&gt;&lt;/dates&gt;&lt;urls&gt;&lt;/urls&gt;&lt;electronic-resource-num&gt;10.1101/861054&lt;/electronic-resource-num&gt;&lt;/record&gt;&lt;/Cite&gt;&lt;/EndNote&gt;</w:instrText>
      </w:r>
      <w:r>
        <w:rPr>
          <w:rFonts w:cs="Times New Roman"/>
          <w:sz w:val="24"/>
          <w:szCs w:val="24"/>
        </w:rPr>
        <w:fldChar w:fldCharType="separate"/>
      </w:r>
      <w:r>
        <w:rPr>
          <w:rFonts w:cs="Times New Roman"/>
          <w:sz w:val="24"/>
          <w:szCs w:val="24"/>
        </w:rPr>
        <w:t>(5)</w:t>
      </w:r>
      <w:r>
        <w:rPr>
          <w:rFonts w:cs="Times New Roman"/>
          <w:sz w:val="24"/>
          <w:szCs w:val="24"/>
        </w:rPr>
        <w:fldChar w:fldCharType="end"/>
      </w:r>
      <w:r>
        <w:rPr>
          <w:rFonts w:cs="Times New Roman"/>
          <w:sz w:val="24"/>
          <w:szCs w:val="24"/>
        </w:rPr>
        <w:t>. The cohort included four primary E</w:t>
      </w:r>
      <w:r>
        <w:rPr>
          <w:rFonts w:ascii="Symbol" w:eastAsia="Symbol" w:hAnsi="Symbol" w:cs="Symbol"/>
          <w:sz w:val="24"/>
          <w:szCs w:val="24"/>
        </w:rPr>
        <w:t></w:t>
      </w:r>
      <w:r>
        <w:rPr>
          <w:rFonts w:cs="Times New Roman"/>
          <w:sz w:val="24"/>
          <w:szCs w:val="24"/>
        </w:rPr>
        <w:t>-</w:t>
      </w:r>
      <w:r>
        <w:rPr>
          <w:rFonts w:cs="Times New Roman"/>
          <w:i/>
          <w:iCs/>
          <w:sz w:val="24"/>
          <w:szCs w:val="24"/>
        </w:rPr>
        <w:t>TCL1</w:t>
      </w:r>
      <w:r>
        <w:rPr>
          <w:rFonts w:cs="Times New Roman"/>
          <w:sz w:val="24"/>
          <w:szCs w:val="24"/>
        </w:rPr>
        <w:t xml:space="preserve"> mouse </w:t>
      </w:r>
      <w:proofErr w:type="spellStart"/>
      <w:r>
        <w:rPr>
          <w:rFonts w:cs="Times New Roman"/>
          <w:sz w:val="24"/>
          <w:szCs w:val="24"/>
        </w:rPr>
        <w:t>tumors</w:t>
      </w:r>
      <w:proofErr w:type="spellEnd"/>
      <w:r>
        <w:rPr>
          <w:rFonts w:cs="Times New Roman"/>
          <w:sz w:val="24"/>
          <w:szCs w:val="24"/>
        </w:rPr>
        <w:t xml:space="preserve"> and their four serially transplanted secondary </w:t>
      </w:r>
      <w:proofErr w:type="spellStart"/>
      <w:r>
        <w:rPr>
          <w:rFonts w:cs="Times New Roman"/>
          <w:sz w:val="24"/>
          <w:szCs w:val="24"/>
        </w:rPr>
        <w:t>tumors</w:t>
      </w:r>
      <w:proofErr w:type="spellEnd"/>
      <w:r>
        <w:rPr>
          <w:rFonts w:cs="Times New Roman"/>
          <w:sz w:val="24"/>
          <w:szCs w:val="24"/>
        </w:rPr>
        <w:t xml:space="preserve">. Additionally, all available normal/control mouse samples (n = 8; 3 primary </w:t>
      </w:r>
      <w:proofErr w:type="spellStart"/>
      <w:r>
        <w:rPr>
          <w:rFonts w:cs="Times New Roman"/>
          <w:sz w:val="24"/>
          <w:szCs w:val="24"/>
        </w:rPr>
        <w:t>tumor</w:t>
      </w:r>
      <w:proofErr w:type="spellEnd"/>
      <w:r>
        <w:rPr>
          <w:rFonts w:cs="Times New Roman"/>
          <w:sz w:val="24"/>
          <w:szCs w:val="24"/>
        </w:rPr>
        <w:t xml:space="preserve"> matched T cells from spleen and 5 primary </w:t>
      </w:r>
      <w:proofErr w:type="spellStart"/>
      <w:r>
        <w:rPr>
          <w:rFonts w:cs="Times New Roman"/>
          <w:sz w:val="24"/>
          <w:szCs w:val="24"/>
        </w:rPr>
        <w:t>tumor</w:t>
      </w:r>
      <w:proofErr w:type="spellEnd"/>
      <w:r>
        <w:rPr>
          <w:rFonts w:cs="Times New Roman"/>
          <w:sz w:val="24"/>
          <w:szCs w:val="24"/>
        </w:rPr>
        <w:t xml:space="preserve"> matched tails including 4 tails from separate E</w:t>
      </w:r>
      <w:r>
        <w:rPr>
          <w:rFonts w:ascii="Symbol" w:eastAsia="Symbol" w:hAnsi="Symbol" w:cs="Symbol"/>
          <w:sz w:val="24"/>
          <w:szCs w:val="24"/>
        </w:rPr>
        <w:t></w:t>
      </w:r>
      <w:r>
        <w:rPr>
          <w:rFonts w:cs="Times New Roman"/>
          <w:sz w:val="24"/>
          <w:szCs w:val="24"/>
        </w:rPr>
        <w:t>-</w:t>
      </w:r>
      <w:r>
        <w:rPr>
          <w:rFonts w:cs="Times New Roman"/>
          <w:i/>
          <w:iCs/>
          <w:sz w:val="24"/>
          <w:szCs w:val="24"/>
        </w:rPr>
        <w:t>TCL1</w:t>
      </w:r>
      <w:r>
        <w:rPr>
          <w:rFonts w:cs="Times New Roman"/>
          <w:sz w:val="24"/>
          <w:szCs w:val="24"/>
        </w:rPr>
        <w:t xml:space="preserve"> mice as additional controls) were used to construct a PON (panel of </w:t>
      </w:r>
      <w:proofErr w:type="spellStart"/>
      <w:r>
        <w:rPr>
          <w:rFonts w:cs="Times New Roman"/>
          <w:sz w:val="24"/>
          <w:szCs w:val="24"/>
        </w:rPr>
        <w:t>normals</w:t>
      </w:r>
      <w:proofErr w:type="spellEnd"/>
      <w:r>
        <w:rPr>
          <w:rFonts w:cs="Times New Roman"/>
          <w:sz w:val="24"/>
          <w:szCs w:val="24"/>
        </w:rPr>
        <w:t xml:space="preserve">). Mutations were called first against each normal sample as if it was a </w:t>
      </w:r>
      <w:proofErr w:type="spellStart"/>
      <w:r>
        <w:rPr>
          <w:rFonts w:cs="Times New Roman"/>
          <w:sz w:val="24"/>
          <w:szCs w:val="24"/>
        </w:rPr>
        <w:t>tumor</w:t>
      </w:r>
      <w:proofErr w:type="spellEnd"/>
      <w:r>
        <w:rPr>
          <w:rFonts w:cs="Times New Roman"/>
          <w:sz w:val="24"/>
          <w:szCs w:val="24"/>
        </w:rPr>
        <w:t xml:space="preserve"> sample (</w:t>
      </w:r>
      <w:proofErr w:type="spellStart"/>
      <w:r>
        <w:rPr>
          <w:rFonts w:cs="Times New Roman"/>
          <w:sz w:val="24"/>
          <w:szCs w:val="24"/>
        </w:rPr>
        <w:t>tumor</w:t>
      </w:r>
      <w:proofErr w:type="spellEnd"/>
      <w:r>
        <w:rPr>
          <w:rFonts w:cs="Times New Roman"/>
          <w:sz w:val="24"/>
          <w:szCs w:val="24"/>
        </w:rPr>
        <w:t>-only mode). Resulting germline mutations from all normal/controls were then combined using “</w:t>
      </w:r>
      <w:proofErr w:type="spellStart"/>
      <w:r>
        <w:rPr>
          <w:rFonts w:cs="Times New Roman"/>
          <w:sz w:val="24"/>
          <w:szCs w:val="24"/>
        </w:rPr>
        <w:t>CreateSomaticPanelOfNormals</w:t>
      </w:r>
      <w:proofErr w:type="spellEnd"/>
      <w:r>
        <w:rPr>
          <w:rFonts w:cs="Times New Roman"/>
          <w:sz w:val="24"/>
          <w:szCs w:val="24"/>
        </w:rPr>
        <w:t xml:space="preserve">” functionality of Mutect2 and supplied during paired Mutect2 mutation calling. Other parameters used with Mutect2 were base quality score threshold of 25 (--base-quality-score-threshold) and </w:t>
      </w:r>
      <w:proofErr w:type="spellStart"/>
      <w:r>
        <w:rPr>
          <w:rFonts w:cs="Times New Roman"/>
          <w:sz w:val="24"/>
          <w:szCs w:val="24"/>
        </w:rPr>
        <w:t>dbSNP</w:t>
      </w:r>
      <w:proofErr w:type="spellEnd"/>
      <w:r>
        <w:rPr>
          <w:rFonts w:cs="Times New Roman"/>
          <w:sz w:val="24"/>
          <w:szCs w:val="24"/>
        </w:rPr>
        <w:t xml:space="preserve"> v142 for mm10 as a germline resource (--germline-resource) that helped to eliminate germline variants common in the population in general that were missed during mutation calling. Finally, pileup summaries (</w:t>
      </w:r>
      <w:proofErr w:type="spellStart"/>
      <w:r>
        <w:rPr>
          <w:rFonts w:cs="Times New Roman"/>
          <w:sz w:val="24"/>
          <w:szCs w:val="24"/>
        </w:rPr>
        <w:t>GetPileupSummaries</w:t>
      </w:r>
      <w:proofErr w:type="spellEnd"/>
      <w:r>
        <w:rPr>
          <w:rFonts w:cs="Times New Roman"/>
          <w:sz w:val="24"/>
          <w:szCs w:val="24"/>
        </w:rPr>
        <w:t xml:space="preserve">) were estimated for each </w:t>
      </w:r>
      <w:proofErr w:type="spellStart"/>
      <w:r>
        <w:rPr>
          <w:rFonts w:cs="Times New Roman"/>
          <w:sz w:val="24"/>
          <w:szCs w:val="24"/>
        </w:rPr>
        <w:t>tumor</w:t>
      </w:r>
      <w:proofErr w:type="spellEnd"/>
      <w:r>
        <w:rPr>
          <w:rFonts w:cs="Times New Roman"/>
          <w:sz w:val="24"/>
          <w:szCs w:val="24"/>
        </w:rPr>
        <w:t xml:space="preserve"> bam file. Pileup summaries infer read support for a set number of known variants and this was used to calculate fraction of probable contaminants (</w:t>
      </w:r>
      <w:proofErr w:type="spellStart"/>
      <w:r>
        <w:rPr>
          <w:rFonts w:cs="Times New Roman"/>
          <w:sz w:val="24"/>
          <w:szCs w:val="24"/>
        </w:rPr>
        <w:t>CalculateContamination</w:t>
      </w:r>
      <w:proofErr w:type="spellEnd"/>
      <w:r>
        <w:rPr>
          <w:rFonts w:cs="Times New Roman"/>
          <w:sz w:val="24"/>
          <w:szCs w:val="24"/>
        </w:rPr>
        <w:t xml:space="preserve">) in each sample. These contaminants were then filtered out from the Mutect2 paired </w:t>
      </w:r>
      <w:proofErr w:type="spellStart"/>
      <w:r>
        <w:rPr>
          <w:rFonts w:cs="Times New Roman"/>
          <w:sz w:val="24"/>
          <w:szCs w:val="24"/>
        </w:rPr>
        <w:t>tumor</w:t>
      </w:r>
      <w:proofErr w:type="spellEnd"/>
      <w:r>
        <w:rPr>
          <w:rFonts w:cs="Times New Roman"/>
          <w:sz w:val="24"/>
          <w:szCs w:val="24"/>
        </w:rPr>
        <w:t>-matched normal mutation calls to generate a final variant call format (.</w:t>
      </w:r>
      <w:proofErr w:type="spellStart"/>
      <w:r>
        <w:rPr>
          <w:rFonts w:cs="Times New Roman"/>
          <w:sz w:val="24"/>
          <w:szCs w:val="24"/>
        </w:rPr>
        <w:t>vcf</w:t>
      </w:r>
      <w:proofErr w:type="spellEnd"/>
      <w:r>
        <w:rPr>
          <w:rFonts w:cs="Times New Roman"/>
          <w:sz w:val="24"/>
          <w:szCs w:val="24"/>
        </w:rPr>
        <w:t>) file.</w:t>
      </w:r>
      <w:r>
        <w:rPr>
          <w:rFonts w:eastAsia="Droid Sans Fallback" w:cs="Times New Roman"/>
          <w:color w:val="000000" w:themeColor="text1"/>
          <w:sz w:val="24"/>
          <w:szCs w:val="24"/>
          <w:lang w:eastAsia="zh-CN" w:bidi="hi-IN"/>
        </w:rPr>
        <w:t xml:space="preserve"> </w:t>
      </w:r>
      <w:r>
        <w:rPr>
          <w:rFonts w:cs="Times New Roman"/>
          <w:sz w:val="24"/>
          <w:szCs w:val="24"/>
        </w:rPr>
        <w:t xml:space="preserve">Variants were then annotated with ANNOVAR (v2017Jun1) and all the downstream analysis was performed with variants annotated by Mutect2 as ‘PASS’ and by ANNOVAR as ‘somatic’ </w:t>
      </w:r>
      <w:r>
        <w:rPr>
          <w:rFonts w:cs="Times New Roman"/>
          <w:sz w:val="24"/>
          <w:szCs w:val="24"/>
        </w:rPr>
        <w:fldChar w:fldCharType="begin"/>
      </w:r>
      <w:r>
        <w:rPr>
          <w:rFonts w:cs="Times New Roman"/>
          <w:sz w:val="24"/>
          <w:szCs w:val="24"/>
        </w:rPr>
        <w:instrText xml:space="preserve"> ADDIN EN.CITE &lt;EndNote&gt;&lt;Cite&gt;&lt;Author&gt;Wang&lt;/Author&gt;&lt;Year&gt;2010&lt;/Year&gt;&lt;RecNum&gt;144&lt;/RecNum&gt;&lt;DisplayText&gt;(6)&lt;/DisplayText&gt;&lt;record&gt;&lt;rec-number&gt;144&lt;/rec-number&gt;&lt;foreign-keys&gt;&lt;key app="EN" db-id="zsxft0d9m0rawce02fmvszwn5wszese0vr5t" timestamp="1588890775"&gt;144&lt;/key&gt;&lt;/foreign-keys&gt;&lt;ref-type name="Journal Article"&gt;17&lt;/ref-type&gt;&lt;contributors&gt;&lt;authors&gt;&lt;author&gt;Wang, K.&lt;/author&gt;&lt;author&gt;Li, M.&lt;/author&gt;&lt;author&gt;Hakonarson, H.&lt;/author&gt;&lt;/authors&gt;&lt;/contributors&gt;&lt;auth-address&gt;Center for Applied Genomics, Children&amp;apos;s Hospital of Philadelphia, PA 19104, USA. kai@openbioinformatics.org&lt;/auth-address&gt;&lt;titles&gt;&lt;title&gt;ANNOVAR: functional annotation of genetic variants from high-throughput sequencing data&lt;/title&gt;&lt;secondary-title&gt;Nucleic Acids Res&lt;/secondary-title&gt;&lt;/titles&gt;&lt;periodical&gt;&lt;full-title&gt;Nucleic Acids Res&lt;/full-title&gt;&lt;/periodical&gt;&lt;pages&gt;e164&lt;/pages&gt;&lt;volume&gt;38&lt;/volume&gt;&lt;number&gt;16&lt;/number&gt;&lt;edition&gt;2010/07/06&lt;/edition&gt;&lt;keywords&gt;&lt;keyword&gt;Genes&lt;/keyword&gt;&lt;keyword&gt;Genetic Predisposition to Disease&lt;/keyword&gt;&lt;keyword&gt;*Genetic Variation&lt;/keyword&gt;&lt;keyword&gt;Genome, Human&lt;/keyword&gt;&lt;keyword&gt;*Genomics&lt;/keyword&gt;&lt;keyword&gt;High-Throughput Screening Assays&lt;/keyword&gt;&lt;keyword&gt;Humans&lt;/keyword&gt;&lt;keyword&gt;Sequence Analysis, DNA&lt;/keyword&gt;&lt;keyword&gt;*Software&lt;/keyword&gt;&lt;/keywords&gt;&lt;dates&gt;&lt;year&gt;2010&lt;/year&gt;&lt;pub-dates&gt;&lt;date&gt;Sep&lt;/date&gt;&lt;/pub-dates&gt;&lt;/dates&gt;&lt;isbn&gt;1362-4962 (Electronic)&amp;#xD;0305-1048 (Linking)&lt;/isbn&gt;&lt;accession-num&gt;20601685&lt;/accession-num&gt;&lt;urls&gt;&lt;related-urls&gt;&lt;url&gt;https://www.ncbi.nlm.nih.gov/pubmed/20601685&lt;/url&gt;&lt;/related-urls&gt;&lt;/urls&gt;&lt;custom2&gt;PMC2938201&lt;/custom2&gt;&lt;electronic-resource-num&gt;10.1093/nar/gkq603&lt;/electronic-resource-num&gt;&lt;/record&gt;&lt;/Cite&gt;&lt;/EndNote&gt;</w:instrText>
      </w:r>
      <w:r>
        <w:rPr>
          <w:rFonts w:cs="Times New Roman"/>
          <w:sz w:val="24"/>
          <w:szCs w:val="24"/>
        </w:rPr>
        <w:fldChar w:fldCharType="separate"/>
      </w:r>
      <w:r>
        <w:rPr>
          <w:rFonts w:cs="Times New Roman"/>
          <w:sz w:val="24"/>
          <w:szCs w:val="24"/>
        </w:rPr>
        <w:t>(6)</w:t>
      </w:r>
      <w:r>
        <w:rPr>
          <w:rFonts w:cs="Times New Roman"/>
          <w:sz w:val="24"/>
          <w:szCs w:val="24"/>
        </w:rPr>
        <w:fldChar w:fldCharType="end"/>
      </w:r>
      <w:r>
        <w:rPr>
          <w:rFonts w:cs="Times New Roman"/>
          <w:sz w:val="24"/>
          <w:szCs w:val="24"/>
        </w:rPr>
        <w:t>.</w:t>
      </w:r>
    </w:p>
    <w:p w14:paraId="759C3227" w14:textId="77777777" w:rsidR="00C85F28" w:rsidRDefault="003A29BC">
      <w:pPr>
        <w:spacing w:after="0" w:line="360" w:lineRule="auto"/>
        <w:jc w:val="both"/>
        <w:rPr>
          <w:rFonts w:cs="Times New Roman"/>
          <w:sz w:val="24"/>
          <w:szCs w:val="24"/>
        </w:rPr>
      </w:pPr>
      <w:r>
        <w:rPr>
          <w:rFonts w:cs="Times New Roman"/>
          <w:sz w:val="24"/>
          <w:szCs w:val="24"/>
        </w:rPr>
        <w:t>Mutations were also called and annotated for E</w:t>
      </w:r>
      <w:r>
        <w:rPr>
          <w:rFonts w:ascii="Symbol" w:eastAsia="Symbol" w:hAnsi="Symbol" w:cs="Symbol"/>
          <w:sz w:val="24"/>
          <w:szCs w:val="24"/>
        </w:rPr>
        <w:t></w:t>
      </w:r>
      <w:r>
        <w:rPr>
          <w:rFonts w:cs="Times New Roman"/>
          <w:sz w:val="24"/>
          <w:szCs w:val="24"/>
        </w:rPr>
        <w:t>-</w:t>
      </w:r>
      <w:r>
        <w:rPr>
          <w:rFonts w:cs="Times New Roman"/>
          <w:i/>
          <w:iCs/>
          <w:sz w:val="24"/>
          <w:szCs w:val="24"/>
        </w:rPr>
        <w:t>TCL1</w:t>
      </w:r>
      <w:r>
        <w:rPr>
          <w:rFonts w:cs="Times New Roman"/>
          <w:sz w:val="24"/>
          <w:szCs w:val="24"/>
        </w:rPr>
        <w:t xml:space="preserve"> </w:t>
      </w:r>
      <w:proofErr w:type="spellStart"/>
      <w:r>
        <w:rPr>
          <w:rFonts w:cs="Times New Roman"/>
          <w:sz w:val="24"/>
          <w:szCs w:val="24"/>
        </w:rPr>
        <w:t>tumor</w:t>
      </w:r>
      <w:proofErr w:type="spellEnd"/>
      <w:r>
        <w:rPr>
          <w:rFonts w:cs="Times New Roman"/>
          <w:sz w:val="24"/>
          <w:szCs w:val="24"/>
        </w:rPr>
        <w:t xml:space="preserve"> samples from publicly available dataset processed at Salzburg (SRP150049) following the procedure described above but with additional controls from Salzburg (n=7) used to prepare the PON. Mutations called from Mutect2 for each sample are documented in Supplementary Tables 4 and 5.</w:t>
      </w:r>
    </w:p>
    <w:p w14:paraId="043CF1AA" w14:textId="77777777" w:rsidR="00C85F28" w:rsidRDefault="00C85F28">
      <w:pPr>
        <w:spacing w:after="0" w:line="360" w:lineRule="auto"/>
        <w:jc w:val="both"/>
        <w:rPr>
          <w:rFonts w:cs="Times New Roman"/>
          <w:sz w:val="24"/>
          <w:szCs w:val="24"/>
        </w:rPr>
      </w:pPr>
    </w:p>
    <w:p w14:paraId="310FC506" w14:textId="77777777" w:rsidR="00C85F28" w:rsidRDefault="003A29BC">
      <w:pPr>
        <w:spacing w:after="0" w:line="360" w:lineRule="auto"/>
        <w:rPr>
          <w:rFonts w:eastAsia="Droid Sans Fallback" w:cs="Times New Roman"/>
          <w:b/>
          <w:bCs/>
          <w:color w:val="000000"/>
          <w:sz w:val="24"/>
          <w:szCs w:val="24"/>
          <w:lang w:eastAsia="zh-CN" w:bidi="hi-IN"/>
        </w:rPr>
      </w:pPr>
      <w:r>
        <w:rPr>
          <w:rFonts w:cs="Times New Roman"/>
          <w:b/>
          <w:bCs/>
          <w:color w:val="000000" w:themeColor="text1"/>
          <w:sz w:val="24"/>
          <w:szCs w:val="24"/>
        </w:rPr>
        <w:t>Calling copy number variations (CNVs)</w:t>
      </w:r>
    </w:p>
    <w:p w14:paraId="45064ED9" w14:textId="77777777" w:rsidR="00C85F28" w:rsidRDefault="003A29BC">
      <w:pPr>
        <w:spacing w:after="0" w:line="360" w:lineRule="auto"/>
        <w:jc w:val="both"/>
        <w:rPr>
          <w:rFonts w:cs="Times New Roman"/>
          <w:sz w:val="24"/>
          <w:szCs w:val="24"/>
        </w:rPr>
      </w:pPr>
      <w:r>
        <w:rPr>
          <w:rFonts w:cs="Times New Roman"/>
          <w:sz w:val="24"/>
          <w:szCs w:val="24"/>
        </w:rPr>
        <w:t xml:space="preserve">The command line tool </w:t>
      </w:r>
      <w:proofErr w:type="spellStart"/>
      <w:r>
        <w:rPr>
          <w:rFonts w:cs="Times New Roman"/>
          <w:sz w:val="24"/>
          <w:szCs w:val="24"/>
        </w:rPr>
        <w:t>CNVkit</w:t>
      </w:r>
      <w:proofErr w:type="spellEnd"/>
      <w:r>
        <w:rPr>
          <w:rFonts w:cs="Times New Roman"/>
          <w:sz w:val="24"/>
          <w:szCs w:val="24"/>
        </w:rPr>
        <w:t xml:space="preserve"> (v0.9.7.dev0) with the default hybrid capture mode was used for detecting copy number variants from WES data of E</w:t>
      </w:r>
      <w:r>
        <w:rPr>
          <w:rFonts w:ascii="Symbol" w:eastAsia="Symbol" w:hAnsi="Symbol" w:cs="Symbol"/>
          <w:sz w:val="24"/>
          <w:szCs w:val="24"/>
        </w:rPr>
        <w:t></w:t>
      </w:r>
      <w:r>
        <w:rPr>
          <w:rFonts w:cs="Times New Roman"/>
          <w:sz w:val="24"/>
          <w:szCs w:val="24"/>
        </w:rPr>
        <w:t>-</w:t>
      </w:r>
      <w:r>
        <w:rPr>
          <w:rFonts w:cs="Times New Roman"/>
          <w:i/>
          <w:iCs/>
          <w:sz w:val="24"/>
          <w:szCs w:val="24"/>
        </w:rPr>
        <w:t>TCL1</w:t>
      </w:r>
      <w:r>
        <w:rPr>
          <w:rFonts w:cs="Times New Roman"/>
          <w:sz w:val="24"/>
          <w:szCs w:val="24"/>
        </w:rPr>
        <w:t xml:space="preserve"> mouse </w:t>
      </w:r>
      <w:proofErr w:type="spellStart"/>
      <w:r>
        <w:rPr>
          <w:rFonts w:cs="Times New Roman"/>
          <w:sz w:val="24"/>
          <w:szCs w:val="24"/>
        </w:rPr>
        <w:t>tumors</w:t>
      </w:r>
      <w:proofErr w:type="spellEnd"/>
      <w:r>
        <w:rPr>
          <w:rFonts w:cs="Times New Roman"/>
          <w:sz w:val="24"/>
          <w:szCs w:val="24"/>
        </w:rPr>
        <w:t xml:space="preserve"> </w:t>
      </w:r>
      <w:r>
        <w:rPr>
          <w:rFonts w:cs="Times New Roman"/>
          <w:sz w:val="24"/>
          <w:szCs w:val="24"/>
        </w:rPr>
        <w:fldChar w:fldCharType="begin"/>
      </w:r>
      <w:r>
        <w:rPr>
          <w:rFonts w:cs="Times New Roman"/>
          <w:sz w:val="24"/>
          <w:szCs w:val="24"/>
        </w:rPr>
        <w:instrText xml:space="preserve"> ADDIN EN.CITE </w:instrText>
      </w:r>
      <w:r>
        <w:rPr>
          <w:rFonts w:cs="Times New Roman"/>
          <w:sz w:val="24"/>
          <w:szCs w:val="24"/>
        </w:rPr>
        <w:fldChar w:fldCharType="begin"/>
      </w:r>
      <w:r>
        <w:rPr>
          <w:rFonts w:cs="Times New Roman"/>
          <w:sz w:val="24"/>
          <w:szCs w:val="24"/>
        </w:rPr>
        <w:instrText xml:space="preserve"> ADDIN EN.CITE.DATA </w:instrText>
      </w:r>
      <w:r>
        <w:rPr>
          <w:rFonts w:cs="Times New Roman"/>
          <w:sz w:val="24"/>
          <w:szCs w:val="24"/>
        </w:rPr>
        <w:fldChar w:fldCharType="end"/>
      </w:r>
      <w:r>
        <w:rPr>
          <w:rFonts w:cs="Times New Roman"/>
          <w:sz w:val="24"/>
          <w:szCs w:val="24"/>
        </w:rPr>
        <w:fldChar w:fldCharType="separate"/>
      </w:r>
      <w:r>
        <w:rPr>
          <w:rFonts w:cs="Times New Roman"/>
          <w:sz w:val="24"/>
          <w:szCs w:val="24"/>
        </w:rPr>
        <w:t>(7)</w:t>
      </w:r>
      <w:r>
        <w:rPr>
          <w:rFonts w:cs="Times New Roman"/>
          <w:sz w:val="24"/>
          <w:szCs w:val="24"/>
        </w:rPr>
        <w:fldChar w:fldCharType="end"/>
      </w:r>
      <w:r>
        <w:rPr>
          <w:rFonts w:cs="Times New Roman"/>
          <w:sz w:val="24"/>
          <w:szCs w:val="24"/>
        </w:rPr>
        <w:t xml:space="preserve">. The reference used while calling was built with all </w:t>
      </w:r>
      <w:r>
        <w:rPr>
          <w:rFonts w:eastAsia="Times New Roman" w:cs="Arial"/>
          <w:bCs/>
          <w:sz w:val="24"/>
          <w:szCs w:val="24"/>
        </w:rPr>
        <w:t>Eµ-</w:t>
      </w:r>
      <w:r>
        <w:rPr>
          <w:rFonts w:cs="Times New Roman"/>
          <w:i/>
          <w:iCs/>
          <w:sz w:val="24"/>
          <w:szCs w:val="24"/>
        </w:rPr>
        <w:t>TCL1</w:t>
      </w:r>
      <w:r>
        <w:rPr>
          <w:rFonts w:cs="Times New Roman"/>
          <w:sz w:val="24"/>
          <w:szCs w:val="24"/>
        </w:rPr>
        <w:t xml:space="preserve"> mouse control samples (n=8) and a target .</w:t>
      </w:r>
      <w:proofErr w:type="spellStart"/>
      <w:r>
        <w:rPr>
          <w:rFonts w:cs="Times New Roman"/>
          <w:sz w:val="24"/>
          <w:szCs w:val="24"/>
        </w:rPr>
        <w:t>gtf</w:t>
      </w:r>
      <w:proofErr w:type="spellEnd"/>
      <w:r>
        <w:rPr>
          <w:rFonts w:cs="Times New Roman"/>
          <w:sz w:val="24"/>
          <w:szCs w:val="24"/>
        </w:rPr>
        <w:t xml:space="preserve"> file (downloaded from Agilent for </w:t>
      </w:r>
      <w:proofErr w:type="spellStart"/>
      <w:r>
        <w:rPr>
          <w:rFonts w:cs="Times New Roman"/>
          <w:sz w:val="24"/>
          <w:szCs w:val="24"/>
        </w:rPr>
        <w:t>SureSelectXT</w:t>
      </w:r>
      <w:proofErr w:type="spellEnd"/>
      <w:r>
        <w:rPr>
          <w:rFonts w:cs="Times New Roman"/>
          <w:sz w:val="24"/>
          <w:szCs w:val="24"/>
        </w:rPr>
        <w:t xml:space="preserve"> mouse all exon kit) was supplied to infer CNV calls only from the genomic regions covered during sequencing. CNVs were similarly called from WES data of publicly available E</w:t>
      </w:r>
      <w:r>
        <w:rPr>
          <w:rFonts w:ascii="Symbol" w:eastAsia="Symbol" w:hAnsi="Symbol" w:cs="Symbol"/>
          <w:sz w:val="24"/>
          <w:szCs w:val="24"/>
        </w:rPr>
        <w:t></w:t>
      </w:r>
      <w:r>
        <w:rPr>
          <w:rFonts w:cs="Times New Roman"/>
          <w:sz w:val="24"/>
          <w:szCs w:val="24"/>
        </w:rPr>
        <w:t>-</w:t>
      </w:r>
      <w:r>
        <w:rPr>
          <w:rFonts w:cs="Times New Roman"/>
          <w:i/>
          <w:iCs/>
          <w:sz w:val="24"/>
          <w:szCs w:val="24"/>
        </w:rPr>
        <w:t>TCL1</w:t>
      </w:r>
      <w:r>
        <w:rPr>
          <w:rFonts w:cs="Times New Roman"/>
          <w:sz w:val="24"/>
          <w:szCs w:val="24"/>
        </w:rPr>
        <w:t xml:space="preserve"> mouse </w:t>
      </w:r>
      <w:proofErr w:type="spellStart"/>
      <w:r>
        <w:rPr>
          <w:rFonts w:cs="Times New Roman"/>
          <w:sz w:val="24"/>
          <w:szCs w:val="24"/>
        </w:rPr>
        <w:t>tumors</w:t>
      </w:r>
      <w:proofErr w:type="spellEnd"/>
      <w:r>
        <w:rPr>
          <w:rFonts w:cs="Times New Roman"/>
          <w:sz w:val="24"/>
          <w:szCs w:val="24"/>
        </w:rPr>
        <w:t xml:space="preserve"> (SRP150049). Focal CNVs across all samples are documented in Supplementary Table 6.</w:t>
      </w:r>
    </w:p>
    <w:p w14:paraId="1E0BA23E" w14:textId="77777777" w:rsidR="00C85F28" w:rsidRDefault="00C85F28">
      <w:pPr>
        <w:spacing w:after="0" w:line="360" w:lineRule="auto"/>
        <w:rPr>
          <w:rFonts w:cs="Times New Roman"/>
          <w:sz w:val="24"/>
          <w:szCs w:val="24"/>
        </w:rPr>
      </w:pPr>
    </w:p>
    <w:p w14:paraId="3F5BDBF9" w14:textId="77777777" w:rsidR="00C85F28" w:rsidRDefault="003A29BC">
      <w:pPr>
        <w:spacing w:after="0" w:line="360" w:lineRule="auto"/>
        <w:rPr>
          <w:rFonts w:eastAsia="Droid Sans Fallback" w:cs="Times New Roman"/>
          <w:b/>
          <w:bCs/>
          <w:color w:val="000000"/>
          <w:sz w:val="24"/>
          <w:szCs w:val="24"/>
          <w:lang w:eastAsia="zh-CN" w:bidi="hi-IN"/>
        </w:rPr>
      </w:pPr>
      <w:r>
        <w:rPr>
          <w:rFonts w:cs="Times New Roman"/>
          <w:b/>
          <w:bCs/>
          <w:color w:val="000000" w:themeColor="text1"/>
          <w:sz w:val="24"/>
          <w:szCs w:val="24"/>
        </w:rPr>
        <w:t>Identification of B cell receptor rearrangements from WES</w:t>
      </w:r>
    </w:p>
    <w:p w14:paraId="4212A2D1" w14:textId="77777777" w:rsidR="00C85F28" w:rsidRDefault="003A29BC" w:rsidP="00001C06">
      <w:pPr>
        <w:spacing w:after="0" w:line="360" w:lineRule="auto"/>
        <w:jc w:val="both"/>
        <w:rPr>
          <w:rFonts w:cs="Times New Roman"/>
          <w:sz w:val="24"/>
          <w:szCs w:val="24"/>
        </w:rPr>
      </w:pPr>
      <w:r>
        <w:rPr>
          <w:rFonts w:eastAsia="Droid Sans Fallback" w:cs="Times New Roman"/>
          <w:color w:val="000000" w:themeColor="text1"/>
          <w:sz w:val="24"/>
          <w:szCs w:val="24"/>
          <w:lang w:eastAsia="zh-CN" w:bidi="hi-IN"/>
        </w:rPr>
        <w:t xml:space="preserve">B cell receptor rearrangements were quantified to identify </w:t>
      </w:r>
      <w:r>
        <w:rPr>
          <w:rFonts w:cs="Times New Roman"/>
          <w:sz w:val="24"/>
          <w:szCs w:val="24"/>
        </w:rPr>
        <w:t xml:space="preserve">V(D)J </w:t>
      </w:r>
      <w:proofErr w:type="spellStart"/>
      <w:r>
        <w:rPr>
          <w:rFonts w:cs="Times New Roman"/>
          <w:sz w:val="24"/>
          <w:szCs w:val="24"/>
        </w:rPr>
        <w:t>clonotypes</w:t>
      </w:r>
      <w:proofErr w:type="spellEnd"/>
      <w:r>
        <w:rPr>
          <w:rFonts w:eastAsia="Droid Sans Fallback" w:cs="Times New Roman"/>
          <w:color w:val="000000" w:themeColor="text1"/>
          <w:sz w:val="24"/>
          <w:szCs w:val="24"/>
          <w:lang w:eastAsia="zh-CN" w:bidi="hi-IN"/>
        </w:rPr>
        <w:t xml:space="preserve"> from raw WES </w:t>
      </w:r>
      <w:r>
        <w:rPr>
          <w:rFonts w:cs="Times New Roman"/>
          <w:sz w:val="24"/>
          <w:szCs w:val="24"/>
        </w:rPr>
        <w:t>E</w:t>
      </w:r>
      <w:r>
        <w:rPr>
          <w:rFonts w:ascii="Symbol" w:eastAsia="Symbol" w:hAnsi="Symbol" w:cs="Symbol"/>
          <w:sz w:val="24"/>
          <w:szCs w:val="24"/>
        </w:rPr>
        <w:t></w:t>
      </w:r>
      <w:r>
        <w:rPr>
          <w:rFonts w:cs="Times New Roman"/>
          <w:sz w:val="24"/>
          <w:szCs w:val="24"/>
        </w:rPr>
        <w:t>-</w:t>
      </w:r>
      <w:r>
        <w:rPr>
          <w:rFonts w:cs="Times New Roman"/>
          <w:i/>
          <w:iCs/>
          <w:sz w:val="24"/>
          <w:szCs w:val="24"/>
        </w:rPr>
        <w:t>TCL1</w:t>
      </w:r>
      <w:r>
        <w:rPr>
          <w:rFonts w:cs="Times New Roman"/>
          <w:sz w:val="24"/>
          <w:szCs w:val="24"/>
        </w:rPr>
        <w:t xml:space="preserve"> mouse </w:t>
      </w:r>
      <w:proofErr w:type="spellStart"/>
      <w:r>
        <w:rPr>
          <w:rFonts w:cs="Times New Roman"/>
          <w:sz w:val="24"/>
          <w:szCs w:val="24"/>
        </w:rPr>
        <w:t>tumor</w:t>
      </w:r>
      <w:proofErr w:type="spellEnd"/>
      <w:r>
        <w:rPr>
          <w:rFonts w:cs="Times New Roman"/>
          <w:sz w:val="24"/>
          <w:szCs w:val="24"/>
        </w:rPr>
        <w:t xml:space="preserve"> data using </w:t>
      </w:r>
      <w:proofErr w:type="spellStart"/>
      <w:r>
        <w:rPr>
          <w:rFonts w:cs="Times New Roman"/>
          <w:sz w:val="24"/>
          <w:szCs w:val="24"/>
        </w:rPr>
        <w:t>MiXCR</w:t>
      </w:r>
      <w:proofErr w:type="spellEnd"/>
      <w:r>
        <w:rPr>
          <w:rFonts w:cs="Times New Roman"/>
          <w:sz w:val="24"/>
          <w:szCs w:val="24"/>
        </w:rPr>
        <w:t xml:space="preserve"> (v3.0.8)</w:t>
      </w:r>
      <w:r>
        <w:rPr>
          <w:rFonts w:cs="Times New Roman"/>
          <w:sz w:val="24"/>
          <w:szCs w:val="24"/>
        </w:rPr>
        <w:fldChar w:fldCharType="begin"/>
      </w:r>
      <w:r>
        <w:rPr>
          <w:rFonts w:cs="Times New Roman"/>
          <w:sz w:val="24"/>
          <w:szCs w:val="24"/>
        </w:rPr>
        <w:instrText xml:space="preserve"> ADDIN EN.CITE &lt;EndNote&gt;&lt;Cite&gt;&lt;Author&gt;Bolotin&lt;/Author&gt;&lt;Year&gt;2015&lt;/Year&gt;&lt;RecNum&gt;1142&lt;/RecNum&gt;&lt;DisplayText&gt;(8)&lt;/DisplayText&gt;&lt;record&gt;&lt;rec-number&gt;1142&lt;/rec-number&gt;&lt;foreign-keys&gt;&lt;key app="EN" db-id="asd2xx0txxfwp9eazxoxdfp6a0t02sedw22v" timestamp="1608560838"&gt;1142&lt;/key&gt;&lt;/foreign-keys&gt;&lt;ref-type name="Journal Article"&gt;17&lt;/ref-type&gt;&lt;contributors&gt;&lt;authors&gt;&lt;author&gt;Bolotin, Dmitriy A.&lt;/author&gt;&lt;author&gt;Poslavsky, Stanislav&lt;/author&gt;&lt;author&gt;Mitrophanov, Igor&lt;/author&gt;&lt;author&gt;Shugay, Mikhail&lt;/author&gt;&lt;author&gt;Mamedov, Ilgar Z.&lt;/author&gt;&lt;author&gt;Putintseva, Ekaterina V.&lt;/author&gt;&lt;author&gt;Chudakov, Dmitriy M.&lt;/author&gt;&lt;/authors&gt;&lt;/contributors&gt;&lt;titles&gt;&lt;title&gt;MiXCR: software for comprehensive adaptive immunity profiling&lt;/title&gt;&lt;secondary-title&gt;Nature Methods&lt;/secondary-title&gt;&lt;/titles&gt;&lt;periodical&gt;&lt;full-title&gt;Nature Methods&lt;/full-title&gt;&lt;/periodical&gt;&lt;pages&gt;380-381&lt;/pages&gt;&lt;volume&gt;12&lt;/volume&gt;&lt;number&gt;5&lt;/number&gt;&lt;dates&gt;&lt;year&gt;2015&lt;/year&gt;&lt;pub-dates&gt;&lt;date&gt;2015/05/01&lt;/date&gt;&lt;/pub-dates&gt;&lt;/dates&gt;&lt;isbn&gt;1548-7105&lt;/isbn&gt;&lt;urls&gt;&lt;related-urls&gt;&lt;url&gt;https://doi.org/10.1038/nmeth.3364&lt;/url&gt;&lt;/related-urls&gt;&lt;/urls&gt;&lt;electronic-resource-num&gt;10.1038/nmeth.3364&lt;/electronic-resource-num&gt;&lt;/record&gt;&lt;/Cite&gt;&lt;/EndNote&gt;</w:instrText>
      </w:r>
      <w:r>
        <w:rPr>
          <w:rFonts w:cs="Times New Roman"/>
          <w:sz w:val="24"/>
          <w:szCs w:val="24"/>
        </w:rPr>
        <w:fldChar w:fldCharType="separate"/>
      </w:r>
      <w:r>
        <w:rPr>
          <w:rFonts w:cs="Times New Roman"/>
          <w:sz w:val="24"/>
          <w:szCs w:val="24"/>
        </w:rPr>
        <w:t>(8)</w:t>
      </w:r>
      <w:r>
        <w:rPr>
          <w:rFonts w:cs="Times New Roman"/>
          <w:sz w:val="24"/>
          <w:szCs w:val="24"/>
        </w:rPr>
        <w:fldChar w:fldCharType="end"/>
      </w:r>
      <w:r>
        <w:rPr>
          <w:rFonts w:cs="Times New Roman"/>
          <w:sz w:val="24"/>
          <w:szCs w:val="24"/>
        </w:rPr>
        <w:t xml:space="preserve">. The command line tool </w:t>
      </w:r>
      <w:proofErr w:type="spellStart"/>
      <w:r>
        <w:rPr>
          <w:rFonts w:cs="Times New Roman"/>
          <w:sz w:val="24"/>
          <w:szCs w:val="24"/>
        </w:rPr>
        <w:t>MiXCR</w:t>
      </w:r>
      <w:proofErr w:type="spellEnd"/>
      <w:r>
        <w:rPr>
          <w:rFonts w:cs="Times New Roman"/>
          <w:sz w:val="24"/>
          <w:szCs w:val="24"/>
        </w:rPr>
        <w:t xml:space="preserve"> mapped and assembled V, D and J gene segments from immunoglobulin region to report </w:t>
      </w:r>
      <w:proofErr w:type="spellStart"/>
      <w:r>
        <w:rPr>
          <w:rFonts w:cs="Times New Roman"/>
          <w:sz w:val="24"/>
          <w:szCs w:val="24"/>
        </w:rPr>
        <w:t>clonotypes</w:t>
      </w:r>
      <w:proofErr w:type="spellEnd"/>
      <w:r>
        <w:rPr>
          <w:rFonts w:cs="Times New Roman"/>
          <w:sz w:val="24"/>
          <w:szCs w:val="24"/>
        </w:rPr>
        <w:t xml:space="preserve"> for each </w:t>
      </w:r>
      <w:proofErr w:type="spellStart"/>
      <w:r>
        <w:rPr>
          <w:rFonts w:cs="Times New Roman"/>
          <w:sz w:val="24"/>
          <w:szCs w:val="24"/>
        </w:rPr>
        <w:t>tumor</w:t>
      </w:r>
      <w:proofErr w:type="spellEnd"/>
      <w:r>
        <w:rPr>
          <w:rFonts w:cs="Times New Roman"/>
          <w:sz w:val="24"/>
          <w:szCs w:val="24"/>
        </w:rPr>
        <w:t xml:space="preserve"> sample. The tool was run with default parameters: starting material - ‘DNA’, adapters - ‘present’ and receptor type - ‘IGH’. The position of V and J primers was mentioned to be 5’ and 3’ end respectively. The output file reported the frequency, number of supporting reads, CDR3 (complementarity determining region 3) amino acid sequence, CDR3 nucleotide sequence, the detected V, D and J genes for each assembled </w:t>
      </w:r>
      <w:proofErr w:type="spellStart"/>
      <w:r>
        <w:rPr>
          <w:rFonts w:cs="Times New Roman"/>
          <w:sz w:val="24"/>
          <w:szCs w:val="24"/>
        </w:rPr>
        <w:t>clonotype</w:t>
      </w:r>
      <w:proofErr w:type="spellEnd"/>
      <w:r>
        <w:rPr>
          <w:rFonts w:cs="Times New Roman"/>
          <w:sz w:val="24"/>
          <w:szCs w:val="24"/>
        </w:rPr>
        <w:t xml:space="preserve">. If a </w:t>
      </w:r>
      <w:proofErr w:type="spellStart"/>
      <w:r>
        <w:rPr>
          <w:rFonts w:cs="Times New Roman"/>
          <w:sz w:val="24"/>
          <w:szCs w:val="24"/>
        </w:rPr>
        <w:t>clonotype</w:t>
      </w:r>
      <w:proofErr w:type="spellEnd"/>
      <w:r>
        <w:rPr>
          <w:rFonts w:cs="Times New Roman"/>
          <w:sz w:val="24"/>
          <w:szCs w:val="24"/>
        </w:rPr>
        <w:t xml:space="preserve"> was supported by more than 1% of total reads it was considered a true hit. All identified rearrangements are summarized in Supplementary Table 3.</w:t>
      </w:r>
    </w:p>
    <w:p w14:paraId="5FFD1114" w14:textId="77777777" w:rsidR="00C85F28" w:rsidRDefault="00C85F28" w:rsidP="00001C06">
      <w:pPr>
        <w:spacing w:after="0" w:line="360" w:lineRule="auto"/>
        <w:jc w:val="both"/>
        <w:rPr>
          <w:rFonts w:cs="Times New Roman"/>
          <w:sz w:val="24"/>
          <w:szCs w:val="24"/>
        </w:rPr>
      </w:pPr>
    </w:p>
    <w:p w14:paraId="2E96E86F" w14:textId="77777777" w:rsidR="00C85F28" w:rsidRDefault="003A29BC" w:rsidP="00001C06">
      <w:pPr>
        <w:spacing w:after="0" w:line="360" w:lineRule="auto"/>
        <w:rPr>
          <w:rFonts w:eastAsia="Droid Sans Fallback" w:cs="Times New Roman"/>
          <w:b/>
          <w:bCs/>
          <w:color w:val="000000"/>
          <w:sz w:val="24"/>
          <w:szCs w:val="24"/>
          <w:lang w:eastAsia="zh-CN" w:bidi="hi-IN"/>
        </w:rPr>
      </w:pPr>
      <w:r>
        <w:rPr>
          <w:rFonts w:cs="Times New Roman"/>
          <w:b/>
          <w:bCs/>
          <w:color w:val="000000" w:themeColor="text1"/>
          <w:sz w:val="24"/>
          <w:szCs w:val="24"/>
        </w:rPr>
        <w:t>Identification of B cell receptor rearrangements after RACE-PCR</w:t>
      </w:r>
    </w:p>
    <w:p w14:paraId="6E5FB254" w14:textId="77777777" w:rsidR="00C85F28" w:rsidRDefault="003A29BC" w:rsidP="00001C06">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rPr>
          <w:rFonts w:ascii="Calibri" w:hAnsi="Calibri"/>
          <w:color w:val="auto"/>
          <w:sz w:val="24"/>
          <w:szCs w:val="24"/>
        </w:rPr>
      </w:pPr>
      <w:r>
        <w:rPr>
          <w:rFonts w:ascii="Calibri" w:hAnsi="Calibri"/>
          <w:color w:val="auto"/>
          <w:sz w:val="24"/>
          <w:szCs w:val="24"/>
          <w:shd w:val="clear" w:color="auto" w:fill="FFFFFF"/>
          <w:lang w:val="en-US"/>
        </w:rPr>
        <w:t>BCR samples processed by</w:t>
      </w:r>
      <w:r>
        <w:rPr>
          <w:rFonts w:ascii="Calibri" w:hAnsi="Calibri"/>
          <w:color w:val="auto"/>
          <w:sz w:val="24"/>
          <w:szCs w:val="24"/>
          <w:shd w:val="clear" w:color="auto" w:fill="FFFFFF"/>
        </w:rPr>
        <w:t> RACE-PCR </w:t>
      </w:r>
      <w:r>
        <w:rPr>
          <w:rFonts w:ascii="Calibri" w:hAnsi="Calibri"/>
          <w:color w:val="auto"/>
          <w:sz w:val="24"/>
          <w:szCs w:val="24"/>
          <w:shd w:val="clear" w:color="auto" w:fill="FFFFFF"/>
          <w:lang w:val="en-US"/>
        </w:rPr>
        <w:t xml:space="preserve">were analyzed by using </w:t>
      </w:r>
      <w:proofErr w:type="spellStart"/>
      <w:r>
        <w:rPr>
          <w:rFonts w:ascii="Calibri" w:hAnsi="Calibri"/>
          <w:color w:val="auto"/>
          <w:sz w:val="24"/>
          <w:szCs w:val="24"/>
          <w:shd w:val="clear" w:color="auto" w:fill="FFFFFF"/>
          <w:lang w:val="en-US"/>
        </w:rPr>
        <w:t>MiGEC</w:t>
      </w:r>
      <w:proofErr w:type="spellEnd"/>
      <w:r>
        <w:rPr>
          <w:rFonts w:ascii="Calibri" w:hAnsi="Calibri"/>
          <w:color w:val="auto"/>
          <w:sz w:val="24"/>
          <w:szCs w:val="24"/>
          <w:shd w:val="clear" w:color="auto" w:fill="FFFFFF"/>
          <w:lang w:val="en-US"/>
        </w:rPr>
        <w:t xml:space="preserve"> </w:t>
      </w:r>
      <w:r>
        <w:rPr>
          <w:rFonts w:ascii="Calibri" w:hAnsi="Calibri"/>
          <w:color w:val="auto"/>
          <w:sz w:val="24"/>
          <w:szCs w:val="24"/>
          <w:shd w:val="clear" w:color="auto" w:fill="FFFFFF"/>
          <w:lang w:val="en-US"/>
        </w:rPr>
        <w:fldChar w:fldCharType="begin"/>
      </w:r>
      <w:r>
        <w:rPr>
          <w:rFonts w:ascii="Calibri" w:hAnsi="Calibri"/>
          <w:color w:val="auto"/>
          <w:sz w:val="24"/>
          <w:szCs w:val="24"/>
          <w:shd w:val="clear" w:color="auto" w:fill="FFFFFF"/>
          <w:lang w:val="en-US"/>
        </w:rPr>
        <w:instrText xml:space="preserve"> ADDIN EN.CITE &lt;EndNote&gt;&lt;Cite&gt;&lt;Author&gt;Turchaninova&lt;/Author&gt;&lt;Year&gt;2016&lt;/Year&gt;&lt;RecNum&gt;1141&lt;/RecNum&gt;&lt;DisplayText&gt;(9)&lt;/DisplayText&gt;&lt;record&gt;&lt;rec-number&gt;1141&lt;/rec-number&gt;&lt;foreign-keys&gt;&lt;key app="EN" db-id="asd2xx0txxfwp9eazxoxdfp6a0t02sedw22v" timestamp="1608560703"&gt;1141&lt;/key&gt;&lt;/foreign-keys&gt;&lt;ref-type name="Journal Article"&gt;17&lt;/ref-type&gt;&lt;contributors&gt;&lt;authors&gt;&lt;author&gt;Turchaninova, M. A.&lt;/author&gt;&lt;author&gt;Davydov, A.&lt;/author&gt;&lt;author&gt;Britanova, O. V.&lt;/author&gt;&lt;author&gt;Shugay, M.&lt;/author&gt;&lt;author&gt;Bikos, V.&lt;/author&gt;&lt;author&gt;Egorov, E. S.&lt;/author&gt;&lt;author&gt;Kirgizova, V. I.&lt;/author&gt;&lt;author&gt;Merzlyak, E. M.&lt;/author&gt;&lt;author&gt;Staroverov, D. B.&lt;/author&gt;&lt;author&gt;Bolotin, D. A.&lt;/author&gt;&lt;author&gt;Mamedov, I. Z.&lt;/author&gt;&lt;author&gt;Izraelson, M.&lt;/author&gt;&lt;author&gt;Logacheva, M. D.&lt;/author&gt;&lt;author&gt;Kladova, O.&lt;/author&gt;&lt;author&gt;Plevova, K.&lt;/author&gt;&lt;author&gt;Pospisilova, S.&lt;/author&gt;&lt;author&gt;Chudakov, D. M.&lt;/author&gt;&lt;/authors&gt;&lt;/contributors&gt;&lt;titles&gt;&lt;title&gt;High-quality full-length immunoglobulin profiling with unique molecular barcoding&lt;/title&gt;&lt;secondary-title&gt;Nature Protocols&lt;/secondary-title&gt;&lt;/titles&gt;&lt;periodical&gt;&lt;full-title&gt;Nature protocols&lt;/full-title&gt;&lt;abbr-1&gt;Nat Protoc&lt;/abbr-1&gt;&lt;/periodical&gt;&lt;pages&gt;1599-1616&lt;/pages&gt;&lt;volume&gt;11&lt;/volume&gt;&lt;number&gt;9&lt;/number&gt;&lt;dates&gt;&lt;year&gt;2016&lt;/year&gt;&lt;pub-dates&gt;&lt;date&gt;2016/09/01&lt;/date&gt;&lt;/pub-dates&gt;&lt;/dates&gt;&lt;isbn&gt;1750-2799&lt;/isbn&gt;&lt;urls&gt;&lt;related-urls&gt;&lt;url&gt;https://doi.org/10.1038/nprot.2016.093&lt;/url&gt;&lt;/related-urls&gt;&lt;/urls&gt;&lt;electronic-resource-num&gt;10.1038/nprot.2016.093&lt;/electronic-resource-num&gt;&lt;/record&gt;&lt;/Cite&gt;&lt;/EndNote&gt;</w:instrText>
      </w:r>
      <w:r>
        <w:rPr>
          <w:rFonts w:ascii="Calibri" w:hAnsi="Calibri"/>
          <w:color w:val="auto"/>
          <w:sz w:val="24"/>
          <w:szCs w:val="24"/>
          <w:shd w:val="clear" w:color="auto" w:fill="FFFFFF"/>
          <w:lang w:val="en-US"/>
        </w:rPr>
        <w:fldChar w:fldCharType="separate"/>
      </w:r>
      <w:r>
        <w:rPr>
          <w:rFonts w:ascii="Calibri" w:hAnsi="Calibri"/>
          <w:color w:val="auto"/>
          <w:sz w:val="24"/>
          <w:szCs w:val="24"/>
          <w:shd w:val="clear" w:color="auto" w:fill="FFFFFF"/>
          <w:lang w:val="en-US"/>
        </w:rPr>
        <w:t>(9)</w:t>
      </w:r>
      <w:r>
        <w:rPr>
          <w:rFonts w:ascii="Calibri" w:hAnsi="Calibri"/>
          <w:color w:val="auto"/>
          <w:sz w:val="24"/>
          <w:szCs w:val="24"/>
          <w:shd w:val="clear" w:color="auto" w:fill="FFFFFF"/>
          <w:lang w:val="en-US"/>
        </w:rPr>
        <w:fldChar w:fldCharType="end"/>
      </w:r>
      <w:r>
        <w:rPr>
          <w:rFonts w:ascii="Calibri" w:hAnsi="Calibri"/>
          <w:color w:val="auto"/>
          <w:sz w:val="24"/>
          <w:szCs w:val="24"/>
          <w:shd w:val="clear" w:color="auto" w:fill="FFFFFF"/>
          <w:lang w:val="en-US"/>
        </w:rPr>
        <w:t xml:space="preserve"> and </w:t>
      </w:r>
      <w:proofErr w:type="spellStart"/>
      <w:r>
        <w:rPr>
          <w:rFonts w:ascii="Calibri" w:hAnsi="Calibri"/>
          <w:color w:val="auto"/>
          <w:sz w:val="24"/>
          <w:szCs w:val="24"/>
          <w:shd w:val="clear" w:color="auto" w:fill="FFFFFF"/>
          <w:lang w:val="en-US"/>
        </w:rPr>
        <w:t>MiXCR</w:t>
      </w:r>
      <w:proofErr w:type="spellEnd"/>
      <w:r>
        <w:rPr>
          <w:rFonts w:ascii="Calibri" w:hAnsi="Calibri"/>
          <w:color w:val="auto"/>
          <w:sz w:val="24"/>
          <w:szCs w:val="24"/>
          <w:shd w:val="clear" w:color="auto" w:fill="FFFFFF"/>
          <w:lang w:val="en-US"/>
        </w:rPr>
        <w:t xml:space="preserve"> </w:t>
      </w:r>
      <w:r>
        <w:rPr>
          <w:rFonts w:ascii="Calibri" w:hAnsi="Calibri"/>
          <w:color w:val="auto"/>
          <w:sz w:val="24"/>
          <w:szCs w:val="24"/>
          <w:shd w:val="clear" w:color="auto" w:fill="FFFFFF"/>
          <w:lang w:val="en-US"/>
        </w:rPr>
        <w:fldChar w:fldCharType="begin"/>
      </w:r>
      <w:r>
        <w:rPr>
          <w:rFonts w:ascii="Calibri" w:hAnsi="Calibri"/>
          <w:color w:val="auto"/>
          <w:sz w:val="24"/>
          <w:szCs w:val="24"/>
          <w:shd w:val="clear" w:color="auto" w:fill="FFFFFF"/>
          <w:lang w:val="en-US"/>
        </w:rPr>
        <w:instrText xml:space="preserve"> ADDIN EN.CITE &lt;EndNote&gt;&lt;Cite&gt;&lt;Author&gt;Bolotin&lt;/Author&gt;&lt;Year&gt;2015&lt;/Year&gt;&lt;RecNum&gt;1142&lt;/RecNum&gt;&lt;DisplayText&gt;(8)&lt;/DisplayText&gt;&lt;record&gt;&lt;rec-number&gt;1142&lt;/rec-number&gt;&lt;foreign-keys&gt;&lt;key app="EN" db-id="asd2xx0txxfwp9eazxoxdfp6a0t02sedw22v" timestamp="1608560838"&gt;1142&lt;/key&gt;&lt;/foreign-keys&gt;&lt;ref-type name="Journal Article"&gt;17&lt;/ref-type&gt;&lt;contributors&gt;&lt;authors&gt;&lt;author&gt;Bolotin, Dmitriy A.&lt;/author&gt;&lt;author&gt;Poslavsky, Stanislav&lt;/author&gt;&lt;author&gt;Mitrophanov, Igor&lt;/author&gt;&lt;author&gt;Shugay, Mikhail&lt;/author&gt;&lt;author&gt;Mamedov, Ilgar Z.&lt;/author&gt;&lt;author&gt;Putintseva, Ekaterina V.&lt;/author&gt;&lt;author&gt;Chudakov, Dmitriy M.&lt;/author&gt;&lt;/authors&gt;&lt;/contributors&gt;&lt;titles&gt;&lt;title&gt;MiXCR: software for comprehensive adaptive immunity profiling&lt;/title&gt;&lt;secondary-title&gt;Nature Methods&lt;/secondary-title&gt;&lt;/titles&gt;&lt;periodical&gt;&lt;full-title&gt;Nature Methods&lt;/full-title&gt;&lt;/periodical&gt;&lt;pages&gt;380-381&lt;/pages&gt;&lt;volume&gt;12&lt;/volume&gt;&lt;number&gt;5&lt;/number&gt;&lt;dates&gt;&lt;year&gt;2015&lt;/year&gt;&lt;pub-dates&gt;&lt;date&gt;2015/05/01&lt;/date&gt;&lt;/pub-dates&gt;&lt;/dates&gt;&lt;isbn&gt;1548-7105&lt;/isbn&gt;&lt;urls&gt;&lt;related-urls&gt;&lt;url&gt;https://doi.org/10.1038/nmeth.3364&lt;/url&gt;&lt;/related-urls&gt;&lt;/urls&gt;&lt;electronic-resource-num&gt;10.1038/nmeth.3364&lt;/electronic-resource-num&gt;&lt;/record&gt;&lt;/Cite&gt;&lt;/EndNote&gt;</w:instrText>
      </w:r>
      <w:r>
        <w:rPr>
          <w:rFonts w:ascii="Calibri" w:hAnsi="Calibri"/>
          <w:color w:val="auto"/>
          <w:sz w:val="24"/>
          <w:szCs w:val="24"/>
          <w:shd w:val="clear" w:color="auto" w:fill="FFFFFF"/>
          <w:lang w:val="en-US"/>
        </w:rPr>
        <w:fldChar w:fldCharType="separate"/>
      </w:r>
      <w:r>
        <w:rPr>
          <w:rFonts w:ascii="Calibri" w:hAnsi="Calibri"/>
          <w:color w:val="auto"/>
          <w:sz w:val="24"/>
          <w:szCs w:val="24"/>
          <w:shd w:val="clear" w:color="auto" w:fill="FFFFFF"/>
          <w:lang w:val="en-US"/>
        </w:rPr>
        <w:t>(8)</w:t>
      </w:r>
      <w:r>
        <w:rPr>
          <w:rFonts w:ascii="Calibri" w:hAnsi="Calibri"/>
          <w:color w:val="auto"/>
          <w:sz w:val="24"/>
          <w:szCs w:val="24"/>
          <w:shd w:val="clear" w:color="auto" w:fill="FFFFFF"/>
          <w:lang w:val="en-US"/>
        </w:rPr>
        <w:fldChar w:fldCharType="end"/>
      </w:r>
      <w:r>
        <w:rPr>
          <w:rFonts w:ascii="Calibri" w:hAnsi="Calibri"/>
          <w:color w:val="auto"/>
          <w:sz w:val="24"/>
          <w:szCs w:val="24"/>
          <w:shd w:val="clear" w:color="auto" w:fill="FFFFFF"/>
          <w:lang w:val="en-US"/>
        </w:rPr>
        <w:t xml:space="preserve"> tools. </w:t>
      </w:r>
      <w:proofErr w:type="spellStart"/>
      <w:r>
        <w:rPr>
          <w:rFonts w:ascii="Calibri" w:hAnsi="Calibri"/>
          <w:color w:val="auto"/>
          <w:sz w:val="24"/>
          <w:szCs w:val="24"/>
          <w:shd w:val="clear" w:color="auto" w:fill="FFFFFF"/>
          <w:lang w:val="en-US"/>
        </w:rPr>
        <w:t>MiGEC</w:t>
      </w:r>
      <w:proofErr w:type="spellEnd"/>
      <w:r>
        <w:rPr>
          <w:rFonts w:ascii="Calibri" w:hAnsi="Calibri"/>
          <w:color w:val="auto"/>
          <w:sz w:val="24"/>
          <w:szCs w:val="24"/>
          <w:shd w:val="clear" w:color="auto" w:fill="FFFFFF"/>
          <w:lang w:val="en-US"/>
        </w:rPr>
        <w:t xml:space="preserve"> was used for the initial</w:t>
      </w:r>
      <w:r>
        <w:rPr>
          <w:rFonts w:ascii="Calibri" w:hAnsi="Calibri"/>
          <w:color w:val="auto"/>
          <w:sz w:val="24"/>
          <w:szCs w:val="24"/>
          <w:shd w:val="clear" w:color="auto" w:fill="FFFFFF"/>
        </w:rPr>
        <w:t> </w:t>
      </w:r>
      <w:r>
        <w:rPr>
          <w:rFonts w:ascii="Calibri" w:hAnsi="Calibri"/>
          <w:color w:val="auto"/>
          <w:sz w:val="24"/>
          <w:szCs w:val="24"/>
          <w:shd w:val="clear" w:color="auto" w:fill="FFFFFF"/>
          <w:lang w:val="en-US"/>
        </w:rPr>
        <w:t>pre-processing of data for</w:t>
      </w:r>
      <w:r>
        <w:rPr>
          <w:rFonts w:ascii="Calibri" w:hAnsi="Calibri"/>
          <w:color w:val="auto"/>
          <w:sz w:val="24"/>
          <w:szCs w:val="24"/>
          <w:shd w:val="clear" w:color="auto" w:fill="FFFFFF"/>
        </w:rPr>
        <w:t> </w:t>
      </w:r>
      <w:r>
        <w:rPr>
          <w:rFonts w:ascii="Calibri" w:hAnsi="Calibri"/>
          <w:color w:val="auto"/>
          <w:sz w:val="24"/>
          <w:szCs w:val="24"/>
          <w:shd w:val="clear" w:color="auto" w:fill="FFFFFF"/>
          <w:lang w:val="fr-FR"/>
        </w:rPr>
        <w:t xml:space="preserve">unique </w:t>
      </w:r>
      <w:proofErr w:type="spellStart"/>
      <w:r>
        <w:rPr>
          <w:rFonts w:ascii="Calibri" w:hAnsi="Calibri"/>
          <w:color w:val="auto"/>
          <w:sz w:val="24"/>
          <w:szCs w:val="24"/>
          <w:shd w:val="clear" w:color="auto" w:fill="FFFFFF"/>
          <w:lang w:val="fr-FR"/>
        </w:rPr>
        <w:t>molecular</w:t>
      </w:r>
      <w:proofErr w:type="spellEnd"/>
      <w:r>
        <w:rPr>
          <w:rFonts w:ascii="Calibri" w:hAnsi="Calibri"/>
          <w:color w:val="auto"/>
          <w:sz w:val="24"/>
          <w:szCs w:val="24"/>
          <w:shd w:val="clear" w:color="auto" w:fill="FFFFFF"/>
          <w:lang w:val="fr-FR"/>
        </w:rPr>
        <w:t xml:space="preserve"> </w:t>
      </w:r>
      <w:proofErr w:type="spellStart"/>
      <w:r>
        <w:rPr>
          <w:rFonts w:ascii="Calibri" w:hAnsi="Calibri"/>
          <w:color w:val="auto"/>
          <w:sz w:val="24"/>
          <w:szCs w:val="24"/>
          <w:shd w:val="clear" w:color="auto" w:fill="FFFFFF"/>
          <w:lang w:val="fr-FR"/>
        </w:rPr>
        <w:t>identifiers</w:t>
      </w:r>
      <w:proofErr w:type="spellEnd"/>
      <w:r>
        <w:rPr>
          <w:rFonts w:ascii="Calibri" w:hAnsi="Calibri"/>
          <w:color w:val="auto"/>
          <w:sz w:val="24"/>
          <w:szCs w:val="24"/>
          <w:shd w:val="clear" w:color="auto" w:fill="FFFFFF"/>
          <w:lang w:val="fr-FR"/>
        </w:rPr>
        <w:t xml:space="preserve"> (UMI)</w:t>
      </w:r>
      <w:r>
        <w:rPr>
          <w:rFonts w:ascii="Calibri" w:hAnsi="Calibri"/>
          <w:color w:val="auto"/>
          <w:sz w:val="24"/>
          <w:szCs w:val="24"/>
          <w:shd w:val="clear" w:color="auto" w:fill="FFFFFF"/>
        </w:rPr>
        <w:t> </w:t>
      </w:r>
      <w:r>
        <w:rPr>
          <w:rFonts w:ascii="Calibri" w:hAnsi="Calibri"/>
          <w:color w:val="auto"/>
          <w:sz w:val="24"/>
          <w:szCs w:val="24"/>
          <w:shd w:val="clear" w:color="auto" w:fill="FFFFFF"/>
          <w:lang w:val="en-US"/>
        </w:rPr>
        <w:t>followed by the analysis of</w:t>
      </w:r>
      <w:r>
        <w:rPr>
          <w:rFonts w:ascii="Calibri" w:hAnsi="Calibri"/>
          <w:color w:val="auto"/>
          <w:sz w:val="24"/>
          <w:szCs w:val="24"/>
          <w:shd w:val="clear" w:color="auto" w:fill="FFFFFF"/>
        </w:rPr>
        <w:t> </w:t>
      </w:r>
      <w:r>
        <w:rPr>
          <w:rFonts w:ascii="Calibri" w:hAnsi="Calibri"/>
          <w:color w:val="auto"/>
          <w:sz w:val="24"/>
          <w:szCs w:val="24"/>
          <w:shd w:val="clear" w:color="auto" w:fill="FFFFFF"/>
          <w:lang w:val="en-US"/>
        </w:rPr>
        <w:t xml:space="preserve">clones with </w:t>
      </w:r>
      <w:proofErr w:type="spellStart"/>
      <w:r>
        <w:rPr>
          <w:rFonts w:ascii="Calibri" w:hAnsi="Calibri"/>
          <w:color w:val="auto"/>
          <w:sz w:val="24"/>
          <w:szCs w:val="24"/>
          <w:shd w:val="clear" w:color="auto" w:fill="FFFFFF"/>
          <w:lang w:val="en-US"/>
        </w:rPr>
        <w:t>MiXCR</w:t>
      </w:r>
      <w:proofErr w:type="spellEnd"/>
      <w:r>
        <w:rPr>
          <w:rFonts w:ascii="Calibri" w:hAnsi="Calibri"/>
          <w:color w:val="auto"/>
          <w:sz w:val="24"/>
          <w:szCs w:val="24"/>
          <w:shd w:val="clear" w:color="auto" w:fill="FFFFFF"/>
          <w:lang w:val="en-US"/>
        </w:rPr>
        <w:t>, as described above for WES samples.</w:t>
      </w:r>
    </w:p>
    <w:p w14:paraId="68492FB5" w14:textId="77777777" w:rsidR="00C85F28" w:rsidRDefault="00C85F28" w:rsidP="00001C06">
      <w:pPr>
        <w:spacing w:after="0" w:line="360" w:lineRule="auto"/>
        <w:rPr>
          <w:rFonts w:eastAsia="Droid Sans Fallback" w:cs="Times New Roman"/>
          <w:color w:val="000000"/>
          <w:sz w:val="24"/>
          <w:szCs w:val="24"/>
          <w:lang w:val="en-IN" w:eastAsia="zh-CN" w:bidi="hi-IN"/>
        </w:rPr>
      </w:pPr>
    </w:p>
    <w:p w14:paraId="5AB821DF" w14:textId="77777777" w:rsidR="00C85F28" w:rsidRDefault="003A29BC" w:rsidP="00001C06">
      <w:pPr>
        <w:spacing w:after="0" w:line="360" w:lineRule="auto"/>
        <w:jc w:val="both"/>
        <w:rPr>
          <w:rFonts w:eastAsia="Droid Sans Fallback" w:cs="Times New Roman"/>
          <w:b/>
          <w:bCs/>
          <w:color w:val="000000"/>
          <w:sz w:val="24"/>
          <w:szCs w:val="24"/>
          <w:lang w:eastAsia="zh-CN" w:bidi="hi-IN"/>
        </w:rPr>
      </w:pPr>
      <w:r>
        <w:rPr>
          <w:rFonts w:cs="Times New Roman"/>
          <w:b/>
          <w:bCs/>
          <w:color w:val="000000" w:themeColor="text1"/>
          <w:sz w:val="24"/>
          <w:szCs w:val="24"/>
        </w:rPr>
        <w:t xml:space="preserve">Calculation of change in cellular prevalence of mutations from primary to serially transplanted </w:t>
      </w:r>
      <w:proofErr w:type="spellStart"/>
      <w:r>
        <w:rPr>
          <w:rFonts w:cs="Times New Roman"/>
          <w:b/>
          <w:bCs/>
          <w:color w:val="000000" w:themeColor="text1"/>
          <w:sz w:val="24"/>
          <w:szCs w:val="24"/>
        </w:rPr>
        <w:t>tumors</w:t>
      </w:r>
      <w:proofErr w:type="spellEnd"/>
    </w:p>
    <w:p w14:paraId="64F85029" w14:textId="77777777" w:rsidR="00C85F28" w:rsidRPr="00B5717D" w:rsidRDefault="003A29BC" w:rsidP="00001C06">
      <w:pPr>
        <w:pStyle w:val="Standard1"/>
        <w:spacing w:line="360" w:lineRule="auto"/>
        <w:jc w:val="both"/>
        <w:rPr>
          <w:rFonts w:ascii="Calibri" w:hAnsi="Calibri" w:cs="Times New Roman"/>
        </w:rPr>
      </w:pPr>
      <w:r>
        <w:rPr>
          <w:rFonts w:ascii="Calibri" w:hAnsi="Calibri" w:cs="Times New Roman"/>
        </w:rPr>
        <w:t xml:space="preserve">To infer if identified SNVs were contributing to clonal changes in mouse tumors, allele frequency changes of tumor specific and shared (between primary and adoptive transfer tumor pairs) mutations were calculated. Python tool </w:t>
      </w:r>
      <w:proofErr w:type="spellStart"/>
      <w:r>
        <w:rPr>
          <w:rFonts w:ascii="Calibri" w:hAnsi="Calibri" w:cs="Times New Roman"/>
        </w:rPr>
        <w:t>PyClone</w:t>
      </w:r>
      <w:proofErr w:type="spellEnd"/>
      <w:r>
        <w:rPr>
          <w:rFonts w:ascii="Calibri" w:hAnsi="Calibri" w:cs="Times New Roman"/>
        </w:rPr>
        <w:t xml:space="preserve"> (v0.13.0) was used for calculating and plotting clonal changes between tumor pairs </w:t>
      </w:r>
      <w:r>
        <w:rPr>
          <w:rFonts w:ascii="Calibri" w:hAnsi="Calibri" w:cs="Times New Roman"/>
        </w:rPr>
        <w:fldChar w:fldCharType="begin"/>
      </w:r>
      <w:r>
        <w:rPr>
          <w:rFonts w:ascii="Calibri" w:hAnsi="Calibri" w:cs="Times New Roman"/>
        </w:rPr>
        <w:instrText xml:space="preserve"> ADDIN EN.CITE </w:instrText>
      </w:r>
      <w:r>
        <w:rPr>
          <w:rFonts w:ascii="Calibri" w:hAnsi="Calibri" w:cs="Times New Roman"/>
        </w:rPr>
        <w:fldChar w:fldCharType="begin"/>
      </w:r>
      <w:r>
        <w:rPr>
          <w:rFonts w:ascii="Calibri" w:hAnsi="Calibri" w:cs="Times New Roman"/>
        </w:rPr>
        <w:instrText xml:space="preserve"> ADDIN EN.CITE.DATA </w:instrText>
      </w:r>
      <w:r>
        <w:rPr>
          <w:rFonts w:ascii="Calibri" w:hAnsi="Calibri" w:cs="Times New Roman"/>
        </w:rPr>
        <w:fldChar w:fldCharType="end"/>
      </w:r>
      <w:r>
        <w:rPr>
          <w:rFonts w:ascii="Calibri" w:hAnsi="Calibri" w:cs="Times New Roman"/>
        </w:rPr>
        <w:fldChar w:fldCharType="separate"/>
      </w:r>
      <w:r>
        <w:rPr>
          <w:rFonts w:ascii="Calibri" w:hAnsi="Calibri" w:cs="Times New Roman"/>
        </w:rPr>
        <w:t>(10)</w:t>
      </w:r>
      <w:r>
        <w:rPr>
          <w:rFonts w:ascii="Calibri" w:hAnsi="Calibri" w:cs="Times New Roman"/>
        </w:rPr>
        <w:fldChar w:fldCharType="end"/>
      </w:r>
      <w:r>
        <w:rPr>
          <w:rFonts w:ascii="Calibri" w:hAnsi="Calibri" w:cs="Times New Roman"/>
        </w:rPr>
        <w:t xml:space="preserve">. </w:t>
      </w:r>
      <w:proofErr w:type="spellStart"/>
      <w:r>
        <w:rPr>
          <w:rFonts w:ascii="Calibri" w:hAnsi="Calibri" w:cs="Times New Roman"/>
        </w:rPr>
        <w:t>PyClone</w:t>
      </w:r>
      <w:proofErr w:type="spellEnd"/>
      <w:r>
        <w:rPr>
          <w:rFonts w:ascii="Calibri" w:hAnsi="Calibri" w:cs="Times New Roman"/>
        </w:rPr>
        <w:t xml:space="preserve"> used as input SNVs and copy number state information to output putative clonal population clusters corrected for allelic imbalances in each sample defining clonal shifts from primary to secondary tumor transfer. SNVs used for this analysis were filtered for most reliable hits as follows. VAF (variant allele frequency) cutoff of minimum 10% and depth of at least five reads support at any one time point (primary: time point 1 or transfer: time point 2) for each SNV identified using Mutect2 was considered. For SNVs present at only one time point, </w:t>
      </w:r>
      <w:proofErr w:type="spellStart"/>
      <w:r>
        <w:rPr>
          <w:rFonts w:ascii="Calibri" w:hAnsi="Calibri" w:cs="Times New Roman"/>
        </w:rPr>
        <w:t>mpileup</w:t>
      </w:r>
      <w:proofErr w:type="spellEnd"/>
      <w:r>
        <w:rPr>
          <w:rFonts w:ascii="Calibri" w:hAnsi="Calibri" w:cs="Times New Roman"/>
        </w:rPr>
        <w:t xml:space="preserve"> summaries were used to calculate the probability of existence of the SNV with at least two reads at the time point given the coverage at that position. Also, the SNV should have been called at the other time point with 10% VAF and at least five reads. To strictly avoid any technically </w:t>
      </w:r>
      <w:proofErr w:type="spellStart"/>
      <w:r>
        <w:rPr>
          <w:rFonts w:ascii="Calibri" w:hAnsi="Calibri" w:cs="Times New Roman"/>
        </w:rPr>
        <w:t>artifactual</w:t>
      </w:r>
      <w:proofErr w:type="spellEnd"/>
      <w:r>
        <w:rPr>
          <w:rFonts w:ascii="Calibri" w:hAnsi="Calibri" w:cs="Times New Roman"/>
        </w:rPr>
        <w:t xml:space="preserve"> SNVs, 1% error was allowed considering a 99% confidence interval for each SNV position. High confidence SNVs from here that passed adjusted p-</w:t>
      </w:r>
      <w:r w:rsidRPr="00B5717D">
        <w:rPr>
          <w:rFonts w:ascii="Calibri" w:hAnsi="Calibri" w:cs="Times New Roman"/>
        </w:rPr>
        <w:t xml:space="preserve">value (Bonferroni correction </w:t>
      </w:r>
      <w:r w:rsidRPr="00B5717D">
        <w:rPr>
          <w:rFonts w:ascii="Calibri" w:hAnsi="Calibri" w:cs="Times New Roman"/>
        </w:rPr>
        <w:fldChar w:fldCharType="begin"/>
      </w:r>
      <w:r w:rsidRPr="00B5717D">
        <w:rPr>
          <w:rFonts w:ascii="Calibri" w:hAnsi="Calibri" w:cs="Times New Roman"/>
        </w:rPr>
        <w:instrText xml:space="preserve"> ADDIN EN.CITE &lt;EndNote&gt;&lt;Cite&gt;&lt;Author&gt;Armstrong&lt;/Author&gt;&lt;Year&gt;2014&lt;/Year&gt;&lt;RecNum&gt;174&lt;/RecNum&gt;&lt;DisplayText&gt;(11)&lt;/DisplayText&gt;&lt;record&gt;&lt;rec-number&gt;174&lt;/rec-number&gt;&lt;foreign-keys&gt;&lt;key app="EN" db-id="zsxft0d9m0rawce02fmvszwn5wszese0vr5t" timestamp="1589386368"&gt;174&lt;/key&gt;&lt;/foreign-keys&gt;&lt;ref-type name="Journal Article"&gt;17&lt;/ref-type&gt;&lt;contributors&gt;&lt;authors&gt;&lt;author&gt;Richard A Armstrong&lt;/author&gt;&lt;/authors&gt;&lt;/contributors&gt;&lt;titles&gt;&lt;title&gt;When to Use the Bonferroni Correction&lt;/title&gt;&lt;secondary-title&gt; Ophthalmic Physiol Opt&lt;/secondary-title&gt;&lt;/titles&gt;&lt;dates&gt;&lt;year&gt;2014&lt;/year&gt;&lt;/dates&gt;&lt;urls&gt;&lt;/urls&gt;&lt;/record&gt;&lt;/Cite&gt;&lt;/EndNote&gt;</w:instrText>
      </w:r>
      <w:r w:rsidRPr="00B5717D">
        <w:rPr>
          <w:rFonts w:ascii="Calibri" w:hAnsi="Calibri" w:cs="Times New Roman"/>
        </w:rPr>
        <w:fldChar w:fldCharType="separate"/>
      </w:r>
      <w:r w:rsidRPr="00B5717D">
        <w:rPr>
          <w:rFonts w:ascii="Calibri" w:hAnsi="Calibri" w:cs="Times New Roman"/>
        </w:rPr>
        <w:t>(11)</w:t>
      </w:r>
      <w:r w:rsidRPr="00B5717D">
        <w:rPr>
          <w:rFonts w:ascii="Calibri" w:hAnsi="Calibri" w:cs="Times New Roman"/>
        </w:rPr>
        <w:fldChar w:fldCharType="end"/>
      </w:r>
      <w:r w:rsidRPr="00B5717D">
        <w:rPr>
          <w:rFonts w:ascii="Calibri" w:hAnsi="Calibri" w:cs="Times New Roman"/>
        </w:rPr>
        <w:t xml:space="preserve">) threshold of &lt;0.05 were selected and used for plotting clonal changes between tumor pairs. </w:t>
      </w:r>
    </w:p>
    <w:p w14:paraId="2528212B" w14:textId="77777777" w:rsidR="00C85F28" w:rsidRPr="00B5717D" w:rsidRDefault="00C85F28" w:rsidP="00001C06">
      <w:pPr>
        <w:pStyle w:val="Standard1"/>
        <w:spacing w:line="360" w:lineRule="auto"/>
        <w:jc w:val="both"/>
        <w:rPr>
          <w:rFonts w:ascii="Calibri" w:hAnsi="Calibri" w:cs="Times New Roman"/>
        </w:rPr>
      </w:pPr>
    </w:p>
    <w:p w14:paraId="3716AB96" w14:textId="4A8D0A0F" w:rsidR="00C85F28" w:rsidRPr="00B5717D" w:rsidRDefault="003A29BC" w:rsidP="00001C06">
      <w:pPr>
        <w:shd w:val="clear" w:color="auto" w:fill="FFFFFF"/>
        <w:spacing w:after="0" w:line="360" w:lineRule="auto"/>
        <w:jc w:val="both"/>
        <w:rPr>
          <w:b/>
          <w:bCs/>
          <w:color w:val="000000"/>
          <w:sz w:val="24"/>
          <w:szCs w:val="24"/>
          <w:lang w:val="en-US"/>
        </w:rPr>
      </w:pPr>
      <w:r w:rsidRPr="00B5717D">
        <w:rPr>
          <w:b/>
          <w:bCs/>
          <w:color w:val="000000"/>
          <w:sz w:val="24"/>
          <w:szCs w:val="24"/>
          <w:lang w:val="en-US"/>
        </w:rPr>
        <w:t>SIFT analysis</w:t>
      </w:r>
    </w:p>
    <w:p w14:paraId="4804EEF4" w14:textId="1FC7CA80" w:rsidR="00C85F28" w:rsidRPr="00001C06" w:rsidRDefault="003A29BC" w:rsidP="00001C06">
      <w:pPr>
        <w:shd w:val="clear" w:color="auto" w:fill="FFFFFF"/>
        <w:spacing w:line="360" w:lineRule="auto"/>
        <w:jc w:val="both"/>
        <w:rPr>
          <w:rFonts w:ascii="Segoe UI" w:hAnsi="Segoe UI" w:cs="Segoe UI"/>
          <w:color w:val="212121"/>
          <w:sz w:val="24"/>
          <w:szCs w:val="24"/>
        </w:rPr>
      </w:pPr>
      <w:r w:rsidRPr="00B5717D">
        <w:rPr>
          <w:color w:val="000000"/>
          <w:sz w:val="24"/>
          <w:szCs w:val="24"/>
          <w:lang w:val="en-US"/>
        </w:rPr>
        <w:t>The impact of the identified SNVs was assessed based on SIFT </w:t>
      </w:r>
      <w:r w:rsidRPr="00B5717D">
        <w:rPr>
          <w:color w:val="000000"/>
          <w:sz w:val="24"/>
          <w:szCs w:val="24"/>
        </w:rPr>
        <w:fldChar w:fldCharType="begin"/>
      </w:r>
      <w:r w:rsidRPr="00B5717D">
        <w:rPr>
          <w:color w:val="000000"/>
          <w:sz w:val="24"/>
          <w:szCs w:val="24"/>
        </w:rPr>
        <w:instrText xml:space="preserve"> ADDIN EN.CITE &lt;EndNote&gt;&lt;Cite&gt;&lt;Author&gt;Ng&lt;/Author&gt;&lt;Year&gt;2003&lt;/Year&gt;&lt;RecNum&gt;104&lt;/RecNum&gt;&lt;DisplayText&gt;(12)&lt;/DisplayText&gt;&lt;record&gt;&lt;rec-number&gt;104&lt;/rec-number&gt;&lt;foreign-keys&gt;&lt;key app="EN" db-id="x50es5pzhap2efe09wtxx5sq0wzze0przefv" timestamp="1624624160"&gt;104&lt;/key&gt;&lt;/foreign-keys&gt;&lt;ref-type name="Journal Article"&gt;17&lt;/ref-type&gt;&lt;contributors&gt;&lt;authors&gt;&lt;author&gt;Ng, P. C.&lt;/author&gt;&lt;author&gt;Henikoff, S.&lt;/author&gt;&lt;/authors&gt;&lt;/contributors&gt;&lt;auth-address&gt;Fred Hutchinson Cancer Research Center, 1100 Fairview Avenue N A1-162, Seattle, WA 98109, USA.&lt;/auth-address&gt;&lt;titles&gt;&lt;title&gt;SIFT: Predicting amino acid changes that affect protein function&lt;/title&gt;&lt;secondary-title&gt;Nucleic Acids Res&lt;/secondary-title&gt;&lt;/titles&gt;&lt;periodical&gt;&lt;full-title&gt;Nucleic Acids Res&lt;/full-title&gt;&lt;/periodical&gt;&lt;pages&gt;3812-4&lt;/pages&gt;&lt;volume&gt;31&lt;/volume&gt;&lt;number&gt;13&lt;/number&gt;&lt;edition&gt;2003/06/26&lt;/edition&gt;&lt;keywords&gt;&lt;keyword&gt;*Amino Acid Substitution&lt;/keyword&gt;&lt;keyword&gt;Humans&lt;/keyword&gt;&lt;keyword&gt;Internet&lt;/keyword&gt;&lt;keyword&gt;Polymorphism, Genetic&lt;/keyword&gt;&lt;keyword&gt;Proteins/chemistry/physiology&lt;/keyword&gt;&lt;keyword&gt;Sequence Alignment&lt;/keyword&gt;&lt;keyword&gt;Sequence Analysis, Protein/*methods&lt;/keyword&gt;&lt;keyword&gt;*Software&lt;/keyword&gt;&lt;keyword&gt;User-Computer Interface&lt;/keyword&gt;&lt;/keywords&gt;&lt;dates&gt;&lt;year&gt;2003&lt;/year&gt;&lt;pub-dates&gt;&lt;date&gt;Jul 1&lt;/date&gt;&lt;/pub-dates&gt;&lt;/dates&gt;&lt;isbn&gt;1362-4962 (Electronic)&amp;#xD;0305-1048 (Linking)&lt;/isbn&gt;&lt;accession-num&gt;12824425&lt;/accession-num&gt;&lt;urls&gt;&lt;related-urls&gt;&lt;url&gt;https://www.ncbi.nlm.nih.gov/pubmed/12824425&lt;/url&gt;&lt;/related-urls&gt;&lt;/urls&gt;&lt;custom2&gt;PMC168916&lt;/custom2&gt;&lt;electronic-resource-num&gt;10.1093/nar/gkg509&lt;/electronic-resource-num&gt;&lt;/record&gt;&lt;/Cite&gt;&lt;/EndNote&gt;</w:instrText>
      </w:r>
      <w:r w:rsidRPr="00B5717D">
        <w:rPr>
          <w:color w:val="000000"/>
          <w:sz w:val="24"/>
          <w:szCs w:val="24"/>
        </w:rPr>
        <w:fldChar w:fldCharType="separate"/>
      </w:r>
      <w:r w:rsidRPr="00B5717D">
        <w:rPr>
          <w:color w:val="000000"/>
          <w:sz w:val="24"/>
          <w:szCs w:val="24"/>
        </w:rPr>
        <w:t>(12)</w:t>
      </w:r>
      <w:r w:rsidRPr="00B5717D">
        <w:rPr>
          <w:color w:val="000000"/>
          <w:sz w:val="24"/>
          <w:szCs w:val="24"/>
        </w:rPr>
        <w:fldChar w:fldCharType="end"/>
      </w:r>
      <w:r w:rsidRPr="00B5717D">
        <w:rPr>
          <w:color w:val="000000"/>
          <w:sz w:val="24"/>
          <w:szCs w:val="24"/>
          <w:lang w:val="en-US"/>
        </w:rPr>
        <w:t xml:space="preserve"> using </w:t>
      </w:r>
      <w:proofErr w:type="spellStart"/>
      <w:r w:rsidRPr="00B5717D">
        <w:rPr>
          <w:color w:val="000000"/>
          <w:sz w:val="24"/>
          <w:szCs w:val="24"/>
          <w:lang w:val="en-US"/>
        </w:rPr>
        <w:t>Ensembl's</w:t>
      </w:r>
      <w:proofErr w:type="spellEnd"/>
      <w:r w:rsidRPr="00B5717D">
        <w:rPr>
          <w:color w:val="000000"/>
          <w:sz w:val="24"/>
          <w:szCs w:val="24"/>
          <w:lang w:val="en-US"/>
        </w:rPr>
        <w:t xml:space="preserve"> VEP (Variant Effect Predictor) version 102 with default settings in the VM provided by </w:t>
      </w:r>
      <w:proofErr w:type="spellStart"/>
      <w:r w:rsidRPr="00B5717D">
        <w:rPr>
          <w:color w:val="000000"/>
          <w:sz w:val="24"/>
          <w:szCs w:val="24"/>
          <w:lang w:val="en-US"/>
        </w:rPr>
        <w:t>Ensembl</w:t>
      </w:r>
      <w:proofErr w:type="spellEnd"/>
      <w:r w:rsidRPr="00B5717D">
        <w:rPr>
          <w:color w:val="000000"/>
          <w:sz w:val="24"/>
          <w:szCs w:val="24"/>
          <w:lang w:val="en-US"/>
        </w:rPr>
        <w:t>.</w:t>
      </w:r>
    </w:p>
    <w:p w14:paraId="1654BE7A" w14:textId="77777777" w:rsidR="00C85F28" w:rsidRDefault="003A29BC" w:rsidP="00001C06">
      <w:pPr>
        <w:widowControl w:val="0"/>
        <w:spacing w:after="0" w:line="360" w:lineRule="auto"/>
        <w:jc w:val="both"/>
        <w:rPr>
          <w:rFonts w:cs="Times New Roman"/>
          <w:b/>
          <w:sz w:val="24"/>
          <w:szCs w:val="24"/>
        </w:rPr>
      </w:pPr>
      <w:bookmarkStart w:id="0" w:name="_GoBack"/>
      <w:bookmarkEnd w:id="0"/>
      <w:r>
        <w:rPr>
          <w:rFonts w:cs="Times New Roman"/>
          <w:b/>
          <w:sz w:val="24"/>
          <w:szCs w:val="24"/>
        </w:rPr>
        <w:t>Fluorescence in situ hybridization (FISH)</w:t>
      </w:r>
    </w:p>
    <w:p w14:paraId="4C1BFBCE" w14:textId="77777777" w:rsidR="00C85F28" w:rsidRDefault="003A29BC" w:rsidP="00001C06">
      <w:pPr>
        <w:spacing w:after="0" w:line="360" w:lineRule="auto"/>
        <w:jc w:val="both"/>
        <w:rPr>
          <w:rFonts w:cs="Times New Roman"/>
          <w:sz w:val="24"/>
          <w:szCs w:val="24"/>
        </w:rPr>
      </w:pPr>
      <w:r>
        <w:rPr>
          <w:rFonts w:cs="Times New Roman"/>
          <w:sz w:val="24"/>
          <w:szCs w:val="24"/>
        </w:rPr>
        <w:t>Two-</w:t>
      </w:r>
      <w:proofErr w:type="spellStart"/>
      <w:r>
        <w:rPr>
          <w:rFonts w:cs="Times New Roman"/>
          <w:sz w:val="24"/>
          <w:szCs w:val="24"/>
        </w:rPr>
        <w:t>color</w:t>
      </w:r>
      <w:proofErr w:type="spellEnd"/>
      <w:r>
        <w:rPr>
          <w:rFonts w:cs="Times New Roman"/>
          <w:sz w:val="24"/>
          <w:szCs w:val="24"/>
        </w:rPr>
        <w:t xml:space="preserve"> FISH experiments were performed using a BAC clone for the MYC gene (RP23-397P6) localized on mouse chromosome 15 and a reference BAC clone for mouse chromosome 16 (E4290Q) as described by </w:t>
      </w:r>
      <w:proofErr w:type="spellStart"/>
      <w:r>
        <w:rPr>
          <w:rFonts w:cs="Times New Roman"/>
          <w:sz w:val="24"/>
          <w:szCs w:val="24"/>
        </w:rPr>
        <w:t>Geigl</w:t>
      </w:r>
      <w:proofErr w:type="spellEnd"/>
      <w:r>
        <w:rPr>
          <w:rFonts w:cs="Times New Roman"/>
          <w:sz w:val="24"/>
          <w:szCs w:val="24"/>
        </w:rPr>
        <w:t xml:space="preserve"> </w:t>
      </w:r>
      <w:r>
        <w:rPr>
          <w:rFonts w:cs="Times New Roman"/>
          <w:i/>
          <w:iCs/>
          <w:sz w:val="24"/>
          <w:szCs w:val="24"/>
        </w:rPr>
        <w:t>et al</w:t>
      </w:r>
      <w:r>
        <w:rPr>
          <w:rFonts w:cs="Times New Roman"/>
          <w:sz w:val="24"/>
          <w:szCs w:val="24"/>
        </w:rPr>
        <w:t xml:space="preserve">. 2006 </w:t>
      </w:r>
      <w:r>
        <w:rPr>
          <w:rFonts w:cs="Times New Roman"/>
          <w:sz w:val="24"/>
          <w:szCs w:val="24"/>
        </w:rPr>
        <w:fldChar w:fldCharType="begin"/>
      </w:r>
      <w:r>
        <w:rPr>
          <w:rFonts w:cs="Times New Roman"/>
          <w:sz w:val="24"/>
          <w:szCs w:val="24"/>
        </w:rPr>
        <w:instrText xml:space="preserve"> ADDIN EN.CITE &lt;EndNote&gt;&lt;Cite&gt;&lt;Author&gt;Geigl&lt;/Author&gt;&lt;Year&gt;2006&lt;/Year&gt;&lt;RecNum&gt;17&lt;/RecNum&gt;&lt;DisplayText&gt;(13)&lt;/DisplayText&gt;&lt;record&gt;&lt;rec-number&gt;17&lt;/rec-number&gt;&lt;foreign-keys&gt;&lt;key app="EN" db-id="x50es5pzhap2efe09wtxx5sq0wzze0przefv" timestamp="1597676493"&gt;17&lt;/key&gt;&lt;/foreign-keys&gt;&lt;ref-type name="Journal Article"&gt;17&lt;/ref-type&gt;&lt;contributors&gt;&lt;authors&gt;&lt;author&gt;Geigl, J. B.&lt;/author&gt;&lt;author&gt;Uhrig, S.&lt;/author&gt;&lt;author&gt;Speicher, M. R.&lt;/author&gt;&lt;/authors&gt;&lt;/contributors&gt;&lt;auth-address&gt;Institute of Medical Biology and Human Genetics, Medical University of Graz, Harrachgasse 21/8, A-8010 Graz, Austria.&lt;/auth-address&gt;&lt;titles&gt;&lt;title&gt;Multiplex-fluorescence in situ hybridization for chromosome karyotyping&lt;/title&gt;&lt;secondary-title&gt;Nat Protoc&lt;/secondary-title&gt;&lt;/titles&gt;&lt;periodical&gt;&lt;full-title&gt;Nat Protoc&lt;/full-title&gt;&lt;/periodical&gt;&lt;pages&gt;1172-84&lt;/pages&gt;&lt;volume&gt;1&lt;/volume&gt;&lt;number&gt;3&lt;/number&gt;&lt;edition&gt;2007/04/05&lt;/edition&gt;&lt;keywords&gt;&lt;keyword&gt;Animals&lt;/keyword&gt;&lt;keyword&gt;Chromosomes/*genetics&lt;/keyword&gt;&lt;keyword&gt;Fluorescent Dyes/analysis&lt;/keyword&gt;&lt;keyword&gt;Humans&lt;/keyword&gt;&lt;keyword&gt;In Situ Hybridization, Fluorescence/*methods&lt;/keyword&gt;&lt;keyword&gt;Karyotyping/methods&lt;/keyword&gt;&lt;keyword&gt;Mice&lt;/keyword&gt;&lt;/keywords&gt;&lt;dates&gt;&lt;year&gt;2006&lt;/year&gt;&lt;/dates&gt;&lt;isbn&gt;1750-2799 (Electronic)&amp;#xD;1750-2799 (Linking)&lt;/isbn&gt;&lt;accession-num&gt;17406400&lt;/accession-num&gt;&lt;urls&gt;&lt;related-urls&gt;&lt;url&gt;https://www.ncbi.nlm.nih.gov/pubmed/17406400&lt;/url&gt;&lt;/related-urls&gt;&lt;/urls&gt;&lt;electronic-resource-num&gt;10.1038/nprot.2006.160&lt;/electronic-resource-num&gt;&lt;/record&gt;&lt;/Cite&gt;&lt;/EndNote&gt;</w:instrText>
      </w:r>
      <w:r>
        <w:rPr>
          <w:rFonts w:cs="Times New Roman"/>
          <w:sz w:val="24"/>
          <w:szCs w:val="24"/>
        </w:rPr>
        <w:fldChar w:fldCharType="separate"/>
      </w:r>
      <w:r>
        <w:rPr>
          <w:rFonts w:cs="Times New Roman"/>
          <w:sz w:val="24"/>
          <w:szCs w:val="24"/>
        </w:rPr>
        <w:t>(13)</w:t>
      </w:r>
      <w:r>
        <w:rPr>
          <w:rFonts w:cs="Times New Roman"/>
          <w:sz w:val="24"/>
          <w:szCs w:val="24"/>
        </w:rPr>
        <w:fldChar w:fldCharType="end"/>
      </w:r>
      <w:r>
        <w:rPr>
          <w:rFonts w:cs="Times New Roman"/>
          <w:sz w:val="24"/>
          <w:szCs w:val="24"/>
        </w:rPr>
        <w:t xml:space="preserve">. Interphase-FISH results were validated using an automated scanning system (Applied Spectral Imaging, </w:t>
      </w:r>
      <w:proofErr w:type="spellStart"/>
      <w:r>
        <w:rPr>
          <w:rFonts w:cs="Times New Roman"/>
          <w:sz w:val="24"/>
          <w:szCs w:val="24"/>
        </w:rPr>
        <w:t>Edingen-Neckarhausen</w:t>
      </w:r>
      <w:proofErr w:type="spellEnd"/>
      <w:r>
        <w:rPr>
          <w:rFonts w:cs="Times New Roman"/>
          <w:sz w:val="24"/>
          <w:szCs w:val="24"/>
        </w:rPr>
        <w:t xml:space="preserve">, Germany). </w:t>
      </w:r>
    </w:p>
    <w:p w14:paraId="6897D97E" w14:textId="77777777" w:rsidR="00C85F28" w:rsidRDefault="00C85F28" w:rsidP="00001C06">
      <w:pPr>
        <w:pStyle w:val="Standard1"/>
        <w:spacing w:line="360" w:lineRule="auto"/>
        <w:jc w:val="both"/>
        <w:rPr>
          <w:rFonts w:ascii="Calibri" w:hAnsi="Calibri" w:cs="Times New Roman"/>
        </w:rPr>
      </w:pPr>
    </w:p>
    <w:p w14:paraId="247FAA04" w14:textId="77777777" w:rsidR="00C85F28" w:rsidRDefault="003A29BC" w:rsidP="00001C06">
      <w:pPr>
        <w:pStyle w:val="Standard1"/>
        <w:spacing w:line="360" w:lineRule="auto"/>
        <w:jc w:val="both"/>
        <w:rPr>
          <w:rFonts w:ascii="Calibri" w:hAnsi="Calibri" w:cs="Times New Roman"/>
          <w:b/>
          <w:bCs/>
        </w:rPr>
      </w:pPr>
      <w:r>
        <w:rPr>
          <w:rFonts w:ascii="Calibri" w:hAnsi="Calibri" w:cs="Times New Roman"/>
          <w:b/>
          <w:bCs/>
        </w:rPr>
        <w:t>Patients and survival analysis</w:t>
      </w:r>
      <w:r>
        <w:rPr>
          <w:rFonts w:ascii="Calibri" w:hAnsi="Calibri" w:cs="Times New Roman"/>
          <w:b/>
          <w:bCs/>
        </w:rPr>
        <w:tab/>
      </w:r>
    </w:p>
    <w:p w14:paraId="50AA1CDD" w14:textId="77777777" w:rsidR="00C85F28" w:rsidRDefault="003A29BC" w:rsidP="00001C06">
      <w:pPr>
        <w:pStyle w:val="Standard1"/>
        <w:spacing w:line="360" w:lineRule="auto"/>
        <w:jc w:val="both"/>
        <w:rPr>
          <w:rFonts w:ascii="Calibri" w:hAnsi="Calibri" w:cs="Times New Roman"/>
        </w:rPr>
      </w:pPr>
      <w:r>
        <w:rPr>
          <w:rFonts w:ascii="Calibri" w:hAnsi="Calibri" w:cs="Times New Roman"/>
        </w:rPr>
        <w:t>The study was approved by the Ethics Committee of the University of Heidelberg. Informed consent was obtained in advance. The study is compliant with all of the relevant ethical regulations regarding research involving human participants.</w:t>
      </w:r>
    </w:p>
    <w:p w14:paraId="29223A14" w14:textId="77777777" w:rsidR="00C85F28" w:rsidRDefault="003A29BC" w:rsidP="00001C06">
      <w:pPr>
        <w:pStyle w:val="Standard1"/>
        <w:spacing w:line="360" w:lineRule="auto"/>
        <w:jc w:val="both"/>
        <w:rPr>
          <w:rFonts w:ascii="Calibri" w:hAnsi="Calibri" w:cs="Times New Roman"/>
        </w:rPr>
      </w:pPr>
      <w:r>
        <w:rPr>
          <w:rFonts w:ascii="Calibri" w:hAnsi="Calibri" w:cs="Times New Roman"/>
        </w:rPr>
        <w:t xml:space="preserve">For 136 CLL patients for which WGS or WES has been performed </w:t>
      </w:r>
      <w:r>
        <w:rPr>
          <w:rFonts w:ascii="Calibri" w:hAnsi="Calibri" w:cs="Times New Roman"/>
        </w:rPr>
        <w:fldChar w:fldCharType="begin"/>
      </w:r>
      <w:r>
        <w:rPr>
          <w:rFonts w:ascii="Calibri" w:hAnsi="Calibri" w:cs="Times New Roman"/>
        </w:rPr>
        <w:instrText xml:space="preserve"> ADDIN EN.CITE </w:instrText>
      </w:r>
      <w:r>
        <w:rPr>
          <w:rFonts w:ascii="Calibri" w:hAnsi="Calibri" w:cs="Times New Roman"/>
        </w:rPr>
        <w:fldChar w:fldCharType="begin"/>
      </w:r>
      <w:r>
        <w:rPr>
          <w:rFonts w:ascii="Calibri" w:hAnsi="Calibri" w:cs="Times New Roman"/>
        </w:rPr>
        <w:instrText xml:space="preserve"> ADDIN EN.CITE.DATA </w:instrText>
      </w:r>
      <w:r>
        <w:rPr>
          <w:rFonts w:ascii="Calibri" w:hAnsi="Calibri" w:cs="Times New Roman"/>
        </w:rPr>
        <w:fldChar w:fldCharType="end"/>
      </w:r>
      <w:r>
        <w:rPr>
          <w:rFonts w:ascii="Calibri" w:hAnsi="Calibri" w:cs="Times New Roman"/>
        </w:rPr>
        <w:fldChar w:fldCharType="separate"/>
      </w:r>
      <w:r>
        <w:rPr>
          <w:rFonts w:ascii="Calibri" w:hAnsi="Calibri" w:cs="Times New Roman"/>
        </w:rPr>
        <w:t>(14)</w:t>
      </w:r>
      <w:r>
        <w:rPr>
          <w:rFonts w:ascii="Calibri" w:hAnsi="Calibri" w:cs="Times New Roman"/>
        </w:rPr>
        <w:fldChar w:fldCharType="end"/>
      </w:r>
      <w:r>
        <w:rPr>
          <w:rFonts w:ascii="Calibri" w:hAnsi="Calibri" w:cs="Times New Roman"/>
        </w:rPr>
        <w:t xml:space="preserve"> we calculated time to first treatment and overall survival based on clinical follow-up. Analysis has been performed using R (version 4.0.3), and the R packages survival (version 3.2-7) and </w:t>
      </w:r>
      <w:proofErr w:type="spellStart"/>
      <w:r>
        <w:rPr>
          <w:rFonts w:ascii="Calibri" w:hAnsi="Calibri" w:cs="Times New Roman"/>
        </w:rPr>
        <w:t>survminer</w:t>
      </w:r>
      <w:proofErr w:type="spellEnd"/>
      <w:r>
        <w:rPr>
          <w:rFonts w:ascii="Calibri" w:hAnsi="Calibri" w:cs="Times New Roman"/>
        </w:rPr>
        <w:t xml:space="preserve"> (version 0.4.8). Characteristics of patients are provided in Supplementary Table 10.</w:t>
      </w:r>
    </w:p>
    <w:p w14:paraId="211AEB68" w14:textId="77777777" w:rsidR="00C85F28" w:rsidRDefault="00C85F28">
      <w:pPr>
        <w:pStyle w:val="Standard1"/>
        <w:spacing w:line="360" w:lineRule="auto"/>
        <w:jc w:val="both"/>
        <w:rPr>
          <w:rFonts w:ascii="Calibri" w:hAnsi="Calibri" w:cs="Times New Roman"/>
        </w:rPr>
      </w:pPr>
    </w:p>
    <w:p w14:paraId="5CC8BBA2" w14:textId="77777777" w:rsidR="00C85F28" w:rsidRDefault="00C85F28"/>
    <w:p w14:paraId="1BD32BF1" w14:textId="1C6E46D1" w:rsidR="00C85F28" w:rsidRPr="00001C06" w:rsidRDefault="00001C06">
      <w:pPr>
        <w:rPr>
          <w:b/>
          <w:sz w:val="24"/>
          <w:szCs w:val="24"/>
        </w:rPr>
      </w:pPr>
      <w:r w:rsidRPr="00001C06">
        <w:rPr>
          <w:b/>
          <w:sz w:val="24"/>
          <w:szCs w:val="24"/>
        </w:rPr>
        <w:t>References</w:t>
      </w:r>
    </w:p>
    <w:p w14:paraId="0F497A38" w14:textId="77777777" w:rsidR="00C85F28" w:rsidRDefault="003A29BC">
      <w:pPr>
        <w:pStyle w:val="EndNoteBibliography"/>
        <w:spacing w:after="0"/>
        <w:ind w:left="720" w:hanging="720"/>
      </w:pPr>
      <w:r>
        <w:fldChar w:fldCharType="begin"/>
      </w:r>
      <w:r>
        <w:instrText xml:space="preserve"> ADDIN EN.REFLIST </w:instrText>
      </w:r>
      <w:r>
        <w:fldChar w:fldCharType="separate"/>
      </w:r>
      <w:r>
        <w:t>1.</w:t>
      </w:r>
      <w:r>
        <w:tab/>
        <w:t xml:space="preserve">Bichi R, Shinton SA, Martin ES, Koval A, Calin GA, Cesari R, et al. Human chronic lymphocytic leukemia modeled in mouse by targeted TCL1 expression. </w:t>
      </w:r>
      <w:r>
        <w:rPr>
          <w:i/>
        </w:rPr>
        <w:t>Proc Natl Acad Sci U S A.</w:t>
      </w:r>
      <w:r>
        <w:t xml:space="preserve"> 2002;99(10):6955-60.</w:t>
      </w:r>
    </w:p>
    <w:p w14:paraId="10E27CA1" w14:textId="77777777" w:rsidR="00C85F28" w:rsidRDefault="003A29BC">
      <w:pPr>
        <w:pStyle w:val="EndNoteBibliography"/>
        <w:spacing w:after="0"/>
        <w:ind w:left="720" w:hanging="720"/>
      </w:pPr>
      <w:r>
        <w:t>2.</w:t>
      </w:r>
      <w:r>
        <w:tab/>
        <w:t xml:space="preserve">Sadik A, Somarribas Patterson LF, Ozturk S, Mohapatra SR, Panitz V, Secker PF, et al. IL4I1 Is a Metabolic Immune Checkpoint that Activates the AHR and Promotes Tumor Progression. </w:t>
      </w:r>
      <w:r>
        <w:rPr>
          <w:i/>
        </w:rPr>
        <w:t>Cell.</w:t>
      </w:r>
      <w:r>
        <w:t xml:space="preserve"> 2020.</w:t>
      </w:r>
    </w:p>
    <w:p w14:paraId="5BD3EE80" w14:textId="77777777" w:rsidR="00C85F28" w:rsidRDefault="003A29BC">
      <w:pPr>
        <w:pStyle w:val="EndNoteBibliography"/>
        <w:spacing w:after="0"/>
        <w:ind w:left="720" w:hanging="720"/>
      </w:pPr>
      <w:r>
        <w:t>3.</w:t>
      </w:r>
      <w:r>
        <w:tab/>
        <w:t xml:space="preserve">Afzal S, Gil-Farina I, Gabriel R, Ahmad S, von Kalle C, Schmidt M, et al. Systematic comparative study of computational methods for T-cell receptor sequencing data analysis. </w:t>
      </w:r>
      <w:r>
        <w:rPr>
          <w:i/>
        </w:rPr>
        <w:t>Brief Bioinform.</w:t>
      </w:r>
      <w:r>
        <w:t xml:space="preserve"> 2019;20(1):222-34.</w:t>
      </w:r>
    </w:p>
    <w:p w14:paraId="6C717F50" w14:textId="77777777" w:rsidR="00C85F28" w:rsidRDefault="003A29BC">
      <w:pPr>
        <w:pStyle w:val="EndNoteBibliography"/>
        <w:spacing w:after="0"/>
        <w:ind w:left="720" w:hanging="720"/>
      </w:pPr>
      <w:r>
        <w:t>4.</w:t>
      </w:r>
      <w:r>
        <w:tab/>
        <w:t xml:space="preserve">Turchaninova MA, Davydov A, Britanova OV, Shugay M, Bikos V, Egorov ES, et al. High-quality full-length immunoglobulin profiling with unique molecular barcoding. </w:t>
      </w:r>
      <w:r>
        <w:rPr>
          <w:i/>
        </w:rPr>
        <w:t>Nat Protoc.</w:t>
      </w:r>
      <w:r>
        <w:t xml:space="preserve"> 2016;11(9):1599-616.</w:t>
      </w:r>
    </w:p>
    <w:p w14:paraId="592DFF98" w14:textId="77777777" w:rsidR="00C85F28" w:rsidRDefault="003A29BC">
      <w:pPr>
        <w:pStyle w:val="EndNoteBibliography"/>
        <w:spacing w:after="0"/>
        <w:ind w:left="720" w:hanging="720"/>
      </w:pPr>
      <w:r>
        <w:t>5.</w:t>
      </w:r>
      <w:r>
        <w:tab/>
        <w:t>Benjamin D, Sato T, Cibulskis K, Getz G, Stewart C, and Lichtenstein L. Calling Somatic SNVs and Indels with Mutect2. 2019.</w:t>
      </w:r>
    </w:p>
    <w:p w14:paraId="54B35AD6" w14:textId="77777777" w:rsidR="00C85F28" w:rsidRDefault="003A29BC">
      <w:pPr>
        <w:pStyle w:val="EndNoteBibliography"/>
        <w:spacing w:after="0"/>
        <w:ind w:left="720" w:hanging="720"/>
      </w:pPr>
      <w:r>
        <w:t>6.</w:t>
      </w:r>
      <w:r>
        <w:tab/>
        <w:t xml:space="preserve">Wang K, Li M, and Hakonarson H. ANNOVAR: functional annotation of genetic variants from high-throughput sequencing data. </w:t>
      </w:r>
      <w:r>
        <w:rPr>
          <w:i/>
        </w:rPr>
        <w:t>Nucleic Acids Res.</w:t>
      </w:r>
      <w:r>
        <w:t xml:space="preserve"> 2010;38(16):e164.</w:t>
      </w:r>
    </w:p>
    <w:p w14:paraId="7FB09DCD" w14:textId="77777777" w:rsidR="00C85F28" w:rsidRDefault="003A29BC">
      <w:pPr>
        <w:pStyle w:val="EndNoteBibliography"/>
        <w:spacing w:after="0"/>
        <w:ind w:left="720" w:hanging="720"/>
      </w:pPr>
      <w:r>
        <w:t>7.</w:t>
      </w:r>
      <w:r>
        <w:tab/>
        <w:t xml:space="preserve">Talevich E, Shain AH, Botton T, and Bastian BC. CNVkit: Genome-Wide Copy Number Detection and Visualization from Targeted DNA Sequencing. </w:t>
      </w:r>
      <w:r>
        <w:rPr>
          <w:i/>
        </w:rPr>
        <w:t>PLoS Comput Biol.</w:t>
      </w:r>
      <w:r>
        <w:t xml:space="preserve"> 2016;12(4):e1004873.</w:t>
      </w:r>
    </w:p>
    <w:p w14:paraId="35A2CE6A" w14:textId="77777777" w:rsidR="00C85F28" w:rsidRDefault="003A29BC">
      <w:pPr>
        <w:pStyle w:val="EndNoteBibliography"/>
        <w:spacing w:after="0"/>
        <w:ind w:left="720" w:hanging="720"/>
      </w:pPr>
      <w:r>
        <w:t>8.</w:t>
      </w:r>
      <w:r>
        <w:tab/>
        <w:t xml:space="preserve">Bolotin DA, Poslavsky S, Mitrophanov I, Shugay M, Mamedov IZ, Putintseva EV, et al. MiXCR: software for comprehensive adaptive immunity profiling. </w:t>
      </w:r>
      <w:r>
        <w:rPr>
          <w:i/>
        </w:rPr>
        <w:t>Nature Methods.</w:t>
      </w:r>
      <w:r>
        <w:t xml:space="preserve"> 2015;12(5):380-1.</w:t>
      </w:r>
    </w:p>
    <w:p w14:paraId="41D5859C" w14:textId="77777777" w:rsidR="00C85F28" w:rsidRDefault="003A29BC">
      <w:pPr>
        <w:pStyle w:val="EndNoteBibliography"/>
        <w:spacing w:after="0"/>
        <w:ind w:left="720" w:hanging="720"/>
      </w:pPr>
      <w:r>
        <w:t>9.</w:t>
      </w:r>
      <w:r>
        <w:tab/>
        <w:t xml:space="preserve">Turchaninova MA, Davydov A, Britanova OV, Shugay M, Bikos V, Egorov ES, et al. High-quality full-length immunoglobulin profiling with unique molecular barcoding. </w:t>
      </w:r>
      <w:r>
        <w:rPr>
          <w:i/>
        </w:rPr>
        <w:t>Nat Protoc.</w:t>
      </w:r>
      <w:r>
        <w:t xml:space="preserve"> 2016;11(9):1599-616.</w:t>
      </w:r>
    </w:p>
    <w:p w14:paraId="377387FD" w14:textId="77777777" w:rsidR="00C85F28" w:rsidRDefault="003A29BC">
      <w:pPr>
        <w:pStyle w:val="EndNoteBibliography"/>
        <w:spacing w:after="0"/>
        <w:ind w:left="720" w:hanging="720"/>
      </w:pPr>
      <w:r>
        <w:t>10.</w:t>
      </w:r>
      <w:r>
        <w:tab/>
        <w:t xml:space="preserve">Roth A, Khattra J, Yap D, Wan A, Laks E, Biele J, et al. PyClone: statistical inference of clonal population structure in cancer. </w:t>
      </w:r>
      <w:r>
        <w:rPr>
          <w:i/>
        </w:rPr>
        <w:t>Nat Methods.</w:t>
      </w:r>
      <w:r>
        <w:t xml:space="preserve"> 2014;11(4):396-8.</w:t>
      </w:r>
    </w:p>
    <w:p w14:paraId="6634D857" w14:textId="77777777" w:rsidR="00C85F28" w:rsidRDefault="003A29BC">
      <w:pPr>
        <w:pStyle w:val="EndNoteBibliography"/>
        <w:spacing w:after="0"/>
        <w:ind w:left="720" w:hanging="720"/>
      </w:pPr>
      <w:r>
        <w:t>11.</w:t>
      </w:r>
      <w:r>
        <w:tab/>
        <w:t>Armstrong RA. When to Use the Bonferroni Correction.</w:t>
      </w:r>
      <w:r>
        <w:rPr>
          <w:i/>
        </w:rPr>
        <w:t xml:space="preserve"> Ophthalmic Physiol Opt.</w:t>
      </w:r>
      <w:r>
        <w:t xml:space="preserve"> 2014.</w:t>
      </w:r>
    </w:p>
    <w:p w14:paraId="145C5CDF" w14:textId="77777777" w:rsidR="00C85F28" w:rsidRDefault="003A29BC">
      <w:pPr>
        <w:pStyle w:val="EndNoteBibliography"/>
        <w:spacing w:after="0"/>
        <w:ind w:left="720" w:hanging="720"/>
      </w:pPr>
      <w:r>
        <w:t>12.</w:t>
      </w:r>
      <w:r>
        <w:tab/>
        <w:t xml:space="preserve">Ng PC, and Henikoff S. SIFT: Predicting amino acid changes that affect protein function. </w:t>
      </w:r>
      <w:r>
        <w:rPr>
          <w:i/>
        </w:rPr>
        <w:t>Nucleic Acids Res.</w:t>
      </w:r>
      <w:r>
        <w:t xml:space="preserve"> 2003;31(13):3812-4.</w:t>
      </w:r>
    </w:p>
    <w:p w14:paraId="366393A1" w14:textId="77777777" w:rsidR="00C85F28" w:rsidRDefault="003A29BC">
      <w:pPr>
        <w:pStyle w:val="EndNoteBibliography"/>
        <w:spacing w:after="0"/>
        <w:ind w:left="720" w:hanging="720"/>
      </w:pPr>
      <w:r>
        <w:t>13.</w:t>
      </w:r>
      <w:r>
        <w:tab/>
        <w:t xml:space="preserve">Geigl JB, Uhrig S, and Speicher MR. Multiplex-fluorescence in situ hybridization for chromosome karyotyping. </w:t>
      </w:r>
      <w:r>
        <w:rPr>
          <w:i/>
        </w:rPr>
        <w:t>Nat Protoc.</w:t>
      </w:r>
      <w:r>
        <w:t xml:space="preserve"> 2006;1(3):1172-84.</w:t>
      </w:r>
    </w:p>
    <w:p w14:paraId="25235F4E" w14:textId="77777777" w:rsidR="00C85F28" w:rsidRDefault="003A29BC">
      <w:pPr>
        <w:pStyle w:val="EndNoteBibliography"/>
        <w:ind w:left="720" w:hanging="720"/>
      </w:pPr>
      <w:r>
        <w:t>14.</w:t>
      </w:r>
      <w:r>
        <w:tab/>
        <w:t xml:space="preserve">Dietrich S, Oles M, Lu J, Sellner L, Anders S, Velten B, et al. Drug-perturbation-based stratification of blood cancer. </w:t>
      </w:r>
      <w:r>
        <w:rPr>
          <w:i/>
        </w:rPr>
        <w:t>J Clin Invest.</w:t>
      </w:r>
      <w:r>
        <w:t xml:space="preserve"> 2018;128(1):427-45.</w:t>
      </w:r>
    </w:p>
    <w:p w14:paraId="590C08AE" w14:textId="77777777" w:rsidR="00C85F28" w:rsidRDefault="003A29BC">
      <w:r>
        <w:fldChar w:fldCharType="end"/>
      </w:r>
    </w:p>
    <w:sectPr w:rsidR="00C85F28">
      <w:footerReference w:type="default" r:id="rId8"/>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1EF385" w14:textId="77777777" w:rsidR="003A29BC" w:rsidRDefault="003A29BC">
      <w:pPr>
        <w:spacing w:after="0" w:line="240" w:lineRule="auto"/>
      </w:pPr>
      <w:r>
        <w:separator/>
      </w:r>
    </w:p>
  </w:endnote>
  <w:endnote w:type="continuationSeparator" w:id="0">
    <w:p w14:paraId="0B0FA061" w14:textId="77777777" w:rsidR="003A29BC" w:rsidRDefault="003A29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charset w:val="00"/>
    <w:family w:val="auto"/>
    <w:pitch w:val="default"/>
  </w:font>
  <w:font w:name="Droid Sans Fallback">
    <w:charset w:val="00"/>
    <w:family w:val="auto"/>
    <w:pitch w:val="default"/>
  </w:font>
  <w:font w:name="droid sans devanagari">
    <w:charset w:val="00"/>
    <w:family w:val="auto"/>
    <w:pitch w:val="default"/>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3632626"/>
      <w:docPartObj>
        <w:docPartGallery w:val="Page Numbers (Bottom of Page)"/>
        <w:docPartUnique/>
      </w:docPartObj>
    </w:sdtPr>
    <w:sdtEndPr/>
    <w:sdtContent>
      <w:p w14:paraId="61562393" w14:textId="49A28607" w:rsidR="00001C06" w:rsidRDefault="00001C06">
        <w:pPr>
          <w:pStyle w:val="Fuzeile"/>
          <w:jc w:val="right"/>
        </w:pPr>
        <w:r>
          <w:fldChar w:fldCharType="begin"/>
        </w:r>
        <w:r>
          <w:instrText>PAGE   \* MERGEFORMAT</w:instrText>
        </w:r>
        <w:r>
          <w:fldChar w:fldCharType="separate"/>
        </w:r>
        <w:r w:rsidR="001F757D" w:rsidRPr="001F757D">
          <w:rPr>
            <w:noProof/>
            <w:lang w:val="de-DE"/>
          </w:rPr>
          <w:t>7</w:t>
        </w:r>
        <w:r>
          <w:fldChar w:fldCharType="end"/>
        </w:r>
      </w:p>
    </w:sdtContent>
  </w:sdt>
  <w:p w14:paraId="23375290" w14:textId="77777777" w:rsidR="00001C06" w:rsidRDefault="00001C06">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E5FFA4" w14:textId="77777777" w:rsidR="003A29BC" w:rsidRDefault="003A29BC">
      <w:pPr>
        <w:spacing w:after="0" w:line="240" w:lineRule="auto"/>
      </w:pPr>
      <w:r>
        <w:separator/>
      </w:r>
    </w:p>
  </w:footnote>
  <w:footnote w:type="continuationSeparator" w:id="0">
    <w:p w14:paraId="72B8F62E" w14:textId="77777777" w:rsidR="003A29BC" w:rsidRDefault="003A29B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5F28"/>
    <w:rsid w:val="00001C06"/>
    <w:rsid w:val="00097CBC"/>
    <w:rsid w:val="001F757D"/>
    <w:rsid w:val="003A29BC"/>
    <w:rsid w:val="00B5717D"/>
    <w:rsid w:val="00C85F28"/>
    <w:rsid w:val="00C923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EA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after="200" w:line="276" w:lineRule="auto"/>
    </w:pPr>
    <w:rPr>
      <w:lang w:val="en-GB"/>
    </w:rPr>
  </w:style>
  <w:style w:type="paragraph" w:styleId="berschrift1">
    <w:name w:val="heading 1"/>
    <w:basedOn w:val="Standard"/>
    <w:next w:val="Standard"/>
    <w:link w:val="berschrift1Zchn"/>
    <w:uiPriority w:val="9"/>
    <w:qFormat/>
    <w:pPr>
      <w:keepNext/>
      <w:keepLines/>
      <w:spacing w:before="480"/>
      <w:outlineLvl w:val="0"/>
    </w:pPr>
    <w:rPr>
      <w:rFonts w:ascii="Arial" w:eastAsia="Arial" w:hAnsi="Arial" w:cs="Arial"/>
      <w:sz w:val="40"/>
      <w:szCs w:val="40"/>
    </w:rPr>
  </w:style>
  <w:style w:type="paragraph" w:styleId="berschrift2">
    <w:name w:val="heading 2"/>
    <w:basedOn w:val="Standard"/>
    <w:next w:val="Standard"/>
    <w:link w:val="berschrift2Zchn"/>
    <w:uiPriority w:val="9"/>
    <w:unhideWhenUsed/>
    <w:qFormat/>
    <w:pPr>
      <w:keepNext/>
      <w:keepLines/>
      <w:spacing w:before="360"/>
      <w:outlineLvl w:val="1"/>
    </w:pPr>
    <w:rPr>
      <w:rFonts w:ascii="Arial" w:eastAsia="Arial" w:hAnsi="Arial" w:cs="Arial"/>
      <w:sz w:val="34"/>
    </w:rPr>
  </w:style>
  <w:style w:type="paragraph" w:styleId="berschrift3">
    <w:name w:val="heading 3"/>
    <w:basedOn w:val="Standard"/>
    <w:next w:val="Standard"/>
    <w:link w:val="berschrift3Zchn"/>
    <w:uiPriority w:val="9"/>
    <w:unhideWhenUsed/>
    <w:qFormat/>
    <w:pPr>
      <w:keepNext/>
      <w:keepLines/>
      <w:spacing w:before="320"/>
      <w:outlineLvl w:val="2"/>
    </w:pPr>
    <w:rPr>
      <w:rFonts w:ascii="Arial" w:eastAsia="Arial" w:hAnsi="Arial" w:cs="Arial"/>
      <w:sz w:val="30"/>
      <w:szCs w:val="30"/>
    </w:rPr>
  </w:style>
  <w:style w:type="paragraph" w:styleId="berschrift4">
    <w:name w:val="heading 4"/>
    <w:basedOn w:val="Standard"/>
    <w:next w:val="Standard"/>
    <w:link w:val="berschrift4Zchn"/>
    <w:uiPriority w:val="9"/>
    <w:unhideWhenUsed/>
    <w:qFormat/>
    <w:pPr>
      <w:keepNext/>
      <w:keepLines/>
      <w:spacing w:before="320"/>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outlineLvl w:val="4"/>
    </w:pPr>
    <w:rPr>
      <w:rFonts w:ascii="Arial" w:eastAsia="Arial" w:hAnsi="Arial" w:cs="Arial"/>
      <w:b/>
      <w:bCs/>
      <w:sz w:val="24"/>
      <w:szCs w:val="24"/>
    </w:rPr>
  </w:style>
  <w:style w:type="paragraph" w:styleId="berschrift6">
    <w:name w:val="heading 6"/>
    <w:basedOn w:val="Standard"/>
    <w:next w:val="Standard"/>
    <w:link w:val="berschrift6Zchn"/>
    <w:uiPriority w:val="9"/>
    <w:unhideWhenUsed/>
    <w:qFormat/>
    <w:pPr>
      <w:keepNext/>
      <w:keepLines/>
      <w:spacing w:before="320"/>
      <w:outlineLvl w:val="5"/>
    </w:pPr>
    <w:rPr>
      <w:rFonts w:ascii="Arial" w:eastAsia="Arial" w:hAnsi="Arial" w:cs="Arial"/>
      <w:b/>
      <w:bCs/>
    </w:rPr>
  </w:style>
  <w:style w:type="paragraph" w:styleId="berschrift7">
    <w:name w:val="heading 7"/>
    <w:basedOn w:val="Standard"/>
    <w:next w:val="Standard"/>
    <w:link w:val="berschrift7Zchn"/>
    <w:uiPriority w:val="9"/>
    <w:unhideWhenUsed/>
    <w:qFormat/>
    <w:pPr>
      <w:keepNext/>
      <w:keepLines/>
      <w:spacing w:before="320"/>
      <w:outlineLvl w:val="6"/>
    </w:pPr>
    <w:rPr>
      <w:rFonts w:ascii="Arial" w:eastAsia="Arial" w:hAnsi="Arial" w:cs="Arial"/>
      <w:b/>
      <w:bCs/>
      <w:i/>
      <w:iCs/>
    </w:rPr>
  </w:style>
  <w:style w:type="paragraph" w:styleId="berschrift8">
    <w:name w:val="heading 8"/>
    <w:basedOn w:val="Standard"/>
    <w:next w:val="Standard"/>
    <w:link w:val="berschrift8Zchn"/>
    <w:uiPriority w:val="9"/>
    <w:unhideWhenUsed/>
    <w:qFormat/>
    <w:pPr>
      <w:keepNext/>
      <w:keepLines/>
      <w:spacing w:before="320"/>
      <w:outlineLvl w:val="7"/>
    </w:pPr>
    <w:rPr>
      <w:rFonts w:ascii="Arial" w:eastAsia="Arial" w:hAnsi="Arial" w:cs="Arial"/>
      <w:i/>
      <w:iCs/>
    </w:rPr>
  </w:style>
  <w:style w:type="paragraph" w:styleId="berschrift9">
    <w:name w:val="heading 9"/>
    <w:basedOn w:val="Standard"/>
    <w:next w:val="Standard"/>
    <w:link w:val="berschrift9Zchn"/>
    <w:uiPriority w:val="9"/>
    <w:unhideWhenUsed/>
    <w:qFormat/>
    <w:pPr>
      <w:keepNext/>
      <w:keepLines/>
      <w:spacing w:before="320"/>
      <w:outlineLvl w:val="8"/>
    </w:pPr>
    <w:rPr>
      <w:rFonts w:ascii="Arial" w:eastAsia="Arial" w:hAnsi="Arial" w:cs="Arial"/>
      <w:i/>
      <w:iCs/>
      <w:sz w:val="21"/>
      <w:szCs w:val="2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Arial" w:eastAsia="Arial" w:hAnsi="Arial" w:cs="Arial"/>
      <w:sz w:val="40"/>
      <w:szCs w:val="40"/>
    </w:rPr>
  </w:style>
  <w:style w:type="character" w:customStyle="1" w:styleId="berschrift2Zchn">
    <w:name w:val="Überschrift 2 Zchn"/>
    <w:basedOn w:val="Absatz-Standardschriftart"/>
    <w:link w:val="berschrift2"/>
    <w:uiPriority w:val="9"/>
    <w:rPr>
      <w:rFonts w:ascii="Arial" w:eastAsia="Arial" w:hAnsi="Arial" w:cs="Arial"/>
      <w:sz w:val="34"/>
    </w:rPr>
  </w:style>
  <w:style w:type="character" w:customStyle="1" w:styleId="berschrift3Zchn">
    <w:name w:val="Überschrift 3 Zchn"/>
    <w:basedOn w:val="Absatz-Standardschriftart"/>
    <w:link w:val="berschrift3"/>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Listenabsatz">
    <w:name w:val="List Paragraph"/>
    <w:basedOn w:val="Standard"/>
    <w:uiPriority w:val="34"/>
    <w:qFormat/>
    <w:pPr>
      <w:ind w:left="720"/>
      <w:contextualSpacing/>
    </w:pPr>
  </w:style>
  <w:style w:type="paragraph" w:styleId="Titel">
    <w:name w:val="Title"/>
    <w:basedOn w:val="Standard"/>
    <w:next w:val="Standard"/>
    <w:link w:val="TitelZchn"/>
    <w:uiPriority w:val="10"/>
    <w:qFormat/>
    <w:pPr>
      <w:spacing w:before="300"/>
      <w:contextualSpacing/>
    </w:pPr>
    <w:rPr>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pPr>
    <w:rPr>
      <w:sz w:val="24"/>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paragraph" w:styleId="Kopfzeile">
    <w:name w:val="header"/>
    <w:basedOn w:val="Standard"/>
    <w:link w:val="KopfzeileZchn"/>
    <w:uiPriority w:val="99"/>
    <w:unhideWhenUsed/>
    <w:pPr>
      <w:tabs>
        <w:tab w:val="center" w:pos="7143"/>
        <w:tab w:val="right" w:pos="14287"/>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7143"/>
        <w:tab w:val="right" w:pos="14287"/>
      </w:tabs>
      <w:spacing w:after="0" w:line="240" w:lineRule="auto"/>
    </w:pPr>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rPr>
      <w:b/>
      <w:bCs/>
      <w:color w:val="4472C4" w:themeColor="accent1"/>
      <w:sz w:val="18"/>
      <w:szCs w:val="18"/>
    </w:rPr>
  </w:style>
  <w:style w:type="character" w:customStyle="1" w:styleId="FuzeileZchn">
    <w:name w:val="Fußzeile Zchn"/>
    <w:link w:val="Fuzeile"/>
    <w:uiPriority w:val="99"/>
  </w:style>
  <w:style w:type="table" w:styleId="Tabellenraster">
    <w:name w:val="Table Grid"/>
    <w:basedOn w:val="NormaleTabelle"/>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Light">
    <w:name w:val="Grid Table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Accent 1"/>
    <w:basedOn w:val="NormaleTabelle"/>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Accent 5"/>
    <w:basedOn w:val="NormaleTabelle"/>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Accent 1"/>
    <w:basedOn w:val="NormaleTabelle"/>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auto" w:fill="FFFFFF"/>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customStyle="1" w:styleId="GridTable2Accent2">
    <w:name w:val="Grid Table 2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Accent 5"/>
    <w:basedOn w:val="NormaleTabelle"/>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auto" w:fill="FFFFFF"/>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2Accent6">
    <w:name w:val="Grid Table 2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Accent 1"/>
    <w:basedOn w:val="NormaleTabelle"/>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customStyle="1" w:styleId="GridTable3Accent2">
    <w:name w:val="Grid Table 3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Accent 5"/>
    <w:basedOn w:val="NormaleTabelle"/>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3Accent6">
    <w:name w:val="Grid Table 3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Accent 1"/>
    <w:basedOn w:val="NormaleTabelle"/>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auto"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3F3" w:themeFill="accent1" w:themeFillTint="32"/>
      </w:tcPr>
    </w:tblStylePr>
    <w:tblStylePr w:type="band1Horz">
      <w:rPr>
        <w:rFonts w:ascii="Arial" w:hAnsi="Arial"/>
        <w:color w:val="404040"/>
        <w:sz w:val="22"/>
      </w:rPr>
      <w:tblPr/>
      <w:tcPr>
        <w:shd w:val="clear" w:color="auto" w:fill="DAE3F3" w:themeFill="accent1" w:themeFillTint="32"/>
      </w:tcPr>
    </w:tblStylePr>
  </w:style>
  <w:style w:type="table" w:customStyle="1" w:styleId="GridTable4Accent2">
    <w:name w:val="Grid Table 4 Accent 2"/>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Accent 3"/>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Accent 4"/>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Accent 5"/>
    <w:basedOn w:val="NormaleTabelle"/>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4Accent6">
    <w:name w:val="Grid Table 4 Accent 6"/>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5Dark">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1" w:themeFillTint="34"/>
    </w:tblPr>
    <w:tblStylePr w:type="firstRow">
      <w:rPr>
        <w:rFonts w:ascii="Arial" w:hAnsi="Arial"/>
        <w:b/>
        <w:color w:val="FFFFFF"/>
        <w:sz w:val="22"/>
      </w:rPr>
      <w:tblPr/>
      <w:tcPr>
        <w:shd w:val="clear" w:color="auto" w:fill="4472C4" w:themeFill="accent1"/>
      </w:tcPr>
    </w:tblStylePr>
    <w:tblStylePr w:type="lastRow">
      <w:rPr>
        <w:rFonts w:ascii="Arial" w:hAnsi="Arial"/>
        <w:b/>
        <w:color w:val="FFFFFF"/>
        <w:sz w:val="22"/>
      </w:rPr>
      <w:tblPr/>
      <w:tcPr>
        <w:tcBorders>
          <w:top w:val="single" w:sz="4" w:space="0" w:color="FFFFFF" w:themeColor="light1"/>
        </w:tcBorders>
        <w:shd w:val="clear" w:color="auto" w:fill="4472C4" w:themeFill="accent1"/>
      </w:tcPr>
    </w:tblStylePr>
    <w:tblStylePr w:type="firstCol">
      <w:rPr>
        <w:rFonts w:ascii="Arial" w:hAnsi="Arial"/>
        <w:b/>
        <w:color w:val="FFFFFF"/>
        <w:sz w:val="22"/>
      </w:rPr>
      <w:tblPr/>
      <w:tcPr>
        <w:shd w:val="clear" w:color="auto" w:fill="4472C4" w:themeFill="accent1"/>
      </w:tcPr>
    </w:tblStylePr>
    <w:tblStylePr w:type="lastCol">
      <w:rPr>
        <w:rFonts w:ascii="Arial" w:hAnsi="Arial"/>
        <w:b/>
        <w:color w:val="FFFFFF"/>
        <w:sz w:val="22"/>
      </w:rPr>
      <w:tblPr/>
      <w:tcPr>
        <w:shd w:val="clear" w:color="auto" w:fill="4472C4" w:themeFill="accent1"/>
      </w:tcPr>
    </w:tblStylePr>
    <w:tblStylePr w:type="band1Vert">
      <w:tblPr/>
      <w:tcPr>
        <w:shd w:val="clear" w:color="auto" w:fill="A9BEE4" w:themeFill="accent1" w:themeFillTint="75"/>
      </w:tcPr>
    </w:tblStylePr>
    <w:tblStylePr w:type="band1Horz">
      <w:tblPr/>
      <w:tcPr>
        <w:shd w:val="clear" w:color="auto" w:fill="A9BEE4" w:themeFill="accent1" w:themeFillTint="75"/>
      </w:tcPr>
    </w:tblStylePr>
  </w:style>
  <w:style w:type="table" w:customStyle="1" w:styleId="GridTable5DarkAccent2">
    <w:name w:val="Grid Table 5 Dark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5" w:themeFillTint="34"/>
    </w:tblPr>
    <w:tblStylePr w:type="firstRow">
      <w:rPr>
        <w:rFonts w:ascii="Arial" w:hAnsi="Arial"/>
        <w:b/>
        <w:color w:val="FFFFFF"/>
        <w:sz w:val="22"/>
      </w:rPr>
      <w:tblPr/>
      <w:tcPr>
        <w:shd w:val="clear" w:color="auto" w:fill="5B9BD5" w:themeFill="accent5"/>
      </w:tcPr>
    </w:tblStylePr>
    <w:tblStylePr w:type="lastRow">
      <w:rPr>
        <w:rFonts w:ascii="Arial" w:hAnsi="Arial"/>
        <w:b/>
        <w:color w:val="FFFFFF"/>
        <w:sz w:val="22"/>
      </w:rPr>
      <w:tblPr/>
      <w:tcPr>
        <w:tcBorders>
          <w:top w:val="single" w:sz="4" w:space="0" w:color="FFFFFF" w:themeColor="light1"/>
        </w:tcBorders>
        <w:shd w:val="clear" w:color="auto" w:fill="5B9BD5" w:themeFill="accent5"/>
      </w:tcPr>
    </w:tblStylePr>
    <w:tblStylePr w:type="firstCol">
      <w:rPr>
        <w:rFonts w:ascii="Arial" w:hAnsi="Arial"/>
        <w:b/>
        <w:color w:val="FFFFFF"/>
        <w:sz w:val="22"/>
      </w:rPr>
      <w:tblPr/>
      <w:tcPr>
        <w:shd w:val="clear" w:color="auto" w:fill="5B9BD5" w:themeFill="accent5"/>
      </w:tcPr>
    </w:tblStylePr>
    <w:tblStylePr w:type="lastCol">
      <w:rPr>
        <w:rFonts w:ascii="Arial" w:hAnsi="Arial"/>
        <w:b/>
        <w:color w:val="FFFFFF"/>
        <w:sz w:val="22"/>
      </w:rPr>
      <w:tblPr/>
      <w:tcPr>
        <w:shd w:val="clear" w:color="auto" w:fill="5B9BD5" w:themeFill="accent5"/>
      </w:tcPr>
    </w:tblStylePr>
    <w:tblStylePr w:type="band1Vert">
      <w:tblPr/>
      <w:tcPr>
        <w:shd w:val="clear" w:color="auto" w:fill="B3D0EB" w:themeFill="accent5" w:themeFillTint="75"/>
      </w:tcPr>
    </w:tblStylePr>
    <w:tblStylePr w:type="band1Horz">
      <w:tblPr/>
      <w:tcPr>
        <w:shd w:val="clear" w:color="auto" w:fill="B3D0EB" w:themeFill="accent5" w:themeFillTint="75"/>
      </w:tcPr>
    </w:tblStylePr>
  </w:style>
  <w:style w:type="table" w:customStyle="1" w:styleId="GridTable5DarkAccent6">
    <w:name w:val="Grid Table 5 Dark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GridTable6Colorful">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Accent 1"/>
    <w:basedOn w:val="NormaleTabelle"/>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Accent 3"/>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Accent 5"/>
    <w:basedOn w:val="NormaleTabelle"/>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Accent 6"/>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E1EFD8" w:themeFill="accent6" w:themeFillTint="34"/>
      </w:tcPr>
    </w:tblStylePr>
    <w:tblStylePr w:type="band1Horz">
      <w:rPr>
        <w:rFonts w:ascii="Arial" w:hAnsi="Arial"/>
        <w:color w:val="245A8D" w:themeColor="accent5" w:themeShade="95"/>
        <w:sz w:val="22"/>
      </w:rPr>
      <w:tblPr/>
      <w:tcPr>
        <w:shd w:val="clear" w:color="auto" w:fill="E1EFD8" w:themeFill="accent6" w:themeFillTint="34"/>
      </w:tcPr>
    </w:tblStylePr>
    <w:tblStylePr w:type="band2Horz">
      <w:rPr>
        <w:rFonts w:ascii="Arial" w:hAnsi="Arial"/>
        <w:color w:val="245A8D" w:themeColor="accent5" w:themeShade="95"/>
        <w:sz w:val="22"/>
      </w:rPr>
    </w:tblStylePr>
  </w:style>
  <w:style w:type="table" w:customStyle="1" w:styleId="GridTable7Colorful">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Accent 1"/>
    <w:basedOn w:val="NormaleTabelle"/>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auto"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auto" w:fill="FFFFFF"/>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auto" w:fill="FFFFFF"/>
      </w:tc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Accent 2"/>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Accent 3"/>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Accent 4"/>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Accent 5"/>
    <w:basedOn w:val="NormaleTabelle"/>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auto"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auto" w:fill="FFFFFF"/>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auto" w:fill="FFFFFF"/>
      </w:tc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Accent 6"/>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1" w:themeFillTint="40"/>
      </w:tcPr>
    </w:tblStylePr>
    <w:tblStylePr w:type="band1Horz">
      <w:tblPr/>
      <w:tcPr>
        <w:shd w:val="clear" w:color="auto" w:fill="CFDBF0" w:themeFill="accent1" w:themeFillTint="40"/>
      </w:tcPr>
    </w:tblStylePr>
  </w:style>
  <w:style w:type="table" w:customStyle="1" w:styleId="ListTable1LightAccent2">
    <w:name w:val="List Table 1 Light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5" w:themeFillTint="40"/>
      </w:tcPr>
    </w:tblStylePr>
    <w:tblStylePr w:type="band1Horz">
      <w:tblPr/>
      <w:tcPr>
        <w:shd w:val="clear" w:color="auto" w:fill="D5E5F4" w:themeFill="accent5" w:themeFillTint="40"/>
      </w:tcPr>
    </w:tblStylePr>
  </w:style>
  <w:style w:type="table" w:customStyle="1" w:styleId="ListTable1LightAccent6">
    <w:name w:val="List Table 1 Light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ListTab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Accent 1"/>
    <w:basedOn w:val="NormaleTabelle"/>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customStyle="1" w:styleId="ListTable2Accent2">
    <w:name w:val="List Table 2 Accent 2"/>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Accent 3"/>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Accent 4"/>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Accent 5"/>
    <w:basedOn w:val="NormaleTabelle"/>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customStyle="1" w:styleId="ListTable2Accent6">
    <w:name w:val="List Table 2 Accent 6"/>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Accent 1"/>
    <w:basedOn w:val="NormaleTabelle"/>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Accent 3"/>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Accent 5"/>
    <w:basedOn w:val="NormaleTabelle"/>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auto"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Accent 6"/>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Accent 1"/>
    <w:basedOn w:val="NormaleTabelle"/>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customStyle="1" w:styleId="ListTable4Accent2">
    <w:name w:val="List Table 4 Accent 2"/>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Accent 3"/>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Accent 4"/>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Accent 5"/>
    <w:basedOn w:val="NormaleTabelle"/>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auto"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customStyle="1" w:styleId="ListTable4Accent6">
    <w:name w:val="List Table 4 Accent 6"/>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5Dark">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Accent 1"/>
    <w:basedOn w:val="NormaleTabelle"/>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auto"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auto"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auto"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472C4" w:themeFill="accent1"/>
      </w:tcPr>
    </w:tblStylePr>
    <w:tblStylePr w:type="band2Horz">
      <w:tblPr/>
      <w:tcPr>
        <w:tcBorders>
          <w:top w:val="single" w:sz="4" w:space="0" w:color="FFFFFF" w:themeColor="light1"/>
          <w:bottom w:val="single" w:sz="4" w:space="0" w:color="FFFFFF" w:themeColor="light1"/>
        </w:tcBorders>
        <w:shd w:val="clear" w:color="auto" w:fill="4472C4" w:themeFill="accent1"/>
      </w:tcPr>
    </w:tblStylePr>
  </w:style>
  <w:style w:type="table" w:customStyle="1" w:styleId="ListTable5DarkAccent2">
    <w:name w:val="List Table 5 Dark Accent 2"/>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Accent 3"/>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Accent 4"/>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Accent 5"/>
    <w:basedOn w:val="NormaleTabelle"/>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auto"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auto"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auto"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BC2E5" w:themeFill="accent5" w:themeFillTint="9A"/>
      </w:tcPr>
    </w:tblStylePr>
    <w:tblStylePr w:type="band2Horz">
      <w:tblPr/>
      <w:tcPr>
        <w:tcBorders>
          <w:top w:val="single" w:sz="4" w:space="0" w:color="FFFFFF" w:themeColor="light1"/>
          <w:bottom w:val="single" w:sz="4" w:space="0" w:color="FFFFFF" w:themeColor="light1"/>
        </w:tcBorders>
        <w:shd w:val="clear" w:color="auto" w:fill="9BC2E5" w:themeFill="accent5" w:themeFillTint="9A"/>
      </w:tcPr>
    </w:tblStylePr>
  </w:style>
  <w:style w:type="table" w:customStyle="1" w:styleId="ListTable5DarkAccent6">
    <w:name w:val="List Table 5 Dark Accent 6"/>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ListTable6Colorful">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Accent 1"/>
    <w:basedOn w:val="NormaleTabelle"/>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Accent 2"/>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Accent 3"/>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Accent 4"/>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Accent 5"/>
    <w:basedOn w:val="NormaleTabelle"/>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Accent 6"/>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Accent 1"/>
    <w:basedOn w:val="NormaleTabelle"/>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auto"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auto" w:fill="FFFFFF"/>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auto" w:fill="FFFFFF"/>
      </w:tc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Accent 2"/>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Accent 3"/>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Accent 4"/>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Accent 5"/>
    <w:basedOn w:val="NormaleTabelle"/>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auto"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auto" w:fill="FFFFFF"/>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auto" w:fill="FFFFFF"/>
      </w:tc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Accent 6"/>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character" w:styleId="Hyperlink">
    <w:name w:val="Hyperlink"/>
    <w:basedOn w:val="Absatz-Standardschriftart"/>
    <w:uiPriority w:val="99"/>
    <w:unhideWhenUsed/>
    <w:rPr>
      <w:color w:val="0000FF"/>
      <w:u w:val="single"/>
    </w:rPr>
  </w:style>
  <w:style w:type="paragraph" w:customStyle="1" w:styleId="Standard1">
    <w:name w:val="Standard1"/>
    <w:link w:val="StandardChar"/>
    <w:pPr>
      <w:spacing w:after="0" w:line="240" w:lineRule="auto"/>
    </w:pPr>
    <w:rPr>
      <w:rFonts w:ascii="Liberation Serif" w:eastAsia="Droid Sans Fallback" w:hAnsi="Liberation Serif" w:cs="droid sans devanagari"/>
      <w:sz w:val="24"/>
      <w:szCs w:val="24"/>
      <w:lang w:eastAsia="zh-CN" w:bidi="hi-IN"/>
    </w:rPr>
  </w:style>
  <w:style w:type="character" w:customStyle="1" w:styleId="StandardChar">
    <w:name w:val="Standard Char"/>
    <w:basedOn w:val="Absatz-Standardschriftart"/>
    <w:link w:val="Standard1"/>
    <w:rPr>
      <w:rFonts w:ascii="Liberation Serif" w:eastAsia="Droid Sans Fallback" w:hAnsi="Liberation Serif" w:cs="droid sans devanagari"/>
      <w:sz w:val="24"/>
      <w:szCs w:val="24"/>
      <w:lang w:val="en-US" w:eastAsia="zh-CN" w:bidi="hi-IN"/>
    </w:rPr>
  </w:style>
  <w:style w:type="paragraph" w:styleId="KeinLeerraum">
    <w:name w:val="No Spacing"/>
    <w:pPr>
      <w:spacing w:after="200" w:line="276" w:lineRule="auto"/>
    </w:pPr>
    <w:rPr>
      <w:color w:val="000000"/>
    </w:rPr>
  </w:style>
  <w:style w:type="paragraph" w:customStyle="1" w:styleId="Body">
    <w:name w:val="Body"/>
    <w:pPr>
      <w:spacing w:after="200" w:line="276" w:lineRule="auto"/>
    </w:pPr>
    <w:rPr>
      <w:color w:val="000000"/>
    </w:rPr>
  </w:style>
  <w:style w:type="paragraph" w:customStyle="1" w:styleId="Default">
    <w:name w:val="Default"/>
    <w:pPr>
      <w:spacing w:after="0" w:line="240" w:lineRule="auto"/>
    </w:pPr>
    <w:rPr>
      <w:rFonts w:ascii="Helvetica" w:eastAsia="Helvetica" w:hAnsi="Helvetica" w:cs="Helvetica"/>
      <w:color w:val="000000"/>
      <w:lang w:val="en-IN"/>
    </w:rPr>
  </w:style>
  <w:style w:type="character" w:styleId="BesuchterHyperlink">
    <w:name w:val="FollowedHyperlink"/>
    <w:basedOn w:val="Absatz-Standardschriftart"/>
    <w:uiPriority w:val="99"/>
    <w:semiHidden/>
    <w:unhideWhenUsed/>
    <w:rPr>
      <w:color w:val="954F72" w:themeColor="followedHyperlink"/>
      <w:u w:val="single"/>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lang w:val="en-GB"/>
    </w:rPr>
  </w:style>
  <w:style w:type="paragraph" w:customStyle="1" w:styleId="EndNoteBibliographyTitle">
    <w:name w:val="EndNote Bibliography Title"/>
    <w:basedOn w:val="Standard"/>
    <w:link w:val="EndNoteBibliographyTitleChar"/>
    <w:pPr>
      <w:spacing w:after="0"/>
      <w:jc w:val="center"/>
    </w:pPr>
    <w:rPr>
      <w:lang w:val="en-US"/>
    </w:rPr>
  </w:style>
  <w:style w:type="character" w:customStyle="1" w:styleId="EndNoteBibliographyTitleChar">
    <w:name w:val="EndNote Bibliography Title Char"/>
    <w:basedOn w:val="Absatz-Standardschriftart"/>
    <w:link w:val="EndNoteBibliographyTitle"/>
    <w:rPr>
      <w:rFonts w:ascii="Calibri" w:hAnsi="Calibri"/>
    </w:rPr>
  </w:style>
  <w:style w:type="paragraph" w:customStyle="1" w:styleId="EndNoteBibliography">
    <w:name w:val="EndNote Bibliography"/>
    <w:basedOn w:val="Standard"/>
    <w:link w:val="EndNoteBibliographyChar"/>
    <w:pPr>
      <w:spacing w:line="240" w:lineRule="auto"/>
    </w:pPr>
    <w:rPr>
      <w:lang w:val="en-US"/>
    </w:rPr>
  </w:style>
  <w:style w:type="character" w:customStyle="1" w:styleId="EndNoteBibliographyChar">
    <w:name w:val="EndNote Bibliography Char"/>
    <w:basedOn w:val="Absatz-Standardschriftart"/>
    <w:link w:val="EndNoteBibliography"/>
    <w:rPr>
      <w:rFonts w:ascii="Calibri" w:hAnsi="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after="200" w:line="276" w:lineRule="auto"/>
    </w:pPr>
    <w:rPr>
      <w:lang w:val="en-GB"/>
    </w:rPr>
  </w:style>
  <w:style w:type="paragraph" w:styleId="berschrift1">
    <w:name w:val="heading 1"/>
    <w:basedOn w:val="Standard"/>
    <w:next w:val="Standard"/>
    <w:link w:val="berschrift1Zchn"/>
    <w:uiPriority w:val="9"/>
    <w:qFormat/>
    <w:pPr>
      <w:keepNext/>
      <w:keepLines/>
      <w:spacing w:before="480"/>
      <w:outlineLvl w:val="0"/>
    </w:pPr>
    <w:rPr>
      <w:rFonts w:ascii="Arial" w:eastAsia="Arial" w:hAnsi="Arial" w:cs="Arial"/>
      <w:sz w:val="40"/>
      <w:szCs w:val="40"/>
    </w:rPr>
  </w:style>
  <w:style w:type="paragraph" w:styleId="berschrift2">
    <w:name w:val="heading 2"/>
    <w:basedOn w:val="Standard"/>
    <w:next w:val="Standard"/>
    <w:link w:val="berschrift2Zchn"/>
    <w:uiPriority w:val="9"/>
    <w:unhideWhenUsed/>
    <w:qFormat/>
    <w:pPr>
      <w:keepNext/>
      <w:keepLines/>
      <w:spacing w:before="360"/>
      <w:outlineLvl w:val="1"/>
    </w:pPr>
    <w:rPr>
      <w:rFonts w:ascii="Arial" w:eastAsia="Arial" w:hAnsi="Arial" w:cs="Arial"/>
      <w:sz w:val="34"/>
    </w:rPr>
  </w:style>
  <w:style w:type="paragraph" w:styleId="berschrift3">
    <w:name w:val="heading 3"/>
    <w:basedOn w:val="Standard"/>
    <w:next w:val="Standard"/>
    <w:link w:val="berschrift3Zchn"/>
    <w:uiPriority w:val="9"/>
    <w:unhideWhenUsed/>
    <w:qFormat/>
    <w:pPr>
      <w:keepNext/>
      <w:keepLines/>
      <w:spacing w:before="320"/>
      <w:outlineLvl w:val="2"/>
    </w:pPr>
    <w:rPr>
      <w:rFonts w:ascii="Arial" w:eastAsia="Arial" w:hAnsi="Arial" w:cs="Arial"/>
      <w:sz w:val="30"/>
      <w:szCs w:val="30"/>
    </w:rPr>
  </w:style>
  <w:style w:type="paragraph" w:styleId="berschrift4">
    <w:name w:val="heading 4"/>
    <w:basedOn w:val="Standard"/>
    <w:next w:val="Standard"/>
    <w:link w:val="berschrift4Zchn"/>
    <w:uiPriority w:val="9"/>
    <w:unhideWhenUsed/>
    <w:qFormat/>
    <w:pPr>
      <w:keepNext/>
      <w:keepLines/>
      <w:spacing w:before="320"/>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outlineLvl w:val="4"/>
    </w:pPr>
    <w:rPr>
      <w:rFonts w:ascii="Arial" w:eastAsia="Arial" w:hAnsi="Arial" w:cs="Arial"/>
      <w:b/>
      <w:bCs/>
      <w:sz w:val="24"/>
      <w:szCs w:val="24"/>
    </w:rPr>
  </w:style>
  <w:style w:type="paragraph" w:styleId="berschrift6">
    <w:name w:val="heading 6"/>
    <w:basedOn w:val="Standard"/>
    <w:next w:val="Standard"/>
    <w:link w:val="berschrift6Zchn"/>
    <w:uiPriority w:val="9"/>
    <w:unhideWhenUsed/>
    <w:qFormat/>
    <w:pPr>
      <w:keepNext/>
      <w:keepLines/>
      <w:spacing w:before="320"/>
      <w:outlineLvl w:val="5"/>
    </w:pPr>
    <w:rPr>
      <w:rFonts w:ascii="Arial" w:eastAsia="Arial" w:hAnsi="Arial" w:cs="Arial"/>
      <w:b/>
      <w:bCs/>
    </w:rPr>
  </w:style>
  <w:style w:type="paragraph" w:styleId="berschrift7">
    <w:name w:val="heading 7"/>
    <w:basedOn w:val="Standard"/>
    <w:next w:val="Standard"/>
    <w:link w:val="berschrift7Zchn"/>
    <w:uiPriority w:val="9"/>
    <w:unhideWhenUsed/>
    <w:qFormat/>
    <w:pPr>
      <w:keepNext/>
      <w:keepLines/>
      <w:spacing w:before="320"/>
      <w:outlineLvl w:val="6"/>
    </w:pPr>
    <w:rPr>
      <w:rFonts w:ascii="Arial" w:eastAsia="Arial" w:hAnsi="Arial" w:cs="Arial"/>
      <w:b/>
      <w:bCs/>
      <w:i/>
      <w:iCs/>
    </w:rPr>
  </w:style>
  <w:style w:type="paragraph" w:styleId="berschrift8">
    <w:name w:val="heading 8"/>
    <w:basedOn w:val="Standard"/>
    <w:next w:val="Standard"/>
    <w:link w:val="berschrift8Zchn"/>
    <w:uiPriority w:val="9"/>
    <w:unhideWhenUsed/>
    <w:qFormat/>
    <w:pPr>
      <w:keepNext/>
      <w:keepLines/>
      <w:spacing w:before="320"/>
      <w:outlineLvl w:val="7"/>
    </w:pPr>
    <w:rPr>
      <w:rFonts w:ascii="Arial" w:eastAsia="Arial" w:hAnsi="Arial" w:cs="Arial"/>
      <w:i/>
      <w:iCs/>
    </w:rPr>
  </w:style>
  <w:style w:type="paragraph" w:styleId="berschrift9">
    <w:name w:val="heading 9"/>
    <w:basedOn w:val="Standard"/>
    <w:next w:val="Standard"/>
    <w:link w:val="berschrift9Zchn"/>
    <w:uiPriority w:val="9"/>
    <w:unhideWhenUsed/>
    <w:qFormat/>
    <w:pPr>
      <w:keepNext/>
      <w:keepLines/>
      <w:spacing w:before="320"/>
      <w:outlineLvl w:val="8"/>
    </w:pPr>
    <w:rPr>
      <w:rFonts w:ascii="Arial" w:eastAsia="Arial" w:hAnsi="Arial" w:cs="Arial"/>
      <w:i/>
      <w:iCs/>
      <w:sz w:val="21"/>
      <w:szCs w:val="2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Arial" w:eastAsia="Arial" w:hAnsi="Arial" w:cs="Arial"/>
      <w:sz w:val="40"/>
      <w:szCs w:val="40"/>
    </w:rPr>
  </w:style>
  <w:style w:type="character" w:customStyle="1" w:styleId="berschrift2Zchn">
    <w:name w:val="Überschrift 2 Zchn"/>
    <w:basedOn w:val="Absatz-Standardschriftart"/>
    <w:link w:val="berschrift2"/>
    <w:uiPriority w:val="9"/>
    <w:rPr>
      <w:rFonts w:ascii="Arial" w:eastAsia="Arial" w:hAnsi="Arial" w:cs="Arial"/>
      <w:sz w:val="34"/>
    </w:rPr>
  </w:style>
  <w:style w:type="character" w:customStyle="1" w:styleId="berschrift3Zchn">
    <w:name w:val="Überschrift 3 Zchn"/>
    <w:basedOn w:val="Absatz-Standardschriftart"/>
    <w:link w:val="berschrift3"/>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Listenabsatz">
    <w:name w:val="List Paragraph"/>
    <w:basedOn w:val="Standard"/>
    <w:uiPriority w:val="34"/>
    <w:qFormat/>
    <w:pPr>
      <w:ind w:left="720"/>
      <w:contextualSpacing/>
    </w:pPr>
  </w:style>
  <w:style w:type="paragraph" w:styleId="Titel">
    <w:name w:val="Title"/>
    <w:basedOn w:val="Standard"/>
    <w:next w:val="Standard"/>
    <w:link w:val="TitelZchn"/>
    <w:uiPriority w:val="10"/>
    <w:qFormat/>
    <w:pPr>
      <w:spacing w:before="300"/>
      <w:contextualSpacing/>
    </w:pPr>
    <w:rPr>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pPr>
    <w:rPr>
      <w:sz w:val="24"/>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paragraph" w:styleId="Kopfzeile">
    <w:name w:val="header"/>
    <w:basedOn w:val="Standard"/>
    <w:link w:val="KopfzeileZchn"/>
    <w:uiPriority w:val="99"/>
    <w:unhideWhenUsed/>
    <w:pPr>
      <w:tabs>
        <w:tab w:val="center" w:pos="7143"/>
        <w:tab w:val="right" w:pos="14287"/>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7143"/>
        <w:tab w:val="right" w:pos="14287"/>
      </w:tabs>
      <w:spacing w:after="0" w:line="240" w:lineRule="auto"/>
    </w:pPr>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rPr>
      <w:b/>
      <w:bCs/>
      <w:color w:val="4472C4" w:themeColor="accent1"/>
      <w:sz w:val="18"/>
      <w:szCs w:val="18"/>
    </w:rPr>
  </w:style>
  <w:style w:type="character" w:customStyle="1" w:styleId="FuzeileZchn">
    <w:name w:val="Fußzeile Zchn"/>
    <w:link w:val="Fuzeile"/>
    <w:uiPriority w:val="99"/>
  </w:style>
  <w:style w:type="table" w:styleId="Tabellenraster">
    <w:name w:val="Table Grid"/>
    <w:basedOn w:val="NormaleTabelle"/>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Light">
    <w:name w:val="Grid Table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Accent 1"/>
    <w:basedOn w:val="NormaleTabelle"/>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Accent 5"/>
    <w:basedOn w:val="NormaleTabelle"/>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Accent 1"/>
    <w:basedOn w:val="NormaleTabelle"/>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auto" w:fill="FFFFFF"/>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customStyle="1" w:styleId="GridTable2Accent2">
    <w:name w:val="Grid Table 2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Accent 5"/>
    <w:basedOn w:val="NormaleTabelle"/>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auto" w:fill="FFFFFF"/>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2Accent6">
    <w:name w:val="Grid Table 2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Accent 1"/>
    <w:basedOn w:val="NormaleTabelle"/>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customStyle="1" w:styleId="GridTable3Accent2">
    <w:name w:val="Grid Table 3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Accent 5"/>
    <w:basedOn w:val="NormaleTabelle"/>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3Accent6">
    <w:name w:val="Grid Table 3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Accent 1"/>
    <w:basedOn w:val="NormaleTabelle"/>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auto"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3F3" w:themeFill="accent1" w:themeFillTint="32"/>
      </w:tcPr>
    </w:tblStylePr>
    <w:tblStylePr w:type="band1Horz">
      <w:rPr>
        <w:rFonts w:ascii="Arial" w:hAnsi="Arial"/>
        <w:color w:val="404040"/>
        <w:sz w:val="22"/>
      </w:rPr>
      <w:tblPr/>
      <w:tcPr>
        <w:shd w:val="clear" w:color="auto" w:fill="DAE3F3" w:themeFill="accent1" w:themeFillTint="32"/>
      </w:tcPr>
    </w:tblStylePr>
  </w:style>
  <w:style w:type="table" w:customStyle="1" w:styleId="GridTable4Accent2">
    <w:name w:val="Grid Table 4 Accent 2"/>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Accent 3"/>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Accent 4"/>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Accent 5"/>
    <w:basedOn w:val="NormaleTabelle"/>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4Accent6">
    <w:name w:val="Grid Table 4 Accent 6"/>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5Dark">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1" w:themeFillTint="34"/>
    </w:tblPr>
    <w:tblStylePr w:type="firstRow">
      <w:rPr>
        <w:rFonts w:ascii="Arial" w:hAnsi="Arial"/>
        <w:b/>
        <w:color w:val="FFFFFF"/>
        <w:sz w:val="22"/>
      </w:rPr>
      <w:tblPr/>
      <w:tcPr>
        <w:shd w:val="clear" w:color="auto" w:fill="4472C4" w:themeFill="accent1"/>
      </w:tcPr>
    </w:tblStylePr>
    <w:tblStylePr w:type="lastRow">
      <w:rPr>
        <w:rFonts w:ascii="Arial" w:hAnsi="Arial"/>
        <w:b/>
        <w:color w:val="FFFFFF"/>
        <w:sz w:val="22"/>
      </w:rPr>
      <w:tblPr/>
      <w:tcPr>
        <w:tcBorders>
          <w:top w:val="single" w:sz="4" w:space="0" w:color="FFFFFF" w:themeColor="light1"/>
        </w:tcBorders>
        <w:shd w:val="clear" w:color="auto" w:fill="4472C4" w:themeFill="accent1"/>
      </w:tcPr>
    </w:tblStylePr>
    <w:tblStylePr w:type="firstCol">
      <w:rPr>
        <w:rFonts w:ascii="Arial" w:hAnsi="Arial"/>
        <w:b/>
        <w:color w:val="FFFFFF"/>
        <w:sz w:val="22"/>
      </w:rPr>
      <w:tblPr/>
      <w:tcPr>
        <w:shd w:val="clear" w:color="auto" w:fill="4472C4" w:themeFill="accent1"/>
      </w:tcPr>
    </w:tblStylePr>
    <w:tblStylePr w:type="lastCol">
      <w:rPr>
        <w:rFonts w:ascii="Arial" w:hAnsi="Arial"/>
        <w:b/>
        <w:color w:val="FFFFFF"/>
        <w:sz w:val="22"/>
      </w:rPr>
      <w:tblPr/>
      <w:tcPr>
        <w:shd w:val="clear" w:color="auto" w:fill="4472C4" w:themeFill="accent1"/>
      </w:tcPr>
    </w:tblStylePr>
    <w:tblStylePr w:type="band1Vert">
      <w:tblPr/>
      <w:tcPr>
        <w:shd w:val="clear" w:color="auto" w:fill="A9BEE4" w:themeFill="accent1" w:themeFillTint="75"/>
      </w:tcPr>
    </w:tblStylePr>
    <w:tblStylePr w:type="band1Horz">
      <w:tblPr/>
      <w:tcPr>
        <w:shd w:val="clear" w:color="auto" w:fill="A9BEE4" w:themeFill="accent1" w:themeFillTint="75"/>
      </w:tcPr>
    </w:tblStylePr>
  </w:style>
  <w:style w:type="table" w:customStyle="1" w:styleId="GridTable5DarkAccent2">
    <w:name w:val="Grid Table 5 Dark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5" w:themeFillTint="34"/>
    </w:tblPr>
    <w:tblStylePr w:type="firstRow">
      <w:rPr>
        <w:rFonts w:ascii="Arial" w:hAnsi="Arial"/>
        <w:b/>
        <w:color w:val="FFFFFF"/>
        <w:sz w:val="22"/>
      </w:rPr>
      <w:tblPr/>
      <w:tcPr>
        <w:shd w:val="clear" w:color="auto" w:fill="5B9BD5" w:themeFill="accent5"/>
      </w:tcPr>
    </w:tblStylePr>
    <w:tblStylePr w:type="lastRow">
      <w:rPr>
        <w:rFonts w:ascii="Arial" w:hAnsi="Arial"/>
        <w:b/>
        <w:color w:val="FFFFFF"/>
        <w:sz w:val="22"/>
      </w:rPr>
      <w:tblPr/>
      <w:tcPr>
        <w:tcBorders>
          <w:top w:val="single" w:sz="4" w:space="0" w:color="FFFFFF" w:themeColor="light1"/>
        </w:tcBorders>
        <w:shd w:val="clear" w:color="auto" w:fill="5B9BD5" w:themeFill="accent5"/>
      </w:tcPr>
    </w:tblStylePr>
    <w:tblStylePr w:type="firstCol">
      <w:rPr>
        <w:rFonts w:ascii="Arial" w:hAnsi="Arial"/>
        <w:b/>
        <w:color w:val="FFFFFF"/>
        <w:sz w:val="22"/>
      </w:rPr>
      <w:tblPr/>
      <w:tcPr>
        <w:shd w:val="clear" w:color="auto" w:fill="5B9BD5" w:themeFill="accent5"/>
      </w:tcPr>
    </w:tblStylePr>
    <w:tblStylePr w:type="lastCol">
      <w:rPr>
        <w:rFonts w:ascii="Arial" w:hAnsi="Arial"/>
        <w:b/>
        <w:color w:val="FFFFFF"/>
        <w:sz w:val="22"/>
      </w:rPr>
      <w:tblPr/>
      <w:tcPr>
        <w:shd w:val="clear" w:color="auto" w:fill="5B9BD5" w:themeFill="accent5"/>
      </w:tcPr>
    </w:tblStylePr>
    <w:tblStylePr w:type="band1Vert">
      <w:tblPr/>
      <w:tcPr>
        <w:shd w:val="clear" w:color="auto" w:fill="B3D0EB" w:themeFill="accent5" w:themeFillTint="75"/>
      </w:tcPr>
    </w:tblStylePr>
    <w:tblStylePr w:type="band1Horz">
      <w:tblPr/>
      <w:tcPr>
        <w:shd w:val="clear" w:color="auto" w:fill="B3D0EB" w:themeFill="accent5" w:themeFillTint="75"/>
      </w:tcPr>
    </w:tblStylePr>
  </w:style>
  <w:style w:type="table" w:customStyle="1" w:styleId="GridTable5DarkAccent6">
    <w:name w:val="Grid Table 5 Dark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GridTable6Colorful">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Accent 1"/>
    <w:basedOn w:val="NormaleTabelle"/>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Accent 3"/>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Accent 5"/>
    <w:basedOn w:val="NormaleTabelle"/>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Accent 6"/>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E1EFD8" w:themeFill="accent6" w:themeFillTint="34"/>
      </w:tcPr>
    </w:tblStylePr>
    <w:tblStylePr w:type="band1Horz">
      <w:rPr>
        <w:rFonts w:ascii="Arial" w:hAnsi="Arial"/>
        <w:color w:val="245A8D" w:themeColor="accent5" w:themeShade="95"/>
        <w:sz w:val="22"/>
      </w:rPr>
      <w:tblPr/>
      <w:tcPr>
        <w:shd w:val="clear" w:color="auto" w:fill="E1EFD8" w:themeFill="accent6" w:themeFillTint="34"/>
      </w:tcPr>
    </w:tblStylePr>
    <w:tblStylePr w:type="band2Horz">
      <w:rPr>
        <w:rFonts w:ascii="Arial" w:hAnsi="Arial"/>
        <w:color w:val="245A8D" w:themeColor="accent5" w:themeShade="95"/>
        <w:sz w:val="22"/>
      </w:rPr>
    </w:tblStylePr>
  </w:style>
  <w:style w:type="table" w:customStyle="1" w:styleId="GridTable7Colorful">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Accent 1"/>
    <w:basedOn w:val="NormaleTabelle"/>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auto"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auto" w:fill="FFFFFF"/>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auto" w:fill="FFFFFF"/>
      </w:tc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Accent 2"/>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Accent 3"/>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Accent 4"/>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Accent 5"/>
    <w:basedOn w:val="NormaleTabelle"/>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auto"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auto" w:fill="FFFFFF"/>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auto" w:fill="FFFFFF"/>
      </w:tc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Accent 6"/>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1" w:themeFillTint="40"/>
      </w:tcPr>
    </w:tblStylePr>
    <w:tblStylePr w:type="band1Horz">
      <w:tblPr/>
      <w:tcPr>
        <w:shd w:val="clear" w:color="auto" w:fill="CFDBF0" w:themeFill="accent1" w:themeFillTint="40"/>
      </w:tcPr>
    </w:tblStylePr>
  </w:style>
  <w:style w:type="table" w:customStyle="1" w:styleId="ListTable1LightAccent2">
    <w:name w:val="List Table 1 Light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5" w:themeFillTint="40"/>
      </w:tcPr>
    </w:tblStylePr>
    <w:tblStylePr w:type="band1Horz">
      <w:tblPr/>
      <w:tcPr>
        <w:shd w:val="clear" w:color="auto" w:fill="D5E5F4" w:themeFill="accent5" w:themeFillTint="40"/>
      </w:tcPr>
    </w:tblStylePr>
  </w:style>
  <w:style w:type="table" w:customStyle="1" w:styleId="ListTable1LightAccent6">
    <w:name w:val="List Table 1 Light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ListTab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Accent 1"/>
    <w:basedOn w:val="NormaleTabelle"/>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customStyle="1" w:styleId="ListTable2Accent2">
    <w:name w:val="List Table 2 Accent 2"/>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Accent 3"/>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Accent 4"/>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Accent 5"/>
    <w:basedOn w:val="NormaleTabelle"/>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customStyle="1" w:styleId="ListTable2Accent6">
    <w:name w:val="List Table 2 Accent 6"/>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Accent 1"/>
    <w:basedOn w:val="NormaleTabelle"/>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Accent 3"/>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Accent 5"/>
    <w:basedOn w:val="NormaleTabelle"/>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auto"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Accent 6"/>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Accent 1"/>
    <w:basedOn w:val="NormaleTabelle"/>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customStyle="1" w:styleId="ListTable4Accent2">
    <w:name w:val="List Table 4 Accent 2"/>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Accent 3"/>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Accent 4"/>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Accent 5"/>
    <w:basedOn w:val="NormaleTabelle"/>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auto"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customStyle="1" w:styleId="ListTable4Accent6">
    <w:name w:val="List Table 4 Accent 6"/>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5Dark">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Accent 1"/>
    <w:basedOn w:val="NormaleTabelle"/>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auto"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auto"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auto"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472C4" w:themeFill="accent1"/>
      </w:tcPr>
    </w:tblStylePr>
    <w:tblStylePr w:type="band2Horz">
      <w:tblPr/>
      <w:tcPr>
        <w:tcBorders>
          <w:top w:val="single" w:sz="4" w:space="0" w:color="FFFFFF" w:themeColor="light1"/>
          <w:bottom w:val="single" w:sz="4" w:space="0" w:color="FFFFFF" w:themeColor="light1"/>
        </w:tcBorders>
        <w:shd w:val="clear" w:color="auto" w:fill="4472C4" w:themeFill="accent1"/>
      </w:tcPr>
    </w:tblStylePr>
  </w:style>
  <w:style w:type="table" w:customStyle="1" w:styleId="ListTable5DarkAccent2">
    <w:name w:val="List Table 5 Dark Accent 2"/>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Accent 3"/>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Accent 4"/>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Accent 5"/>
    <w:basedOn w:val="NormaleTabelle"/>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auto"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auto"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auto"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BC2E5" w:themeFill="accent5" w:themeFillTint="9A"/>
      </w:tcPr>
    </w:tblStylePr>
    <w:tblStylePr w:type="band2Horz">
      <w:tblPr/>
      <w:tcPr>
        <w:tcBorders>
          <w:top w:val="single" w:sz="4" w:space="0" w:color="FFFFFF" w:themeColor="light1"/>
          <w:bottom w:val="single" w:sz="4" w:space="0" w:color="FFFFFF" w:themeColor="light1"/>
        </w:tcBorders>
        <w:shd w:val="clear" w:color="auto" w:fill="9BC2E5" w:themeFill="accent5" w:themeFillTint="9A"/>
      </w:tcPr>
    </w:tblStylePr>
  </w:style>
  <w:style w:type="table" w:customStyle="1" w:styleId="ListTable5DarkAccent6">
    <w:name w:val="List Table 5 Dark Accent 6"/>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ListTable6Colorful">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Accent 1"/>
    <w:basedOn w:val="NormaleTabelle"/>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Accent 2"/>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Accent 3"/>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Accent 4"/>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Accent 5"/>
    <w:basedOn w:val="NormaleTabelle"/>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Accent 6"/>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Accent 1"/>
    <w:basedOn w:val="NormaleTabelle"/>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auto"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auto" w:fill="FFFFFF"/>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auto" w:fill="FFFFFF"/>
      </w:tc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Accent 2"/>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Accent 3"/>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Accent 4"/>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Accent 5"/>
    <w:basedOn w:val="NormaleTabelle"/>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auto"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auto" w:fill="FFFFFF"/>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auto" w:fill="FFFFFF"/>
      </w:tc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Accent 6"/>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character" w:styleId="Hyperlink">
    <w:name w:val="Hyperlink"/>
    <w:basedOn w:val="Absatz-Standardschriftart"/>
    <w:uiPriority w:val="99"/>
    <w:unhideWhenUsed/>
    <w:rPr>
      <w:color w:val="0000FF"/>
      <w:u w:val="single"/>
    </w:rPr>
  </w:style>
  <w:style w:type="paragraph" w:customStyle="1" w:styleId="Standard1">
    <w:name w:val="Standard1"/>
    <w:link w:val="StandardChar"/>
    <w:pPr>
      <w:spacing w:after="0" w:line="240" w:lineRule="auto"/>
    </w:pPr>
    <w:rPr>
      <w:rFonts w:ascii="Liberation Serif" w:eastAsia="Droid Sans Fallback" w:hAnsi="Liberation Serif" w:cs="droid sans devanagari"/>
      <w:sz w:val="24"/>
      <w:szCs w:val="24"/>
      <w:lang w:eastAsia="zh-CN" w:bidi="hi-IN"/>
    </w:rPr>
  </w:style>
  <w:style w:type="character" w:customStyle="1" w:styleId="StandardChar">
    <w:name w:val="Standard Char"/>
    <w:basedOn w:val="Absatz-Standardschriftart"/>
    <w:link w:val="Standard1"/>
    <w:rPr>
      <w:rFonts w:ascii="Liberation Serif" w:eastAsia="Droid Sans Fallback" w:hAnsi="Liberation Serif" w:cs="droid sans devanagari"/>
      <w:sz w:val="24"/>
      <w:szCs w:val="24"/>
      <w:lang w:val="en-US" w:eastAsia="zh-CN" w:bidi="hi-IN"/>
    </w:rPr>
  </w:style>
  <w:style w:type="paragraph" w:styleId="KeinLeerraum">
    <w:name w:val="No Spacing"/>
    <w:pPr>
      <w:spacing w:after="200" w:line="276" w:lineRule="auto"/>
    </w:pPr>
    <w:rPr>
      <w:color w:val="000000"/>
    </w:rPr>
  </w:style>
  <w:style w:type="paragraph" w:customStyle="1" w:styleId="Body">
    <w:name w:val="Body"/>
    <w:pPr>
      <w:spacing w:after="200" w:line="276" w:lineRule="auto"/>
    </w:pPr>
    <w:rPr>
      <w:color w:val="000000"/>
    </w:rPr>
  </w:style>
  <w:style w:type="paragraph" w:customStyle="1" w:styleId="Default">
    <w:name w:val="Default"/>
    <w:pPr>
      <w:spacing w:after="0" w:line="240" w:lineRule="auto"/>
    </w:pPr>
    <w:rPr>
      <w:rFonts w:ascii="Helvetica" w:eastAsia="Helvetica" w:hAnsi="Helvetica" w:cs="Helvetica"/>
      <w:color w:val="000000"/>
      <w:lang w:val="en-IN"/>
    </w:rPr>
  </w:style>
  <w:style w:type="character" w:styleId="BesuchterHyperlink">
    <w:name w:val="FollowedHyperlink"/>
    <w:basedOn w:val="Absatz-Standardschriftart"/>
    <w:uiPriority w:val="99"/>
    <w:semiHidden/>
    <w:unhideWhenUsed/>
    <w:rPr>
      <w:color w:val="954F72" w:themeColor="followedHyperlink"/>
      <w:u w:val="single"/>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lang w:val="en-GB"/>
    </w:rPr>
  </w:style>
  <w:style w:type="paragraph" w:customStyle="1" w:styleId="EndNoteBibliographyTitle">
    <w:name w:val="EndNote Bibliography Title"/>
    <w:basedOn w:val="Standard"/>
    <w:link w:val="EndNoteBibliographyTitleChar"/>
    <w:pPr>
      <w:spacing w:after="0"/>
      <w:jc w:val="center"/>
    </w:pPr>
    <w:rPr>
      <w:lang w:val="en-US"/>
    </w:rPr>
  </w:style>
  <w:style w:type="character" w:customStyle="1" w:styleId="EndNoteBibliographyTitleChar">
    <w:name w:val="EndNote Bibliography Title Char"/>
    <w:basedOn w:val="Absatz-Standardschriftart"/>
    <w:link w:val="EndNoteBibliographyTitle"/>
    <w:rPr>
      <w:rFonts w:ascii="Calibri" w:hAnsi="Calibri"/>
    </w:rPr>
  </w:style>
  <w:style w:type="paragraph" w:customStyle="1" w:styleId="EndNoteBibliography">
    <w:name w:val="EndNote Bibliography"/>
    <w:basedOn w:val="Standard"/>
    <w:link w:val="EndNoteBibliographyChar"/>
    <w:pPr>
      <w:spacing w:line="240" w:lineRule="auto"/>
    </w:pPr>
    <w:rPr>
      <w:lang w:val="en-US"/>
    </w:rPr>
  </w:style>
  <w:style w:type="character" w:customStyle="1" w:styleId="EndNoteBibliographyChar">
    <w:name w:val="EndNote Bibliography Char"/>
    <w:basedOn w:val="Absatz-Standardschriftart"/>
    <w:link w:val="EndNoteBibliography"/>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ebi.ac.uk/ena/browser/home"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3493</Words>
  <Characters>22010</Characters>
  <Application>Microsoft Office Word</Application>
  <DocSecurity>0</DocSecurity>
  <Lines>183</Lines>
  <Paragraphs>50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Selcen Öztürk</dc:creator>
  <cp:lastModifiedBy>seiffertm</cp:lastModifiedBy>
  <cp:revision>2</cp:revision>
  <dcterms:created xsi:type="dcterms:W3CDTF">2021-07-30T15:29:00Z</dcterms:created>
  <dcterms:modified xsi:type="dcterms:W3CDTF">2021-07-30T15:29:00Z</dcterms:modified>
</cp:coreProperties>
</file>