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E532C" w14:textId="48341F72" w:rsidR="00BF250F" w:rsidRPr="00437A6C" w:rsidRDefault="00BF250F" w:rsidP="00BF250F">
      <w:pPr>
        <w:spacing w:after="240" w:line="480" w:lineRule="auto"/>
        <w:rPr>
          <w:rFonts w:ascii="Arial" w:hAnsi="Arial" w:cs="Arial"/>
          <w:b/>
          <w:bCs/>
          <w:sz w:val="22"/>
          <w:szCs w:val="22"/>
        </w:rPr>
      </w:pPr>
      <w:r w:rsidRPr="00437A6C">
        <w:rPr>
          <w:rFonts w:ascii="Arial" w:hAnsi="Arial" w:cs="Arial"/>
          <w:b/>
          <w:bCs/>
          <w:sz w:val="22"/>
          <w:szCs w:val="22"/>
        </w:rPr>
        <w:t>SUPPLEMENTA</w:t>
      </w:r>
      <w:r w:rsidR="00DE3AF0" w:rsidRPr="00437A6C">
        <w:rPr>
          <w:rFonts w:ascii="Arial" w:hAnsi="Arial" w:cs="Arial"/>
          <w:b/>
          <w:bCs/>
          <w:sz w:val="22"/>
          <w:szCs w:val="22"/>
        </w:rPr>
        <w:t>RY</w:t>
      </w:r>
      <w:r w:rsidRPr="00437A6C">
        <w:rPr>
          <w:rFonts w:ascii="Arial" w:hAnsi="Arial" w:cs="Arial"/>
          <w:b/>
          <w:bCs/>
          <w:sz w:val="22"/>
          <w:szCs w:val="22"/>
        </w:rPr>
        <w:t xml:space="preserve"> </w:t>
      </w:r>
      <w:r w:rsidR="002E12B0" w:rsidRPr="00437A6C">
        <w:rPr>
          <w:rFonts w:ascii="Arial" w:hAnsi="Arial" w:cs="Arial"/>
          <w:b/>
          <w:bCs/>
          <w:sz w:val="22"/>
          <w:szCs w:val="22"/>
        </w:rPr>
        <w:t>FIGURES</w:t>
      </w:r>
    </w:p>
    <w:p w14:paraId="57D2AA53" w14:textId="77777777" w:rsidR="002E12B0" w:rsidRPr="00437A6C" w:rsidRDefault="002E12B0" w:rsidP="002E12B0">
      <w:pPr>
        <w:spacing w:line="480" w:lineRule="auto"/>
        <w:jc w:val="center"/>
        <w:rPr>
          <w:rFonts w:ascii="Arial" w:hAnsi="Arial" w:cs="Arial"/>
          <w:sz w:val="22"/>
          <w:szCs w:val="22"/>
        </w:rPr>
      </w:pPr>
      <w:r w:rsidRPr="00437A6C">
        <w:rPr>
          <w:rFonts w:ascii="Arial" w:hAnsi="Arial" w:cs="Arial"/>
          <w:noProof/>
          <w:sz w:val="22"/>
          <w:szCs w:val="22"/>
        </w:rPr>
        <w:drawing>
          <wp:inline distT="0" distB="0" distL="0" distR="0" wp14:anchorId="430F1F8E" wp14:editId="363A694C">
            <wp:extent cx="2518448" cy="39415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23345" cy="3949208"/>
                    </a:xfrm>
                    <a:prstGeom prst="rect">
                      <a:avLst/>
                    </a:prstGeom>
                  </pic:spPr>
                </pic:pic>
              </a:graphicData>
            </a:graphic>
          </wp:inline>
        </w:drawing>
      </w:r>
    </w:p>
    <w:p w14:paraId="47DD1C40" w14:textId="1474EE45" w:rsidR="002E12B0" w:rsidRPr="00437A6C" w:rsidRDefault="002E12B0" w:rsidP="002E12B0">
      <w:pPr>
        <w:spacing w:line="480" w:lineRule="auto"/>
        <w:rPr>
          <w:rFonts w:ascii="Arial" w:hAnsi="Arial" w:cs="Arial"/>
          <w:sz w:val="22"/>
          <w:szCs w:val="22"/>
        </w:rPr>
      </w:pPr>
      <w:r w:rsidRPr="00437A6C">
        <w:rPr>
          <w:rFonts w:ascii="Arial" w:hAnsi="Arial" w:cs="Arial"/>
          <w:b/>
          <w:bCs/>
          <w:sz w:val="22"/>
          <w:szCs w:val="22"/>
        </w:rPr>
        <w:t>Supplementary Figure 1: Comparable cytokine production and proliferation of low and high affinity CD19 CAR T cells. (A)</w:t>
      </w:r>
      <w:r w:rsidRPr="00437A6C">
        <w:rPr>
          <w:rFonts w:ascii="Arial" w:hAnsi="Arial" w:cs="Arial"/>
          <w:sz w:val="22"/>
          <w:szCs w:val="22"/>
        </w:rPr>
        <w:t xml:space="preserve"> CAR T cells were thawed and cultured in the presence of 40IU/mL IL2 before addition of CD19-coupled magnetic beads. After 48 hours, supernatants were harvested and IFN</w:t>
      </w:r>
      <w:r w:rsidRPr="00437A6C">
        <w:rPr>
          <w:rFonts w:ascii="Arial" w:hAnsi="Arial" w:cs="Arial"/>
          <w:sz w:val="22"/>
          <w:szCs w:val="22"/>
        </w:rPr>
        <w:sym w:font="Symbol" w:char="F067"/>
      </w:r>
      <w:r w:rsidRPr="00437A6C">
        <w:rPr>
          <w:rFonts w:ascii="Arial" w:hAnsi="Arial" w:cs="Arial"/>
          <w:sz w:val="22"/>
          <w:szCs w:val="22"/>
        </w:rPr>
        <w:t xml:space="preserve"> concentrations determined by ELISA. Data represent mean ± SD from four replicates. </w:t>
      </w:r>
      <w:r w:rsidRPr="00437A6C">
        <w:rPr>
          <w:rFonts w:ascii="Arial" w:hAnsi="Arial" w:cs="Arial"/>
          <w:b/>
          <w:bCs/>
          <w:sz w:val="22"/>
          <w:szCs w:val="22"/>
        </w:rPr>
        <w:t xml:space="preserve">(B) </w:t>
      </w:r>
      <w:r w:rsidRPr="00437A6C">
        <w:rPr>
          <w:rFonts w:ascii="Arial" w:hAnsi="Arial" w:cs="Arial"/>
          <w:sz w:val="22"/>
          <w:szCs w:val="22"/>
        </w:rPr>
        <w:t xml:space="preserve">CAR T cells were cultured for 5 days without IL2 before staining with </w:t>
      </w:r>
      <w:proofErr w:type="spellStart"/>
      <w:r w:rsidRPr="00437A6C">
        <w:rPr>
          <w:rFonts w:ascii="Arial" w:hAnsi="Arial" w:cs="Arial"/>
          <w:sz w:val="22"/>
          <w:szCs w:val="22"/>
        </w:rPr>
        <w:t>CellTrace</w:t>
      </w:r>
      <w:proofErr w:type="spellEnd"/>
      <w:r w:rsidRPr="00437A6C">
        <w:rPr>
          <w:rFonts w:ascii="Arial" w:hAnsi="Arial" w:cs="Arial"/>
          <w:sz w:val="22"/>
          <w:szCs w:val="22"/>
        </w:rPr>
        <w:t xml:space="preserve"> Far Red dye and addition of CD19-coupled magnetic beads and 40IU/mL IL2. Dye dilution was determined after 5 days by flow cytometry. Data represent mean ± SD from three replicates. Statistical significance was determined by two-sided Student’s </w:t>
      </w:r>
      <w:r w:rsidRPr="00437A6C">
        <w:rPr>
          <w:rFonts w:ascii="Arial" w:hAnsi="Arial" w:cs="Arial"/>
          <w:i/>
          <w:iCs/>
          <w:sz w:val="22"/>
          <w:szCs w:val="22"/>
        </w:rPr>
        <w:t>t</w:t>
      </w:r>
      <w:r w:rsidRPr="00437A6C">
        <w:rPr>
          <w:rFonts w:ascii="Arial" w:hAnsi="Arial" w:cs="Arial"/>
          <w:sz w:val="22"/>
          <w:szCs w:val="22"/>
        </w:rPr>
        <w:t xml:space="preserve"> test.</w:t>
      </w:r>
    </w:p>
    <w:p w14:paraId="0891A4E3" w14:textId="5850AD36" w:rsidR="002E12B0" w:rsidRPr="00437A6C" w:rsidRDefault="002E12B0" w:rsidP="002E12B0">
      <w:pPr>
        <w:spacing w:line="480" w:lineRule="auto"/>
        <w:rPr>
          <w:rFonts w:ascii="Arial" w:hAnsi="Arial" w:cs="Arial"/>
          <w:sz w:val="22"/>
          <w:szCs w:val="22"/>
        </w:rPr>
      </w:pPr>
      <w:r w:rsidRPr="00437A6C">
        <w:rPr>
          <w:rFonts w:ascii="Arial" w:hAnsi="Arial" w:cs="Arial"/>
          <w:sz w:val="22"/>
          <w:szCs w:val="22"/>
        </w:rPr>
        <w:br w:type="page"/>
      </w:r>
    </w:p>
    <w:p w14:paraId="566F3F94" w14:textId="2025DA4D" w:rsidR="002E12B0" w:rsidRPr="00437A6C" w:rsidRDefault="00F84FD2" w:rsidP="002E12B0">
      <w:pPr>
        <w:spacing w:line="480" w:lineRule="auto"/>
        <w:jc w:val="center"/>
        <w:rPr>
          <w:rFonts w:ascii="Arial" w:hAnsi="Arial" w:cs="Arial"/>
          <w:sz w:val="22"/>
          <w:szCs w:val="22"/>
        </w:rPr>
      </w:pPr>
      <w:r w:rsidRPr="00437A6C">
        <w:rPr>
          <w:rFonts w:ascii="Arial" w:hAnsi="Arial" w:cs="Arial"/>
          <w:noProof/>
          <w:sz w:val="22"/>
          <w:szCs w:val="22"/>
        </w:rPr>
        <w:lastRenderedPageBreak/>
        <w:drawing>
          <wp:inline distT="0" distB="0" distL="0" distR="0" wp14:anchorId="67346F26" wp14:editId="54B33405">
            <wp:extent cx="3713747" cy="22882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32385" cy="2299752"/>
                    </a:xfrm>
                    <a:prstGeom prst="rect">
                      <a:avLst/>
                    </a:prstGeom>
                  </pic:spPr>
                </pic:pic>
              </a:graphicData>
            </a:graphic>
          </wp:inline>
        </w:drawing>
      </w:r>
    </w:p>
    <w:p w14:paraId="6B46C360" w14:textId="20A6D601" w:rsidR="00563C50" w:rsidRPr="00437A6C" w:rsidRDefault="002E12B0" w:rsidP="002E12B0">
      <w:pPr>
        <w:spacing w:line="480" w:lineRule="auto"/>
        <w:rPr>
          <w:rFonts w:ascii="Arial" w:hAnsi="Arial" w:cs="Arial"/>
          <w:sz w:val="22"/>
          <w:szCs w:val="22"/>
        </w:rPr>
      </w:pPr>
      <w:r w:rsidRPr="00437A6C">
        <w:rPr>
          <w:rFonts w:ascii="Arial" w:hAnsi="Arial" w:cs="Arial"/>
          <w:b/>
          <w:bCs/>
          <w:sz w:val="22"/>
          <w:szCs w:val="22"/>
        </w:rPr>
        <w:t xml:space="preserve">Supplementary Figure 2: Use of low affinity CAR T cells reduces the amount of target antigen transferred to CAR T cells. </w:t>
      </w:r>
      <w:r w:rsidR="00BC61FB" w:rsidRPr="00437A6C">
        <w:rPr>
          <w:rFonts w:ascii="Arial" w:hAnsi="Arial" w:cs="Arial"/>
          <w:b/>
          <w:bCs/>
          <w:sz w:val="22"/>
          <w:szCs w:val="22"/>
        </w:rPr>
        <w:t>(A)</w:t>
      </w:r>
      <w:r w:rsidR="00BC61FB" w:rsidRPr="00437A6C">
        <w:rPr>
          <w:rFonts w:ascii="Arial" w:hAnsi="Arial" w:cs="Arial"/>
          <w:sz w:val="22"/>
          <w:szCs w:val="22"/>
        </w:rPr>
        <w:t xml:space="preserve"> </w:t>
      </w:r>
      <w:r w:rsidRPr="00437A6C">
        <w:rPr>
          <w:rFonts w:ascii="Arial" w:hAnsi="Arial" w:cs="Arial"/>
          <w:sz w:val="22"/>
          <w:szCs w:val="22"/>
        </w:rPr>
        <w:t xml:space="preserve">% CD19+ CAR T cells following a </w:t>
      </w:r>
      <w:proofErr w:type="gramStart"/>
      <w:r w:rsidRPr="00437A6C">
        <w:rPr>
          <w:rFonts w:ascii="Arial" w:hAnsi="Arial" w:cs="Arial"/>
          <w:sz w:val="22"/>
          <w:szCs w:val="22"/>
        </w:rPr>
        <w:t>15 minute</w:t>
      </w:r>
      <w:proofErr w:type="gramEnd"/>
      <w:r w:rsidRPr="00437A6C">
        <w:rPr>
          <w:rFonts w:ascii="Arial" w:hAnsi="Arial" w:cs="Arial"/>
          <w:sz w:val="22"/>
          <w:szCs w:val="22"/>
        </w:rPr>
        <w:t xml:space="preserve"> coculture with primary CLL cells at an </w:t>
      </w:r>
      <w:proofErr w:type="spellStart"/>
      <w:r w:rsidRPr="00437A6C">
        <w:rPr>
          <w:rFonts w:ascii="Arial" w:hAnsi="Arial" w:cs="Arial"/>
          <w:sz w:val="22"/>
          <w:szCs w:val="22"/>
        </w:rPr>
        <w:t>effector:target</w:t>
      </w:r>
      <w:proofErr w:type="spellEnd"/>
      <w:r w:rsidRPr="00437A6C">
        <w:rPr>
          <w:rFonts w:ascii="Arial" w:hAnsi="Arial" w:cs="Arial"/>
          <w:sz w:val="22"/>
          <w:szCs w:val="22"/>
        </w:rPr>
        <w:t xml:space="preserve"> ratio of 1:10.</w:t>
      </w:r>
      <w:r w:rsidR="00BC61FB" w:rsidRPr="00437A6C">
        <w:rPr>
          <w:rFonts w:ascii="Arial" w:hAnsi="Arial" w:cs="Arial"/>
          <w:sz w:val="22"/>
          <w:szCs w:val="22"/>
        </w:rPr>
        <w:t xml:space="preserve"> </w:t>
      </w:r>
      <w:r w:rsidR="00BC61FB" w:rsidRPr="00437A6C">
        <w:rPr>
          <w:rFonts w:ascii="Arial" w:hAnsi="Arial" w:cs="Arial"/>
          <w:b/>
          <w:bCs/>
          <w:sz w:val="22"/>
          <w:szCs w:val="22"/>
        </w:rPr>
        <w:t>(B)</w:t>
      </w:r>
      <w:r w:rsidR="00BC61FB" w:rsidRPr="00437A6C">
        <w:rPr>
          <w:rFonts w:ascii="Arial" w:hAnsi="Arial" w:cs="Arial"/>
          <w:sz w:val="22"/>
          <w:szCs w:val="22"/>
        </w:rPr>
        <w:t xml:space="preserve"> Presence of CD229 on CAR T cells alone or when co-cultured with CD229+ U266 cells for 1h at an </w:t>
      </w:r>
      <w:proofErr w:type="spellStart"/>
      <w:r w:rsidR="00BC61FB" w:rsidRPr="00437A6C">
        <w:rPr>
          <w:rFonts w:ascii="Arial" w:hAnsi="Arial" w:cs="Arial"/>
          <w:sz w:val="22"/>
          <w:szCs w:val="22"/>
        </w:rPr>
        <w:t>effector:target</w:t>
      </w:r>
      <w:proofErr w:type="spellEnd"/>
      <w:r w:rsidR="00BC61FB" w:rsidRPr="00437A6C">
        <w:rPr>
          <w:rFonts w:ascii="Arial" w:hAnsi="Arial" w:cs="Arial"/>
          <w:sz w:val="22"/>
          <w:szCs w:val="22"/>
        </w:rPr>
        <w:t xml:space="preserve"> ratio of 1:2. Data represent mean ± SD from three replicates. Statistical significance was determined by two-sided Student’s </w:t>
      </w:r>
      <w:r w:rsidR="00BC61FB" w:rsidRPr="00437A6C">
        <w:rPr>
          <w:rFonts w:ascii="Arial" w:hAnsi="Arial" w:cs="Arial"/>
          <w:i/>
          <w:iCs/>
          <w:sz w:val="22"/>
          <w:szCs w:val="22"/>
        </w:rPr>
        <w:t>t</w:t>
      </w:r>
      <w:r w:rsidR="00BC61FB" w:rsidRPr="00437A6C">
        <w:rPr>
          <w:rFonts w:ascii="Arial" w:hAnsi="Arial" w:cs="Arial"/>
          <w:sz w:val="22"/>
          <w:szCs w:val="22"/>
        </w:rPr>
        <w:t xml:space="preserve"> test.</w:t>
      </w:r>
    </w:p>
    <w:p w14:paraId="3B6CA5DA" w14:textId="77777777" w:rsidR="00563C50" w:rsidRPr="00437A6C" w:rsidRDefault="00563C50">
      <w:pPr>
        <w:rPr>
          <w:rFonts w:ascii="Arial" w:hAnsi="Arial" w:cs="Arial"/>
          <w:sz w:val="22"/>
          <w:szCs w:val="22"/>
        </w:rPr>
      </w:pPr>
      <w:r w:rsidRPr="00437A6C">
        <w:rPr>
          <w:rFonts w:ascii="Arial" w:hAnsi="Arial" w:cs="Arial"/>
          <w:sz w:val="22"/>
          <w:szCs w:val="22"/>
        </w:rPr>
        <w:br w:type="page"/>
      </w:r>
    </w:p>
    <w:p w14:paraId="0D180808" w14:textId="47A8064E" w:rsidR="004A5E68" w:rsidRPr="00437A6C" w:rsidRDefault="004A5E68" w:rsidP="00563C50">
      <w:pPr>
        <w:spacing w:line="480" w:lineRule="auto"/>
        <w:jc w:val="center"/>
        <w:rPr>
          <w:rFonts w:ascii="Arial" w:hAnsi="Arial" w:cs="Arial"/>
          <w:b/>
          <w:bCs/>
          <w:sz w:val="22"/>
          <w:szCs w:val="22"/>
        </w:rPr>
      </w:pPr>
      <w:r w:rsidRPr="00437A6C">
        <w:rPr>
          <w:rFonts w:ascii="Arial" w:hAnsi="Arial" w:cs="Arial"/>
          <w:b/>
          <w:bCs/>
          <w:noProof/>
          <w:sz w:val="22"/>
          <w:szCs w:val="22"/>
        </w:rPr>
        <w:lastRenderedPageBreak/>
        <w:drawing>
          <wp:inline distT="0" distB="0" distL="0" distR="0" wp14:anchorId="1406ACB7" wp14:editId="679217EF">
            <wp:extent cx="3784600" cy="3136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3784600" cy="3136900"/>
                    </a:xfrm>
                    <a:prstGeom prst="rect">
                      <a:avLst/>
                    </a:prstGeom>
                  </pic:spPr>
                </pic:pic>
              </a:graphicData>
            </a:graphic>
          </wp:inline>
        </w:drawing>
      </w:r>
    </w:p>
    <w:p w14:paraId="28B4DA24" w14:textId="0E92E186" w:rsidR="002E12B0" w:rsidRPr="00437A6C" w:rsidRDefault="004A5E68" w:rsidP="002E12B0">
      <w:pPr>
        <w:spacing w:line="480" w:lineRule="auto"/>
        <w:rPr>
          <w:rFonts w:ascii="Arial" w:hAnsi="Arial" w:cs="Arial"/>
          <w:b/>
          <w:bCs/>
          <w:sz w:val="22"/>
          <w:szCs w:val="22"/>
        </w:rPr>
      </w:pPr>
      <w:r w:rsidRPr="00437A6C">
        <w:rPr>
          <w:rFonts w:ascii="Arial" w:hAnsi="Arial" w:cs="Arial"/>
          <w:b/>
          <w:bCs/>
          <w:sz w:val="22"/>
          <w:szCs w:val="22"/>
        </w:rPr>
        <w:t xml:space="preserve">Supplementary Figure 3: CAR surface expression is significantly decreased in high affinity CAR T cells upon </w:t>
      </w:r>
      <w:r w:rsidR="001331D3" w:rsidRPr="00437A6C">
        <w:rPr>
          <w:rFonts w:ascii="Arial" w:hAnsi="Arial" w:cs="Arial"/>
          <w:b/>
          <w:bCs/>
          <w:sz w:val="22"/>
          <w:szCs w:val="22"/>
        </w:rPr>
        <w:t>co</w:t>
      </w:r>
      <w:r w:rsidRPr="00437A6C">
        <w:rPr>
          <w:rFonts w:ascii="Arial" w:hAnsi="Arial" w:cs="Arial"/>
          <w:b/>
          <w:bCs/>
          <w:sz w:val="22"/>
          <w:szCs w:val="22"/>
        </w:rPr>
        <w:t xml:space="preserve">culture with lymphoma cells. </w:t>
      </w:r>
      <w:r w:rsidR="00D90815" w:rsidRPr="00437A6C">
        <w:rPr>
          <w:rFonts w:ascii="Arial" w:hAnsi="Arial" w:cs="Arial"/>
          <w:sz w:val="22"/>
          <w:szCs w:val="22"/>
        </w:rPr>
        <w:t xml:space="preserve">CAR surface expression on CAT and FMC63 </w:t>
      </w:r>
      <w:r w:rsidRPr="00437A6C">
        <w:rPr>
          <w:rFonts w:ascii="Arial" w:hAnsi="Arial" w:cs="Arial"/>
          <w:sz w:val="22"/>
          <w:szCs w:val="22"/>
        </w:rPr>
        <w:t xml:space="preserve">CAR T cells </w:t>
      </w:r>
      <w:r w:rsidR="00D90815" w:rsidRPr="00437A6C">
        <w:rPr>
          <w:rFonts w:ascii="Arial" w:hAnsi="Arial" w:cs="Arial"/>
          <w:sz w:val="22"/>
          <w:szCs w:val="22"/>
        </w:rPr>
        <w:t xml:space="preserve">following a 4-hour coculture with primary CLL cells at an </w:t>
      </w:r>
      <w:proofErr w:type="spellStart"/>
      <w:r w:rsidR="00D90815" w:rsidRPr="00437A6C">
        <w:rPr>
          <w:rFonts w:ascii="Arial" w:hAnsi="Arial" w:cs="Arial"/>
          <w:sz w:val="22"/>
          <w:szCs w:val="22"/>
        </w:rPr>
        <w:t>effector:target</w:t>
      </w:r>
      <w:proofErr w:type="spellEnd"/>
      <w:r w:rsidR="00D90815" w:rsidRPr="00437A6C">
        <w:rPr>
          <w:rFonts w:ascii="Arial" w:hAnsi="Arial" w:cs="Arial"/>
          <w:sz w:val="22"/>
          <w:szCs w:val="22"/>
        </w:rPr>
        <w:t xml:space="preserve"> ratio of 1:1. CAR expression was assessed by staining for an N-terminal HA tag and data </w:t>
      </w:r>
      <w:r w:rsidR="00B828B5" w:rsidRPr="00437A6C">
        <w:rPr>
          <w:rFonts w:ascii="Arial" w:hAnsi="Arial" w:cs="Arial"/>
          <w:sz w:val="22"/>
          <w:szCs w:val="22"/>
        </w:rPr>
        <w:t>were</w:t>
      </w:r>
      <w:r w:rsidR="00D90815" w:rsidRPr="00437A6C">
        <w:rPr>
          <w:rFonts w:ascii="Arial" w:hAnsi="Arial" w:cs="Arial"/>
          <w:sz w:val="22"/>
          <w:szCs w:val="22"/>
        </w:rPr>
        <w:t xml:space="preserve"> normalized to </w:t>
      </w:r>
      <w:r w:rsidR="00B828B5" w:rsidRPr="00437A6C">
        <w:rPr>
          <w:rFonts w:ascii="Arial" w:hAnsi="Arial" w:cs="Arial"/>
          <w:sz w:val="22"/>
          <w:szCs w:val="22"/>
        </w:rPr>
        <w:t>CAR expression on untreated CAR T cells.</w:t>
      </w:r>
      <w:r w:rsidRPr="00437A6C">
        <w:rPr>
          <w:rFonts w:ascii="Arial" w:hAnsi="Arial" w:cs="Arial"/>
          <w:sz w:val="22"/>
          <w:szCs w:val="22"/>
        </w:rPr>
        <w:t xml:space="preserve"> Statistical significance was determined by two-sided Student’s </w:t>
      </w:r>
      <w:r w:rsidRPr="00437A6C">
        <w:rPr>
          <w:rFonts w:ascii="Arial" w:hAnsi="Arial" w:cs="Arial"/>
          <w:i/>
          <w:iCs/>
          <w:sz w:val="22"/>
          <w:szCs w:val="22"/>
        </w:rPr>
        <w:t>t</w:t>
      </w:r>
      <w:r w:rsidRPr="00437A6C">
        <w:rPr>
          <w:rFonts w:ascii="Arial" w:hAnsi="Arial" w:cs="Arial"/>
          <w:sz w:val="22"/>
          <w:szCs w:val="22"/>
        </w:rPr>
        <w:t xml:space="preserve"> test.</w:t>
      </w:r>
      <w:r w:rsidR="002E12B0" w:rsidRPr="00437A6C">
        <w:rPr>
          <w:rFonts w:ascii="Arial" w:hAnsi="Arial" w:cs="Arial"/>
          <w:b/>
          <w:bCs/>
          <w:sz w:val="22"/>
          <w:szCs w:val="22"/>
        </w:rPr>
        <w:br w:type="page"/>
      </w:r>
    </w:p>
    <w:p w14:paraId="3D214DDA" w14:textId="77777777" w:rsidR="002E12B0" w:rsidRPr="00437A6C" w:rsidRDefault="002E12B0" w:rsidP="002E12B0">
      <w:pPr>
        <w:spacing w:line="480" w:lineRule="auto"/>
        <w:jc w:val="center"/>
        <w:rPr>
          <w:rFonts w:ascii="Arial" w:hAnsi="Arial" w:cs="Arial"/>
          <w:b/>
          <w:bCs/>
          <w:sz w:val="22"/>
          <w:szCs w:val="22"/>
        </w:rPr>
      </w:pPr>
      <w:r w:rsidRPr="00437A6C">
        <w:rPr>
          <w:rFonts w:ascii="Arial" w:hAnsi="Arial" w:cs="Arial"/>
          <w:b/>
          <w:bCs/>
          <w:noProof/>
          <w:sz w:val="22"/>
          <w:szCs w:val="22"/>
        </w:rPr>
        <w:lastRenderedPageBreak/>
        <w:drawing>
          <wp:inline distT="0" distB="0" distL="0" distR="0" wp14:anchorId="3BFDB70F" wp14:editId="0F64956A">
            <wp:extent cx="2768600" cy="2374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8600" cy="2374900"/>
                    </a:xfrm>
                    <a:prstGeom prst="rect">
                      <a:avLst/>
                    </a:prstGeom>
                  </pic:spPr>
                </pic:pic>
              </a:graphicData>
            </a:graphic>
          </wp:inline>
        </w:drawing>
      </w:r>
    </w:p>
    <w:p w14:paraId="26B062FF" w14:textId="277BC561" w:rsidR="002E12B0" w:rsidRPr="00437A6C" w:rsidRDefault="002E12B0" w:rsidP="00EA4DE2">
      <w:pPr>
        <w:spacing w:line="480" w:lineRule="auto"/>
        <w:rPr>
          <w:rFonts w:ascii="Arial" w:hAnsi="Arial" w:cs="Arial"/>
          <w:sz w:val="22"/>
          <w:szCs w:val="22"/>
        </w:rPr>
      </w:pPr>
      <w:r w:rsidRPr="00437A6C">
        <w:rPr>
          <w:rFonts w:ascii="Arial" w:hAnsi="Arial" w:cs="Arial"/>
          <w:b/>
          <w:bCs/>
          <w:sz w:val="22"/>
          <w:szCs w:val="22"/>
        </w:rPr>
        <w:t xml:space="preserve">Supplementary Figure </w:t>
      </w:r>
      <w:r w:rsidR="004A5E68" w:rsidRPr="00437A6C">
        <w:rPr>
          <w:rFonts w:ascii="Arial" w:hAnsi="Arial" w:cs="Arial"/>
          <w:b/>
          <w:bCs/>
          <w:sz w:val="22"/>
          <w:szCs w:val="22"/>
        </w:rPr>
        <w:t>4</w:t>
      </w:r>
      <w:r w:rsidRPr="00437A6C">
        <w:rPr>
          <w:rFonts w:ascii="Arial" w:hAnsi="Arial" w:cs="Arial"/>
          <w:b/>
          <w:bCs/>
          <w:sz w:val="22"/>
          <w:szCs w:val="22"/>
        </w:rPr>
        <w:t>:</w:t>
      </w:r>
      <w:r w:rsidRPr="00437A6C">
        <w:rPr>
          <w:rFonts w:ascii="Arial" w:hAnsi="Arial" w:cs="Arial"/>
          <w:sz w:val="22"/>
          <w:szCs w:val="22"/>
        </w:rPr>
        <w:t xml:space="preserve"> </w:t>
      </w:r>
      <w:r w:rsidRPr="00437A6C">
        <w:rPr>
          <w:rFonts w:ascii="Arial" w:hAnsi="Arial" w:cs="Arial"/>
          <w:b/>
          <w:bCs/>
          <w:sz w:val="22"/>
          <w:szCs w:val="22"/>
        </w:rPr>
        <w:t>Incomplete control of NALM6 tumor in mice treated with a low dose of high affinity CD19 CAR T cells.</w:t>
      </w:r>
      <w:r w:rsidRPr="00437A6C">
        <w:rPr>
          <w:rFonts w:ascii="Arial" w:hAnsi="Arial" w:cs="Arial"/>
          <w:sz w:val="22"/>
          <w:szCs w:val="22"/>
        </w:rPr>
        <w:t xml:space="preserve"> IVIS signal in NALM6-luc bearing mice treated with ∆</w:t>
      </w:r>
      <w:proofErr w:type="spellStart"/>
      <w:r w:rsidRPr="00437A6C">
        <w:rPr>
          <w:rFonts w:ascii="Arial" w:hAnsi="Arial" w:cs="Arial"/>
          <w:sz w:val="22"/>
          <w:szCs w:val="22"/>
        </w:rPr>
        <w:t>scFv</w:t>
      </w:r>
      <w:proofErr w:type="spellEnd"/>
      <w:r w:rsidRPr="00437A6C">
        <w:rPr>
          <w:rFonts w:ascii="Arial" w:hAnsi="Arial" w:cs="Arial"/>
          <w:sz w:val="22"/>
          <w:szCs w:val="22"/>
        </w:rPr>
        <w:t xml:space="preserve"> (top) or CD19 (bottom) CAR T cells following D-luciferin injection.</w:t>
      </w:r>
    </w:p>
    <w:p w14:paraId="63989247" w14:textId="4EB762DF" w:rsidR="0097473D" w:rsidRDefault="002E12B0">
      <w:pPr>
        <w:rPr>
          <w:rFonts w:ascii="Arial" w:hAnsi="Arial" w:cs="Arial"/>
          <w:sz w:val="22"/>
          <w:szCs w:val="22"/>
        </w:rPr>
      </w:pPr>
      <w:r w:rsidRPr="00437A6C">
        <w:rPr>
          <w:rFonts w:ascii="Arial" w:hAnsi="Arial" w:cs="Arial"/>
          <w:sz w:val="22"/>
          <w:szCs w:val="22"/>
        </w:rPr>
        <w:br w:type="page"/>
      </w:r>
    </w:p>
    <w:p w14:paraId="12C4DCBB" w14:textId="5AD18E53" w:rsidR="0097473D" w:rsidRPr="00F54CE2" w:rsidRDefault="0097473D" w:rsidP="0097473D">
      <w:pPr>
        <w:spacing w:line="480" w:lineRule="auto"/>
        <w:jc w:val="center"/>
        <w:rPr>
          <w:rFonts w:ascii="Arial" w:hAnsi="Arial" w:cs="Arial"/>
          <w:b/>
          <w:bCs/>
          <w:sz w:val="22"/>
          <w:szCs w:val="22"/>
        </w:rPr>
      </w:pPr>
      <w:r w:rsidRPr="00F54CE2">
        <w:rPr>
          <w:rFonts w:ascii="Arial" w:hAnsi="Arial" w:cs="Arial"/>
          <w:b/>
          <w:bCs/>
          <w:noProof/>
          <w:sz w:val="22"/>
          <w:szCs w:val="22"/>
        </w:rPr>
        <w:lastRenderedPageBreak/>
        <w:drawing>
          <wp:inline distT="0" distB="0" distL="0" distR="0" wp14:anchorId="344DFEA3" wp14:editId="660CA459">
            <wp:extent cx="2911642" cy="26461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18647" cy="2652482"/>
                    </a:xfrm>
                    <a:prstGeom prst="rect">
                      <a:avLst/>
                    </a:prstGeom>
                  </pic:spPr>
                </pic:pic>
              </a:graphicData>
            </a:graphic>
          </wp:inline>
        </w:drawing>
      </w:r>
    </w:p>
    <w:p w14:paraId="672AF4A5" w14:textId="2E16A1B8" w:rsidR="0097473D" w:rsidRPr="00437A6C" w:rsidRDefault="0097473D" w:rsidP="0097473D">
      <w:pPr>
        <w:spacing w:line="480" w:lineRule="auto"/>
        <w:rPr>
          <w:rFonts w:ascii="Arial" w:hAnsi="Arial" w:cs="Arial"/>
          <w:sz w:val="22"/>
          <w:szCs w:val="22"/>
        </w:rPr>
      </w:pPr>
      <w:r w:rsidRPr="00F54CE2">
        <w:rPr>
          <w:rFonts w:ascii="Arial" w:hAnsi="Arial" w:cs="Arial"/>
          <w:b/>
          <w:bCs/>
          <w:sz w:val="22"/>
          <w:szCs w:val="22"/>
        </w:rPr>
        <w:t xml:space="preserve">Supplementary Figure 5: </w:t>
      </w:r>
      <w:r w:rsidR="004649AE" w:rsidRPr="00F54CE2">
        <w:rPr>
          <w:rFonts w:ascii="Arial" w:hAnsi="Arial" w:cs="Arial"/>
          <w:b/>
          <w:bCs/>
          <w:sz w:val="22"/>
          <w:szCs w:val="22"/>
        </w:rPr>
        <w:t>CD19 surface expression is reduced on NALM6 cells from mice treated with</w:t>
      </w:r>
      <w:r w:rsidR="007753A5" w:rsidRPr="00F54CE2">
        <w:rPr>
          <w:rFonts w:ascii="Arial" w:hAnsi="Arial" w:cs="Arial"/>
          <w:b/>
          <w:bCs/>
          <w:sz w:val="22"/>
          <w:szCs w:val="22"/>
        </w:rPr>
        <w:t xml:space="preserve"> high-affinity</w:t>
      </w:r>
      <w:r w:rsidR="004649AE" w:rsidRPr="00F54CE2">
        <w:rPr>
          <w:rFonts w:ascii="Arial" w:hAnsi="Arial" w:cs="Arial"/>
          <w:b/>
          <w:bCs/>
          <w:sz w:val="22"/>
          <w:szCs w:val="22"/>
        </w:rPr>
        <w:t xml:space="preserve"> CD19 CAR T cells</w:t>
      </w:r>
      <w:r w:rsidRPr="00F54CE2">
        <w:rPr>
          <w:rFonts w:ascii="Arial" w:hAnsi="Arial" w:cs="Arial"/>
          <w:b/>
          <w:bCs/>
          <w:sz w:val="22"/>
          <w:szCs w:val="22"/>
        </w:rPr>
        <w:t>.</w:t>
      </w:r>
      <w:r w:rsidR="004649AE" w:rsidRPr="00F54CE2">
        <w:rPr>
          <w:rFonts w:ascii="Arial" w:hAnsi="Arial" w:cs="Arial"/>
          <w:sz w:val="22"/>
          <w:szCs w:val="22"/>
        </w:rPr>
        <w:t xml:space="preserve"> CD19 mean fluorescence intensity (MFI) on </w:t>
      </w:r>
      <w:r w:rsidR="00194471" w:rsidRPr="00F54CE2">
        <w:rPr>
          <w:rFonts w:ascii="Arial" w:hAnsi="Arial" w:cs="Arial"/>
          <w:sz w:val="22"/>
          <w:szCs w:val="22"/>
        </w:rPr>
        <w:t>total (left) or CD19</w:t>
      </w:r>
      <w:r w:rsidR="00194471" w:rsidRPr="00F54CE2">
        <w:rPr>
          <w:rFonts w:ascii="Arial" w:hAnsi="Arial" w:cs="Arial"/>
          <w:sz w:val="22"/>
          <w:szCs w:val="22"/>
          <w:vertAlign w:val="superscript"/>
        </w:rPr>
        <w:t>pos</w:t>
      </w:r>
      <w:r w:rsidR="00194471" w:rsidRPr="00F54CE2">
        <w:rPr>
          <w:rFonts w:ascii="Arial" w:hAnsi="Arial" w:cs="Arial"/>
          <w:sz w:val="22"/>
          <w:szCs w:val="22"/>
        </w:rPr>
        <w:t xml:space="preserve"> (right) </w:t>
      </w:r>
      <w:r w:rsidR="004649AE" w:rsidRPr="00F54CE2">
        <w:rPr>
          <w:rFonts w:ascii="Arial" w:hAnsi="Arial" w:cs="Arial"/>
          <w:sz w:val="22"/>
          <w:szCs w:val="22"/>
        </w:rPr>
        <w:t xml:space="preserve">NALM6 tumor cells in the spleens of NRG mice treated with high and low affinity CD19 CAR T cells. Data </w:t>
      </w:r>
      <w:proofErr w:type="gramStart"/>
      <w:r w:rsidR="004649AE" w:rsidRPr="00F54CE2">
        <w:rPr>
          <w:rFonts w:ascii="Arial" w:hAnsi="Arial" w:cs="Arial"/>
          <w:sz w:val="22"/>
          <w:szCs w:val="22"/>
        </w:rPr>
        <w:t>represent</w:t>
      </w:r>
      <w:proofErr w:type="gramEnd"/>
      <w:r w:rsidR="004649AE" w:rsidRPr="00F54CE2">
        <w:rPr>
          <w:rFonts w:ascii="Arial" w:hAnsi="Arial" w:cs="Arial"/>
          <w:sz w:val="22"/>
          <w:szCs w:val="22"/>
        </w:rPr>
        <w:t xml:space="preserve"> mean ± SD from ∆</w:t>
      </w:r>
      <w:proofErr w:type="spellStart"/>
      <w:r w:rsidR="004649AE" w:rsidRPr="00F54CE2">
        <w:rPr>
          <w:rFonts w:ascii="Arial" w:hAnsi="Arial" w:cs="Arial"/>
          <w:sz w:val="22"/>
          <w:szCs w:val="22"/>
        </w:rPr>
        <w:t>scFv</w:t>
      </w:r>
      <w:proofErr w:type="spellEnd"/>
      <w:r w:rsidR="004649AE" w:rsidRPr="00F54CE2">
        <w:rPr>
          <w:rFonts w:ascii="Arial" w:hAnsi="Arial" w:cs="Arial"/>
          <w:sz w:val="22"/>
          <w:szCs w:val="22"/>
        </w:rPr>
        <w:t xml:space="preserve"> (N=4) treated and FMC63 or CAT (N=5) treated mice. Statistical significance was determined by two-sided Student’s </w:t>
      </w:r>
      <w:r w:rsidR="004649AE" w:rsidRPr="00F54CE2">
        <w:rPr>
          <w:rFonts w:ascii="Arial" w:hAnsi="Arial" w:cs="Arial"/>
          <w:i/>
          <w:iCs/>
          <w:sz w:val="22"/>
          <w:szCs w:val="22"/>
        </w:rPr>
        <w:t>t</w:t>
      </w:r>
      <w:r w:rsidR="004649AE" w:rsidRPr="00F54CE2">
        <w:rPr>
          <w:rFonts w:ascii="Arial" w:hAnsi="Arial" w:cs="Arial"/>
          <w:sz w:val="22"/>
          <w:szCs w:val="22"/>
        </w:rPr>
        <w:t xml:space="preserve"> test.</w:t>
      </w:r>
    </w:p>
    <w:p w14:paraId="43F9F4A3" w14:textId="6C58DCE6" w:rsidR="002E12B0" w:rsidRPr="00437A6C" w:rsidRDefault="0097473D">
      <w:pPr>
        <w:rPr>
          <w:rFonts w:ascii="Arial" w:hAnsi="Arial" w:cs="Arial"/>
          <w:sz w:val="22"/>
          <w:szCs w:val="22"/>
        </w:rPr>
      </w:pPr>
      <w:r>
        <w:rPr>
          <w:rFonts w:ascii="Arial" w:hAnsi="Arial" w:cs="Arial"/>
          <w:sz w:val="22"/>
          <w:szCs w:val="22"/>
        </w:rPr>
        <w:br w:type="page"/>
      </w:r>
    </w:p>
    <w:p w14:paraId="0A40F58B" w14:textId="77777777" w:rsidR="00D850A9" w:rsidRDefault="00D850A9" w:rsidP="001037C9">
      <w:pPr>
        <w:spacing w:line="480" w:lineRule="auto"/>
        <w:jc w:val="center"/>
        <w:rPr>
          <w:rFonts w:ascii="Arial" w:hAnsi="Arial" w:cs="Arial"/>
          <w:sz w:val="22"/>
          <w:szCs w:val="22"/>
        </w:rPr>
      </w:pPr>
      <w:r w:rsidRPr="00D850A9">
        <w:rPr>
          <w:rFonts w:ascii="Arial" w:hAnsi="Arial" w:cs="Arial"/>
          <w:sz w:val="22"/>
          <w:szCs w:val="22"/>
        </w:rPr>
        <w:lastRenderedPageBreak/>
        <w:drawing>
          <wp:inline distT="0" distB="0" distL="0" distR="0" wp14:anchorId="6E9CED62" wp14:editId="4DB000CC">
            <wp:extent cx="4056185" cy="16242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80712" cy="1634028"/>
                    </a:xfrm>
                    <a:prstGeom prst="rect">
                      <a:avLst/>
                    </a:prstGeom>
                  </pic:spPr>
                </pic:pic>
              </a:graphicData>
            </a:graphic>
          </wp:inline>
        </w:drawing>
      </w:r>
    </w:p>
    <w:p w14:paraId="60D667CC" w14:textId="0219A4A5" w:rsidR="00D850A9" w:rsidRDefault="00D850A9" w:rsidP="00D850A9">
      <w:pPr>
        <w:spacing w:line="480" w:lineRule="auto"/>
        <w:rPr>
          <w:rFonts w:ascii="Arial" w:hAnsi="Arial" w:cs="Arial"/>
          <w:sz w:val="22"/>
          <w:szCs w:val="22"/>
        </w:rPr>
      </w:pPr>
      <w:r w:rsidRPr="00D850A9">
        <w:rPr>
          <w:rFonts w:ascii="Arial" w:hAnsi="Arial" w:cs="Arial"/>
          <w:b/>
          <w:bCs/>
          <w:sz w:val="22"/>
          <w:szCs w:val="22"/>
        </w:rPr>
        <w:t>Supplementary Figure 6: Dye dilution of CD19 CAR T cells during co-culture with CD19</w:t>
      </w:r>
      <w:r w:rsidRPr="00D850A9">
        <w:rPr>
          <w:rFonts w:ascii="Arial" w:hAnsi="Arial" w:cs="Arial"/>
          <w:b/>
          <w:bCs/>
          <w:sz w:val="22"/>
          <w:szCs w:val="22"/>
          <w:vertAlign w:val="superscript"/>
        </w:rPr>
        <w:t>pos</w:t>
      </w:r>
      <w:r w:rsidRPr="00D850A9">
        <w:rPr>
          <w:rFonts w:ascii="Arial" w:hAnsi="Arial" w:cs="Arial"/>
          <w:b/>
          <w:bCs/>
          <w:sz w:val="22"/>
          <w:szCs w:val="22"/>
        </w:rPr>
        <w:t xml:space="preserve"> B cell lymphoma cells.</w:t>
      </w:r>
      <w:r>
        <w:rPr>
          <w:rFonts w:ascii="Arial" w:hAnsi="Arial" w:cs="Arial"/>
          <w:sz w:val="22"/>
          <w:szCs w:val="22"/>
        </w:rPr>
        <w:t xml:space="preserve"> Primary human low and high affinity CD19 CAR T cells and T cells expressing a CAR without a binding domain were labelled with </w:t>
      </w:r>
      <w:proofErr w:type="spellStart"/>
      <w:r>
        <w:rPr>
          <w:rFonts w:ascii="Arial" w:hAnsi="Arial" w:cs="Arial"/>
          <w:sz w:val="22"/>
          <w:szCs w:val="22"/>
        </w:rPr>
        <w:t>CellTrace</w:t>
      </w:r>
      <w:proofErr w:type="spellEnd"/>
      <w:r>
        <w:rPr>
          <w:rFonts w:ascii="Arial" w:hAnsi="Arial" w:cs="Arial"/>
          <w:sz w:val="22"/>
          <w:szCs w:val="22"/>
        </w:rPr>
        <w:t xml:space="preserve"> Far Red dye (CTD, Thermo) and then cocultured with CD19</w:t>
      </w:r>
      <w:r w:rsidRPr="00D850A9">
        <w:rPr>
          <w:rFonts w:ascii="Arial" w:hAnsi="Arial" w:cs="Arial"/>
          <w:sz w:val="22"/>
          <w:szCs w:val="22"/>
          <w:vertAlign w:val="superscript"/>
        </w:rPr>
        <w:t>pos</w:t>
      </w:r>
      <w:r>
        <w:rPr>
          <w:rFonts w:ascii="Arial" w:hAnsi="Arial" w:cs="Arial"/>
          <w:sz w:val="22"/>
          <w:szCs w:val="22"/>
        </w:rPr>
        <w:t xml:space="preserve"> Raji cells for 24h. Cocultures were stained for CD3 and </w:t>
      </w:r>
      <w:proofErr w:type="spellStart"/>
      <w:r>
        <w:rPr>
          <w:rFonts w:ascii="Arial" w:hAnsi="Arial" w:cs="Arial"/>
          <w:sz w:val="22"/>
          <w:szCs w:val="22"/>
        </w:rPr>
        <w:t>CTD</w:t>
      </w:r>
      <w:r w:rsidRPr="00D850A9">
        <w:rPr>
          <w:rFonts w:ascii="Arial" w:hAnsi="Arial" w:cs="Arial"/>
          <w:sz w:val="22"/>
          <w:szCs w:val="22"/>
          <w:vertAlign w:val="superscript"/>
        </w:rPr>
        <w:t>low</w:t>
      </w:r>
      <w:proofErr w:type="spellEnd"/>
      <w:r>
        <w:rPr>
          <w:rFonts w:ascii="Arial" w:hAnsi="Arial" w:cs="Arial"/>
          <w:sz w:val="22"/>
          <w:szCs w:val="22"/>
        </w:rPr>
        <w:t xml:space="preserve"> percentages determined by flow cytometry. Data are representative plots of individual technical replicates shown in </w:t>
      </w:r>
      <w:r w:rsidRPr="00D850A9">
        <w:rPr>
          <w:rFonts w:ascii="Arial" w:hAnsi="Arial" w:cs="Arial"/>
          <w:color w:val="0709DF"/>
          <w:sz w:val="22"/>
          <w:szCs w:val="22"/>
        </w:rPr>
        <w:t>Fig. 2J</w:t>
      </w:r>
      <w:r>
        <w:rPr>
          <w:rFonts w:ascii="Arial" w:hAnsi="Arial" w:cs="Arial"/>
          <w:sz w:val="22"/>
          <w:szCs w:val="22"/>
        </w:rPr>
        <w:t>.</w:t>
      </w:r>
    </w:p>
    <w:p w14:paraId="1ADE500D" w14:textId="77777777" w:rsidR="00D850A9" w:rsidRDefault="00D850A9" w:rsidP="00D850A9">
      <w:pPr>
        <w:rPr>
          <w:rFonts w:ascii="Arial" w:hAnsi="Arial" w:cs="Arial"/>
          <w:sz w:val="22"/>
          <w:szCs w:val="22"/>
        </w:rPr>
      </w:pPr>
      <w:r>
        <w:rPr>
          <w:rFonts w:ascii="Arial" w:hAnsi="Arial" w:cs="Arial"/>
          <w:sz w:val="22"/>
          <w:szCs w:val="22"/>
        </w:rPr>
        <w:br w:type="page"/>
      </w:r>
    </w:p>
    <w:p w14:paraId="18E23ED9" w14:textId="1C58EF3A" w:rsidR="00DC0C76" w:rsidRPr="00437A6C" w:rsidRDefault="00DC0C76" w:rsidP="001037C9">
      <w:pPr>
        <w:spacing w:line="480" w:lineRule="auto"/>
        <w:jc w:val="center"/>
        <w:rPr>
          <w:rFonts w:ascii="Arial" w:hAnsi="Arial" w:cs="Arial"/>
          <w:sz w:val="22"/>
          <w:szCs w:val="22"/>
        </w:rPr>
      </w:pPr>
      <w:r w:rsidRPr="00437A6C">
        <w:rPr>
          <w:rFonts w:ascii="Arial" w:hAnsi="Arial" w:cs="Arial"/>
          <w:noProof/>
          <w:sz w:val="22"/>
          <w:szCs w:val="22"/>
        </w:rPr>
        <w:lastRenderedPageBreak/>
        <w:drawing>
          <wp:inline distT="0" distB="0" distL="0" distR="0" wp14:anchorId="1E5BF99D" wp14:editId="6C10261D">
            <wp:extent cx="5069941" cy="2022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5692" cy="2024854"/>
                    </a:xfrm>
                    <a:prstGeom prst="rect">
                      <a:avLst/>
                    </a:prstGeom>
                  </pic:spPr>
                </pic:pic>
              </a:graphicData>
            </a:graphic>
          </wp:inline>
        </w:drawing>
      </w:r>
    </w:p>
    <w:p w14:paraId="0635B7BE" w14:textId="06B5C80C" w:rsidR="00DC0C76" w:rsidRPr="00437A6C" w:rsidRDefault="00DC0C76" w:rsidP="001037C9">
      <w:pPr>
        <w:spacing w:line="480" w:lineRule="auto"/>
        <w:rPr>
          <w:rFonts w:ascii="Arial" w:hAnsi="Arial" w:cs="Arial"/>
          <w:sz w:val="22"/>
          <w:szCs w:val="22"/>
        </w:rPr>
      </w:pPr>
      <w:r w:rsidRPr="00437A6C">
        <w:rPr>
          <w:rFonts w:ascii="Arial" w:hAnsi="Arial" w:cs="Arial"/>
          <w:b/>
          <w:bCs/>
          <w:sz w:val="22"/>
          <w:szCs w:val="22"/>
        </w:rPr>
        <w:t xml:space="preserve">Supplementary Figure </w:t>
      </w:r>
      <w:r w:rsidR="00D850A9">
        <w:rPr>
          <w:rFonts w:ascii="Arial" w:hAnsi="Arial" w:cs="Arial"/>
          <w:b/>
          <w:bCs/>
          <w:sz w:val="22"/>
          <w:szCs w:val="22"/>
        </w:rPr>
        <w:t>7</w:t>
      </w:r>
      <w:r w:rsidRPr="00437A6C">
        <w:rPr>
          <w:rFonts w:ascii="Arial" w:hAnsi="Arial" w:cs="Arial"/>
          <w:b/>
          <w:bCs/>
          <w:sz w:val="22"/>
          <w:szCs w:val="22"/>
        </w:rPr>
        <w:t>: Surface expression</w:t>
      </w:r>
      <w:r w:rsidR="001037C9" w:rsidRPr="00437A6C">
        <w:rPr>
          <w:rFonts w:ascii="Arial" w:hAnsi="Arial" w:cs="Arial"/>
          <w:b/>
          <w:bCs/>
          <w:sz w:val="22"/>
          <w:szCs w:val="22"/>
        </w:rPr>
        <w:t xml:space="preserve"> and transduction efficiency</w:t>
      </w:r>
      <w:r w:rsidRPr="00437A6C">
        <w:rPr>
          <w:rFonts w:ascii="Arial" w:hAnsi="Arial" w:cs="Arial"/>
          <w:b/>
          <w:bCs/>
          <w:sz w:val="22"/>
          <w:szCs w:val="22"/>
        </w:rPr>
        <w:t xml:space="preserve"> of CD19 CAR constructs.</w:t>
      </w:r>
      <w:r w:rsidRPr="00437A6C">
        <w:rPr>
          <w:rFonts w:ascii="Arial" w:hAnsi="Arial" w:cs="Arial"/>
          <w:sz w:val="22"/>
          <w:szCs w:val="22"/>
        </w:rPr>
        <w:t xml:space="preserve"> Primary human lymphocytes were transduced using ∆</w:t>
      </w:r>
      <w:proofErr w:type="spellStart"/>
      <w:r w:rsidRPr="00437A6C">
        <w:rPr>
          <w:rFonts w:ascii="Arial" w:hAnsi="Arial" w:cs="Arial"/>
          <w:sz w:val="22"/>
          <w:szCs w:val="22"/>
        </w:rPr>
        <w:t>scFv</w:t>
      </w:r>
      <w:proofErr w:type="spellEnd"/>
      <w:r w:rsidRPr="00437A6C">
        <w:rPr>
          <w:rFonts w:ascii="Arial" w:hAnsi="Arial" w:cs="Arial"/>
          <w:sz w:val="22"/>
          <w:szCs w:val="22"/>
        </w:rPr>
        <w:t xml:space="preserve">, CAT, and FMC63-based CAR constructs and analyzed for </w:t>
      </w:r>
      <w:r w:rsidR="001037C9" w:rsidRPr="00437A6C">
        <w:rPr>
          <w:rFonts w:ascii="Arial" w:hAnsi="Arial" w:cs="Arial"/>
          <w:sz w:val="22"/>
          <w:szCs w:val="22"/>
        </w:rPr>
        <w:t xml:space="preserve">surface expression by anti-HA staining using flow cytometry after manufacturing. Average mean fluorescence intensity (MFI) </w:t>
      </w:r>
      <w:proofErr w:type="gramStart"/>
      <w:r w:rsidR="001037C9" w:rsidRPr="00437A6C">
        <w:rPr>
          <w:rFonts w:ascii="Arial" w:hAnsi="Arial" w:cs="Arial"/>
          <w:sz w:val="22"/>
          <w:szCs w:val="22"/>
        </w:rPr>
        <w:t>values  ±</w:t>
      </w:r>
      <w:proofErr w:type="gramEnd"/>
      <w:r w:rsidR="001331D3" w:rsidRPr="00437A6C">
        <w:rPr>
          <w:rFonts w:ascii="Arial" w:hAnsi="Arial" w:cs="Arial"/>
          <w:sz w:val="22"/>
          <w:szCs w:val="22"/>
        </w:rPr>
        <w:t xml:space="preserve"> </w:t>
      </w:r>
      <w:r w:rsidR="001037C9" w:rsidRPr="00437A6C">
        <w:rPr>
          <w:rFonts w:ascii="Arial" w:hAnsi="Arial" w:cs="Arial"/>
          <w:sz w:val="22"/>
          <w:szCs w:val="22"/>
        </w:rPr>
        <w:t>SD were calculated from three replicates.</w:t>
      </w:r>
    </w:p>
    <w:p w14:paraId="0E286684" w14:textId="3A91CB6C" w:rsidR="00DC0C76" w:rsidRPr="00437A6C" w:rsidRDefault="00DC0C76" w:rsidP="001037C9">
      <w:pPr>
        <w:spacing w:line="480" w:lineRule="auto"/>
        <w:rPr>
          <w:rFonts w:ascii="Arial" w:hAnsi="Arial" w:cs="Arial"/>
          <w:sz w:val="22"/>
          <w:szCs w:val="22"/>
        </w:rPr>
      </w:pPr>
      <w:r w:rsidRPr="00437A6C">
        <w:rPr>
          <w:rFonts w:ascii="Arial" w:hAnsi="Arial" w:cs="Arial"/>
          <w:sz w:val="22"/>
          <w:szCs w:val="22"/>
        </w:rPr>
        <w:br w:type="page"/>
      </w:r>
    </w:p>
    <w:p w14:paraId="10BD66B6" w14:textId="6DC3DDFF" w:rsidR="001E4AE8" w:rsidRPr="00437A6C" w:rsidRDefault="001E4AE8" w:rsidP="00DC0C76">
      <w:pPr>
        <w:spacing w:line="480" w:lineRule="auto"/>
        <w:jc w:val="center"/>
        <w:rPr>
          <w:rFonts w:ascii="Arial" w:hAnsi="Arial" w:cs="Arial"/>
          <w:sz w:val="22"/>
          <w:szCs w:val="22"/>
        </w:rPr>
      </w:pPr>
      <w:r w:rsidRPr="00437A6C">
        <w:rPr>
          <w:rFonts w:ascii="Arial" w:hAnsi="Arial" w:cs="Arial"/>
          <w:noProof/>
          <w:sz w:val="22"/>
          <w:szCs w:val="22"/>
        </w:rPr>
        <w:lastRenderedPageBreak/>
        <w:drawing>
          <wp:inline distT="0" distB="0" distL="0" distR="0" wp14:anchorId="7E722C1F" wp14:editId="79E427B2">
            <wp:extent cx="4607660" cy="3594226"/>
            <wp:effectExtent l="0" t="0" r="254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1">
                      <a:extLst>
                        <a:ext uri="{28A0092B-C50C-407E-A947-70E740481C1C}">
                          <a14:useLocalDpi xmlns:a14="http://schemas.microsoft.com/office/drawing/2010/main" val="0"/>
                        </a:ext>
                      </a:extLst>
                    </a:blip>
                    <a:srcRect l="5885" t="5518" r="10894" b="30033"/>
                    <a:stretch/>
                  </pic:blipFill>
                  <pic:spPr bwMode="auto">
                    <a:xfrm>
                      <a:off x="0" y="0"/>
                      <a:ext cx="4615995" cy="3600728"/>
                    </a:xfrm>
                    <a:prstGeom prst="rect">
                      <a:avLst/>
                    </a:prstGeom>
                    <a:ln>
                      <a:noFill/>
                    </a:ln>
                    <a:extLst>
                      <a:ext uri="{53640926-AAD7-44D8-BBD7-CCE9431645EC}">
                        <a14:shadowObscured xmlns:a14="http://schemas.microsoft.com/office/drawing/2010/main"/>
                      </a:ext>
                    </a:extLst>
                  </pic:spPr>
                </pic:pic>
              </a:graphicData>
            </a:graphic>
          </wp:inline>
        </w:drawing>
      </w:r>
    </w:p>
    <w:p w14:paraId="67F694DB" w14:textId="470C15A8" w:rsidR="00DA54F7" w:rsidRPr="00437A6C" w:rsidRDefault="001E4AE8" w:rsidP="00DA54F7">
      <w:pPr>
        <w:spacing w:line="480" w:lineRule="auto"/>
        <w:rPr>
          <w:rFonts w:ascii="Arial" w:hAnsi="Arial" w:cs="Arial"/>
          <w:sz w:val="22"/>
          <w:szCs w:val="22"/>
        </w:rPr>
      </w:pPr>
      <w:r w:rsidRPr="00437A6C">
        <w:rPr>
          <w:rFonts w:ascii="Arial" w:hAnsi="Arial" w:cs="Arial"/>
          <w:b/>
          <w:bCs/>
          <w:sz w:val="22"/>
          <w:szCs w:val="22"/>
        </w:rPr>
        <w:t xml:space="preserve">Supplementary Figure </w:t>
      </w:r>
      <w:r w:rsidR="00D850A9">
        <w:rPr>
          <w:rFonts w:ascii="Arial" w:hAnsi="Arial" w:cs="Arial"/>
          <w:b/>
          <w:bCs/>
          <w:sz w:val="22"/>
          <w:szCs w:val="22"/>
        </w:rPr>
        <w:t>8</w:t>
      </w:r>
      <w:r w:rsidRPr="00437A6C">
        <w:rPr>
          <w:rFonts w:ascii="Arial" w:hAnsi="Arial" w:cs="Arial"/>
          <w:b/>
          <w:bCs/>
          <w:sz w:val="22"/>
          <w:szCs w:val="22"/>
        </w:rPr>
        <w:t xml:space="preserve">: Flow cytometry gating schemes. (A) </w:t>
      </w:r>
      <w:r w:rsidRPr="00437A6C">
        <w:rPr>
          <w:rFonts w:ascii="Arial" w:hAnsi="Arial" w:cs="Arial"/>
          <w:sz w:val="22"/>
          <w:szCs w:val="22"/>
        </w:rPr>
        <w:t xml:space="preserve">Gating scheme for </w:t>
      </w:r>
      <w:r w:rsidRPr="00437A6C">
        <w:rPr>
          <w:rFonts w:ascii="Arial" w:hAnsi="Arial" w:cs="Arial"/>
          <w:i/>
          <w:iCs/>
          <w:sz w:val="22"/>
          <w:szCs w:val="22"/>
        </w:rPr>
        <w:t xml:space="preserve">in vitro </w:t>
      </w:r>
      <w:r w:rsidRPr="00437A6C">
        <w:rPr>
          <w:rFonts w:ascii="Arial" w:hAnsi="Arial" w:cs="Arial"/>
          <w:sz w:val="22"/>
          <w:szCs w:val="22"/>
        </w:rPr>
        <w:t xml:space="preserve">cytotoxicity and trogocytosis assays. </w:t>
      </w:r>
      <w:r w:rsidRPr="00437A6C">
        <w:rPr>
          <w:rFonts w:ascii="Arial" w:hAnsi="Arial" w:cs="Arial"/>
          <w:b/>
          <w:bCs/>
          <w:sz w:val="22"/>
          <w:szCs w:val="22"/>
        </w:rPr>
        <w:t xml:space="preserve">(B) </w:t>
      </w:r>
      <w:r w:rsidRPr="00437A6C">
        <w:rPr>
          <w:rFonts w:ascii="Arial" w:hAnsi="Arial" w:cs="Arial"/>
          <w:sz w:val="22"/>
          <w:szCs w:val="22"/>
        </w:rPr>
        <w:t xml:space="preserve">Gating scheme for </w:t>
      </w:r>
      <w:r w:rsidRPr="00437A6C">
        <w:rPr>
          <w:rFonts w:ascii="Arial" w:hAnsi="Arial" w:cs="Arial"/>
          <w:i/>
          <w:iCs/>
          <w:sz w:val="22"/>
          <w:szCs w:val="22"/>
        </w:rPr>
        <w:t xml:space="preserve">in vivo </w:t>
      </w:r>
      <w:r w:rsidRPr="00437A6C">
        <w:rPr>
          <w:rFonts w:ascii="Arial" w:hAnsi="Arial" w:cs="Arial"/>
          <w:sz w:val="22"/>
          <w:szCs w:val="22"/>
        </w:rPr>
        <w:t xml:space="preserve">trogocytosis assay, cells are pre-gated on singlets, cell morphology and DAPI- as shown in A. </w:t>
      </w:r>
    </w:p>
    <w:p w14:paraId="436804BF" w14:textId="77777777" w:rsidR="00DA54F7" w:rsidRPr="00437A6C" w:rsidRDefault="00DA54F7" w:rsidP="00DA54F7">
      <w:pPr>
        <w:spacing w:line="480" w:lineRule="auto"/>
        <w:rPr>
          <w:rFonts w:ascii="Arial" w:hAnsi="Arial" w:cs="Arial"/>
          <w:sz w:val="22"/>
          <w:szCs w:val="22"/>
        </w:rPr>
      </w:pPr>
      <w:r w:rsidRPr="00437A6C">
        <w:rPr>
          <w:rFonts w:ascii="Arial" w:hAnsi="Arial" w:cs="Arial"/>
          <w:sz w:val="22"/>
          <w:szCs w:val="22"/>
        </w:rPr>
        <w:br w:type="page"/>
      </w:r>
    </w:p>
    <w:p w14:paraId="3808F2E6" w14:textId="62C9AE5C" w:rsidR="002E12B0" w:rsidRPr="00437A6C" w:rsidRDefault="002E12B0" w:rsidP="00BF250F">
      <w:pPr>
        <w:spacing w:after="240" w:line="480" w:lineRule="auto"/>
        <w:rPr>
          <w:rFonts w:ascii="Arial" w:hAnsi="Arial" w:cs="Arial"/>
          <w:b/>
          <w:bCs/>
          <w:sz w:val="22"/>
          <w:szCs w:val="22"/>
        </w:rPr>
      </w:pPr>
      <w:r w:rsidRPr="00437A6C">
        <w:rPr>
          <w:rFonts w:ascii="Arial" w:hAnsi="Arial" w:cs="Arial"/>
          <w:b/>
          <w:bCs/>
          <w:sz w:val="22"/>
          <w:szCs w:val="22"/>
        </w:rPr>
        <w:lastRenderedPageBreak/>
        <w:t>SUPPLEMENTARY TABLES</w:t>
      </w:r>
    </w:p>
    <w:p w14:paraId="7F0D4C2F" w14:textId="7C13235C" w:rsidR="00BF250F" w:rsidRPr="00437A6C" w:rsidRDefault="00AD06EF" w:rsidP="00BF250F">
      <w:pPr>
        <w:spacing w:after="240" w:line="480" w:lineRule="auto"/>
        <w:rPr>
          <w:rFonts w:ascii="Arial" w:hAnsi="Arial" w:cs="Arial"/>
          <w:b/>
          <w:bCs/>
          <w:sz w:val="22"/>
          <w:szCs w:val="22"/>
        </w:rPr>
      </w:pPr>
      <w:r w:rsidRPr="00437A6C">
        <w:rPr>
          <w:rFonts w:ascii="Arial" w:hAnsi="Arial" w:cs="Arial"/>
          <w:b/>
          <w:bCs/>
          <w:noProof/>
          <w:sz w:val="22"/>
          <w:szCs w:val="22"/>
        </w:rPr>
        <w:drawing>
          <wp:anchor distT="0" distB="0" distL="114300" distR="114300" simplePos="0" relativeHeight="251658240" behindDoc="0" locked="0" layoutInCell="1" allowOverlap="1" wp14:anchorId="26416012" wp14:editId="4FD2B29C">
            <wp:simplePos x="914400" y="1388962"/>
            <wp:positionH relativeFrom="column">
              <wp:align>left</wp:align>
            </wp:positionH>
            <wp:positionV relativeFrom="paragraph">
              <wp:align>top</wp:align>
            </wp:positionV>
            <wp:extent cx="5208085" cy="3599353"/>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extLst>
                        <a:ext uri="{28A0092B-C50C-407E-A947-70E740481C1C}">
                          <a14:useLocalDpi xmlns:a14="http://schemas.microsoft.com/office/drawing/2010/main" val="0"/>
                        </a:ext>
                      </a:extLst>
                    </a:blip>
                    <a:srcRect l="6232" t="4967" r="6136" b="48233"/>
                    <a:stretch/>
                  </pic:blipFill>
                  <pic:spPr bwMode="auto">
                    <a:xfrm>
                      <a:off x="0" y="0"/>
                      <a:ext cx="5208085" cy="3599353"/>
                    </a:xfrm>
                    <a:prstGeom prst="rect">
                      <a:avLst/>
                    </a:prstGeom>
                    <a:ln>
                      <a:noFill/>
                    </a:ln>
                    <a:extLst>
                      <a:ext uri="{53640926-AAD7-44D8-BBD7-CCE9431645EC}">
                        <a14:shadowObscured xmlns:a14="http://schemas.microsoft.com/office/drawing/2010/main"/>
                      </a:ext>
                    </a:extLst>
                  </pic:spPr>
                </pic:pic>
              </a:graphicData>
            </a:graphic>
          </wp:anchor>
        </w:drawing>
      </w:r>
    </w:p>
    <w:p w14:paraId="0FE162C0" w14:textId="77777777" w:rsidR="00015908" w:rsidRPr="00437A6C" w:rsidRDefault="00BF250F" w:rsidP="00A91AA6">
      <w:pPr>
        <w:spacing w:after="240" w:line="480" w:lineRule="auto"/>
        <w:rPr>
          <w:rFonts w:ascii="Arial" w:hAnsi="Arial" w:cs="Arial"/>
          <w:b/>
          <w:bCs/>
          <w:sz w:val="22"/>
          <w:szCs w:val="22"/>
        </w:rPr>
      </w:pPr>
      <w:r w:rsidRPr="00437A6C">
        <w:rPr>
          <w:rFonts w:ascii="Arial" w:hAnsi="Arial" w:cs="Arial"/>
          <w:b/>
          <w:bCs/>
          <w:sz w:val="22"/>
          <w:szCs w:val="22"/>
        </w:rPr>
        <w:t>Supplementary Table 1: Antibodies used for flow cytometry</w:t>
      </w:r>
    </w:p>
    <w:p w14:paraId="33748698" w14:textId="77777777" w:rsidR="002E12B0" w:rsidRPr="00437A6C" w:rsidRDefault="002E12B0">
      <w:pPr>
        <w:rPr>
          <w:rFonts w:ascii="Arial" w:hAnsi="Arial" w:cs="Arial"/>
          <w:b/>
          <w:bCs/>
          <w:sz w:val="22"/>
          <w:szCs w:val="22"/>
        </w:rPr>
      </w:pPr>
      <w:r w:rsidRPr="00437A6C">
        <w:rPr>
          <w:rFonts w:ascii="Arial" w:hAnsi="Arial" w:cs="Arial"/>
          <w:b/>
          <w:bCs/>
          <w:sz w:val="22"/>
          <w:szCs w:val="22"/>
        </w:rPr>
        <w:br w:type="page"/>
      </w:r>
    </w:p>
    <w:p w14:paraId="4E03AE82" w14:textId="53CAC50D" w:rsidR="002E12B0" w:rsidRPr="00437A6C" w:rsidRDefault="002E12B0" w:rsidP="002E12B0">
      <w:pPr>
        <w:spacing w:after="240"/>
        <w:rPr>
          <w:rFonts w:ascii="Arial" w:hAnsi="Arial" w:cs="Arial"/>
          <w:b/>
          <w:sz w:val="22"/>
          <w:szCs w:val="22"/>
        </w:rPr>
      </w:pPr>
      <w:r w:rsidRPr="00437A6C">
        <w:rPr>
          <w:rFonts w:ascii="Arial" w:hAnsi="Arial" w:cs="Arial"/>
          <w:b/>
          <w:sz w:val="22"/>
          <w:szCs w:val="22"/>
        </w:rPr>
        <w:lastRenderedPageBreak/>
        <w:t>SUPPLEMENTARY METHODS</w:t>
      </w:r>
    </w:p>
    <w:p w14:paraId="7E4A7E2D"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sz w:val="22"/>
          <w:szCs w:val="22"/>
        </w:rPr>
        <w:t>Cell lines and primary samples</w:t>
      </w:r>
    </w:p>
    <w:p w14:paraId="0AD77318" w14:textId="727C3515" w:rsidR="002E12B0" w:rsidRPr="00437A6C" w:rsidRDefault="002E12B0" w:rsidP="002E12B0">
      <w:pPr>
        <w:spacing w:after="240" w:line="480" w:lineRule="auto"/>
        <w:rPr>
          <w:rFonts w:ascii="Arial" w:hAnsi="Arial" w:cs="Arial"/>
          <w:b/>
          <w:bCs/>
          <w:sz w:val="22"/>
          <w:szCs w:val="22"/>
        </w:rPr>
      </w:pPr>
      <w:r w:rsidRPr="00437A6C">
        <w:rPr>
          <w:rFonts w:ascii="Arial" w:hAnsi="Arial" w:cs="Arial"/>
          <w:sz w:val="22"/>
          <w:szCs w:val="22"/>
        </w:rPr>
        <w:t xml:space="preserve">NALM6 cells </w:t>
      </w:r>
      <w:r w:rsidRPr="00437A6C">
        <w:rPr>
          <w:rFonts w:ascii="Arial" w:eastAsia="Times" w:hAnsi="Arial" w:cs="Arial"/>
          <w:sz w:val="22"/>
          <w:szCs w:val="22"/>
        </w:rPr>
        <w:t xml:space="preserve">were purchased from </w:t>
      </w:r>
      <w:r w:rsidR="00DE62EB" w:rsidRPr="00437A6C">
        <w:rPr>
          <w:rFonts w:ascii="Arial" w:eastAsia="Times" w:hAnsi="Arial" w:cs="Arial"/>
          <w:sz w:val="22"/>
          <w:szCs w:val="22"/>
        </w:rPr>
        <w:t>ATCC</w:t>
      </w:r>
      <w:r w:rsidRPr="00437A6C">
        <w:rPr>
          <w:rFonts w:ascii="Arial" w:eastAsia="Times" w:hAnsi="Arial" w:cs="Arial"/>
          <w:sz w:val="22"/>
          <w:szCs w:val="22"/>
        </w:rPr>
        <w:t xml:space="preserve"> and cultured at 37˚C/5% CO</w:t>
      </w:r>
      <w:r w:rsidRPr="00437A6C">
        <w:rPr>
          <w:rFonts w:ascii="Arial" w:eastAsia="Times" w:hAnsi="Arial" w:cs="Arial"/>
          <w:sz w:val="22"/>
          <w:szCs w:val="22"/>
          <w:vertAlign w:val="subscript"/>
        </w:rPr>
        <w:t>2</w:t>
      </w:r>
      <w:r w:rsidRPr="00437A6C">
        <w:rPr>
          <w:rFonts w:ascii="Arial" w:eastAsia="Times" w:hAnsi="Arial" w:cs="Arial"/>
          <w:sz w:val="22"/>
          <w:szCs w:val="22"/>
        </w:rPr>
        <w:t xml:space="preserve"> in ATCC-formulated RPMI-1640 (Gibco #A10491-01) supplemented with 10% FCS (Gibco #10437028) and 50U/mL penicillin/streptomycin. NALM6 cells were transduced with </w:t>
      </w:r>
      <w:proofErr w:type="spellStart"/>
      <w:r w:rsidRPr="00437A6C">
        <w:rPr>
          <w:rFonts w:ascii="Arial" w:eastAsia="Times" w:hAnsi="Arial" w:cs="Arial"/>
          <w:color w:val="000000"/>
          <w:sz w:val="22"/>
          <w:szCs w:val="22"/>
        </w:rPr>
        <w:t>pHIV</w:t>
      </w:r>
      <w:proofErr w:type="spellEnd"/>
      <w:r w:rsidRPr="00437A6C">
        <w:rPr>
          <w:rFonts w:ascii="Arial" w:eastAsia="Times" w:hAnsi="Arial" w:cs="Arial"/>
          <w:color w:val="000000"/>
          <w:sz w:val="22"/>
          <w:szCs w:val="22"/>
        </w:rPr>
        <w:t>-Luc-</w:t>
      </w:r>
      <w:proofErr w:type="spellStart"/>
      <w:r w:rsidRPr="00437A6C">
        <w:rPr>
          <w:rFonts w:ascii="Arial" w:eastAsia="Times" w:hAnsi="Arial" w:cs="Arial"/>
          <w:color w:val="000000"/>
          <w:sz w:val="22"/>
          <w:szCs w:val="22"/>
        </w:rPr>
        <w:t>ZsGreen</w:t>
      </w:r>
      <w:proofErr w:type="spellEnd"/>
      <w:r w:rsidRPr="00437A6C">
        <w:rPr>
          <w:rFonts w:ascii="Arial" w:eastAsia="Times" w:hAnsi="Arial" w:cs="Arial"/>
          <w:sz w:val="22"/>
          <w:szCs w:val="22"/>
        </w:rPr>
        <w:t xml:space="preserve"> lentivirus (</w:t>
      </w:r>
      <w:proofErr w:type="spellStart"/>
      <w:r w:rsidRPr="00437A6C">
        <w:rPr>
          <w:rFonts w:ascii="Arial" w:eastAsia="Times" w:hAnsi="Arial" w:cs="Arial"/>
          <w:sz w:val="22"/>
          <w:szCs w:val="22"/>
        </w:rPr>
        <w:t>Addgene</w:t>
      </w:r>
      <w:proofErr w:type="spellEnd"/>
      <w:r w:rsidRPr="00437A6C">
        <w:rPr>
          <w:rFonts w:ascii="Arial" w:eastAsia="Times" w:hAnsi="Arial" w:cs="Arial"/>
          <w:sz w:val="22"/>
          <w:szCs w:val="22"/>
        </w:rPr>
        <w:t xml:space="preserve"> </w:t>
      </w:r>
      <w:r w:rsidRPr="00437A6C">
        <w:rPr>
          <w:rFonts w:ascii="Arial" w:eastAsia="Times" w:hAnsi="Arial" w:cs="Arial"/>
          <w:color w:val="000000" w:themeColor="text1"/>
          <w:sz w:val="22"/>
          <w:szCs w:val="22"/>
        </w:rPr>
        <w:t>#39196)</w:t>
      </w:r>
      <w:r w:rsidRPr="00437A6C">
        <w:rPr>
          <w:rFonts w:ascii="Arial" w:eastAsia="Times" w:hAnsi="Arial" w:cs="Arial"/>
          <w:sz w:val="22"/>
          <w:szCs w:val="22"/>
        </w:rPr>
        <w:t xml:space="preserve"> and sorted by FACS prior to use. </w:t>
      </w:r>
      <w:r w:rsidR="00D160B6" w:rsidRPr="00437A6C">
        <w:rPr>
          <w:rFonts w:ascii="Arial" w:eastAsia="Times" w:hAnsi="Arial" w:cs="Arial"/>
          <w:sz w:val="22"/>
          <w:szCs w:val="22"/>
        </w:rPr>
        <w:t xml:space="preserve">All cell lines were authenticated by ATCC. NALM6 cells used in in vivo experiments were authenticated by short tandem repeat profiling. Cell lines used in this study were confirmed to be mycoplasma negative by PCR. No commonly misidentified cell lines were used in this study. </w:t>
      </w:r>
      <w:r w:rsidRPr="00437A6C">
        <w:rPr>
          <w:rFonts w:ascii="Arial" w:eastAsia="Times" w:hAnsi="Arial" w:cs="Arial"/>
          <w:sz w:val="22"/>
          <w:szCs w:val="22"/>
        </w:rPr>
        <w:t xml:space="preserve">Primary patient samples were prepared as follows: whole blood or bone marrow aspirate was collected and mononuclear cells were isolated by density gradient using </w:t>
      </w:r>
      <w:proofErr w:type="spellStart"/>
      <w:r w:rsidRPr="00437A6C">
        <w:rPr>
          <w:rFonts w:ascii="Arial" w:eastAsia="Times" w:hAnsi="Arial" w:cs="Arial"/>
          <w:sz w:val="22"/>
          <w:szCs w:val="22"/>
        </w:rPr>
        <w:t>Ficoll-Paque</w:t>
      </w:r>
      <w:proofErr w:type="spellEnd"/>
      <w:r w:rsidRPr="00437A6C">
        <w:rPr>
          <w:rFonts w:ascii="Arial" w:eastAsia="Times" w:hAnsi="Arial" w:cs="Arial"/>
          <w:sz w:val="22"/>
          <w:szCs w:val="22"/>
        </w:rPr>
        <w:t xml:space="preserve"> (GE #17-1440-02), samples were cryopreserved until analysis.</w:t>
      </w:r>
      <w:r w:rsidR="00D160B6" w:rsidRPr="00437A6C">
        <w:rPr>
          <w:rFonts w:ascii="Arial" w:eastAsia="Times" w:hAnsi="Arial" w:cs="Arial"/>
          <w:sz w:val="22"/>
          <w:szCs w:val="22"/>
        </w:rPr>
        <w:t xml:space="preserve"> </w:t>
      </w:r>
    </w:p>
    <w:p w14:paraId="0667252E"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sz w:val="22"/>
          <w:szCs w:val="22"/>
        </w:rPr>
        <w:t>CAR constructs and virus production</w:t>
      </w:r>
    </w:p>
    <w:p w14:paraId="3E0A17CC" w14:textId="4BEA08A7" w:rsidR="002E12B0" w:rsidRPr="00437A6C" w:rsidRDefault="002E12B0" w:rsidP="002E12B0">
      <w:pPr>
        <w:spacing w:after="240" w:line="480" w:lineRule="auto"/>
        <w:rPr>
          <w:rFonts w:ascii="Arial" w:hAnsi="Arial" w:cs="Arial"/>
          <w:sz w:val="22"/>
          <w:szCs w:val="22"/>
        </w:rPr>
      </w:pPr>
      <w:r w:rsidRPr="00437A6C">
        <w:rPr>
          <w:rFonts w:ascii="Arial" w:hAnsi="Arial" w:cs="Arial"/>
          <w:sz w:val="22"/>
          <w:szCs w:val="22"/>
        </w:rPr>
        <w:t xml:space="preserve">CAR T cells were generated using lentiviral or gammaretroviral transduction. Second generation CAR constructs based on FMC63 </w:t>
      </w:r>
      <w:r w:rsidRPr="00437A6C">
        <w:rPr>
          <w:rFonts w:ascii="Arial" w:hAnsi="Arial" w:cs="Arial"/>
          <w:sz w:val="22"/>
          <w:szCs w:val="22"/>
        </w:rPr>
        <w:fldChar w:fldCharType="begin"/>
      </w:r>
      <w:r w:rsidR="00EA4DE2" w:rsidRPr="00437A6C">
        <w:rPr>
          <w:rFonts w:ascii="Arial" w:hAnsi="Arial" w:cs="Arial"/>
          <w:sz w:val="22"/>
          <w:szCs w:val="22"/>
        </w:rPr>
        <w:instrText xml:space="preserve"> ADDIN EN.CITE &lt;EndNote&gt;&lt;Cite&gt;&lt;Author&gt;Nicholson&lt;/Author&gt;&lt;Year&gt;1997&lt;/Year&gt;&lt;RecNum&gt;27&lt;/RecNum&gt;&lt;DisplayText&gt;&lt;style face="superscript"&gt;1&lt;/style&gt;&lt;/DisplayText&gt;&lt;record&gt;&lt;rec-number&gt;27&lt;/rec-number&gt;&lt;foreign-keys&gt;&lt;key app="EN" db-id="dtp90fxxy5vdf6ed5wyvvpfjzwdzvpxzdptf" timestamp="1543599896" guid="37f57225-8c08-4065-9778-766ccd25f932"&gt;27&lt;/key&gt;&lt;/foreign-keys&gt;&lt;ref-type name="Journal Article"&gt;17&lt;/ref-type&gt;&lt;contributors&gt;&lt;authors&gt;&lt;author&gt;Nicholson, I. C.&lt;/author&gt;&lt;author&gt;Lenton, K. A.&lt;/author&gt;&lt;author&gt;Little, D. J.&lt;/author&gt;&lt;author&gt;Decorso, T.&lt;/author&gt;&lt;author&gt;Lee, F. T.&lt;/author&gt;&lt;author&gt;Scott, A. M.&lt;/author&gt;&lt;author&gt;Zola, H.&lt;/author&gt;&lt;author&gt;Hohmann, A. W.&lt;/author&gt;&lt;/authors&gt;&lt;/contributors&gt;&lt;auth-address&gt;Child Health Research Institute, Women&amp;apos;s and Children&amp;apos;s Hospital, Adelaide, South Australia.&lt;/auth-address&gt;&lt;titles&gt;&lt;title&gt;Construction and characterisation of a functional CD19 specific single chain Fv fragment for immunotherapy of B lineage leukaemia and lymphoma&lt;/title&gt;&lt;secondary-title&gt;Mol Immunol&lt;/secondary-title&gt;&lt;/titles&gt;&lt;periodical&gt;&lt;full-title&gt;Mol Immunol&lt;/full-title&gt;&lt;/periodical&gt;&lt;pages&gt;1157-65&lt;/pages&gt;&lt;volume&gt;34&lt;/volume&gt;&lt;number&gt;16-17&lt;/number&gt;&lt;keywords&gt;&lt;keyword&gt;Animals&lt;/keyword&gt;&lt;keyword&gt;Antigens, CD19/*immunology&lt;/keyword&gt;&lt;keyword&gt;Base Sequence&lt;/keyword&gt;&lt;keyword&gt;DNA, Complementary/genetics/immunology&lt;/keyword&gt;&lt;keyword&gt;Humans&lt;/keyword&gt;&lt;keyword&gt;Immunoglobulin Fragments/genetics/*immunology/therapeutic use&lt;/keyword&gt;&lt;keyword&gt;Immunoglobulin Variable Region/genetics/immunology&lt;/keyword&gt;&lt;keyword&gt;*Immunotherapy&lt;/keyword&gt;&lt;keyword&gt;Leukemia, B-Cell/*immunology/therapy&lt;/keyword&gt;&lt;keyword&gt;Lymphoma, B-Cell/*immunology/therapy&lt;/keyword&gt;&lt;keyword&gt;Mice&lt;/keyword&gt;&lt;keyword&gt;Molecular Sequence Data&lt;/keyword&gt;&lt;keyword&gt;Protein Engineering&lt;/keyword&gt;&lt;/keywords&gt;&lt;dates&gt;&lt;year&gt;1997&lt;/year&gt;&lt;pub-dates&gt;&lt;date&gt;Nov-Dec&lt;/date&gt;&lt;/pub-dates&gt;&lt;/dates&gt;&lt;isbn&gt;0161-5890 (Print)&amp;#xD;0161-5890 (Linking)&lt;/isbn&gt;&lt;accession-num&gt;9566763&lt;/accession-num&gt;&lt;urls&gt;&lt;related-urls&gt;&lt;url&gt;https://www.ncbi.nlm.nih.gov/pubmed/9566763&lt;/url&gt;&lt;/related-urls&gt;&lt;/urls&gt;&lt;/record&gt;&lt;/Cite&gt;&lt;/EndNote&gt;</w:instrText>
      </w:r>
      <w:r w:rsidRPr="00437A6C">
        <w:rPr>
          <w:rFonts w:ascii="Arial" w:hAnsi="Arial" w:cs="Arial"/>
          <w:sz w:val="22"/>
          <w:szCs w:val="22"/>
        </w:rPr>
        <w:fldChar w:fldCharType="separate"/>
      </w:r>
      <w:r w:rsidR="00EA4DE2" w:rsidRPr="00437A6C">
        <w:rPr>
          <w:rFonts w:ascii="Arial" w:hAnsi="Arial" w:cs="Arial"/>
          <w:noProof/>
          <w:sz w:val="22"/>
          <w:szCs w:val="22"/>
          <w:vertAlign w:val="superscript"/>
        </w:rPr>
        <w:t>1</w:t>
      </w:r>
      <w:r w:rsidRPr="00437A6C">
        <w:rPr>
          <w:rFonts w:ascii="Arial" w:hAnsi="Arial" w:cs="Arial"/>
          <w:sz w:val="22"/>
          <w:szCs w:val="22"/>
        </w:rPr>
        <w:fldChar w:fldCharType="end"/>
      </w:r>
      <w:r w:rsidRPr="00437A6C">
        <w:rPr>
          <w:rFonts w:ascii="Arial" w:hAnsi="Arial" w:cs="Arial"/>
          <w:sz w:val="22"/>
          <w:szCs w:val="22"/>
        </w:rPr>
        <w:t xml:space="preserve">, CAT </w:t>
      </w:r>
      <w:r w:rsidRPr="00437A6C">
        <w:rPr>
          <w:rFonts w:ascii="Arial" w:hAnsi="Arial" w:cs="Arial"/>
          <w:sz w:val="22"/>
          <w:szCs w:val="22"/>
        </w:rPr>
        <w:fldChar w:fldCharType="begin">
          <w:fldData xml:space="preserve">PEVuZE5vdGU+PENpdGU+PEF1dGhvcj5HaG9yYXNoaWFuPC9BdXRob3I+PFllYXI+MjAxOTwvWWVh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</w:fldData>
        </w:fldChar>
      </w:r>
      <w:r w:rsidR="00EA4DE2" w:rsidRPr="00437A6C">
        <w:rPr>
          <w:rFonts w:ascii="Arial" w:hAnsi="Arial" w:cs="Arial"/>
          <w:sz w:val="22"/>
          <w:szCs w:val="22"/>
        </w:rPr>
        <w:instrText xml:space="preserve"> ADDIN EN.CITE </w:instrText>
      </w:r>
      <w:r w:rsidR="00EA4DE2" w:rsidRPr="00437A6C">
        <w:rPr>
          <w:rFonts w:ascii="Arial" w:hAnsi="Arial" w:cs="Arial"/>
          <w:sz w:val="22"/>
          <w:szCs w:val="22"/>
        </w:rPr>
        <w:fldChar w:fldCharType="begin">
          <w:fldData xml:space="preserve">PEVuZE5vdGU+PENpdGU+PEF1dGhvcj5HaG9yYXNoaWFuPC9BdXRob3I+PFllYXI+MjAxOTwvWWVh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</w:fldData>
        </w:fldChar>
      </w:r>
      <w:r w:rsidR="00EA4DE2" w:rsidRPr="00437A6C">
        <w:rPr>
          <w:rFonts w:ascii="Arial" w:hAnsi="Arial" w:cs="Arial"/>
          <w:sz w:val="22"/>
          <w:szCs w:val="22"/>
        </w:rPr>
        <w:instrText xml:space="preserve"> ADDIN EN.CITE.DATA </w:instrText>
      </w:r>
      <w:r w:rsidR="00EA4DE2" w:rsidRPr="00437A6C">
        <w:rPr>
          <w:rFonts w:ascii="Arial" w:hAnsi="Arial" w:cs="Arial"/>
          <w:sz w:val="22"/>
          <w:szCs w:val="22"/>
        </w:rPr>
      </w:r>
      <w:r w:rsidR="00EA4DE2" w:rsidRPr="00437A6C">
        <w:rPr>
          <w:rFonts w:ascii="Arial" w:hAnsi="Arial" w:cs="Arial"/>
          <w:sz w:val="22"/>
          <w:szCs w:val="22"/>
        </w:rPr>
        <w:fldChar w:fldCharType="end"/>
      </w:r>
      <w:r w:rsidRPr="00437A6C">
        <w:rPr>
          <w:rFonts w:ascii="Arial" w:hAnsi="Arial" w:cs="Arial"/>
          <w:sz w:val="22"/>
          <w:szCs w:val="22"/>
        </w:rPr>
      </w:r>
      <w:r w:rsidRPr="00437A6C">
        <w:rPr>
          <w:rFonts w:ascii="Arial" w:hAnsi="Arial" w:cs="Arial"/>
          <w:sz w:val="22"/>
          <w:szCs w:val="22"/>
        </w:rPr>
        <w:fldChar w:fldCharType="separate"/>
      </w:r>
      <w:r w:rsidR="00EA4DE2" w:rsidRPr="00437A6C">
        <w:rPr>
          <w:rFonts w:ascii="Arial" w:hAnsi="Arial" w:cs="Arial"/>
          <w:noProof/>
          <w:sz w:val="22"/>
          <w:szCs w:val="22"/>
          <w:vertAlign w:val="superscript"/>
        </w:rPr>
        <w:t>2,3</w:t>
      </w:r>
      <w:r w:rsidRPr="00437A6C">
        <w:rPr>
          <w:rFonts w:ascii="Arial" w:hAnsi="Arial" w:cs="Arial"/>
          <w:sz w:val="22"/>
          <w:szCs w:val="22"/>
        </w:rPr>
        <w:fldChar w:fldCharType="end"/>
      </w:r>
      <w:r w:rsidRPr="00437A6C">
        <w:rPr>
          <w:rFonts w:ascii="Arial" w:hAnsi="Arial" w:cs="Arial"/>
          <w:sz w:val="22"/>
          <w:szCs w:val="22"/>
        </w:rPr>
        <w:t xml:space="preserve">, or 2D3 </w:t>
      </w:r>
      <w:r w:rsidRPr="00437A6C">
        <w:rPr>
          <w:rFonts w:ascii="Arial" w:hAnsi="Arial" w:cs="Arial"/>
          <w:sz w:val="22"/>
          <w:szCs w:val="22"/>
        </w:rPr>
        <w:fldChar w:fldCharType="begin">
          <w:fldData xml:space="preserve">PEVuZE5vdGU+PENpdGU+PEF1dGhvcj5SYWRoYWtyaXNobmFuPC9BdXRob3I+PFllYXI+MjAyMDwv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</w:fldData>
        </w:fldChar>
      </w:r>
      <w:r w:rsidR="00EA4DE2" w:rsidRPr="00437A6C">
        <w:rPr>
          <w:rFonts w:ascii="Arial" w:hAnsi="Arial" w:cs="Arial"/>
          <w:sz w:val="22"/>
          <w:szCs w:val="22"/>
        </w:rPr>
        <w:instrText xml:space="preserve"> ADDIN EN.CITE </w:instrText>
      </w:r>
      <w:r w:rsidR="00EA4DE2" w:rsidRPr="00437A6C">
        <w:rPr>
          <w:rFonts w:ascii="Arial" w:hAnsi="Arial" w:cs="Arial"/>
          <w:sz w:val="22"/>
          <w:szCs w:val="22"/>
        </w:rPr>
        <w:fldChar w:fldCharType="begin">
          <w:fldData xml:space="preserve">PEVuZE5vdGU+PENpdGU+PEF1dGhvcj5SYWRoYWtyaXNobmFuPC9BdXRob3I+PFllYXI+MjAyMDwv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</w:fldData>
        </w:fldChar>
      </w:r>
      <w:r w:rsidR="00EA4DE2" w:rsidRPr="00437A6C">
        <w:rPr>
          <w:rFonts w:ascii="Arial" w:hAnsi="Arial" w:cs="Arial"/>
          <w:sz w:val="22"/>
          <w:szCs w:val="22"/>
        </w:rPr>
        <w:instrText xml:space="preserve"> ADDIN EN.CITE.DATA </w:instrText>
      </w:r>
      <w:r w:rsidR="00EA4DE2" w:rsidRPr="00437A6C">
        <w:rPr>
          <w:rFonts w:ascii="Arial" w:hAnsi="Arial" w:cs="Arial"/>
          <w:sz w:val="22"/>
          <w:szCs w:val="22"/>
        </w:rPr>
      </w:r>
      <w:r w:rsidR="00EA4DE2" w:rsidRPr="00437A6C">
        <w:rPr>
          <w:rFonts w:ascii="Arial" w:hAnsi="Arial" w:cs="Arial"/>
          <w:sz w:val="22"/>
          <w:szCs w:val="22"/>
        </w:rPr>
        <w:fldChar w:fldCharType="end"/>
      </w:r>
      <w:r w:rsidRPr="00437A6C">
        <w:rPr>
          <w:rFonts w:ascii="Arial" w:hAnsi="Arial" w:cs="Arial"/>
          <w:sz w:val="22"/>
          <w:szCs w:val="22"/>
        </w:rPr>
      </w:r>
      <w:r w:rsidRPr="00437A6C">
        <w:rPr>
          <w:rFonts w:ascii="Arial" w:hAnsi="Arial" w:cs="Arial"/>
          <w:sz w:val="22"/>
          <w:szCs w:val="22"/>
        </w:rPr>
        <w:fldChar w:fldCharType="separate"/>
      </w:r>
      <w:r w:rsidR="00EA4DE2" w:rsidRPr="00437A6C">
        <w:rPr>
          <w:rFonts w:ascii="Arial" w:hAnsi="Arial" w:cs="Arial"/>
          <w:noProof/>
          <w:sz w:val="22"/>
          <w:szCs w:val="22"/>
          <w:vertAlign w:val="superscript"/>
        </w:rPr>
        <w:t>4</w:t>
      </w:r>
      <w:r w:rsidRPr="00437A6C">
        <w:rPr>
          <w:rFonts w:ascii="Arial" w:hAnsi="Arial" w:cs="Arial"/>
          <w:sz w:val="22"/>
          <w:szCs w:val="22"/>
        </w:rPr>
        <w:fldChar w:fldCharType="end"/>
      </w:r>
      <w:r w:rsidRPr="00437A6C">
        <w:rPr>
          <w:rFonts w:ascii="Arial" w:hAnsi="Arial" w:cs="Arial"/>
          <w:sz w:val="22"/>
          <w:szCs w:val="22"/>
        </w:rPr>
        <w:t xml:space="preserve"> using the 4-1BB costimulatory and CD3</w:t>
      </w:r>
      <w:r w:rsidRPr="00437A6C">
        <w:rPr>
          <w:rFonts w:ascii="Arial" w:hAnsi="Arial" w:cs="Arial"/>
          <w:sz w:val="22"/>
          <w:szCs w:val="22"/>
        </w:rPr>
        <w:sym w:font="Symbol" w:char="F07A"/>
      </w:r>
      <w:r w:rsidRPr="00437A6C">
        <w:rPr>
          <w:rFonts w:ascii="Arial" w:hAnsi="Arial" w:cs="Arial"/>
          <w:sz w:val="22"/>
          <w:szCs w:val="22"/>
        </w:rPr>
        <w:t xml:space="preserve"> signaling domains, as well as the CD8</w:t>
      </w:r>
      <w:r w:rsidRPr="00437A6C">
        <w:rPr>
          <w:rFonts w:ascii="Arial" w:hAnsi="Arial" w:cs="Arial"/>
          <w:sz w:val="22"/>
          <w:szCs w:val="22"/>
        </w:rPr>
        <w:sym w:font="Symbol" w:char="F061"/>
      </w:r>
      <w:r w:rsidRPr="00437A6C">
        <w:rPr>
          <w:rFonts w:ascii="Arial" w:hAnsi="Arial" w:cs="Arial"/>
          <w:sz w:val="22"/>
          <w:szCs w:val="22"/>
        </w:rPr>
        <w:t xml:space="preserve"> hinge and transmembrane domains were cloned into </w:t>
      </w:r>
      <w:proofErr w:type="spellStart"/>
      <w:r w:rsidRPr="00437A6C">
        <w:rPr>
          <w:rFonts w:ascii="Arial" w:hAnsi="Arial" w:cs="Arial"/>
          <w:sz w:val="22"/>
          <w:szCs w:val="22"/>
        </w:rPr>
        <w:t>pRRLSIN.cPPT.PGK</w:t>
      </w:r>
      <w:proofErr w:type="spellEnd"/>
      <w:r w:rsidRPr="00437A6C">
        <w:rPr>
          <w:rFonts w:ascii="Arial" w:hAnsi="Arial" w:cs="Arial"/>
          <w:sz w:val="22"/>
          <w:szCs w:val="22"/>
        </w:rPr>
        <w:t>-GFP.WPRE (</w:t>
      </w:r>
      <w:proofErr w:type="spellStart"/>
      <w:r w:rsidRPr="00437A6C">
        <w:rPr>
          <w:rFonts w:ascii="Arial" w:hAnsi="Arial" w:cs="Arial"/>
          <w:sz w:val="22"/>
          <w:szCs w:val="22"/>
        </w:rPr>
        <w:t>Addgene</w:t>
      </w:r>
      <w:proofErr w:type="spellEnd"/>
      <w:r w:rsidRPr="00437A6C">
        <w:rPr>
          <w:rFonts w:ascii="Arial" w:hAnsi="Arial" w:cs="Arial"/>
          <w:sz w:val="22"/>
          <w:szCs w:val="22"/>
        </w:rPr>
        <w:t xml:space="preserve"> #</w:t>
      </w:r>
      <w:r w:rsidRPr="00437A6C">
        <w:t xml:space="preserve"> </w:t>
      </w:r>
      <w:r w:rsidRPr="00437A6C">
        <w:rPr>
          <w:rFonts w:ascii="Arial" w:hAnsi="Arial" w:cs="Arial"/>
          <w:sz w:val="22"/>
          <w:szCs w:val="22"/>
        </w:rPr>
        <w:t>12252) or SFG.CNb30_opt.IRES.eGFP (</w:t>
      </w:r>
      <w:proofErr w:type="spellStart"/>
      <w:r w:rsidRPr="00437A6C">
        <w:rPr>
          <w:rFonts w:ascii="Arial" w:hAnsi="Arial" w:cs="Arial"/>
          <w:sz w:val="22"/>
          <w:szCs w:val="22"/>
        </w:rPr>
        <w:t>Addgene</w:t>
      </w:r>
      <w:proofErr w:type="spellEnd"/>
      <w:r w:rsidRPr="00437A6C">
        <w:rPr>
          <w:rFonts w:ascii="Arial" w:hAnsi="Arial" w:cs="Arial"/>
          <w:sz w:val="22"/>
          <w:szCs w:val="22"/>
        </w:rPr>
        <w:t xml:space="preserve"> #</w:t>
      </w:r>
      <w:r w:rsidRPr="00437A6C">
        <w:t xml:space="preserve"> </w:t>
      </w:r>
      <w:r w:rsidRPr="00437A6C">
        <w:rPr>
          <w:rFonts w:ascii="Arial" w:hAnsi="Arial" w:cs="Arial"/>
          <w:sz w:val="22"/>
          <w:szCs w:val="22"/>
        </w:rPr>
        <w:t>22493) backbones. VSV-G-</w:t>
      </w:r>
      <w:proofErr w:type="spellStart"/>
      <w:r w:rsidRPr="00437A6C">
        <w:rPr>
          <w:rFonts w:ascii="Arial" w:hAnsi="Arial" w:cs="Arial"/>
          <w:sz w:val="22"/>
          <w:szCs w:val="22"/>
        </w:rPr>
        <w:t>pseudotyped</w:t>
      </w:r>
      <w:proofErr w:type="spellEnd"/>
      <w:r w:rsidRPr="00437A6C">
        <w:rPr>
          <w:rFonts w:ascii="Arial" w:hAnsi="Arial" w:cs="Arial"/>
          <w:sz w:val="22"/>
          <w:szCs w:val="22"/>
        </w:rPr>
        <w:t xml:space="preserve"> lentivirus was obtained by co-transfection of </w:t>
      </w:r>
      <w:proofErr w:type="spellStart"/>
      <w:r w:rsidRPr="00437A6C">
        <w:rPr>
          <w:rFonts w:ascii="Arial" w:hAnsi="Arial" w:cs="Arial"/>
          <w:sz w:val="22"/>
          <w:szCs w:val="22"/>
        </w:rPr>
        <w:t>Lenti</w:t>
      </w:r>
      <w:proofErr w:type="spellEnd"/>
      <w:r w:rsidRPr="00437A6C">
        <w:rPr>
          <w:rFonts w:ascii="Arial" w:hAnsi="Arial" w:cs="Arial"/>
          <w:sz w:val="22"/>
          <w:szCs w:val="22"/>
        </w:rPr>
        <w:t xml:space="preserve">-X 293T cells (Takara) with </w:t>
      </w:r>
      <w:proofErr w:type="spellStart"/>
      <w:r w:rsidRPr="00437A6C">
        <w:rPr>
          <w:rFonts w:ascii="Arial" w:hAnsi="Arial" w:cs="Arial"/>
          <w:sz w:val="22"/>
          <w:szCs w:val="22"/>
        </w:rPr>
        <w:t>pRRL</w:t>
      </w:r>
      <w:proofErr w:type="spellEnd"/>
      <w:r w:rsidRPr="00437A6C">
        <w:rPr>
          <w:rFonts w:ascii="Arial" w:hAnsi="Arial" w:cs="Arial"/>
          <w:sz w:val="22"/>
          <w:szCs w:val="22"/>
        </w:rPr>
        <w:t>-based transfer plasmids as well as pMD2.G (</w:t>
      </w:r>
      <w:proofErr w:type="spellStart"/>
      <w:r w:rsidRPr="00437A6C">
        <w:rPr>
          <w:rFonts w:ascii="Arial" w:hAnsi="Arial" w:cs="Arial"/>
          <w:sz w:val="22"/>
          <w:szCs w:val="22"/>
        </w:rPr>
        <w:t>Adgene</w:t>
      </w:r>
      <w:proofErr w:type="spellEnd"/>
      <w:r w:rsidRPr="00437A6C">
        <w:rPr>
          <w:rFonts w:ascii="Arial" w:hAnsi="Arial" w:cs="Arial"/>
          <w:sz w:val="22"/>
          <w:szCs w:val="22"/>
        </w:rPr>
        <w:t xml:space="preserve"> # 12259) and psPAX2 (</w:t>
      </w:r>
      <w:proofErr w:type="spellStart"/>
      <w:r w:rsidRPr="00437A6C">
        <w:rPr>
          <w:rFonts w:ascii="Arial" w:hAnsi="Arial" w:cs="Arial"/>
          <w:sz w:val="22"/>
          <w:szCs w:val="22"/>
        </w:rPr>
        <w:t>Addgene</w:t>
      </w:r>
      <w:proofErr w:type="spellEnd"/>
      <w:r w:rsidRPr="00437A6C">
        <w:rPr>
          <w:rFonts w:ascii="Arial" w:hAnsi="Arial" w:cs="Arial"/>
          <w:sz w:val="22"/>
          <w:szCs w:val="22"/>
        </w:rPr>
        <w:t xml:space="preserve"> # 12260) using Lipofectamine 2000 (Thermo) according to the manufacturer’s instructions. </w:t>
      </w:r>
      <w:proofErr w:type="spellStart"/>
      <w:r w:rsidRPr="00437A6C">
        <w:rPr>
          <w:rFonts w:ascii="Arial" w:hAnsi="Arial" w:cs="Arial"/>
          <w:sz w:val="22"/>
          <w:szCs w:val="22"/>
        </w:rPr>
        <w:t>Amphotropic</w:t>
      </w:r>
      <w:proofErr w:type="spellEnd"/>
      <w:r w:rsidRPr="00437A6C">
        <w:rPr>
          <w:rFonts w:ascii="Arial" w:hAnsi="Arial" w:cs="Arial"/>
          <w:sz w:val="22"/>
          <w:szCs w:val="22"/>
        </w:rPr>
        <w:t xml:space="preserve"> </w:t>
      </w:r>
      <w:proofErr w:type="spellStart"/>
      <w:r w:rsidRPr="00437A6C">
        <w:rPr>
          <w:rFonts w:ascii="Arial" w:hAnsi="Arial" w:cs="Arial"/>
          <w:sz w:val="22"/>
          <w:szCs w:val="22"/>
        </w:rPr>
        <w:t>gammaretrovirus</w:t>
      </w:r>
      <w:proofErr w:type="spellEnd"/>
      <w:r w:rsidRPr="00437A6C">
        <w:rPr>
          <w:rFonts w:ascii="Arial" w:hAnsi="Arial" w:cs="Arial"/>
          <w:sz w:val="22"/>
          <w:szCs w:val="22"/>
        </w:rPr>
        <w:t xml:space="preserve"> was generated by transfection of Phoenix-</w:t>
      </w:r>
      <w:proofErr w:type="spellStart"/>
      <w:r w:rsidRPr="00437A6C">
        <w:rPr>
          <w:rFonts w:ascii="Arial" w:hAnsi="Arial" w:cs="Arial"/>
          <w:sz w:val="22"/>
          <w:szCs w:val="22"/>
        </w:rPr>
        <w:t>Ampho</w:t>
      </w:r>
      <w:proofErr w:type="spellEnd"/>
      <w:r w:rsidRPr="00437A6C">
        <w:rPr>
          <w:rFonts w:ascii="Arial" w:hAnsi="Arial" w:cs="Arial"/>
          <w:sz w:val="22"/>
          <w:szCs w:val="22"/>
        </w:rPr>
        <w:t xml:space="preserve"> cells (ATCC # CRL-3213) with SFG-based transfer plasmids using Lipofectamine 2000 according to the manufacturer’s instructions. Virus-containing supernatants were concentrated with </w:t>
      </w:r>
      <w:proofErr w:type="spellStart"/>
      <w:r w:rsidRPr="00437A6C">
        <w:rPr>
          <w:rFonts w:ascii="Arial" w:hAnsi="Arial" w:cs="Arial"/>
          <w:sz w:val="22"/>
          <w:szCs w:val="22"/>
        </w:rPr>
        <w:t>Lenti</w:t>
      </w:r>
      <w:proofErr w:type="spellEnd"/>
      <w:r w:rsidRPr="00437A6C">
        <w:rPr>
          <w:rFonts w:ascii="Arial" w:hAnsi="Arial" w:cs="Arial"/>
          <w:sz w:val="22"/>
          <w:szCs w:val="22"/>
        </w:rPr>
        <w:t xml:space="preserve">-X Concentrator or Retro-X concentrator (Takara), respectively, </w:t>
      </w:r>
      <w:r w:rsidRPr="00437A6C">
        <w:rPr>
          <w:rFonts w:ascii="Arial" w:hAnsi="Arial" w:cs="Arial"/>
          <w:sz w:val="22"/>
          <w:szCs w:val="22"/>
        </w:rPr>
        <w:lastRenderedPageBreak/>
        <w:t xml:space="preserve">and 24 well plates coated with </w:t>
      </w:r>
      <w:proofErr w:type="spellStart"/>
      <w:r w:rsidRPr="00437A6C">
        <w:rPr>
          <w:rFonts w:ascii="Arial" w:hAnsi="Arial" w:cs="Arial"/>
          <w:sz w:val="22"/>
          <w:szCs w:val="22"/>
        </w:rPr>
        <w:t>Retronectin</w:t>
      </w:r>
      <w:proofErr w:type="spellEnd"/>
      <w:r w:rsidRPr="00437A6C">
        <w:rPr>
          <w:rFonts w:ascii="Arial" w:hAnsi="Arial" w:cs="Arial"/>
          <w:sz w:val="22"/>
          <w:szCs w:val="22"/>
        </w:rPr>
        <w:t xml:space="preserve"> (Takara # T100B) were incubated with concentrated viruses according to the manufacturer’s instructions. </w:t>
      </w:r>
    </w:p>
    <w:p w14:paraId="243FCEE5"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sz w:val="22"/>
          <w:szCs w:val="22"/>
        </w:rPr>
        <w:t>CAR T cell production</w:t>
      </w:r>
    </w:p>
    <w:p w14:paraId="3EF0DC3E" w14:textId="7888CA62" w:rsidR="002E12B0" w:rsidRPr="007A29DE" w:rsidRDefault="002E12B0" w:rsidP="002E12B0">
      <w:pPr>
        <w:spacing w:after="240" w:line="480" w:lineRule="auto"/>
        <w:rPr>
          <w:rFonts w:ascii="Arial" w:hAnsi="Arial" w:cs="Arial"/>
          <w:color w:val="0709DF"/>
          <w:sz w:val="22"/>
          <w:szCs w:val="22"/>
        </w:rPr>
      </w:pPr>
      <w:r w:rsidRPr="00437A6C">
        <w:rPr>
          <w:rFonts w:ascii="Arial" w:hAnsi="Arial" w:cs="Arial"/>
          <w:sz w:val="22"/>
          <w:szCs w:val="22"/>
        </w:rPr>
        <w:t xml:space="preserve">Buffy coats from healthy donors were obtained from the Blood Centers of America or the New York Blood Center and peripheral blood mononuclear cells (PBMC) were isolated by density gradient using </w:t>
      </w:r>
      <w:proofErr w:type="spellStart"/>
      <w:r w:rsidRPr="00437A6C">
        <w:rPr>
          <w:rFonts w:ascii="Arial" w:hAnsi="Arial" w:cs="Arial"/>
          <w:sz w:val="22"/>
          <w:szCs w:val="22"/>
        </w:rPr>
        <w:t>Ficoll-Paque</w:t>
      </w:r>
      <w:proofErr w:type="spellEnd"/>
      <w:r w:rsidRPr="00437A6C">
        <w:rPr>
          <w:rFonts w:ascii="Arial" w:hAnsi="Arial" w:cs="Arial"/>
          <w:sz w:val="22"/>
          <w:szCs w:val="22"/>
        </w:rPr>
        <w:t>. T cells were cultured in AIM V (Thermo) supplemented with 5% human serum (Sigma #H3667). PBMCs were stimulated for 2 days with CD3/CD28 T cell activation beads (Thermo # 11131D) in the presence of 40IU/mL IL2 (R&amp;D Systems # 202-IL-010) and incubated at 37</w:t>
      </w:r>
      <w:r w:rsidRPr="00437A6C">
        <w:rPr>
          <w:rFonts w:ascii="Arial" w:hAnsi="Arial" w:cs="Arial"/>
          <w:sz w:val="22"/>
          <w:szCs w:val="22"/>
        </w:rPr>
        <w:sym w:font="Symbol" w:char="F0B0"/>
      </w:r>
      <w:r w:rsidRPr="00437A6C">
        <w:rPr>
          <w:rFonts w:ascii="Arial" w:hAnsi="Arial" w:cs="Arial"/>
          <w:sz w:val="22"/>
          <w:szCs w:val="22"/>
        </w:rPr>
        <w:t>C/5% CO</w:t>
      </w:r>
      <w:r w:rsidRPr="00437A6C">
        <w:rPr>
          <w:rFonts w:ascii="Arial" w:hAnsi="Arial" w:cs="Arial"/>
          <w:sz w:val="22"/>
          <w:szCs w:val="22"/>
          <w:vertAlign w:val="subscript"/>
        </w:rPr>
        <w:t>2</w:t>
      </w:r>
      <w:r w:rsidRPr="00437A6C">
        <w:rPr>
          <w:rFonts w:ascii="Arial" w:hAnsi="Arial" w:cs="Arial"/>
          <w:sz w:val="22"/>
          <w:szCs w:val="22"/>
        </w:rPr>
        <w:t xml:space="preserve">. Bead-stimulated cells were transferred to </w:t>
      </w:r>
      <w:proofErr w:type="spellStart"/>
      <w:r w:rsidRPr="00437A6C">
        <w:rPr>
          <w:rFonts w:ascii="Arial" w:hAnsi="Arial" w:cs="Arial"/>
          <w:sz w:val="22"/>
          <w:szCs w:val="22"/>
        </w:rPr>
        <w:t>Retronectin</w:t>
      </w:r>
      <w:proofErr w:type="spellEnd"/>
      <w:r w:rsidRPr="00437A6C">
        <w:rPr>
          <w:rFonts w:ascii="Arial" w:hAnsi="Arial" w:cs="Arial"/>
          <w:sz w:val="22"/>
          <w:szCs w:val="22"/>
        </w:rPr>
        <w:t>-coated virus-containing plates and incubated overnight. Transduction was repeated the next day before counting and diluting cells to 0.4x10</w:t>
      </w:r>
      <w:r w:rsidRPr="00437A6C">
        <w:rPr>
          <w:rFonts w:ascii="Arial" w:hAnsi="Arial" w:cs="Arial"/>
          <w:sz w:val="22"/>
          <w:szCs w:val="22"/>
          <w:vertAlign w:val="superscript"/>
        </w:rPr>
        <w:t>6</w:t>
      </w:r>
      <w:r w:rsidRPr="00437A6C">
        <w:rPr>
          <w:rFonts w:ascii="Arial" w:hAnsi="Arial" w:cs="Arial"/>
          <w:sz w:val="22"/>
          <w:szCs w:val="22"/>
        </w:rPr>
        <w:t xml:space="preserve"> cells/ml. After the second transduction cells were grown for an additional 7 days before removing beads using a DynaMag-15 magnet (Thermo). IL-2 was replenished every 2 days to 40IU/</w:t>
      </w:r>
      <w:proofErr w:type="spellStart"/>
      <w:r w:rsidRPr="00437A6C">
        <w:rPr>
          <w:rFonts w:ascii="Arial" w:hAnsi="Arial" w:cs="Arial"/>
          <w:sz w:val="22"/>
          <w:szCs w:val="22"/>
        </w:rPr>
        <w:t>mL.</w:t>
      </w:r>
      <w:proofErr w:type="spellEnd"/>
      <w:r w:rsidRPr="00437A6C">
        <w:rPr>
          <w:rFonts w:ascii="Arial" w:hAnsi="Arial" w:cs="Arial"/>
          <w:sz w:val="22"/>
          <w:szCs w:val="22"/>
        </w:rPr>
        <w:t xml:space="preserve"> Cells were frozen in 90% FCS/10% DMSO in liquid nitrogen until needed.</w:t>
      </w:r>
      <w:r w:rsidR="001037C9" w:rsidRPr="00437A6C">
        <w:rPr>
          <w:rFonts w:ascii="Arial" w:hAnsi="Arial" w:cs="Arial"/>
          <w:sz w:val="22"/>
          <w:szCs w:val="22"/>
        </w:rPr>
        <w:t xml:space="preserve"> CAT and FMC63-based CAR T cells showed comparable surface expression levels on primary human T cells after manufacturing</w:t>
      </w:r>
      <w:r w:rsidR="00E57E96" w:rsidRPr="00437A6C">
        <w:rPr>
          <w:rFonts w:ascii="Arial" w:hAnsi="Arial" w:cs="Arial"/>
          <w:sz w:val="22"/>
          <w:szCs w:val="22"/>
        </w:rPr>
        <w:t xml:space="preserve"> (</w:t>
      </w:r>
      <w:r w:rsidR="00E57E96" w:rsidRPr="00437A6C">
        <w:rPr>
          <w:rFonts w:ascii="Arial" w:hAnsi="Arial" w:cs="Arial"/>
          <w:color w:val="0709DF"/>
          <w:sz w:val="22"/>
          <w:szCs w:val="22"/>
        </w:rPr>
        <w:t xml:space="preserve">Suppl. Fig. </w:t>
      </w:r>
      <w:r w:rsidR="007C0542">
        <w:rPr>
          <w:rFonts w:ascii="Arial" w:hAnsi="Arial" w:cs="Arial"/>
          <w:color w:val="0709DF"/>
          <w:sz w:val="22"/>
          <w:szCs w:val="22"/>
        </w:rPr>
        <w:t>7</w:t>
      </w:r>
      <w:r w:rsidR="00E57E96" w:rsidRPr="00437A6C">
        <w:rPr>
          <w:rFonts w:ascii="Arial" w:hAnsi="Arial" w:cs="Arial"/>
          <w:sz w:val="22"/>
          <w:szCs w:val="22"/>
        </w:rPr>
        <w:t>)</w:t>
      </w:r>
      <w:r w:rsidR="001037C9" w:rsidRPr="00437A6C">
        <w:rPr>
          <w:rFonts w:ascii="Arial" w:hAnsi="Arial" w:cs="Arial"/>
          <w:sz w:val="22"/>
          <w:szCs w:val="22"/>
        </w:rPr>
        <w:t>. If transduction rate between constructs differed by more than 5%, all CAR T cell products were FACS sorted to achieve 95% CAR+ populations.</w:t>
      </w:r>
    </w:p>
    <w:p w14:paraId="393E0114"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i/>
          <w:iCs/>
          <w:sz w:val="22"/>
          <w:szCs w:val="22"/>
        </w:rPr>
        <w:t xml:space="preserve">In vitro </w:t>
      </w:r>
      <w:r w:rsidRPr="00437A6C">
        <w:rPr>
          <w:rFonts w:ascii="Arial" w:hAnsi="Arial" w:cs="Arial"/>
          <w:b/>
          <w:bCs/>
          <w:sz w:val="22"/>
          <w:szCs w:val="22"/>
        </w:rPr>
        <w:t>trogocytosis assay</w:t>
      </w:r>
    </w:p>
    <w:p w14:paraId="1ABC2BD8" w14:textId="6455B942" w:rsidR="002E12B0" w:rsidRPr="00437A6C" w:rsidRDefault="002E12B0" w:rsidP="002E12B0">
      <w:pPr>
        <w:spacing w:after="240" w:line="480" w:lineRule="auto"/>
        <w:rPr>
          <w:rFonts w:ascii="Arial" w:eastAsia="Times" w:hAnsi="Arial" w:cs="Arial"/>
          <w:sz w:val="22"/>
          <w:szCs w:val="22"/>
        </w:rPr>
      </w:pPr>
      <w:r w:rsidRPr="00437A6C">
        <w:rPr>
          <w:rFonts w:ascii="Arial" w:hAnsi="Arial" w:cs="Arial"/>
          <w:sz w:val="22"/>
          <w:szCs w:val="22"/>
        </w:rPr>
        <w:t xml:space="preserve">CAR T cells were cocultured with target cells at a defined </w:t>
      </w:r>
      <w:proofErr w:type="spellStart"/>
      <w:r w:rsidRPr="00437A6C">
        <w:rPr>
          <w:rFonts w:ascii="Arial" w:hAnsi="Arial" w:cs="Arial"/>
          <w:sz w:val="22"/>
          <w:szCs w:val="22"/>
        </w:rPr>
        <w:t>effector:target</w:t>
      </w:r>
      <w:proofErr w:type="spellEnd"/>
      <w:r w:rsidRPr="00437A6C">
        <w:rPr>
          <w:rFonts w:ascii="Arial" w:hAnsi="Arial" w:cs="Arial"/>
          <w:sz w:val="22"/>
          <w:szCs w:val="22"/>
        </w:rPr>
        <w:t xml:space="preserve"> ratio. For some experiments, target cells were first labelled with membrane dyes PKH26 (Sigma # MINI26) or </w:t>
      </w:r>
      <w:proofErr w:type="spellStart"/>
      <w:r w:rsidRPr="00437A6C">
        <w:rPr>
          <w:rFonts w:ascii="Arial" w:hAnsi="Arial" w:cs="Arial"/>
          <w:sz w:val="22"/>
          <w:szCs w:val="22"/>
        </w:rPr>
        <w:t>BioTracker</w:t>
      </w:r>
      <w:proofErr w:type="spellEnd"/>
      <w:r w:rsidRPr="00437A6C">
        <w:rPr>
          <w:rFonts w:ascii="Arial" w:hAnsi="Arial" w:cs="Arial"/>
          <w:sz w:val="22"/>
          <w:szCs w:val="22"/>
        </w:rPr>
        <w:t xml:space="preserve"> 555 (Sigma # SCT107) according to the manufacturer’s instructions. Cells were stained with the antibody panel described in Supplemental Table 1, </w:t>
      </w:r>
      <w:r w:rsidRPr="00437A6C">
        <w:rPr>
          <w:rFonts w:ascii="Arial" w:eastAsia="Times" w:hAnsi="Arial" w:cs="Arial"/>
          <w:sz w:val="22"/>
          <w:szCs w:val="22"/>
        </w:rPr>
        <w:t>500ng/mL</w:t>
      </w:r>
      <w:r w:rsidRPr="00437A6C">
        <w:rPr>
          <w:rFonts w:ascii="Arial" w:eastAsia="Times" w:hAnsi="Arial" w:cs="Arial"/>
          <w:b/>
          <w:sz w:val="22"/>
          <w:szCs w:val="22"/>
        </w:rPr>
        <w:t xml:space="preserve"> </w:t>
      </w:r>
      <w:r w:rsidRPr="00437A6C">
        <w:rPr>
          <w:rFonts w:ascii="Arial" w:eastAsia="Times" w:hAnsi="Arial" w:cs="Arial"/>
          <w:sz w:val="22"/>
          <w:szCs w:val="22"/>
        </w:rPr>
        <w:t xml:space="preserve">DAPI (Invitrogen # D1306) and counting beads (Thermo # PCB 100) were added following staining and cells were analyzed on a </w:t>
      </w:r>
      <w:proofErr w:type="spellStart"/>
      <w:r w:rsidRPr="00437A6C">
        <w:rPr>
          <w:rFonts w:ascii="Arial" w:eastAsia="Times" w:hAnsi="Arial" w:cs="Arial"/>
          <w:sz w:val="22"/>
          <w:szCs w:val="22"/>
        </w:rPr>
        <w:t>LSRFortessa</w:t>
      </w:r>
      <w:proofErr w:type="spellEnd"/>
      <w:r w:rsidRPr="00437A6C">
        <w:rPr>
          <w:rFonts w:ascii="Arial" w:eastAsia="Times" w:hAnsi="Arial" w:cs="Arial"/>
          <w:sz w:val="22"/>
          <w:szCs w:val="22"/>
        </w:rPr>
        <w:t xml:space="preserve"> or an LSR II flow cytometer (BD). </w:t>
      </w:r>
      <w:proofErr w:type="spellStart"/>
      <w:r w:rsidRPr="00437A6C">
        <w:rPr>
          <w:rFonts w:ascii="Arial" w:eastAsia="Times" w:hAnsi="Arial" w:cs="Arial"/>
          <w:sz w:val="22"/>
          <w:szCs w:val="22"/>
        </w:rPr>
        <w:t>Effector:target</w:t>
      </w:r>
      <w:proofErr w:type="spellEnd"/>
      <w:r w:rsidRPr="00437A6C">
        <w:rPr>
          <w:rFonts w:ascii="Arial" w:eastAsia="Times" w:hAnsi="Arial" w:cs="Arial"/>
          <w:sz w:val="22"/>
          <w:szCs w:val="22"/>
        </w:rPr>
        <w:t xml:space="preserve"> ratios and coculture times are listed in the figure legends.</w:t>
      </w:r>
      <w:r w:rsidRPr="00437A6C">
        <w:rPr>
          <w:rFonts w:ascii="Arial" w:hAnsi="Arial" w:cs="Arial"/>
          <w:sz w:val="22"/>
          <w:szCs w:val="22"/>
        </w:rPr>
        <w:t xml:space="preserve"> Gating schemes can be found in </w:t>
      </w:r>
      <w:r w:rsidR="00E57E96" w:rsidRPr="00437A6C">
        <w:rPr>
          <w:rFonts w:ascii="Arial" w:hAnsi="Arial" w:cs="Arial"/>
          <w:color w:val="0709DF"/>
          <w:sz w:val="22"/>
          <w:szCs w:val="22"/>
        </w:rPr>
        <w:t>Suppl. F</w:t>
      </w:r>
      <w:r w:rsidRPr="00437A6C">
        <w:rPr>
          <w:rFonts w:ascii="Arial" w:hAnsi="Arial" w:cs="Arial"/>
          <w:color w:val="0709DF"/>
          <w:sz w:val="22"/>
          <w:szCs w:val="22"/>
        </w:rPr>
        <w:t>ig</w:t>
      </w:r>
      <w:r w:rsidR="00E57E96" w:rsidRPr="00437A6C">
        <w:rPr>
          <w:rFonts w:ascii="Arial" w:hAnsi="Arial" w:cs="Arial"/>
          <w:color w:val="0709DF"/>
          <w:sz w:val="22"/>
          <w:szCs w:val="22"/>
        </w:rPr>
        <w:t>.</w:t>
      </w:r>
      <w:r w:rsidRPr="00437A6C">
        <w:rPr>
          <w:rFonts w:ascii="Arial" w:hAnsi="Arial" w:cs="Arial"/>
          <w:color w:val="0709DF"/>
          <w:sz w:val="22"/>
          <w:szCs w:val="22"/>
        </w:rPr>
        <w:t xml:space="preserve"> </w:t>
      </w:r>
      <w:r w:rsidR="007C0542">
        <w:rPr>
          <w:rFonts w:ascii="Arial" w:hAnsi="Arial" w:cs="Arial"/>
          <w:color w:val="0709DF"/>
          <w:sz w:val="22"/>
          <w:szCs w:val="22"/>
        </w:rPr>
        <w:t>8</w:t>
      </w:r>
      <w:r w:rsidRPr="00437A6C">
        <w:rPr>
          <w:rFonts w:ascii="Arial" w:hAnsi="Arial" w:cs="Arial"/>
          <w:sz w:val="22"/>
          <w:szCs w:val="22"/>
        </w:rPr>
        <w:t xml:space="preserve">. </w:t>
      </w:r>
    </w:p>
    <w:p w14:paraId="7E897658"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i/>
          <w:iCs/>
          <w:sz w:val="22"/>
          <w:szCs w:val="22"/>
        </w:rPr>
        <w:lastRenderedPageBreak/>
        <w:t xml:space="preserve">In vivo </w:t>
      </w:r>
      <w:r w:rsidRPr="00437A6C">
        <w:rPr>
          <w:rFonts w:ascii="Arial" w:hAnsi="Arial" w:cs="Arial"/>
          <w:b/>
          <w:bCs/>
          <w:sz w:val="22"/>
          <w:szCs w:val="22"/>
        </w:rPr>
        <w:t>trogocytosis model</w:t>
      </w:r>
    </w:p>
    <w:p w14:paraId="7A8E162F" w14:textId="5BF64EB7" w:rsidR="002E12B0" w:rsidRPr="00437A6C" w:rsidRDefault="002E12B0" w:rsidP="002E12B0">
      <w:pPr>
        <w:spacing w:after="240" w:line="480" w:lineRule="auto"/>
        <w:rPr>
          <w:rFonts w:ascii="Arial" w:hAnsi="Arial" w:cs="Arial"/>
          <w:b/>
          <w:bCs/>
          <w:sz w:val="22"/>
          <w:szCs w:val="22"/>
        </w:rPr>
      </w:pPr>
      <w:r w:rsidRPr="00437A6C">
        <w:rPr>
          <w:rFonts w:ascii="Arial" w:hAnsi="Arial" w:cs="Arial"/>
          <w:sz w:val="22"/>
          <w:szCs w:val="22"/>
        </w:rPr>
        <w:t xml:space="preserve">7-8-week-old female NSG mice were randomly grouped and </w:t>
      </w:r>
      <w:proofErr w:type="spellStart"/>
      <w:r w:rsidRPr="00437A6C">
        <w:rPr>
          <w:rFonts w:ascii="Arial" w:hAnsi="Arial" w:cs="Arial"/>
          <w:sz w:val="22"/>
          <w:szCs w:val="22"/>
        </w:rPr>
        <w:t>sublethally</w:t>
      </w:r>
      <w:proofErr w:type="spellEnd"/>
      <w:r w:rsidRPr="00437A6C">
        <w:rPr>
          <w:rFonts w:ascii="Arial" w:hAnsi="Arial" w:cs="Arial"/>
          <w:sz w:val="22"/>
          <w:szCs w:val="22"/>
        </w:rPr>
        <w:t xml:space="preserve"> irradiated at 5cGy on the morning of day -2 followed by </w:t>
      </w:r>
      <w:proofErr w:type="spellStart"/>
      <w:r w:rsidRPr="00437A6C">
        <w:rPr>
          <w:rFonts w:ascii="Arial" w:hAnsi="Arial" w:cs="Arial"/>
          <w:sz w:val="22"/>
          <w:szCs w:val="22"/>
        </w:rPr>
        <w:t>i.v.</w:t>
      </w:r>
      <w:proofErr w:type="spellEnd"/>
      <w:r w:rsidRPr="00437A6C">
        <w:rPr>
          <w:rFonts w:ascii="Arial" w:hAnsi="Arial" w:cs="Arial"/>
          <w:sz w:val="22"/>
          <w:szCs w:val="22"/>
        </w:rPr>
        <w:t xml:space="preserve"> administration of 2.5x10</w:t>
      </w:r>
      <w:r w:rsidRPr="00437A6C">
        <w:rPr>
          <w:rFonts w:ascii="Arial" w:hAnsi="Arial" w:cs="Arial"/>
          <w:sz w:val="22"/>
          <w:szCs w:val="22"/>
          <w:vertAlign w:val="superscript"/>
        </w:rPr>
        <w:t>5</w:t>
      </w:r>
      <w:r w:rsidRPr="00437A6C">
        <w:rPr>
          <w:rFonts w:ascii="Arial" w:hAnsi="Arial" w:cs="Arial"/>
          <w:sz w:val="22"/>
          <w:szCs w:val="22"/>
        </w:rPr>
        <w:t xml:space="preserve"> NALM6-Luc cells. </w:t>
      </w:r>
      <w:r w:rsidRPr="00437A6C">
        <w:rPr>
          <w:rFonts w:ascii="Arial" w:eastAsia="Times" w:hAnsi="Arial" w:cs="Arial"/>
          <w:sz w:val="22"/>
          <w:szCs w:val="22"/>
        </w:rPr>
        <w:t xml:space="preserve">Mice were administered 3.3 mg D-Luciferin in the morning of day 3 and luminescence was recorded after 10 minutes by an In Vivo Imaging System (IVIS, Perkin Elmer) followed by </w:t>
      </w:r>
      <w:proofErr w:type="spellStart"/>
      <w:r w:rsidRPr="00437A6C">
        <w:rPr>
          <w:rFonts w:ascii="Arial" w:eastAsia="Times" w:hAnsi="Arial" w:cs="Arial"/>
          <w:sz w:val="22"/>
          <w:szCs w:val="22"/>
        </w:rPr>
        <w:t>i.v.</w:t>
      </w:r>
      <w:proofErr w:type="spellEnd"/>
      <w:r w:rsidRPr="00437A6C">
        <w:rPr>
          <w:rFonts w:ascii="Arial" w:eastAsia="Times" w:hAnsi="Arial" w:cs="Arial"/>
          <w:sz w:val="22"/>
          <w:szCs w:val="22"/>
        </w:rPr>
        <w:t xml:space="preserve"> injection of </w:t>
      </w:r>
      <w:r w:rsidRPr="00437A6C">
        <w:rPr>
          <w:rFonts w:ascii="Arial" w:hAnsi="Arial" w:cs="Arial"/>
          <w:sz w:val="22"/>
          <w:szCs w:val="22"/>
        </w:rPr>
        <w:t>2.5x10</w:t>
      </w:r>
      <w:r w:rsidRPr="00437A6C">
        <w:rPr>
          <w:rFonts w:ascii="Arial" w:hAnsi="Arial" w:cs="Arial"/>
          <w:sz w:val="22"/>
          <w:szCs w:val="22"/>
          <w:vertAlign w:val="superscript"/>
        </w:rPr>
        <w:t>6</w:t>
      </w:r>
      <w:r w:rsidRPr="00437A6C">
        <w:rPr>
          <w:rFonts w:ascii="Arial" w:hAnsi="Arial" w:cs="Arial"/>
          <w:sz w:val="22"/>
          <w:szCs w:val="22"/>
        </w:rPr>
        <w:t xml:space="preserve"> ∆</w:t>
      </w:r>
      <w:proofErr w:type="spellStart"/>
      <w:r w:rsidRPr="00437A6C">
        <w:rPr>
          <w:rFonts w:ascii="Arial" w:hAnsi="Arial" w:cs="Arial"/>
          <w:sz w:val="22"/>
          <w:szCs w:val="22"/>
        </w:rPr>
        <w:t>scFv</w:t>
      </w:r>
      <w:proofErr w:type="spellEnd"/>
      <w:r w:rsidR="00FB7D73" w:rsidRPr="00437A6C">
        <w:rPr>
          <w:rFonts w:ascii="Arial" w:hAnsi="Arial" w:cs="Arial"/>
          <w:sz w:val="22"/>
          <w:szCs w:val="22"/>
        </w:rPr>
        <w:t>, CAT, or</w:t>
      </w:r>
      <w:r w:rsidRPr="00437A6C">
        <w:rPr>
          <w:rFonts w:ascii="Arial" w:hAnsi="Arial" w:cs="Arial"/>
          <w:sz w:val="22"/>
          <w:szCs w:val="22"/>
        </w:rPr>
        <w:t xml:space="preserve"> FMC63 CAR T cells. </w:t>
      </w:r>
      <w:r w:rsidR="00FB7D73" w:rsidRPr="00437A6C">
        <w:rPr>
          <w:rFonts w:ascii="Arial" w:hAnsi="Arial" w:cs="Arial"/>
          <w:sz w:val="22"/>
          <w:szCs w:val="22"/>
        </w:rPr>
        <w:t xml:space="preserve">Peripheral blood samples were obtained from all animals on days 3, 7, and 10. </w:t>
      </w:r>
      <w:r w:rsidRPr="00437A6C">
        <w:rPr>
          <w:rFonts w:ascii="Arial" w:hAnsi="Arial" w:cs="Arial"/>
          <w:sz w:val="22"/>
          <w:szCs w:val="22"/>
        </w:rPr>
        <w:t xml:space="preserve">All injections and monitoring by IVIS were performed by the preclinical research resource core at the University of Utah, a blinded third party. Tumor progression was monitored by IVIS on the morning of day 10 and </w:t>
      </w:r>
      <w:r w:rsidR="00FB7D73" w:rsidRPr="00437A6C">
        <w:rPr>
          <w:rFonts w:ascii="Arial" w:hAnsi="Arial" w:cs="Arial"/>
          <w:sz w:val="22"/>
          <w:szCs w:val="22"/>
        </w:rPr>
        <w:t xml:space="preserve">spleens and </w:t>
      </w:r>
      <w:r w:rsidRPr="00437A6C">
        <w:rPr>
          <w:rFonts w:ascii="Arial" w:hAnsi="Arial" w:cs="Arial"/>
          <w:sz w:val="22"/>
          <w:szCs w:val="22"/>
        </w:rPr>
        <w:t xml:space="preserve">cervical lymph nodes were collected in the afternoon. Lymph nodes were stained for CD19 expression using the panel described in supplemental table 1 following incubation with </w:t>
      </w:r>
      <w:proofErr w:type="spellStart"/>
      <w:r w:rsidRPr="00437A6C">
        <w:rPr>
          <w:rFonts w:ascii="Arial" w:eastAsia="Times" w:hAnsi="Arial" w:cs="Arial"/>
          <w:sz w:val="22"/>
          <w:szCs w:val="22"/>
        </w:rPr>
        <w:t>FcR</w:t>
      </w:r>
      <w:proofErr w:type="spellEnd"/>
      <w:r w:rsidRPr="00437A6C">
        <w:rPr>
          <w:rFonts w:ascii="Arial" w:eastAsia="Times" w:hAnsi="Arial" w:cs="Arial"/>
          <w:sz w:val="22"/>
          <w:szCs w:val="22"/>
        </w:rPr>
        <w:t xml:space="preserve"> blocking reagent (</w:t>
      </w:r>
      <w:proofErr w:type="spellStart"/>
      <w:r w:rsidRPr="00437A6C">
        <w:rPr>
          <w:rFonts w:ascii="Arial" w:eastAsia="Times" w:hAnsi="Arial" w:cs="Arial"/>
          <w:sz w:val="22"/>
          <w:szCs w:val="22"/>
        </w:rPr>
        <w:t>Miltenyi</w:t>
      </w:r>
      <w:proofErr w:type="spellEnd"/>
      <w:r w:rsidRPr="00437A6C">
        <w:rPr>
          <w:rFonts w:ascii="Arial" w:eastAsia="Times" w:hAnsi="Arial" w:cs="Arial"/>
          <w:sz w:val="22"/>
          <w:szCs w:val="22"/>
        </w:rPr>
        <w:t xml:space="preserve"> </w:t>
      </w:r>
      <w:proofErr w:type="spellStart"/>
      <w:r w:rsidRPr="00437A6C">
        <w:rPr>
          <w:rFonts w:ascii="Arial" w:eastAsia="Times" w:hAnsi="Arial" w:cs="Arial"/>
          <w:sz w:val="22"/>
          <w:szCs w:val="22"/>
        </w:rPr>
        <w:t>Biotec</w:t>
      </w:r>
      <w:proofErr w:type="spellEnd"/>
      <w:r w:rsidRPr="00437A6C">
        <w:rPr>
          <w:rFonts w:ascii="Arial" w:eastAsia="Times" w:hAnsi="Arial" w:cs="Arial"/>
          <w:sz w:val="22"/>
          <w:szCs w:val="22"/>
        </w:rPr>
        <w:t xml:space="preserve"> # 130-092-575). Cells were analyzed on a BD </w:t>
      </w:r>
      <w:proofErr w:type="spellStart"/>
      <w:r w:rsidRPr="00437A6C">
        <w:rPr>
          <w:rFonts w:ascii="Arial" w:eastAsia="Times" w:hAnsi="Arial" w:cs="Arial"/>
          <w:sz w:val="22"/>
          <w:szCs w:val="22"/>
        </w:rPr>
        <w:t>LSRFortessa</w:t>
      </w:r>
      <w:proofErr w:type="spellEnd"/>
      <w:r w:rsidRPr="00437A6C">
        <w:rPr>
          <w:rFonts w:ascii="Arial" w:eastAsia="Times" w:hAnsi="Arial" w:cs="Arial"/>
          <w:sz w:val="22"/>
          <w:szCs w:val="22"/>
        </w:rPr>
        <w:t xml:space="preserve">. </w:t>
      </w:r>
      <w:r w:rsidRPr="00437A6C">
        <w:rPr>
          <w:rFonts w:ascii="Arial" w:hAnsi="Arial" w:cs="Arial"/>
          <w:sz w:val="22"/>
          <w:szCs w:val="22"/>
        </w:rPr>
        <w:t xml:space="preserve">Gating schemes can be found in </w:t>
      </w:r>
      <w:r w:rsidR="00EA4DE2" w:rsidRPr="007C0542">
        <w:rPr>
          <w:rFonts w:ascii="Arial" w:hAnsi="Arial" w:cs="Arial"/>
          <w:color w:val="0709DF"/>
          <w:sz w:val="22"/>
          <w:szCs w:val="22"/>
        </w:rPr>
        <w:t>S</w:t>
      </w:r>
      <w:r w:rsidRPr="007C0542">
        <w:rPr>
          <w:rFonts w:ascii="Arial" w:hAnsi="Arial" w:cs="Arial"/>
          <w:color w:val="0709DF"/>
          <w:sz w:val="22"/>
          <w:szCs w:val="22"/>
        </w:rPr>
        <w:t>uppl</w:t>
      </w:r>
      <w:r w:rsidR="007C0542" w:rsidRPr="007C0542">
        <w:rPr>
          <w:rFonts w:ascii="Arial" w:hAnsi="Arial" w:cs="Arial"/>
          <w:color w:val="0709DF"/>
          <w:sz w:val="22"/>
          <w:szCs w:val="22"/>
        </w:rPr>
        <w:t>.</w:t>
      </w:r>
      <w:r w:rsidRPr="007C0542">
        <w:rPr>
          <w:rFonts w:ascii="Arial" w:hAnsi="Arial" w:cs="Arial"/>
          <w:color w:val="0709DF"/>
          <w:sz w:val="22"/>
          <w:szCs w:val="22"/>
        </w:rPr>
        <w:t xml:space="preserve"> </w:t>
      </w:r>
      <w:r w:rsidR="00EA4DE2" w:rsidRPr="007C0542">
        <w:rPr>
          <w:rFonts w:ascii="Arial" w:hAnsi="Arial" w:cs="Arial"/>
          <w:color w:val="0709DF"/>
          <w:sz w:val="22"/>
          <w:szCs w:val="22"/>
        </w:rPr>
        <w:t>F</w:t>
      </w:r>
      <w:r w:rsidRPr="007C0542">
        <w:rPr>
          <w:rFonts w:ascii="Arial" w:hAnsi="Arial" w:cs="Arial"/>
          <w:color w:val="0709DF"/>
          <w:sz w:val="22"/>
          <w:szCs w:val="22"/>
        </w:rPr>
        <w:t>ig</w:t>
      </w:r>
      <w:r w:rsidR="00EA4DE2" w:rsidRPr="007C0542">
        <w:rPr>
          <w:rFonts w:ascii="Arial" w:hAnsi="Arial" w:cs="Arial"/>
          <w:color w:val="0709DF"/>
          <w:sz w:val="22"/>
          <w:szCs w:val="22"/>
        </w:rPr>
        <w:t>.</w:t>
      </w:r>
      <w:r w:rsidRPr="007C0542">
        <w:rPr>
          <w:rFonts w:ascii="Arial" w:hAnsi="Arial" w:cs="Arial"/>
          <w:color w:val="0709DF"/>
          <w:sz w:val="22"/>
          <w:szCs w:val="22"/>
        </w:rPr>
        <w:t xml:space="preserve"> </w:t>
      </w:r>
      <w:r w:rsidR="007C0542" w:rsidRPr="007C0542">
        <w:rPr>
          <w:rFonts w:ascii="Arial" w:hAnsi="Arial" w:cs="Arial"/>
          <w:color w:val="0709DF"/>
          <w:sz w:val="22"/>
          <w:szCs w:val="22"/>
        </w:rPr>
        <w:t>8</w:t>
      </w:r>
      <w:r w:rsidRPr="00437A6C">
        <w:rPr>
          <w:rFonts w:ascii="Arial" w:hAnsi="Arial" w:cs="Arial"/>
          <w:sz w:val="22"/>
          <w:szCs w:val="22"/>
        </w:rPr>
        <w:t>.</w:t>
      </w:r>
    </w:p>
    <w:p w14:paraId="37F611F8"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sz w:val="22"/>
          <w:szCs w:val="22"/>
        </w:rPr>
        <w:t>CD19 bead stimulation assays</w:t>
      </w:r>
    </w:p>
    <w:p w14:paraId="761C2B89" w14:textId="497C8323" w:rsidR="002E12B0" w:rsidRPr="00437A6C" w:rsidRDefault="002E12B0" w:rsidP="002E12B0">
      <w:pPr>
        <w:spacing w:after="240" w:line="480" w:lineRule="auto"/>
        <w:rPr>
          <w:rFonts w:ascii="Arial" w:hAnsi="Arial" w:cs="Arial"/>
          <w:sz w:val="22"/>
          <w:szCs w:val="22"/>
        </w:rPr>
      </w:pPr>
      <w:r w:rsidRPr="00437A6C">
        <w:rPr>
          <w:rFonts w:ascii="Arial" w:hAnsi="Arial" w:cs="Arial"/>
          <w:sz w:val="22"/>
          <w:szCs w:val="22"/>
        </w:rPr>
        <w:t>For CAR T cell proliferation assays, ∆</w:t>
      </w:r>
      <w:proofErr w:type="spellStart"/>
      <w:r w:rsidRPr="00437A6C">
        <w:rPr>
          <w:rFonts w:ascii="Arial" w:hAnsi="Arial" w:cs="Arial"/>
          <w:sz w:val="22"/>
          <w:szCs w:val="22"/>
        </w:rPr>
        <w:t>scFv</w:t>
      </w:r>
      <w:proofErr w:type="spellEnd"/>
      <w:r w:rsidRPr="00437A6C">
        <w:rPr>
          <w:rFonts w:ascii="Arial" w:hAnsi="Arial" w:cs="Arial"/>
          <w:sz w:val="22"/>
          <w:szCs w:val="22"/>
        </w:rPr>
        <w:t xml:space="preserve">, FMC63, and CAT CAR T cells were stained with </w:t>
      </w:r>
      <w:proofErr w:type="spellStart"/>
      <w:r w:rsidRPr="00437A6C">
        <w:rPr>
          <w:rFonts w:ascii="Arial" w:hAnsi="Arial" w:cs="Arial"/>
          <w:sz w:val="22"/>
          <w:szCs w:val="22"/>
        </w:rPr>
        <w:t>CellTrace</w:t>
      </w:r>
      <w:proofErr w:type="spellEnd"/>
      <w:r w:rsidRPr="00437A6C">
        <w:rPr>
          <w:rFonts w:ascii="Arial" w:hAnsi="Arial" w:cs="Arial"/>
          <w:sz w:val="22"/>
          <w:szCs w:val="22"/>
        </w:rPr>
        <w:t xml:space="preserve"> Far Red dye (Thermo # C34564) according to the manufacturer’s instructions. CAR T cells were starved of IL-2 for 5 days before the addition of CD19-coated (Acro Biosystems # MBS-K005) or BCMA-coated (Acro Biosystems # MBS-K004) paramagnetic beads. 40IU/mL IL-2 was added to cultures together with beads, and replenished every 2 days. Dye dilution was determined after 5 days on an LSR II flow cytometer (BD). IFN</w:t>
      </w:r>
      <w:r w:rsidRPr="00437A6C">
        <w:rPr>
          <w:rFonts w:ascii="Arial" w:hAnsi="Arial" w:cs="Arial"/>
          <w:sz w:val="22"/>
          <w:szCs w:val="22"/>
        </w:rPr>
        <w:sym w:font="Symbol" w:char="F067"/>
      </w:r>
      <w:r w:rsidRPr="00437A6C">
        <w:rPr>
          <w:rFonts w:ascii="Arial" w:hAnsi="Arial" w:cs="Arial"/>
          <w:sz w:val="22"/>
          <w:szCs w:val="22"/>
        </w:rPr>
        <w:t xml:space="preserve"> concentrations in cell culture supernatants were determined after 48h by ELISA (</w:t>
      </w:r>
      <w:proofErr w:type="spellStart"/>
      <w:r w:rsidRPr="00437A6C">
        <w:rPr>
          <w:rFonts w:ascii="Arial" w:hAnsi="Arial" w:cs="Arial"/>
          <w:sz w:val="22"/>
          <w:szCs w:val="22"/>
        </w:rPr>
        <w:t>Biolegend</w:t>
      </w:r>
      <w:proofErr w:type="spellEnd"/>
      <w:r w:rsidRPr="00437A6C">
        <w:rPr>
          <w:rFonts w:ascii="Arial" w:hAnsi="Arial" w:cs="Arial"/>
          <w:sz w:val="22"/>
          <w:szCs w:val="22"/>
        </w:rPr>
        <w:t xml:space="preserve"> # 430104) according to the manufacturer’s instructions. Flow cytometry data was analyzed using </w:t>
      </w:r>
      <w:proofErr w:type="spellStart"/>
      <w:r w:rsidRPr="00437A6C">
        <w:rPr>
          <w:rFonts w:ascii="Arial" w:hAnsi="Arial" w:cs="Arial"/>
          <w:sz w:val="22"/>
          <w:szCs w:val="22"/>
        </w:rPr>
        <w:t>FlowJo</w:t>
      </w:r>
      <w:proofErr w:type="spellEnd"/>
      <w:r w:rsidRPr="00437A6C">
        <w:rPr>
          <w:rFonts w:ascii="Arial" w:hAnsi="Arial" w:cs="Arial"/>
          <w:sz w:val="22"/>
          <w:szCs w:val="22"/>
        </w:rPr>
        <w:t xml:space="preserve"> 10 (BD).</w:t>
      </w:r>
    </w:p>
    <w:p w14:paraId="5FF104A1" w14:textId="77777777" w:rsidR="003B59FE" w:rsidRPr="00437A6C" w:rsidRDefault="003B59FE" w:rsidP="003B59FE">
      <w:pPr>
        <w:spacing w:line="480" w:lineRule="auto"/>
        <w:rPr>
          <w:rFonts w:ascii="Arial" w:hAnsi="Arial" w:cs="Arial"/>
          <w:b/>
          <w:bCs/>
          <w:sz w:val="22"/>
          <w:szCs w:val="22"/>
        </w:rPr>
      </w:pPr>
      <w:r w:rsidRPr="00437A6C">
        <w:rPr>
          <w:rFonts w:ascii="Arial" w:hAnsi="Arial" w:cs="Arial"/>
          <w:b/>
          <w:bCs/>
          <w:sz w:val="22"/>
          <w:szCs w:val="22"/>
        </w:rPr>
        <w:t>Luciferase-based cytotoxicity assay</w:t>
      </w:r>
    </w:p>
    <w:p w14:paraId="48BFAD15" w14:textId="0D4C02E7" w:rsidR="003B59FE" w:rsidRPr="00437A6C" w:rsidRDefault="003B59FE" w:rsidP="003B59FE">
      <w:pPr>
        <w:spacing w:after="240" w:line="480" w:lineRule="auto"/>
        <w:rPr>
          <w:rFonts w:ascii="Arial" w:hAnsi="Arial" w:cs="Arial"/>
          <w:sz w:val="22"/>
          <w:szCs w:val="22"/>
        </w:rPr>
      </w:pPr>
      <w:r w:rsidRPr="00437A6C">
        <w:rPr>
          <w:rFonts w:ascii="Arial" w:hAnsi="Arial" w:cs="Arial"/>
          <w:sz w:val="22"/>
          <w:szCs w:val="22"/>
        </w:rPr>
        <w:t xml:space="preserve">To determine the cytotoxicity of variant CD229 CAR T cells against the multiple myeloma cell line U-266, U-266 cells were transduced with </w:t>
      </w:r>
      <w:proofErr w:type="spellStart"/>
      <w:r w:rsidRPr="00437A6C">
        <w:rPr>
          <w:rFonts w:ascii="Arial" w:hAnsi="Arial" w:cs="Arial"/>
          <w:sz w:val="22"/>
          <w:szCs w:val="22"/>
        </w:rPr>
        <w:t>pHIV</w:t>
      </w:r>
      <w:proofErr w:type="spellEnd"/>
      <w:r w:rsidRPr="00437A6C">
        <w:rPr>
          <w:rFonts w:ascii="Arial" w:hAnsi="Arial" w:cs="Arial"/>
          <w:sz w:val="22"/>
          <w:szCs w:val="22"/>
        </w:rPr>
        <w:t>-Luc-</w:t>
      </w:r>
      <w:proofErr w:type="spellStart"/>
      <w:r w:rsidRPr="00437A6C">
        <w:rPr>
          <w:rFonts w:ascii="Arial" w:hAnsi="Arial" w:cs="Arial"/>
          <w:sz w:val="22"/>
          <w:szCs w:val="22"/>
        </w:rPr>
        <w:t>ZsGreen</w:t>
      </w:r>
      <w:proofErr w:type="spellEnd"/>
      <w:r w:rsidRPr="00437A6C">
        <w:rPr>
          <w:rFonts w:ascii="Arial" w:hAnsi="Arial" w:cs="Arial"/>
          <w:sz w:val="22"/>
          <w:szCs w:val="22"/>
        </w:rPr>
        <w:t xml:space="preserve"> lentivirus and sorted on a </w:t>
      </w:r>
      <w:proofErr w:type="spellStart"/>
      <w:r w:rsidRPr="00437A6C">
        <w:rPr>
          <w:rFonts w:ascii="Arial" w:hAnsi="Arial" w:cs="Arial"/>
          <w:sz w:val="22"/>
          <w:szCs w:val="22"/>
        </w:rPr>
        <w:lastRenderedPageBreak/>
        <w:t>FACSaria</w:t>
      </w:r>
      <w:proofErr w:type="spellEnd"/>
      <w:r w:rsidRPr="00437A6C">
        <w:rPr>
          <w:rFonts w:ascii="Arial" w:hAnsi="Arial" w:cs="Arial"/>
          <w:sz w:val="22"/>
          <w:szCs w:val="22"/>
        </w:rPr>
        <w:t xml:space="preserve"> flow cytometer (BD) for GFP expression. 5×104 target U-266 cells were seeded in each well of a round bottom 96 well plate. Various ratios of CAR T cells were co-cultured with the U-266 cells overnight at 37°C 5% CO2. After the co culture, cells were suspended by gentle pipetting and 100uL were moved to a 96 well black flat bottom plate. 150 </w:t>
      </w:r>
      <w:proofErr w:type="spellStart"/>
      <w:r w:rsidRPr="00437A6C">
        <w:rPr>
          <w:rFonts w:ascii="Arial" w:hAnsi="Arial" w:cs="Arial"/>
          <w:sz w:val="22"/>
          <w:szCs w:val="22"/>
        </w:rPr>
        <w:t>μg</w:t>
      </w:r>
      <w:proofErr w:type="spellEnd"/>
      <w:r w:rsidRPr="00437A6C">
        <w:rPr>
          <w:rFonts w:ascii="Arial" w:hAnsi="Arial" w:cs="Arial"/>
          <w:sz w:val="22"/>
          <w:szCs w:val="22"/>
        </w:rPr>
        <w:t>/ml D-luciferin (Gold Biotechnology Cat# LUCNA-2G) was added to the cells and incubated for 5 mins at 37°C. Luminescence was determined on a multi-mode plate reader (Tecan Spark).</w:t>
      </w:r>
    </w:p>
    <w:p w14:paraId="31BF1BCF"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sz w:val="22"/>
          <w:szCs w:val="22"/>
        </w:rPr>
        <w:t>Study approval</w:t>
      </w:r>
    </w:p>
    <w:p w14:paraId="0B9AA38D" w14:textId="77777777" w:rsidR="002E12B0" w:rsidRPr="00437A6C" w:rsidRDefault="002E12B0" w:rsidP="002E12B0">
      <w:pPr>
        <w:spacing w:after="240" w:line="480" w:lineRule="auto"/>
        <w:rPr>
          <w:rFonts w:ascii="Arial" w:hAnsi="Arial" w:cs="Arial"/>
          <w:sz w:val="22"/>
          <w:szCs w:val="22"/>
        </w:rPr>
      </w:pPr>
      <w:r w:rsidRPr="00437A6C">
        <w:rPr>
          <w:rFonts w:ascii="Arial" w:eastAsia="Times" w:hAnsi="Arial" w:cs="Arial"/>
          <w:sz w:val="22"/>
          <w:szCs w:val="22"/>
        </w:rPr>
        <w:t>Informed consent was obtained from all patients and samples were collected with the approval of the Institutional Review Boards of the University of Utah (IRB #45880) and Tisch Cancer Institute (IRB #13-1347, 17-2164, 17-0554).</w:t>
      </w:r>
      <w:r w:rsidRPr="00437A6C">
        <w:rPr>
          <w:rFonts w:ascii="Arial" w:hAnsi="Arial" w:cs="Arial"/>
          <w:sz w:val="22"/>
          <w:szCs w:val="22"/>
        </w:rPr>
        <w:t xml:space="preserve"> All animal procedures were conducted under protocol #16-05007, approved by the Institutional Animal Care and Use Committee at the University of Utah.</w:t>
      </w:r>
    </w:p>
    <w:p w14:paraId="46811969" w14:textId="77777777" w:rsidR="002E12B0" w:rsidRPr="00437A6C" w:rsidRDefault="002E12B0" w:rsidP="002E12B0">
      <w:pPr>
        <w:spacing w:line="480" w:lineRule="auto"/>
        <w:rPr>
          <w:rFonts w:ascii="Arial" w:hAnsi="Arial" w:cs="Arial"/>
          <w:b/>
          <w:bCs/>
          <w:sz w:val="22"/>
          <w:szCs w:val="22"/>
        </w:rPr>
      </w:pPr>
      <w:r w:rsidRPr="00437A6C">
        <w:rPr>
          <w:rFonts w:ascii="Arial" w:hAnsi="Arial" w:cs="Arial"/>
          <w:b/>
          <w:bCs/>
          <w:sz w:val="22"/>
          <w:szCs w:val="22"/>
        </w:rPr>
        <w:t>Statistical analyses</w:t>
      </w:r>
    </w:p>
    <w:p w14:paraId="0E65A8C3" w14:textId="02813CE5" w:rsidR="003B59FE" w:rsidRPr="00437A6C" w:rsidRDefault="00D160B6" w:rsidP="00D160B6">
      <w:pPr>
        <w:spacing w:after="240" w:line="480" w:lineRule="auto"/>
        <w:rPr>
          <w:rFonts w:ascii="Arial" w:hAnsi="Arial" w:cs="Arial"/>
          <w:sz w:val="22"/>
          <w:szCs w:val="22"/>
        </w:rPr>
      </w:pPr>
      <w:r w:rsidRPr="00437A6C">
        <w:rPr>
          <w:rFonts w:ascii="Arial" w:hAnsi="Arial" w:cs="Arial"/>
          <w:sz w:val="22"/>
          <w:szCs w:val="22"/>
        </w:rPr>
        <w:t xml:space="preserve">No statistical methods were used to determine sample size. Sample sizes for in vivo experiments were based on previous experiments and similar published studies. No data were excluded from analysis and all attempts at replication were successful. Animals were age- and sex-matched and randomly grouped on the day of xenograft administration. CAR T cell administration, IVIS measurements and tissue collection were performed by a blinded third party, namely the Preclinical Research Resource core at the Huntsman Cancer Institute. </w:t>
      </w:r>
      <w:r w:rsidR="002E12B0" w:rsidRPr="00437A6C">
        <w:rPr>
          <w:rFonts w:ascii="Arial" w:hAnsi="Arial" w:cs="Arial"/>
          <w:sz w:val="22"/>
          <w:szCs w:val="22"/>
        </w:rPr>
        <w:t xml:space="preserve">Significance of differences in cell numbers, cytokine levels, and mean fluorescence intensity were calculated by two-tailed Student’s t-test. All statistical tests were performed using Prism 9 (GraphPad Software). Results were considered significant when p or adjusted p &lt; 0.05. </w:t>
      </w:r>
    </w:p>
    <w:p w14:paraId="663D0D33" w14:textId="156E5217" w:rsidR="003B59FE" w:rsidRPr="00437A6C" w:rsidRDefault="003B59FE" w:rsidP="003B59FE">
      <w:pPr>
        <w:spacing w:before="240" w:line="480" w:lineRule="auto"/>
        <w:rPr>
          <w:rFonts w:ascii="Arial" w:hAnsi="Arial" w:cs="Arial"/>
          <w:b/>
          <w:bCs/>
          <w:sz w:val="22"/>
          <w:szCs w:val="22"/>
        </w:rPr>
      </w:pPr>
      <w:r w:rsidRPr="00437A6C">
        <w:rPr>
          <w:rFonts w:ascii="Arial" w:hAnsi="Arial" w:cs="Arial"/>
          <w:b/>
          <w:bCs/>
          <w:sz w:val="22"/>
          <w:szCs w:val="22"/>
        </w:rPr>
        <w:t>REFERENCES</w:t>
      </w:r>
    </w:p>
    <w:p w14:paraId="47E2CA65" w14:textId="77777777" w:rsidR="00EA4DE2" w:rsidRPr="00437A6C" w:rsidRDefault="00015908" w:rsidP="00563C50">
      <w:pPr>
        <w:pStyle w:val="EndNoteBibliography"/>
        <w:spacing w:line="360" w:lineRule="auto"/>
        <w:ind w:left="720" w:hanging="720"/>
        <w:rPr>
          <w:noProof/>
        </w:rPr>
      </w:pPr>
      <w:r w:rsidRPr="00437A6C">
        <w:rPr>
          <w:rFonts w:ascii="Arial" w:hAnsi="Arial" w:cs="Arial"/>
          <w:sz w:val="22"/>
          <w:szCs w:val="22"/>
        </w:rPr>
        <w:lastRenderedPageBreak/>
        <w:fldChar w:fldCharType="begin"/>
      </w:r>
      <w:r w:rsidRPr="00437A6C">
        <w:rPr>
          <w:rFonts w:ascii="Arial" w:hAnsi="Arial" w:cs="Arial"/>
          <w:sz w:val="22"/>
          <w:szCs w:val="22"/>
        </w:rPr>
        <w:instrText xml:space="preserve"> ADDIN EN.REFLIST </w:instrText>
      </w:r>
      <w:r w:rsidRPr="00437A6C">
        <w:rPr>
          <w:rFonts w:ascii="Arial" w:hAnsi="Arial" w:cs="Arial"/>
          <w:sz w:val="22"/>
          <w:szCs w:val="22"/>
        </w:rPr>
        <w:fldChar w:fldCharType="separate"/>
      </w:r>
      <w:r w:rsidR="00EA4DE2" w:rsidRPr="00437A6C">
        <w:rPr>
          <w:noProof/>
        </w:rPr>
        <w:t>1</w:t>
      </w:r>
      <w:r w:rsidR="00EA4DE2" w:rsidRPr="00437A6C">
        <w:rPr>
          <w:noProof/>
        </w:rPr>
        <w:tab/>
        <w:t>Nicholson, I. C.</w:t>
      </w:r>
      <w:r w:rsidR="00EA4DE2" w:rsidRPr="00437A6C">
        <w:rPr>
          <w:i/>
          <w:noProof/>
        </w:rPr>
        <w:t xml:space="preserve"> et al.</w:t>
      </w:r>
      <w:r w:rsidR="00EA4DE2" w:rsidRPr="00437A6C">
        <w:rPr>
          <w:noProof/>
        </w:rPr>
        <w:t xml:space="preserve"> Construction and characterisation of a functional CD19 specific single chain Fv fragment for immunotherapy of B lineage leukaemia and lymphoma. </w:t>
      </w:r>
      <w:r w:rsidR="00EA4DE2" w:rsidRPr="00437A6C">
        <w:rPr>
          <w:i/>
          <w:noProof/>
        </w:rPr>
        <w:t>Mol Immunol</w:t>
      </w:r>
      <w:r w:rsidR="00EA4DE2" w:rsidRPr="00437A6C">
        <w:rPr>
          <w:noProof/>
        </w:rPr>
        <w:t xml:space="preserve"> </w:t>
      </w:r>
      <w:r w:rsidR="00EA4DE2" w:rsidRPr="00437A6C">
        <w:rPr>
          <w:b/>
          <w:noProof/>
        </w:rPr>
        <w:t>34</w:t>
      </w:r>
      <w:r w:rsidR="00EA4DE2" w:rsidRPr="00437A6C">
        <w:rPr>
          <w:noProof/>
        </w:rPr>
        <w:t>, 1157-1165 (1997).</w:t>
      </w:r>
    </w:p>
    <w:p w14:paraId="550976ED" w14:textId="77777777" w:rsidR="00EA4DE2" w:rsidRPr="00437A6C" w:rsidRDefault="00EA4DE2" w:rsidP="00563C50">
      <w:pPr>
        <w:pStyle w:val="EndNoteBibliography"/>
        <w:spacing w:line="360" w:lineRule="auto"/>
        <w:ind w:left="720" w:hanging="720"/>
        <w:rPr>
          <w:noProof/>
        </w:rPr>
      </w:pPr>
      <w:r w:rsidRPr="00437A6C">
        <w:rPr>
          <w:noProof/>
        </w:rPr>
        <w:t>2</w:t>
      </w:r>
      <w:r w:rsidRPr="00437A6C">
        <w:rPr>
          <w:noProof/>
        </w:rPr>
        <w:tab/>
        <w:t>Ghorashian, S.</w:t>
      </w:r>
      <w:r w:rsidRPr="00437A6C">
        <w:rPr>
          <w:i/>
          <w:noProof/>
        </w:rPr>
        <w:t xml:space="preserve"> et al.</w:t>
      </w:r>
      <w:r w:rsidRPr="00437A6C">
        <w:rPr>
          <w:noProof/>
        </w:rPr>
        <w:t xml:space="preserve"> Enhanced CAR T cell expansion and prolonged persistence in pediatric patients with ALL treated with a low-affinity CD19 CAR. </w:t>
      </w:r>
      <w:r w:rsidRPr="00437A6C">
        <w:rPr>
          <w:i/>
          <w:noProof/>
        </w:rPr>
        <w:t>Nature Medicine</w:t>
      </w:r>
      <w:r w:rsidRPr="00437A6C">
        <w:rPr>
          <w:noProof/>
        </w:rPr>
        <w:t xml:space="preserve"> </w:t>
      </w:r>
      <w:r w:rsidRPr="00437A6C">
        <w:rPr>
          <w:b/>
          <w:noProof/>
        </w:rPr>
        <w:t>25</w:t>
      </w:r>
      <w:r w:rsidRPr="00437A6C">
        <w:rPr>
          <w:noProof/>
        </w:rPr>
        <w:t>, 1408-1414, doi:10.1038/s41591-019-0549-5 (2019).</w:t>
      </w:r>
    </w:p>
    <w:p w14:paraId="308C5599" w14:textId="77777777" w:rsidR="00EA4DE2" w:rsidRPr="00437A6C" w:rsidRDefault="00EA4DE2" w:rsidP="00563C50">
      <w:pPr>
        <w:pStyle w:val="EndNoteBibliography"/>
        <w:spacing w:line="360" w:lineRule="auto"/>
        <w:ind w:left="720" w:hanging="720"/>
        <w:rPr>
          <w:noProof/>
        </w:rPr>
      </w:pPr>
      <w:r w:rsidRPr="00437A6C">
        <w:rPr>
          <w:noProof/>
        </w:rPr>
        <w:t>3</w:t>
      </w:r>
      <w:r w:rsidRPr="00437A6C">
        <w:rPr>
          <w:noProof/>
        </w:rPr>
        <w:tab/>
        <w:t>AMROLIA P, C. G., GHORASHIAN S, Kramer A, MEKKAOUI L, Pule M. Chimeric antigen receptor (CAR) comprising a CD19-binding domain. US patent (2019).</w:t>
      </w:r>
    </w:p>
    <w:p w14:paraId="689C1FAA" w14:textId="77777777" w:rsidR="00EA4DE2" w:rsidRPr="00437A6C" w:rsidRDefault="00EA4DE2" w:rsidP="00563C50">
      <w:pPr>
        <w:pStyle w:val="EndNoteBibliography"/>
        <w:spacing w:line="360" w:lineRule="auto"/>
        <w:ind w:left="720" w:hanging="720"/>
        <w:rPr>
          <w:noProof/>
        </w:rPr>
      </w:pPr>
      <w:r w:rsidRPr="00437A6C">
        <w:rPr>
          <w:noProof/>
        </w:rPr>
        <w:t>4</w:t>
      </w:r>
      <w:r w:rsidRPr="00437A6C">
        <w:rPr>
          <w:noProof/>
        </w:rPr>
        <w:tab/>
        <w:t>Radhakrishnan, S. V.</w:t>
      </w:r>
      <w:r w:rsidRPr="00437A6C">
        <w:rPr>
          <w:i/>
          <w:noProof/>
        </w:rPr>
        <w:t xml:space="preserve"> et al.</w:t>
      </w:r>
      <w:r w:rsidRPr="00437A6C">
        <w:rPr>
          <w:noProof/>
        </w:rPr>
        <w:t xml:space="preserve"> CD229 CAR T cells eliminate multiple myeloma and tumor propagating cells without fratricide. </w:t>
      </w:r>
      <w:r w:rsidRPr="00437A6C">
        <w:rPr>
          <w:i/>
          <w:noProof/>
        </w:rPr>
        <w:t>Nat Commun</w:t>
      </w:r>
      <w:r w:rsidRPr="00437A6C">
        <w:rPr>
          <w:noProof/>
        </w:rPr>
        <w:t xml:space="preserve"> </w:t>
      </w:r>
      <w:r w:rsidRPr="00437A6C">
        <w:rPr>
          <w:b/>
          <w:noProof/>
        </w:rPr>
        <w:t>11</w:t>
      </w:r>
      <w:r w:rsidRPr="00437A6C">
        <w:rPr>
          <w:noProof/>
        </w:rPr>
        <w:t>, 798, doi:10.1038/s41467-020-14619-z (2020).</w:t>
      </w:r>
    </w:p>
    <w:p w14:paraId="7C78965C" w14:textId="12BC9B3D" w:rsidR="003A2DB9" w:rsidRPr="00A91AA6" w:rsidRDefault="00015908" w:rsidP="00563C50">
      <w:pPr>
        <w:spacing w:line="360" w:lineRule="auto"/>
        <w:rPr>
          <w:rFonts w:ascii="Arial" w:hAnsi="Arial" w:cs="Arial"/>
          <w:sz w:val="22"/>
          <w:szCs w:val="22"/>
        </w:rPr>
      </w:pPr>
      <w:r w:rsidRPr="00437A6C">
        <w:rPr>
          <w:rFonts w:ascii="Arial" w:hAnsi="Arial" w:cs="Arial"/>
          <w:sz w:val="22"/>
          <w:szCs w:val="22"/>
        </w:rPr>
        <w:fldChar w:fldCharType="end"/>
      </w:r>
    </w:p>
    <w:sectPr w:rsidR="003A2DB9" w:rsidRPr="00A91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p90fxxy5vdf6ed5wyvvpfjzwdzvpxzdptf&quot;&gt;mmcd229_references-Converted&lt;record-ids&gt;&lt;item&gt;27&lt;/item&gt;&lt;item&gt;212&lt;/item&gt;&lt;item&gt;260&lt;/item&gt;&lt;item&gt;261&lt;/item&gt;&lt;/record-ids&gt;&lt;/item&gt;&lt;/Libraries&gt;"/>
  </w:docVars>
  <w:rsids>
    <w:rsidRoot w:val="00BF250F"/>
    <w:rsid w:val="00003993"/>
    <w:rsid w:val="00015521"/>
    <w:rsid w:val="00015908"/>
    <w:rsid w:val="00015F48"/>
    <w:rsid w:val="0006694D"/>
    <w:rsid w:val="00076B9B"/>
    <w:rsid w:val="00080792"/>
    <w:rsid w:val="001037C9"/>
    <w:rsid w:val="001331D3"/>
    <w:rsid w:val="00194471"/>
    <w:rsid w:val="001E4AE8"/>
    <w:rsid w:val="00260CA8"/>
    <w:rsid w:val="002848EA"/>
    <w:rsid w:val="00294252"/>
    <w:rsid w:val="002E12B0"/>
    <w:rsid w:val="003A2DB9"/>
    <w:rsid w:val="003B59FE"/>
    <w:rsid w:val="003E75E5"/>
    <w:rsid w:val="00402127"/>
    <w:rsid w:val="00430F29"/>
    <w:rsid w:val="00437A6C"/>
    <w:rsid w:val="004649AE"/>
    <w:rsid w:val="004A5E68"/>
    <w:rsid w:val="004E1780"/>
    <w:rsid w:val="00525583"/>
    <w:rsid w:val="00563C50"/>
    <w:rsid w:val="005C5C72"/>
    <w:rsid w:val="006223E0"/>
    <w:rsid w:val="006C12BF"/>
    <w:rsid w:val="00722597"/>
    <w:rsid w:val="007753A5"/>
    <w:rsid w:val="007A29DE"/>
    <w:rsid w:val="007C0542"/>
    <w:rsid w:val="007E0E42"/>
    <w:rsid w:val="0081681F"/>
    <w:rsid w:val="008859D9"/>
    <w:rsid w:val="0097473D"/>
    <w:rsid w:val="009A5891"/>
    <w:rsid w:val="009B7434"/>
    <w:rsid w:val="00A076C5"/>
    <w:rsid w:val="00A91AA6"/>
    <w:rsid w:val="00AB7FBD"/>
    <w:rsid w:val="00AD06EF"/>
    <w:rsid w:val="00B535AA"/>
    <w:rsid w:val="00B828B5"/>
    <w:rsid w:val="00BC61FB"/>
    <w:rsid w:val="00BF250F"/>
    <w:rsid w:val="00C15EE9"/>
    <w:rsid w:val="00C642B6"/>
    <w:rsid w:val="00CB2A3D"/>
    <w:rsid w:val="00CE1579"/>
    <w:rsid w:val="00D160B6"/>
    <w:rsid w:val="00D850A9"/>
    <w:rsid w:val="00D90815"/>
    <w:rsid w:val="00DA54F7"/>
    <w:rsid w:val="00DC0C76"/>
    <w:rsid w:val="00DE3AF0"/>
    <w:rsid w:val="00DE62EB"/>
    <w:rsid w:val="00E109CE"/>
    <w:rsid w:val="00E25326"/>
    <w:rsid w:val="00E57E96"/>
    <w:rsid w:val="00EA4DE2"/>
    <w:rsid w:val="00F0465E"/>
    <w:rsid w:val="00F54CE2"/>
    <w:rsid w:val="00F84FD2"/>
    <w:rsid w:val="00FB7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FA4B"/>
  <w14:defaultImageDpi w14:val="32767"/>
  <w15:chartTrackingRefBased/>
  <w15:docId w15:val="{48E61776-F047-3846-8388-76A368D5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F25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5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50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30F29"/>
    <w:rPr>
      <w:sz w:val="16"/>
      <w:szCs w:val="16"/>
    </w:rPr>
  </w:style>
  <w:style w:type="paragraph" w:styleId="CommentText">
    <w:name w:val="annotation text"/>
    <w:basedOn w:val="Normal"/>
    <w:link w:val="CommentTextChar"/>
    <w:uiPriority w:val="99"/>
    <w:semiHidden/>
    <w:unhideWhenUsed/>
    <w:rsid w:val="00430F29"/>
    <w:rPr>
      <w:sz w:val="20"/>
      <w:szCs w:val="20"/>
    </w:rPr>
  </w:style>
  <w:style w:type="character" w:customStyle="1" w:styleId="CommentTextChar">
    <w:name w:val="Comment Text Char"/>
    <w:basedOn w:val="DefaultParagraphFont"/>
    <w:link w:val="CommentText"/>
    <w:uiPriority w:val="99"/>
    <w:semiHidden/>
    <w:rsid w:val="00430F29"/>
    <w:rPr>
      <w:sz w:val="20"/>
      <w:szCs w:val="20"/>
    </w:rPr>
  </w:style>
  <w:style w:type="paragraph" w:styleId="CommentSubject">
    <w:name w:val="annotation subject"/>
    <w:basedOn w:val="CommentText"/>
    <w:next w:val="CommentText"/>
    <w:link w:val="CommentSubjectChar"/>
    <w:uiPriority w:val="99"/>
    <w:semiHidden/>
    <w:unhideWhenUsed/>
    <w:rsid w:val="00430F29"/>
    <w:rPr>
      <w:b/>
      <w:bCs/>
    </w:rPr>
  </w:style>
  <w:style w:type="character" w:customStyle="1" w:styleId="CommentSubjectChar">
    <w:name w:val="Comment Subject Char"/>
    <w:basedOn w:val="CommentTextChar"/>
    <w:link w:val="CommentSubject"/>
    <w:uiPriority w:val="99"/>
    <w:semiHidden/>
    <w:rsid w:val="00430F29"/>
    <w:rPr>
      <w:b/>
      <w:bCs/>
      <w:sz w:val="20"/>
      <w:szCs w:val="20"/>
    </w:rPr>
  </w:style>
  <w:style w:type="paragraph" w:customStyle="1" w:styleId="EndNoteBibliographyTitle">
    <w:name w:val="EndNote Bibliography Title"/>
    <w:basedOn w:val="Normal"/>
    <w:link w:val="EndNoteBibliographyTitleChar"/>
    <w:rsid w:val="00015908"/>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015908"/>
    <w:rPr>
      <w:rFonts w:ascii="Calibri" w:hAnsi="Calibri" w:cs="Calibri"/>
    </w:rPr>
  </w:style>
  <w:style w:type="paragraph" w:customStyle="1" w:styleId="EndNoteBibliography">
    <w:name w:val="EndNote Bibliography"/>
    <w:basedOn w:val="Normal"/>
    <w:link w:val="EndNoteBibliographyChar"/>
    <w:rsid w:val="00015908"/>
    <w:rPr>
      <w:rFonts w:ascii="Calibri" w:hAnsi="Calibri" w:cs="Calibri"/>
    </w:rPr>
  </w:style>
  <w:style w:type="character" w:customStyle="1" w:styleId="EndNoteBibliographyChar">
    <w:name w:val="EndNote Bibliography Char"/>
    <w:basedOn w:val="DefaultParagraphFont"/>
    <w:link w:val="EndNoteBibliography"/>
    <w:rsid w:val="00015908"/>
    <w:rPr>
      <w:rFonts w:ascii="Calibri" w:hAnsi="Calibri" w:cs="Calibri"/>
    </w:rPr>
  </w:style>
  <w:style w:type="paragraph" w:styleId="Revision">
    <w:name w:val="Revision"/>
    <w:hidden/>
    <w:uiPriority w:val="99"/>
    <w:semiHidden/>
    <w:rsid w:val="004A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png"/><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2126</Words>
  <Characters>12123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Olson</dc:creator>
  <cp:keywords/>
  <dc:description/>
  <cp:lastModifiedBy>Tim Luetkens</cp:lastModifiedBy>
  <cp:revision>5</cp:revision>
  <dcterms:created xsi:type="dcterms:W3CDTF">2022-04-05T18:49:00Z</dcterms:created>
  <dcterms:modified xsi:type="dcterms:W3CDTF">2022-04-05T18:54:00Z</dcterms:modified>
</cp:coreProperties>
</file>