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E679" w14:textId="5F72969E" w:rsidR="005310A5" w:rsidRPr="0023224B" w:rsidRDefault="005310A5" w:rsidP="005310A5">
      <w:pPr>
        <w:spacing w:line="480" w:lineRule="auto"/>
        <w:jc w:val="both"/>
        <w:rPr>
          <w:lang w:val="en-US"/>
        </w:rPr>
      </w:pPr>
      <w:r w:rsidRPr="0023224B">
        <w:rPr>
          <w:b/>
          <w:lang w:val="en-US"/>
        </w:rPr>
        <w:t>Supplementary Figure 1:</w:t>
      </w:r>
      <w:r w:rsidRPr="0023224B">
        <w:rPr>
          <w:lang w:val="en-US"/>
        </w:rPr>
        <w:t xml:space="preserve"> Study flow. Doses of the drugs administered with the </w:t>
      </w:r>
      <w:proofErr w:type="spellStart"/>
      <w:r w:rsidRPr="0023224B">
        <w:rPr>
          <w:lang w:val="en-US"/>
        </w:rPr>
        <w:t>MegaCHOEP</w:t>
      </w:r>
      <w:proofErr w:type="spellEnd"/>
      <w:r w:rsidRPr="0023224B">
        <w:rPr>
          <w:lang w:val="en-US"/>
        </w:rPr>
        <w:t xml:space="preserve"> arm (CHOEP with escalated the doses of cyclophosphamide, etoposide, and doxorubicin) varied with each treatment cycle as indicated. </w:t>
      </w:r>
      <w:r w:rsidR="006B6FB8">
        <w:rPr>
          <w:lang w:val="en-US"/>
        </w:rPr>
        <w:t>Numbers for v</w:t>
      </w:r>
      <w:r w:rsidRPr="0023224B">
        <w:rPr>
          <w:lang w:val="en-US"/>
        </w:rPr>
        <w:t>incristine and prednisone are</w:t>
      </w:r>
      <w:r w:rsidR="006B6FB8">
        <w:rPr>
          <w:lang w:val="en-US"/>
        </w:rPr>
        <w:t xml:space="preserve"> indicated as</w:t>
      </w:r>
      <w:r w:rsidRPr="0023224B">
        <w:rPr>
          <w:lang w:val="en-US"/>
        </w:rPr>
        <w:t xml:space="preserve"> absolute doses. Doses for cyclophosphamide, doxorubicin, and etoposide are </w:t>
      </w:r>
      <w:r w:rsidR="006B6FB8">
        <w:rPr>
          <w:lang w:val="en-US"/>
        </w:rPr>
        <w:t>given</w:t>
      </w:r>
      <w:r w:rsidRPr="0023224B">
        <w:rPr>
          <w:lang w:val="en-US"/>
        </w:rPr>
        <w:t xml:space="preserve"> as mg/m</w:t>
      </w:r>
      <w:r w:rsidRPr="0023224B">
        <w:rPr>
          <w:vertAlign w:val="superscript"/>
          <w:lang w:val="en-US"/>
        </w:rPr>
        <w:t>2</w:t>
      </w:r>
      <w:r w:rsidRPr="0023224B">
        <w:rPr>
          <w:lang w:val="en-US"/>
        </w:rPr>
        <w:t>. Stars represent one infusion of rituximab. CYC=Cyclophosphamide. DOX=doxorubicin. ETO=etoposide. PRD=prednisone. VCR=vincristine. CHOEP-14=cyclophosphamide, doxorubicin, vincristine, etoposide, prednisone. PBSC=peripheral blood stem cells.</w:t>
      </w:r>
    </w:p>
    <w:p w14:paraId="01A488E7" w14:textId="77777777" w:rsidR="005310A5" w:rsidRPr="0023224B" w:rsidRDefault="005310A5" w:rsidP="005310A5">
      <w:pPr>
        <w:spacing w:line="480" w:lineRule="auto"/>
        <w:jc w:val="both"/>
        <w:rPr>
          <w:lang w:val="en-US"/>
        </w:rPr>
      </w:pPr>
      <w:proofErr w:type="spellStart"/>
      <w:r w:rsidRPr="0023224B">
        <w:rPr>
          <w:b/>
          <w:lang w:val="en-US"/>
        </w:rPr>
        <w:t>Supplemenary</w:t>
      </w:r>
      <w:proofErr w:type="spellEnd"/>
      <w:r w:rsidRPr="0023224B">
        <w:rPr>
          <w:b/>
          <w:lang w:val="en-US"/>
        </w:rPr>
        <w:t xml:space="preserve"> Table 1:</w:t>
      </w:r>
      <w:r w:rsidRPr="0023224B">
        <w:rPr>
          <w:lang w:val="en-US"/>
        </w:rPr>
        <w:t xml:space="preserve"> Remission status after completion of systemic therapy for patients irradiated (RT) or not irradiated (no-RT). CR: complete remission; </w:t>
      </w:r>
      <w:proofErr w:type="spellStart"/>
      <w:r w:rsidRPr="0023224B">
        <w:rPr>
          <w:lang w:val="en-US"/>
        </w:rPr>
        <w:t>CRu</w:t>
      </w:r>
      <w:proofErr w:type="spellEnd"/>
      <w:r w:rsidRPr="0023224B">
        <w:rPr>
          <w:lang w:val="en-US"/>
        </w:rPr>
        <w:t>: unconfirmed complete remission; PD: progressive disease; PR: partial remission; SD: stable disease</w:t>
      </w:r>
    </w:p>
    <w:p w14:paraId="6F6C6728" w14:textId="77777777" w:rsidR="006A3F28" w:rsidRPr="005310A5" w:rsidRDefault="00000000">
      <w:pPr>
        <w:rPr>
          <w:lang w:val="en-US"/>
        </w:rPr>
      </w:pPr>
    </w:p>
    <w:sectPr w:rsidR="006A3F28" w:rsidRPr="005310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A5"/>
    <w:rsid w:val="005310A5"/>
    <w:rsid w:val="006B6FB8"/>
    <w:rsid w:val="008E4527"/>
    <w:rsid w:val="00DC1AF5"/>
    <w:rsid w:val="00EB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562C3A"/>
  <w15:chartTrackingRefBased/>
  <w15:docId w15:val="{270770B9-8318-7340-87A8-677C6FEB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10A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Michael Oertel</dc:creator>
  <cp:keywords/>
  <dc:description/>
  <cp:lastModifiedBy>Dr. Michael Oertel</cp:lastModifiedBy>
  <cp:revision>2</cp:revision>
  <dcterms:created xsi:type="dcterms:W3CDTF">2024-03-10T07:46:00Z</dcterms:created>
  <dcterms:modified xsi:type="dcterms:W3CDTF">2024-03-12T06:43:00Z</dcterms:modified>
</cp:coreProperties>
</file>