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PlainTable2"/>
        <w:tblW w:w="10530" w:type="dxa"/>
        <w:tblLayout w:type="fixed"/>
        <w:tblLook w:val="06A0" w:firstRow="1" w:lastRow="0" w:firstColumn="1" w:lastColumn="0" w:noHBand="1" w:noVBand="1"/>
      </w:tblPr>
      <w:tblGrid>
        <w:gridCol w:w="3322"/>
        <w:gridCol w:w="3240"/>
        <w:gridCol w:w="3330"/>
        <w:gridCol w:w="638"/>
      </w:tblGrid>
      <w:tr w:rsidR="006A0646" w:rsidRPr="00652D18" w14:paraId="4ACD9089" w14:textId="77777777" w:rsidTr="00655D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  <w:gridSpan w:val="4"/>
            <w:vAlign w:val="center"/>
          </w:tcPr>
          <w:p w14:paraId="552A1752" w14:textId="77777777" w:rsidR="006A0646" w:rsidRPr="00652D18" w:rsidRDefault="006A0646" w:rsidP="00655D79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Supplementary Table 1: Deceased patient population: Clinical and demographic characteristics at time of diagnosis</w:t>
            </w:r>
          </w:p>
        </w:tc>
      </w:tr>
      <w:tr w:rsidR="006A0646" w:rsidRPr="00652D18" w14:paraId="6ECB9AE2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  <w:tcBorders>
              <w:top w:val="nil"/>
              <w:bottom w:val="single" w:sz="4" w:space="0" w:color="auto"/>
            </w:tcBorders>
            <w:vAlign w:val="center"/>
          </w:tcPr>
          <w:p w14:paraId="4B2EB940" w14:textId="3FECA975" w:rsidR="006A0646" w:rsidRPr="00652D18" w:rsidRDefault="006A0646" w:rsidP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Characteristic, N (%)</w:t>
            </w:r>
            <w:r w:rsidR="009E4CCD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="009E4CCD" w:rsidRPr="009E4CCD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240" w:type="dxa"/>
            <w:tcBorders>
              <w:top w:val="nil"/>
              <w:bottom w:val="single" w:sz="4" w:space="0" w:color="auto"/>
            </w:tcBorders>
          </w:tcPr>
          <w:p w14:paraId="5A85B227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Patients with known COD </w:t>
            </w:r>
          </w:p>
          <w:p w14:paraId="56105D34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(N=45*)</w:t>
            </w:r>
          </w:p>
        </w:tc>
        <w:tc>
          <w:tcPr>
            <w:tcW w:w="3968" w:type="dxa"/>
            <w:gridSpan w:val="2"/>
            <w:tcBorders>
              <w:top w:val="nil"/>
              <w:bottom w:val="single" w:sz="4" w:space="0" w:color="auto"/>
            </w:tcBorders>
          </w:tcPr>
          <w:p w14:paraId="02C2CD9B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Patients with unknown COD </w:t>
            </w:r>
          </w:p>
          <w:p w14:paraId="107EE2B3" w14:textId="3DABCC20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(N=25*)</w:t>
            </w:r>
          </w:p>
        </w:tc>
      </w:tr>
      <w:tr w:rsidR="006A0646" w:rsidRPr="00652D18" w14:paraId="328A4B13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  <w:tcBorders>
              <w:top w:val="single" w:sz="4" w:space="0" w:color="auto"/>
            </w:tcBorders>
          </w:tcPr>
          <w:p w14:paraId="1401B03D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Median year of diagnosis</w:t>
            </w:r>
          </w:p>
          <w:p w14:paraId="1FD2C970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Median age, y (range)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48686C8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2004</w:t>
            </w:r>
          </w:p>
          <w:p w14:paraId="67ED903A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56 (28-77)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</w:tcBorders>
          </w:tcPr>
          <w:p w14:paraId="0730C992" w14:textId="77777777" w:rsidR="006A0646" w:rsidRPr="00652D18" w:rsidRDefault="006A0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2001</w:t>
            </w:r>
          </w:p>
          <w:p w14:paraId="69C12A8D" w14:textId="75B1AC3E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61 (35-80)</w:t>
            </w:r>
          </w:p>
        </w:tc>
      </w:tr>
      <w:tr w:rsidR="006A0646" w:rsidRPr="00652D18" w14:paraId="1FC3FC32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7E6EE84C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3240" w:type="dxa"/>
          </w:tcPr>
          <w:p w14:paraId="7FD2A7FD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330" w:type="dxa"/>
          </w:tcPr>
          <w:p w14:paraId="4F8382D4" w14:textId="77777777" w:rsidR="006A0646" w:rsidRPr="00652D18" w:rsidRDefault="006A0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8" w:type="dxa"/>
          </w:tcPr>
          <w:p w14:paraId="033EEAD7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A0646" w:rsidRPr="00652D18" w14:paraId="12E778F4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3CAEC596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    Black</w:t>
            </w:r>
          </w:p>
        </w:tc>
        <w:tc>
          <w:tcPr>
            <w:tcW w:w="3240" w:type="dxa"/>
          </w:tcPr>
          <w:p w14:paraId="17DED78C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 (4%)</w:t>
            </w:r>
          </w:p>
        </w:tc>
        <w:tc>
          <w:tcPr>
            <w:tcW w:w="3968" w:type="dxa"/>
            <w:gridSpan w:val="2"/>
          </w:tcPr>
          <w:p w14:paraId="23F541BB" w14:textId="4F195AD1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 (8%)</w:t>
            </w:r>
          </w:p>
        </w:tc>
      </w:tr>
      <w:tr w:rsidR="006A0646" w:rsidRPr="00652D18" w14:paraId="05808C16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5517F032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    White</w:t>
            </w:r>
          </w:p>
        </w:tc>
        <w:tc>
          <w:tcPr>
            <w:tcW w:w="3240" w:type="dxa"/>
          </w:tcPr>
          <w:p w14:paraId="126699EA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40 (89%)</w:t>
            </w:r>
          </w:p>
        </w:tc>
        <w:tc>
          <w:tcPr>
            <w:tcW w:w="3968" w:type="dxa"/>
            <w:gridSpan w:val="2"/>
          </w:tcPr>
          <w:p w14:paraId="6C39EE86" w14:textId="01B89098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21 (84%)</w:t>
            </w:r>
          </w:p>
        </w:tc>
      </w:tr>
      <w:tr w:rsidR="006A0646" w:rsidRPr="00652D18" w14:paraId="2FFE65FA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2F8ACFC8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    Unidentified</w:t>
            </w:r>
          </w:p>
        </w:tc>
        <w:tc>
          <w:tcPr>
            <w:tcW w:w="3240" w:type="dxa"/>
          </w:tcPr>
          <w:p w14:paraId="7B51F070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3 (7%)</w:t>
            </w:r>
          </w:p>
        </w:tc>
        <w:tc>
          <w:tcPr>
            <w:tcW w:w="3968" w:type="dxa"/>
            <w:gridSpan w:val="2"/>
          </w:tcPr>
          <w:p w14:paraId="40C06563" w14:textId="541D3814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 (8%)</w:t>
            </w:r>
          </w:p>
        </w:tc>
      </w:tr>
      <w:tr w:rsidR="006A0646" w:rsidRPr="00652D18" w14:paraId="3886E443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4D9AE795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Male Sex</w:t>
            </w:r>
          </w:p>
        </w:tc>
        <w:tc>
          <w:tcPr>
            <w:tcW w:w="3240" w:type="dxa"/>
          </w:tcPr>
          <w:p w14:paraId="4AB32F12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33 (73%)</w:t>
            </w:r>
          </w:p>
        </w:tc>
        <w:tc>
          <w:tcPr>
            <w:tcW w:w="3968" w:type="dxa"/>
            <w:gridSpan w:val="2"/>
          </w:tcPr>
          <w:p w14:paraId="420E4557" w14:textId="642A1255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16 (64%)</w:t>
            </w:r>
          </w:p>
        </w:tc>
      </w:tr>
      <w:tr w:rsidR="006A0646" w:rsidRPr="00652D18" w14:paraId="4F0386C0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29EFA706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Polyneuropathy</w:t>
            </w:r>
          </w:p>
        </w:tc>
        <w:tc>
          <w:tcPr>
            <w:tcW w:w="3240" w:type="dxa"/>
          </w:tcPr>
          <w:p w14:paraId="69E74BFF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45 (100%)</w:t>
            </w:r>
          </w:p>
        </w:tc>
        <w:tc>
          <w:tcPr>
            <w:tcW w:w="3968" w:type="dxa"/>
            <w:gridSpan w:val="2"/>
          </w:tcPr>
          <w:p w14:paraId="72660610" w14:textId="50462D92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25 (100%)</w:t>
            </w:r>
          </w:p>
        </w:tc>
      </w:tr>
      <w:tr w:rsidR="006A0646" w:rsidRPr="00652D18" w14:paraId="41A45902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5555662A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Hepatomegaly/Splenomegaly</w:t>
            </w:r>
          </w:p>
        </w:tc>
        <w:tc>
          <w:tcPr>
            <w:tcW w:w="3240" w:type="dxa"/>
          </w:tcPr>
          <w:p w14:paraId="483D411C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18 (40%)</w:t>
            </w:r>
          </w:p>
        </w:tc>
        <w:tc>
          <w:tcPr>
            <w:tcW w:w="3968" w:type="dxa"/>
            <w:gridSpan w:val="2"/>
          </w:tcPr>
          <w:p w14:paraId="66B17A0E" w14:textId="472068B5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10 (40%)</w:t>
            </w:r>
          </w:p>
        </w:tc>
      </w:tr>
      <w:tr w:rsidR="006A0646" w:rsidRPr="00652D18" w14:paraId="1631DB58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58F7671C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Lymphadenopathy</w:t>
            </w:r>
          </w:p>
        </w:tc>
        <w:tc>
          <w:tcPr>
            <w:tcW w:w="3240" w:type="dxa"/>
          </w:tcPr>
          <w:p w14:paraId="263B7EA8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24 (53%)</w:t>
            </w:r>
          </w:p>
        </w:tc>
        <w:tc>
          <w:tcPr>
            <w:tcW w:w="3968" w:type="dxa"/>
            <w:gridSpan w:val="2"/>
          </w:tcPr>
          <w:p w14:paraId="0BAD6615" w14:textId="4E2BD248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10 (40%)</w:t>
            </w:r>
          </w:p>
        </w:tc>
      </w:tr>
      <w:tr w:rsidR="006A0646" w:rsidRPr="00652D18" w14:paraId="17EC94A3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11B87CCA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Castleman’s variant</w:t>
            </w:r>
          </w:p>
        </w:tc>
        <w:tc>
          <w:tcPr>
            <w:tcW w:w="3240" w:type="dxa"/>
          </w:tcPr>
          <w:p w14:paraId="6D97FF3D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10 (22%)</w:t>
            </w:r>
          </w:p>
        </w:tc>
        <w:tc>
          <w:tcPr>
            <w:tcW w:w="3968" w:type="dxa"/>
            <w:gridSpan w:val="2"/>
          </w:tcPr>
          <w:p w14:paraId="3B49C3E2" w14:textId="4CB5FF2E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6 (24%)</w:t>
            </w:r>
          </w:p>
        </w:tc>
      </w:tr>
      <w:tr w:rsidR="006A0646" w:rsidRPr="00652D18" w14:paraId="137F2303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6A0EFB64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Endocrinopathy</w:t>
            </w:r>
          </w:p>
        </w:tc>
        <w:tc>
          <w:tcPr>
            <w:tcW w:w="3240" w:type="dxa"/>
          </w:tcPr>
          <w:p w14:paraId="5BCF24C9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37 (82%)</w:t>
            </w:r>
          </w:p>
        </w:tc>
        <w:tc>
          <w:tcPr>
            <w:tcW w:w="3968" w:type="dxa"/>
            <w:gridSpan w:val="2"/>
          </w:tcPr>
          <w:p w14:paraId="3C57E87F" w14:textId="56442866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22 (88%)</w:t>
            </w:r>
          </w:p>
        </w:tc>
      </w:tr>
      <w:tr w:rsidR="006A0646" w:rsidRPr="00652D18" w14:paraId="01AF1B28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0F6ED986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Bone lesions</w:t>
            </w:r>
          </w:p>
        </w:tc>
        <w:tc>
          <w:tcPr>
            <w:tcW w:w="3240" w:type="dxa"/>
          </w:tcPr>
          <w:p w14:paraId="2A9B9C55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38 (84%)</w:t>
            </w:r>
          </w:p>
        </w:tc>
        <w:tc>
          <w:tcPr>
            <w:tcW w:w="3968" w:type="dxa"/>
            <w:gridSpan w:val="2"/>
          </w:tcPr>
          <w:p w14:paraId="78DAEC7B" w14:textId="5D7C9D2B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21 (84%)</w:t>
            </w:r>
          </w:p>
        </w:tc>
      </w:tr>
      <w:tr w:rsidR="006A0646" w:rsidRPr="00652D18" w14:paraId="3A840E6D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35B1735F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Skin changes</w:t>
            </w:r>
          </w:p>
        </w:tc>
        <w:tc>
          <w:tcPr>
            <w:tcW w:w="3240" w:type="dxa"/>
          </w:tcPr>
          <w:p w14:paraId="73A3D2EF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35 (78%)</w:t>
            </w:r>
          </w:p>
        </w:tc>
        <w:tc>
          <w:tcPr>
            <w:tcW w:w="3968" w:type="dxa"/>
            <w:gridSpan w:val="2"/>
          </w:tcPr>
          <w:p w14:paraId="2745C42F" w14:textId="63575F8E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14 (56%)</w:t>
            </w:r>
          </w:p>
        </w:tc>
      </w:tr>
      <w:tr w:rsidR="006A0646" w:rsidRPr="00652D18" w14:paraId="3B58B0A1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772A2CC8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Papilledema</w:t>
            </w: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240" w:type="dxa"/>
          </w:tcPr>
          <w:p w14:paraId="2804F5E9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13 (36%)</w:t>
            </w:r>
          </w:p>
        </w:tc>
        <w:tc>
          <w:tcPr>
            <w:tcW w:w="3968" w:type="dxa"/>
            <w:gridSpan w:val="2"/>
          </w:tcPr>
          <w:p w14:paraId="6E7FE3F2" w14:textId="419E7065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4 (25%)</w:t>
            </w:r>
          </w:p>
        </w:tc>
      </w:tr>
      <w:tr w:rsidR="006A0646" w:rsidRPr="00652D18" w14:paraId="3303783F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547CD1C0" w14:textId="3AD1B910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Extravascular volume overload</w:t>
            </w:r>
            <w:r w:rsidR="009E4CCD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240" w:type="dxa"/>
          </w:tcPr>
          <w:p w14:paraId="5387949B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36 (80%)</w:t>
            </w:r>
          </w:p>
        </w:tc>
        <w:tc>
          <w:tcPr>
            <w:tcW w:w="3968" w:type="dxa"/>
            <w:gridSpan w:val="2"/>
          </w:tcPr>
          <w:p w14:paraId="6D24ACBB" w14:textId="303164EF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12 (48%)</w:t>
            </w:r>
          </w:p>
        </w:tc>
      </w:tr>
      <w:tr w:rsidR="006A0646" w:rsidRPr="00652D18" w14:paraId="33DD7B20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2728DB89" w14:textId="6B59EF64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Thrombocytosis</w:t>
            </w:r>
            <w:r w:rsidR="009E4CCD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240" w:type="dxa"/>
          </w:tcPr>
          <w:p w14:paraId="657AD7A8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22 (49%)</w:t>
            </w:r>
          </w:p>
        </w:tc>
        <w:tc>
          <w:tcPr>
            <w:tcW w:w="3968" w:type="dxa"/>
            <w:gridSpan w:val="2"/>
          </w:tcPr>
          <w:p w14:paraId="65CAE5C4" w14:textId="3C1854A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4 (16%)</w:t>
            </w:r>
          </w:p>
        </w:tc>
      </w:tr>
      <w:tr w:rsidR="006A0646" w:rsidRPr="00652D18" w14:paraId="54C4CBDB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52C95C2E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Erythrocytosis</w:t>
            </w:r>
          </w:p>
        </w:tc>
        <w:tc>
          <w:tcPr>
            <w:tcW w:w="3240" w:type="dxa"/>
          </w:tcPr>
          <w:p w14:paraId="11E23D96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13 (31%)</w:t>
            </w:r>
          </w:p>
        </w:tc>
        <w:tc>
          <w:tcPr>
            <w:tcW w:w="3968" w:type="dxa"/>
            <w:gridSpan w:val="2"/>
          </w:tcPr>
          <w:p w14:paraId="43E21ECF" w14:textId="427BB60F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3 (12%)</w:t>
            </w:r>
          </w:p>
        </w:tc>
      </w:tr>
      <w:tr w:rsidR="006A0646" w:rsidRPr="00652D18" w14:paraId="0B5F7FC1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1CCD768A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Median number of features present (range)</w:t>
            </w:r>
          </w:p>
        </w:tc>
        <w:tc>
          <w:tcPr>
            <w:tcW w:w="3240" w:type="dxa"/>
          </w:tcPr>
          <w:p w14:paraId="114947C7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8 (3-11)</w:t>
            </w:r>
          </w:p>
        </w:tc>
        <w:tc>
          <w:tcPr>
            <w:tcW w:w="3968" w:type="dxa"/>
            <w:gridSpan w:val="2"/>
          </w:tcPr>
          <w:p w14:paraId="71ACC070" w14:textId="0E85DAF2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6 (3-9)</w:t>
            </w:r>
          </w:p>
        </w:tc>
      </w:tr>
      <w:tr w:rsidR="006A0646" w:rsidRPr="00652D18" w14:paraId="023214DF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69B4B45A" w14:textId="7441C5F0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VEGF level &gt;87pg/mL</w:t>
            </w:r>
          </w:p>
        </w:tc>
        <w:tc>
          <w:tcPr>
            <w:tcW w:w="3240" w:type="dxa"/>
          </w:tcPr>
          <w:p w14:paraId="5477C519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19 (90%)</w:t>
            </w:r>
          </w:p>
        </w:tc>
        <w:tc>
          <w:tcPr>
            <w:tcW w:w="3968" w:type="dxa"/>
            <w:gridSpan w:val="2"/>
          </w:tcPr>
          <w:p w14:paraId="228C7A07" w14:textId="70ACB78B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5 (63%)</w:t>
            </w:r>
          </w:p>
        </w:tc>
      </w:tr>
      <w:tr w:rsidR="006A0646" w:rsidRPr="00652D18" w14:paraId="2CFA1A62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56575693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202122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202122"/>
                <w:sz w:val="20"/>
                <w:szCs w:val="20"/>
                <w:lang w:val="el"/>
              </w:rPr>
              <w:t>λ/κ light chain</w:t>
            </w:r>
          </w:p>
        </w:tc>
        <w:tc>
          <w:tcPr>
            <w:tcW w:w="3240" w:type="dxa"/>
          </w:tcPr>
          <w:p w14:paraId="6FA11BA5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44 (98%)/1 (%)</w:t>
            </w:r>
          </w:p>
        </w:tc>
        <w:tc>
          <w:tcPr>
            <w:tcW w:w="3968" w:type="dxa"/>
            <w:gridSpan w:val="2"/>
          </w:tcPr>
          <w:p w14:paraId="4AE7782C" w14:textId="4A75A4F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24 (96%)/1 (4%)</w:t>
            </w:r>
          </w:p>
        </w:tc>
      </w:tr>
      <w:tr w:rsidR="006A0646" w:rsidRPr="00652D18" w14:paraId="60BFC3AB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</w:tcPr>
          <w:p w14:paraId="11D2F8BF" w14:textId="77777777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202122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202122"/>
                <w:sz w:val="20"/>
                <w:szCs w:val="20"/>
                <w:lang w:val="el"/>
              </w:rPr>
              <w:t>IgA/IgG/IgM/none</w:t>
            </w:r>
          </w:p>
        </w:tc>
        <w:tc>
          <w:tcPr>
            <w:tcW w:w="3240" w:type="dxa"/>
          </w:tcPr>
          <w:p w14:paraId="659D7460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21 (45%)/22 (47%)/0 (0%)/4 (8%)</w:t>
            </w:r>
          </w:p>
        </w:tc>
        <w:tc>
          <w:tcPr>
            <w:tcW w:w="3968" w:type="dxa"/>
            <w:gridSpan w:val="2"/>
          </w:tcPr>
          <w:p w14:paraId="17242583" w14:textId="2C160AEE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9 (38%)/ 11 (46%)/1 (4%)/4 (1%)</w:t>
            </w:r>
          </w:p>
        </w:tc>
      </w:tr>
      <w:tr w:rsidR="006A0646" w:rsidRPr="00652D18" w14:paraId="282071BD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  <w:tcBorders>
              <w:bottom w:val="nil"/>
            </w:tcBorders>
          </w:tcPr>
          <w:p w14:paraId="37C24FFD" w14:textId="0EFDD499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RVSP ≥40 mmHg</w:t>
            </w:r>
          </w:p>
        </w:tc>
        <w:tc>
          <w:tcPr>
            <w:tcW w:w="3240" w:type="dxa"/>
            <w:tcBorders>
              <w:bottom w:val="nil"/>
            </w:tcBorders>
          </w:tcPr>
          <w:p w14:paraId="348360B9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10 (22%)</w:t>
            </w:r>
          </w:p>
        </w:tc>
        <w:tc>
          <w:tcPr>
            <w:tcW w:w="3968" w:type="dxa"/>
            <w:gridSpan w:val="2"/>
            <w:tcBorders>
              <w:bottom w:val="nil"/>
            </w:tcBorders>
          </w:tcPr>
          <w:p w14:paraId="541AEDC5" w14:textId="08375CF8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4 (67%)</w:t>
            </w:r>
          </w:p>
        </w:tc>
      </w:tr>
      <w:tr w:rsidR="006A0646" w:rsidRPr="00652D18" w14:paraId="6EFA8AC3" w14:textId="77777777" w:rsidTr="006A06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2" w:type="dxa"/>
            <w:tcBorders>
              <w:top w:val="nil"/>
              <w:bottom w:val="single" w:sz="4" w:space="0" w:color="auto"/>
            </w:tcBorders>
          </w:tcPr>
          <w:p w14:paraId="7FB82AF6" w14:textId="1A5376B6" w:rsidR="006A0646" w:rsidRPr="00652D18" w:rsidRDefault="006A0646">
            <w:pPr>
              <w:spacing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DLCO &lt;70% expected</w:t>
            </w:r>
          </w:p>
        </w:tc>
        <w:tc>
          <w:tcPr>
            <w:tcW w:w="3240" w:type="dxa"/>
            <w:tcBorders>
              <w:top w:val="nil"/>
              <w:bottom w:val="single" w:sz="4" w:space="0" w:color="auto"/>
            </w:tcBorders>
          </w:tcPr>
          <w:p w14:paraId="57550E43" w14:textId="77777777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24 (75%)</w:t>
            </w:r>
          </w:p>
        </w:tc>
        <w:tc>
          <w:tcPr>
            <w:tcW w:w="3968" w:type="dxa"/>
            <w:gridSpan w:val="2"/>
            <w:tcBorders>
              <w:top w:val="nil"/>
              <w:bottom w:val="single" w:sz="4" w:space="0" w:color="auto"/>
            </w:tcBorders>
          </w:tcPr>
          <w:p w14:paraId="265D93C4" w14:textId="6C129F02" w:rsidR="006A0646" w:rsidRPr="00652D18" w:rsidRDefault="006A064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7 (58%)</w:t>
            </w:r>
          </w:p>
        </w:tc>
      </w:tr>
      <w:tr w:rsidR="006A0646" w:rsidRPr="00652D18" w14:paraId="708A9A29" w14:textId="77777777" w:rsidTr="00655D79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  <w:gridSpan w:val="4"/>
            <w:tcBorders>
              <w:top w:val="single" w:sz="4" w:space="0" w:color="auto"/>
              <w:bottom w:val="nil"/>
            </w:tcBorders>
          </w:tcPr>
          <w:p w14:paraId="69290E52" w14:textId="7A013C9D" w:rsidR="00652D18" w:rsidRPr="00655D79" w:rsidRDefault="00AE60E0" w:rsidP="00655D79">
            <w:pPr>
              <w:spacing w:after="120"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CF23E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="006A0646"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>There were 4 patients with known cause of death and 15 in the unknown cause of death group who did not have available documentation of initial clinical presentation</w:t>
            </w:r>
            <w:r w:rsidR="00D35579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and were not included</w:t>
            </w:r>
          </w:p>
          <w:p w14:paraId="43ABE703" w14:textId="58FCE667" w:rsidR="00652D18" w:rsidRPr="00655D79" w:rsidRDefault="006A0646" w:rsidP="00655D79">
            <w:pPr>
              <w:spacing w:after="120" w:line="259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 xml:space="preserve">a </w:t>
            </w:r>
            <w:r w:rsidRPr="00652D18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There was missing data, so respective denominators used for measures for known COD and unknown COD include: papilledema (22, 9), VEGF (24, 17), RVSP (15,19), DLCO (13, 13)</w:t>
            </w:r>
          </w:p>
          <w:p w14:paraId="4A01D777" w14:textId="4DAF29AA" w:rsidR="00652D18" w:rsidRPr="00652D18" w:rsidRDefault="006A0646" w:rsidP="00655D79">
            <w:pPr>
              <w:spacing w:after="120"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p=0.0001</w:t>
            </w:r>
          </w:p>
          <w:p w14:paraId="22534BAB" w14:textId="77777777" w:rsidR="006A0646" w:rsidRPr="00652D18" w:rsidRDefault="006A0646" w:rsidP="00655D79">
            <w:pPr>
              <w:spacing w:after="120" w:line="259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52D18">
              <w:rPr>
                <w:rFonts w:ascii="Arial" w:eastAsia="Calibri" w:hAnsi="Arial" w:cs="Arial"/>
                <w:color w:val="000000" w:themeColor="text1"/>
                <w:sz w:val="20"/>
                <w:szCs w:val="20"/>
                <w:vertAlign w:val="superscript"/>
              </w:rPr>
              <w:t>c</w:t>
            </w:r>
            <w:r w:rsidRPr="00652D18"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p=0.001 </w:t>
            </w:r>
          </w:p>
        </w:tc>
      </w:tr>
    </w:tbl>
    <w:p w14:paraId="67E19BFD" w14:textId="77777777" w:rsidR="006A0646" w:rsidRDefault="006A0646"/>
    <w:sectPr w:rsidR="006A0646" w:rsidSect="001D10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46"/>
    <w:rsid w:val="001D1014"/>
    <w:rsid w:val="00294E19"/>
    <w:rsid w:val="002D3032"/>
    <w:rsid w:val="00505BD2"/>
    <w:rsid w:val="00652D18"/>
    <w:rsid w:val="00655D79"/>
    <w:rsid w:val="006A0646"/>
    <w:rsid w:val="0075419D"/>
    <w:rsid w:val="008D2B91"/>
    <w:rsid w:val="009235E2"/>
    <w:rsid w:val="009237E6"/>
    <w:rsid w:val="009E4CCD"/>
    <w:rsid w:val="00AE60E0"/>
    <w:rsid w:val="00CF23E8"/>
    <w:rsid w:val="00D35579"/>
    <w:rsid w:val="00DC01E3"/>
    <w:rsid w:val="00E10E23"/>
    <w:rsid w:val="00F3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B686A"/>
  <w15:chartTrackingRefBased/>
  <w15:docId w15:val="{B4D124B9-CE5D-48D2-8EC8-4DADF7DE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6A0646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1276</Characters>
  <Application>Microsoft Office Word</Application>
  <DocSecurity>4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Kenzie K., M.D.</dc:creator>
  <cp:keywords/>
  <dc:description/>
  <cp:lastModifiedBy>Lee, Kenzie K., M.D.</cp:lastModifiedBy>
  <cp:revision>12</cp:revision>
  <dcterms:created xsi:type="dcterms:W3CDTF">2024-04-22T02:09:00Z</dcterms:created>
  <dcterms:modified xsi:type="dcterms:W3CDTF">2024-04-22T02:11:00Z</dcterms:modified>
</cp:coreProperties>
</file>