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B83BE" w14:textId="5C62D3A8" w:rsidR="00505539" w:rsidRDefault="00874330" w:rsidP="00284AEA">
      <w:pPr>
        <w:jc w:val="center"/>
        <w:rPr>
          <w:b/>
          <w:bCs/>
          <w:sz w:val="28"/>
          <w:szCs w:val="28"/>
          <w:lang w:val="en-US"/>
        </w:rPr>
      </w:pPr>
      <w:r w:rsidRPr="00284AEA">
        <w:rPr>
          <w:b/>
          <w:bCs/>
          <w:sz w:val="28"/>
          <w:szCs w:val="28"/>
          <w:lang w:val="en-US"/>
        </w:rPr>
        <w:t>Supplementary information</w:t>
      </w:r>
    </w:p>
    <w:p w14:paraId="640AF923" w14:textId="7A77CA13" w:rsidR="005B4824" w:rsidRPr="00B80A91" w:rsidRDefault="005B4824" w:rsidP="00284AEA">
      <w:pPr>
        <w:jc w:val="center"/>
        <w:rPr>
          <w:i/>
          <w:iCs/>
          <w:lang w:val="en-US"/>
        </w:rPr>
      </w:pPr>
      <w:r w:rsidRPr="00B80A91">
        <w:rPr>
          <w:i/>
          <w:iCs/>
          <w:lang w:val="en-US"/>
        </w:rPr>
        <w:t xml:space="preserve">Accompanying the manuscript </w:t>
      </w:r>
      <w:r w:rsidR="00B80A91" w:rsidRPr="00B80A91">
        <w:rPr>
          <w:i/>
          <w:iCs/>
          <w:lang w:val="en-US"/>
        </w:rPr>
        <w:t>“Zanubrutinib in Bing Neel Syndrome: Efficacy and Tolerability”</w:t>
      </w:r>
    </w:p>
    <w:p w14:paraId="1494F676" w14:textId="77777777" w:rsidR="00B80A91" w:rsidRPr="00B80A91" w:rsidRDefault="00B80A91" w:rsidP="00E1684F">
      <w:pPr>
        <w:rPr>
          <w:lang w:val="en-US"/>
        </w:rPr>
      </w:pPr>
    </w:p>
    <w:p w14:paraId="770B7CB2" w14:textId="77777777" w:rsidR="00200CB1" w:rsidRDefault="00200CB1" w:rsidP="00E1684F">
      <w:pPr>
        <w:rPr>
          <w:u w:val="single"/>
          <w:lang w:val="en-US"/>
        </w:rPr>
      </w:pPr>
    </w:p>
    <w:p w14:paraId="510F2139" w14:textId="77777777" w:rsidR="00200CB1" w:rsidRDefault="00200CB1" w:rsidP="00E1684F">
      <w:pPr>
        <w:rPr>
          <w:u w:val="single"/>
          <w:lang w:val="en-US"/>
        </w:rPr>
      </w:pPr>
    </w:p>
    <w:p w14:paraId="2A08A6C8" w14:textId="0EBBAE01" w:rsidR="00874330" w:rsidRPr="0067461C" w:rsidRDefault="005A2B83" w:rsidP="00E1684F">
      <w:pPr>
        <w:rPr>
          <w:u w:val="single"/>
          <w:lang w:val="en-US"/>
        </w:rPr>
      </w:pPr>
      <w:r w:rsidRPr="0067461C">
        <w:rPr>
          <w:u w:val="single"/>
          <w:lang w:val="en-US"/>
        </w:rPr>
        <w:t>Supplementary methods</w:t>
      </w:r>
    </w:p>
    <w:p w14:paraId="3D1E7E99" w14:textId="77777777" w:rsidR="005A2B83" w:rsidRDefault="005A2B83" w:rsidP="00E1684F">
      <w:pPr>
        <w:rPr>
          <w:lang w:val="en-US"/>
        </w:rPr>
      </w:pPr>
    </w:p>
    <w:p w14:paraId="49415022" w14:textId="6E6E3299" w:rsidR="00CB7373" w:rsidRPr="00CB7373" w:rsidRDefault="00CB7373" w:rsidP="00E1684F">
      <w:pPr>
        <w:rPr>
          <w:i/>
          <w:iCs/>
          <w:lang w:val="en-US"/>
        </w:rPr>
      </w:pPr>
      <w:r>
        <w:rPr>
          <w:i/>
          <w:iCs/>
          <w:lang w:val="en-US"/>
        </w:rPr>
        <w:t>Data collection</w:t>
      </w:r>
    </w:p>
    <w:p w14:paraId="27A050C6" w14:textId="62603AD9" w:rsidR="00FE316C" w:rsidRPr="00A866CF" w:rsidRDefault="00FF1214" w:rsidP="00E1684F">
      <w:pPr>
        <w:rPr>
          <w:lang w:val="en-US"/>
        </w:rPr>
      </w:pPr>
      <w:r w:rsidRPr="00A54618">
        <w:rPr>
          <w:lang w:val="en-US"/>
        </w:rPr>
        <w:t xml:space="preserve">This study was approved by the Institutional Review Board of all participating centers and was conducted in accordance with the Declaration of Helsinki. </w:t>
      </w:r>
      <w:r w:rsidR="00A866CF" w:rsidRPr="00A54618">
        <w:rPr>
          <w:lang w:val="en-US"/>
        </w:rPr>
        <w:t>All relevant clinical data were collected from electronic health records on WM diagnosis, BNS diagnosis, response to zanubrutinib treatment and follow-up.</w:t>
      </w:r>
      <w:r w:rsidR="00850DC9">
        <w:rPr>
          <w:lang w:val="en-US"/>
        </w:rPr>
        <w:t xml:space="preserve"> </w:t>
      </w:r>
      <w:r w:rsidR="00850DC9" w:rsidRPr="00A54618">
        <w:rPr>
          <w:lang w:val="en-US"/>
        </w:rPr>
        <w:t>All participants provided written informed consent for the use of retrospective data, unless a local waiver was obtained in accordance with institutional review board guidelines.</w:t>
      </w:r>
    </w:p>
    <w:p w14:paraId="05ECEAA4" w14:textId="77777777" w:rsidR="007B4CB3" w:rsidRDefault="007B4CB3" w:rsidP="00E1684F">
      <w:pPr>
        <w:rPr>
          <w:lang w:val="en-US"/>
        </w:rPr>
      </w:pPr>
    </w:p>
    <w:p w14:paraId="29009557" w14:textId="584CEBB9" w:rsidR="00CB7373" w:rsidRPr="00CB7373" w:rsidRDefault="00CB7373" w:rsidP="00E1684F">
      <w:pPr>
        <w:rPr>
          <w:i/>
          <w:iCs/>
          <w:lang w:val="en-US"/>
        </w:rPr>
      </w:pPr>
      <w:r>
        <w:rPr>
          <w:i/>
          <w:iCs/>
          <w:lang w:val="en-US"/>
        </w:rPr>
        <w:t xml:space="preserve">Toxicity assessment </w:t>
      </w:r>
    </w:p>
    <w:p w14:paraId="2C4CCC65" w14:textId="6A1CE647" w:rsidR="00194FEB" w:rsidRDefault="00194FEB" w:rsidP="00E1684F">
      <w:pPr>
        <w:rPr>
          <w:lang w:val="en-US"/>
        </w:rPr>
      </w:pPr>
      <w:r w:rsidRPr="00194FEB">
        <w:rPr>
          <w:lang w:val="en-US"/>
        </w:rPr>
        <w:t>Toxicities were categorized and graded in accordance with MedDRA® (Medical Dictionary for Regulatory Activities terminology) and the Common Terminology Criteria for Adverse Events (CTCAE), version 5.0.</w:t>
      </w:r>
    </w:p>
    <w:p w14:paraId="23FFA596" w14:textId="77777777" w:rsidR="005E62DF" w:rsidRDefault="005E62DF" w:rsidP="00E1684F">
      <w:pPr>
        <w:rPr>
          <w:lang w:val="en-US"/>
        </w:rPr>
      </w:pPr>
    </w:p>
    <w:p w14:paraId="735612F3" w14:textId="6049B989" w:rsidR="00CB7373" w:rsidRPr="00CB7373" w:rsidRDefault="00CB7373" w:rsidP="00E1684F">
      <w:pPr>
        <w:rPr>
          <w:i/>
          <w:iCs/>
          <w:lang w:val="en-US"/>
        </w:rPr>
      </w:pPr>
      <w:r>
        <w:rPr>
          <w:i/>
          <w:iCs/>
          <w:lang w:val="en-US"/>
        </w:rPr>
        <w:t>Statistical analyses</w:t>
      </w:r>
    </w:p>
    <w:p w14:paraId="3EFFF155" w14:textId="5FFBD955" w:rsidR="006D71E7" w:rsidRDefault="005E62DF" w:rsidP="00E1684F">
      <w:pPr>
        <w:rPr>
          <w:lang w:val="en-US"/>
        </w:rPr>
      </w:pPr>
      <w:r w:rsidRPr="00A54618">
        <w:rPr>
          <w:lang w:val="en-US"/>
        </w:rPr>
        <w:t>R software (version 4.3.2; R Foundation for Statistical Computing, Vienna, Austria) was used for statistical analyses. Demographic characteristics and response rates were analyzed using descriptive statistics. Categorial variables are presented as percentages, and continuous variables are presented as mean ± standard deviation (SD) if normally distributed, and as median and total range if not</w:t>
      </w:r>
      <w:r>
        <w:rPr>
          <w:lang w:val="en-US"/>
        </w:rPr>
        <w:t xml:space="preserve">. </w:t>
      </w:r>
      <w:r w:rsidRPr="00A54618">
        <w:rPr>
          <w:lang w:val="en-US"/>
        </w:rPr>
        <w:t xml:space="preserve">Times to event </w:t>
      </w:r>
      <w:r>
        <w:rPr>
          <w:lang w:val="en-US"/>
        </w:rPr>
        <w:t xml:space="preserve">were estimated </w:t>
      </w:r>
      <w:r w:rsidRPr="00A54618">
        <w:rPr>
          <w:lang w:val="en-US"/>
        </w:rPr>
        <w:t xml:space="preserve">using the Kaplan-Meier method. </w:t>
      </w:r>
    </w:p>
    <w:p w14:paraId="78827391" w14:textId="77777777" w:rsidR="006D71E7" w:rsidRDefault="006D71E7" w:rsidP="00E1684F">
      <w:pPr>
        <w:rPr>
          <w:lang w:val="en-US"/>
        </w:rPr>
      </w:pPr>
    </w:p>
    <w:p w14:paraId="588D688E" w14:textId="1E113179" w:rsidR="006D71E7" w:rsidRDefault="006D71E7" w:rsidP="00E1684F">
      <w:pPr>
        <w:rPr>
          <w:u w:val="single"/>
          <w:lang w:val="en-US"/>
        </w:rPr>
      </w:pPr>
      <w:r>
        <w:rPr>
          <w:u w:val="single"/>
          <w:lang w:val="en-US"/>
        </w:rPr>
        <w:t>Supplementary results</w:t>
      </w:r>
    </w:p>
    <w:p w14:paraId="03FB2C8C" w14:textId="77777777" w:rsidR="001473AF" w:rsidRPr="00AB547C" w:rsidRDefault="001473AF" w:rsidP="00E1684F">
      <w:pPr>
        <w:rPr>
          <w:lang w:val="en-US"/>
        </w:rPr>
      </w:pPr>
    </w:p>
    <w:p w14:paraId="5BDB1FE5" w14:textId="35944D5F" w:rsidR="001473AF" w:rsidRPr="0034618F" w:rsidRDefault="0034618F" w:rsidP="00E1684F">
      <w:pPr>
        <w:rPr>
          <w:i/>
          <w:iCs/>
          <w:lang w:val="en-US"/>
        </w:rPr>
      </w:pPr>
      <w:r>
        <w:rPr>
          <w:i/>
          <w:iCs/>
          <w:lang w:val="en-US"/>
        </w:rPr>
        <w:t>Diagnosis and prior treatment</w:t>
      </w:r>
    </w:p>
    <w:p w14:paraId="2009498A" w14:textId="6B4B0986" w:rsidR="003F141E" w:rsidRDefault="00697FEC" w:rsidP="00E1684F">
      <w:pPr>
        <w:rPr>
          <w:lang w:val="en-US"/>
        </w:rPr>
      </w:pPr>
      <w:r w:rsidRPr="00A54618">
        <w:rPr>
          <w:lang w:val="en-US"/>
        </w:rPr>
        <w:t xml:space="preserve">Twenty-nine </w:t>
      </w:r>
      <w:r w:rsidR="004E70A1">
        <w:rPr>
          <w:lang w:val="en-US"/>
        </w:rPr>
        <w:t xml:space="preserve">patients </w:t>
      </w:r>
      <w:r w:rsidRPr="00A54618">
        <w:rPr>
          <w:lang w:val="en-US"/>
        </w:rPr>
        <w:t>(97%) had typical WM, while one patient had an IgG-producing LPL harboring MYD88</w:t>
      </w:r>
      <w:r w:rsidRPr="00A54618">
        <w:rPr>
          <w:vertAlign w:val="superscript"/>
          <w:lang w:val="en-US"/>
        </w:rPr>
        <w:t>L265P</w:t>
      </w:r>
      <w:r w:rsidRPr="00A54618">
        <w:rPr>
          <w:lang w:val="en-US"/>
        </w:rPr>
        <w:t>.</w:t>
      </w:r>
      <w:r w:rsidR="005E440A">
        <w:rPr>
          <w:lang w:val="en-US"/>
        </w:rPr>
        <w:t xml:space="preserve"> </w:t>
      </w:r>
      <w:r w:rsidR="00035A9F" w:rsidRPr="00DE74A1">
        <w:rPr>
          <w:lang w:val="en-US"/>
        </w:rPr>
        <w:t xml:space="preserve">In all 16 patients </w:t>
      </w:r>
      <w:r w:rsidR="00CC4CD8" w:rsidRPr="00DE74A1">
        <w:rPr>
          <w:lang w:val="en-US"/>
        </w:rPr>
        <w:t xml:space="preserve">(53%) </w:t>
      </w:r>
      <w:r w:rsidR="00F01956" w:rsidRPr="00DE74A1">
        <w:rPr>
          <w:lang w:val="en-US"/>
        </w:rPr>
        <w:t>of</w:t>
      </w:r>
      <w:r w:rsidR="00035A9F" w:rsidRPr="00DE74A1">
        <w:rPr>
          <w:lang w:val="en-US"/>
        </w:rPr>
        <w:t xml:space="preserve"> whom MYD88 status </w:t>
      </w:r>
      <w:r w:rsidR="00ED0CB0" w:rsidRPr="00DE74A1">
        <w:rPr>
          <w:lang w:val="en-US"/>
        </w:rPr>
        <w:t xml:space="preserve">was assessed </w:t>
      </w:r>
      <w:r w:rsidR="00035A9F" w:rsidRPr="00DE74A1">
        <w:rPr>
          <w:lang w:val="en-US"/>
        </w:rPr>
        <w:t xml:space="preserve">in </w:t>
      </w:r>
      <w:r w:rsidR="00ED0CB0" w:rsidRPr="00DE74A1">
        <w:rPr>
          <w:lang w:val="en-US"/>
        </w:rPr>
        <w:t xml:space="preserve">the </w:t>
      </w:r>
      <w:r w:rsidR="00035A9F" w:rsidRPr="00DE74A1">
        <w:rPr>
          <w:lang w:val="en-US"/>
        </w:rPr>
        <w:t xml:space="preserve">bone marrow, </w:t>
      </w:r>
      <w:r w:rsidR="00264862" w:rsidRPr="00DE74A1">
        <w:rPr>
          <w:lang w:val="en-US"/>
        </w:rPr>
        <w:t xml:space="preserve">the MYD88 gene was mutated. Of these, CXCR4 mutation status was </w:t>
      </w:r>
      <w:r w:rsidR="00CC4CD8" w:rsidRPr="00DE74A1">
        <w:rPr>
          <w:lang w:val="en-US"/>
        </w:rPr>
        <w:t>assessed in 7</w:t>
      </w:r>
      <w:r w:rsidR="00ED0CB0" w:rsidRPr="00DE74A1">
        <w:rPr>
          <w:lang w:val="en-US"/>
        </w:rPr>
        <w:t xml:space="preserve"> patients</w:t>
      </w:r>
      <w:r w:rsidR="00CC4CD8" w:rsidRPr="00DE74A1">
        <w:rPr>
          <w:lang w:val="en-US"/>
        </w:rPr>
        <w:t>,</w:t>
      </w:r>
      <w:r w:rsidR="00ED0CB0" w:rsidRPr="00DE74A1">
        <w:rPr>
          <w:lang w:val="en-US"/>
        </w:rPr>
        <w:t xml:space="preserve"> with a positive result in 1 </w:t>
      </w:r>
      <w:r w:rsidR="00527887" w:rsidRPr="00DE74A1">
        <w:rPr>
          <w:lang w:val="en-US"/>
        </w:rPr>
        <w:t>(14%).</w:t>
      </w:r>
    </w:p>
    <w:p w14:paraId="4581732B" w14:textId="77777777" w:rsidR="003F141E" w:rsidRDefault="003F141E" w:rsidP="00E1684F">
      <w:pPr>
        <w:rPr>
          <w:lang w:val="en-US"/>
        </w:rPr>
      </w:pPr>
    </w:p>
    <w:p w14:paraId="15635157" w14:textId="0DA9C89A" w:rsidR="007035E0" w:rsidRDefault="00BE5CD4" w:rsidP="00E1684F">
      <w:pPr>
        <w:rPr>
          <w:lang w:val="en-US"/>
        </w:rPr>
      </w:pPr>
      <w:r w:rsidRPr="00BE5CD4">
        <w:rPr>
          <w:lang w:val="en-US"/>
        </w:rPr>
        <w:t xml:space="preserve">The mean age at LPL diagnosis was 61 ± 11 years (SD). </w:t>
      </w:r>
      <w:r w:rsidR="005E440A" w:rsidRPr="00A54618">
        <w:rPr>
          <w:lang w:val="en-US"/>
        </w:rPr>
        <w:t>BNS occurred as a first presentation of WM in 6 patients (20%), while BNS occurred in the setting of previously diagnosed WM in the remaining 24 patients (80%).</w:t>
      </w:r>
      <w:r w:rsidR="005E440A">
        <w:rPr>
          <w:lang w:val="en-US"/>
        </w:rPr>
        <w:t xml:space="preserve"> </w:t>
      </w:r>
      <w:r w:rsidR="000A5F9E" w:rsidRPr="00A54618">
        <w:rPr>
          <w:lang w:val="en-US"/>
        </w:rPr>
        <w:t xml:space="preserve">Median number of prior treatment lines for LPL, excluding BNS therapies, was 1 (range 0-4), with 10 patients (33%) untreated for LPL. </w:t>
      </w:r>
      <w:r w:rsidR="00A90EFF" w:rsidRPr="00A54618">
        <w:rPr>
          <w:lang w:val="en-US"/>
        </w:rPr>
        <w:t>Previous WM therapies included (immuno)chemotherapy (n=18), rituximab monotherapy (n=3), proteasome inhibitors (n=3), autologous stem cell transplantation (ASCT) (n=1), allogeneic stem cell transplantation (n=1), radiotherapy (n=1), and splenectomy (n=1).</w:t>
      </w:r>
      <w:r w:rsidR="005E440A">
        <w:rPr>
          <w:lang w:val="en-US"/>
        </w:rPr>
        <w:t xml:space="preserve"> </w:t>
      </w:r>
      <w:r w:rsidR="00E52835" w:rsidRPr="00A54618">
        <w:rPr>
          <w:lang w:val="en-US"/>
        </w:rPr>
        <w:t>The median number of prior treatment lines for BNS was 0 (range 0-5).</w:t>
      </w:r>
      <w:r w:rsidR="005E440A">
        <w:rPr>
          <w:lang w:val="en-US"/>
        </w:rPr>
        <w:t xml:space="preserve"> </w:t>
      </w:r>
      <w:r w:rsidR="007035E0" w:rsidRPr="00A54618">
        <w:rPr>
          <w:lang w:val="en-US"/>
        </w:rPr>
        <w:t>Prior BNS therapies included high-dose methotrexate- and/or high-dose cytarabine-based regimens (n=11), ibrutinib (n=2), and ASCT (n=2).</w:t>
      </w:r>
    </w:p>
    <w:p w14:paraId="779C029A" w14:textId="77777777" w:rsidR="0034618F" w:rsidRDefault="0034618F" w:rsidP="00E1684F">
      <w:pPr>
        <w:rPr>
          <w:lang w:val="en-US"/>
        </w:rPr>
      </w:pPr>
    </w:p>
    <w:p w14:paraId="64CA543F" w14:textId="426B20E2" w:rsidR="0034618F" w:rsidRDefault="0034618F" w:rsidP="00E1684F">
      <w:pPr>
        <w:rPr>
          <w:i/>
          <w:iCs/>
          <w:lang w:val="en-US"/>
        </w:rPr>
      </w:pPr>
      <w:r>
        <w:rPr>
          <w:i/>
          <w:iCs/>
          <w:lang w:val="en-US"/>
        </w:rPr>
        <w:t>Zanubrutinib treatment</w:t>
      </w:r>
    </w:p>
    <w:p w14:paraId="05188C53" w14:textId="37A56C26" w:rsidR="0034618F" w:rsidRDefault="008F07FA" w:rsidP="00E1684F">
      <w:pPr>
        <w:rPr>
          <w:lang w:val="en-US"/>
        </w:rPr>
      </w:pPr>
      <w:r w:rsidRPr="008F07FA">
        <w:rPr>
          <w:lang w:val="en-US"/>
        </w:rPr>
        <w:t>The mean age at start of zanubrutinib treatment was 68 ± 8 years. Twenty-nine patients (97%) received 320 milligrams (mg) zanubrutinib daily, while one received 160 mg daily due to concomitant treatment with a CYP3A4 inhibitor.</w:t>
      </w:r>
    </w:p>
    <w:p w14:paraId="5C8F4AA1" w14:textId="77777777" w:rsidR="00EE43C8" w:rsidRDefault="00EE43C8" w:rsidP="00E1684F">
      <w:pPr>
        <w:rPr>
          <w:lang w:val="en-US"/>
        </w:rPr>
      </w:pPr>
    </w:p>
    <w:p w14:paraId="0D92AE52" w14:textId="77777777" w:rsidR="00200CB1" w:rsidRDefault="00200CB1">
      <w:pPr>
        <w:spacing w:line="240" w:lineRule="auto"/>
        <w:rPr>
          <w:i/>
          <w:iCs/>
          <w:lang w:val="en-US"/>
        </w:rPr>
      </w:pPr>
      <w:r>
        <w:rPr>
          <w:i/>
          <w:iCs/>
          <w:lang w:val="en-US"/>
        </w:rPr>
        <w:br w:type="page"/>
      </w:r>
    </w:p>
    <w:p w14:paraId="4901160E" w14:textId="4C7A5EC6" w:rsidR="002C12D8" w:rsidRPr="002C12D8" w:rsidRDefault="00D3223C" w:rsidP="00E1684F">
      <w:pPr>
        <w:rPr>
          <w:i/>
          <w:iCs/>
          <w:lang w:val="en-US"/>
        </w:rPr>
      </w:pPr>
      <w:r>
        <w:rPr>
          <w:i/>
          <w:iCs/>
          <w:lang w:val="en-US"/>
        </w:rPr>
        <w:lastRenderedPageBreak/>
        <w:t>Diagnosis by CSF analysis</w:t>
      </w:r>
    </w:p>
    <w:p w14:paraId="2796A34B" w14:textId="481795A6" w:rsidR="00F966F3" w:rsidRDefault="002C12D8" w:rsidP="00E1684F">
      <w:pPr>
        <w:rPr>
          <w:lang w:val="en-US"/>
        </w:rPr>
      </w:pPr>
      <w:r w:rsidRPr="00A54618">
        <w:rPr>
          <w:lang w:val="en-US"/>
        </w:rPr>
        <w:t>In 25 patients (83%), LPL cells were detected in CSF by cytology and/or MFC. In the remaining 5 patients, diagnosis was confirmed by MYD88</w:t>
      </w:r>
      <w:r w:rsidRPr="0035750C">
        <w:rPr>
          <w:vertAlign w:val="superscript"/>
          <w:lang w:val="en-US"/>
        </w:rPr>
        <w:t>L265P</w:t>
      </w:r>
      <w:r w:rsidRPr="00A54618">
        <w:rPr>
          <w:lang w:val="en-US"/>
        </w:rPr>
        <w:t xml:space="preserve"> positivity in CSF only (n=3) or by brain biopsy (n=2).</w:t>
      </w:r>
      <w:r w:rsidR="00FC11E2">
        <w:rPr>
          <w:lang w:val="en-US"/>
        </w:rPr>
        <w:t xml:space="preserve"> </w:t>
      </w:r>
      <w:r w:rsidR="000C417E" w:rsidRPr="00A54618">
        <w:rPr>
          <w:lang w:val="en-US"/>
        </w:rPr>
        <w:t>Overall, the MYD88</w:t>
      </w:r>
      <w:r w:rsidR="000C417E" w:rsidRPr="00A54618">
        <w:rPr>
          <w:vertAlign w:val="superscript"/>
          <w:lang w:val="en-US"/>
        </w:rPr>
        <w:t>L265P</w:t>
      </w:r>
      <w:r w:rsidR="000C417E" w:rsidRPr="00A54618">
        <w:rPr>
          <w:lang w:val="en-US"/>
        </w:rPr>
        <w:t xml:space="preserve"> mutation was detected in CSF in 14/14 assessed patients (100%), while a CXCR4 mutation was found in the CSF of 0/2 tested patients.</w:t>
      </w:r>
    </w:p>
    <w:p w14:paraId="3300630F" w14:textId="77777777" w:rsidR="00CC3ACE" w:rsidRDefault="00CC3ACE" w:rsidP="00E1684F">
      <w:pPr>
        <w:rPr>
          <w:lang w:val="en-US"/>
        </w:rPr>
      </w:pPr>
    </w:p>
    <w:p w14:paraId="5B0B6274" w14:textId="6A337C21" w:rsidR="00CC3ACE" w:rsidRDefault="00CC3ACE" w:rsidP="00E1684F">
      <w:pPr>
        <w:rPr>
          <w:i/>
          <w:iCs/>
          <w:lang w:val="en-US"/>
        </w:rPr>
      </w:pPr>
      <w:r>
        <w:rPr>
          <w:i/>
          <w:iCs/>
          <w:lang w:val="en-US"/>
        </w:rPr>
        <w:t xml:space="preserve">Responses </w:t>
      </w:r>
      <w:r w:rsidR="00177E72">
        <w:rPr>
          <w:i/>
          <w:iCs/>
          <w:lang w:val="en-US"/>
        </w:rPr>
        <w:t>in previously treated vs. untreated patients</w:t>
      </w:r>
    </w:p>
    <w:p w14:paraId="78C24ECC" w14:textId="677D392F" w:rsidR="00177E72" w:rsidRPr="00DE74A1" w:rsidRDefault="00177E72" w:rsidP="00E1684F">
      <w:pPr>
        <w:rPr>
          <w:lang w:val="en-US"/>
        </w:rPr>
      </w:pPr>
      <w:r w:rsidRPr="00DE74A1">
        <w:rPr>
          <w:lang w:val="en-US"/>
        </w:rPr>
        <w:t xml:space="preserve">In this cohort, 12 out of 30 patients (40%) were previously treated for BNS. Of the 12 previously treated patients, 9 (75%) experienced neurological symptoms at treatment commencement, in whom clinical response rate was 100%. Of the 18 patients that were untreated for BNS, 16 (89%) had symptoms at baseline. Of those, 14 (88%) showed clinical response. </w:t>
      </w:r>
    </w:p>
    <w:p w14:paraId="439BE9CC" w14:textId="27091CDB" w:rsidR="00571B62" w:rsidRPr="00DE74A1" w:rsidRDefault="0029414F" w:rsidP="00E1684F">
      <w:pPr>
        <w:rPr>
          <w:lang w:val="en-US"/>
        </w:rPr>
      </w:pPr>
      <w:r w:rsidRPr="00DE74A1">
        <w:rPr>
          <w:lang w:val="en-US"/>
        </w:rPr>
        <w:t xml:space="preserve">Of the 12 previously treated patients, </w:t>
      </w:r>
      <w:r w:rsidR="00C328D4" w:rsidRPr="00DE74A1">
        <w:rPr>
          <w:lang w:val="en-US"/>
        </w:rPr>
        <w:t>7 (</w:t>
      </w:r>
      <w:r w:rsidR="00F5568F" w:rsidRPr="00DE74A1">
        <w:rPr>
          <w:lang w:val="en-US"/>
        </w:rPr>
        <w:t>58%</w:t>
      </w:r>
      <w:r w:rsidR="00C328D4" w:rsidRPr="00DE74A1">
        <w:rPr>
          <w:lang w:val="en-US"/>
        </w:rPr>
        <w:t xml:space="preserve">) had radiological abnormalities </w:t>
      </w:r>
      <w:r w:rsidR="000C75A6" w:rsidRPr="00DE74A1">
        <w:rPr>
          <w:lang w:val="en-US"/>
        </w:rPr>
        <w:t xml:space="preserve">attributable to BNS </w:t>
      </w:r>
      <w:r w:rsidR="00C328D4" w:rsidRPr="00DE74A1">
        <w:rPr>
          <w:lang w:val="en-US"/>
        </w:rPr>
        <w:t xml:space="preserve">at </w:t>
      </w:r>
      <w:r w:rsidR="00CE6213" w:rsidRPr="00DE74A1">
        <w:rPr>
          <w:lang w:val="en-US"/>
        </w:rPr>
        <w:t>treatment initiation</w:t>
      </w:r>
      <w:r w:rsidR="00F5568F" w:rsidRPr="00DE74A1">
        <w:rPr>
          <w:lang w:val="en-US"/>
        </w:rPr>
        <w:t xml:space="preserve">. </w:t>
      </w:r>
      <w:r w:rsidR="000C75A6" w:rsidRPr="00DE74A1">
        <w:rPr>
          <w:lang w:val="en-US"/>
        </w:rPr>
        <w:t xml:space="preserve">Of those 7, </w:t>
      </w:r>
      <w:r w:rsidR="00571B62" w:rsidRPr="00DE74A1">
        <w:rPr>
          <w:lang w:val="en-US"/>
        </w:rPr>
        <w:t xml:space="preserve">in </w:t>
      </w:r>
      <w:r w:rsidR="008260F3" w:rsidRPr="00DE74A1">
        <w:rPr>
          <w:lang w:val="en-US"/>
        </w:rPr>
        <w:t xml:space="preserve">all 6 with repeated MRI </w:t>
      </w:r>
      <w:r w:rsidR="00571B62" w:rsidRPr="00DE74A1">
        <w:rPr>
          <w:lang w:val="en-US"/>
        </w:rPr>
        <w:t xml:space="preserve">(100%) abnormalities were improved. Of the </w:t>
      </w:r>
      <w:r w:rsidR="0095515A" w:rsidRPr="00DE74A1">
        <w:rPr>
          <w:lang w:val="en-US"/>
        </w:rPr>
        <w:t xml:space="preserve">18 patients that were untreated, </w:t>
      </w:r>
      <w:r w:rsidR="00145EC7" w:rsidRPr="00DE74A1">
        <w:rPr>
          <w:lang w:val="en-US"/>
        </w:rPr>
        <w:t>12 (</w:t>
      </w:r>
      <w:r w:rsidR="00CE6213" w:rsidRPr="00DE74A1">
        <w:rPr>
          <w:lang w:val="en-US"/>
        </w:rPr>
        <w:t>67%</w:t>
      </w:r>
      <w:r w:rsidR="00145EC7" w:rsidRPr="00DE74A1">
        <w:rPr>
          <w:lang w:val="en-US"/>
        </w:rPr>
        <w:t>)</w:t>
      </w:r>
      <w:r w:rsidR="00CE6213" w:rsidRPr="00DE74A1">
        <w:rPr>
          <w:lang w:val="en-US"/>
        </w:rPr>
        <w:t xml:space="preserve"> had radiological abnormalities at treatment initiation. </w:t>
      </w:r>
      <w:r w:rsidR="00BF519E" w:rsidRPr="00DE74A1">
        <w:rPr>
          <w:lang w:val="en-US"/>
        </w:rPr>
        <w:t xml:space="preserve">Of those, </w:t>
      </w:r>
      <w:r w:rsidR="00F83983" w:rsidRPr="00DE74A1">
        <w:rPr>
          <w:lang w:val="en-US"/>
        </w:rPr>
        <w:t xml:space="preserve">7 (58%) had repeated measurements, of whom </w:t>
      </w:r>
      <w:r w:rsidR="009201B8" w:rsidRPr="00DE74A1">
        <w:rPr>
          <w:lang w:val="en-US"/>
        </w:rPr>
        <w:t>6 (86%) showed radiological improvement.</w:t>
      </w:r>
    </w:p>
    <w:p w14:paraId="505A5C31" w14:textId="4DF5BF71" w:rsidR="003746ED" w:rsidRPr="00DE74A1" w:rsidRDefault="00F00656" w:rsidP="00E1684F">
      <w:pPr>
        <w:rPr>
          <w:lang w:val="en-US"/>
        </w:rPr>
      </w:pPr>
      <w:r w:rsidRPr="00DE74A1">
        <w:rPr>
          <w:lang w:val="en-US"/>
        </w:rPr>
        <w:t xml:space="preserve">Of the 12 previously treated patients, </w:t>
      </w:r>
      <w:r w:rsidR="003746ED" w:rsidRPr="00DE74A1">
        <w:rPr>
          <w:lang w:val="en-US"/>
        </w:rPr>
        <w:t>6</w:t>
      </w:r>
      <w:r w:rsidRPr="00DE74A1">
        <w:rPr>
          <w:lang w:val="en-US"/>
        </w:rPr>
        <w:t xml:space="preserve"> (5</w:t>
      </w:r>
      <w:r w:rsidR="003746ED" w:rsidRPr="00DE74A1">
        <w:rPr>
          <w:lang w:val="en-US"/>
        </w:rPr>
        <w:t>0</w:t>
      </w:r>
      <w:r w:rsidRPr="00DE74A1">
        <w:rPr>
          <w:lang w:val="en-US"/>
        </w:rPr>
        <w:t xml:space="preserve">%) had a positive CSF at treatment initiation. Of those </w:t>
      </w:r>
      <w:r w:rsidR="003746ED" w:rsidRPr="00DE74A1">
        <w:rPr>
          <w:lang w:val="en-US"/>
        </w:rPr>
        <w:t>6</w:t>
      </w:r>
      <w:r w:rsidRPr="00DE74A1">
        <w:rPr>
          <w:lang w:val="en-US"/>
        </w:rPr>
        <w:t xml:space="preserve">, </w:t>
      </w:r>
      <w:r w:rsidR="003746ED" w:rsidRPr="00DE74A1">
        <w:rPr>
          <w:lang w:val="en-US"/>
        </w:rPr>
        <w:t xml:space="preserve">lumbar puncture was repeated in </w:t>
      </w:r>
      <w:r w:rsidR="00454F8B" w:rsidRPr="00DE74A1">
        <w:rPr>
          <w:lang w:val="en-US"/>
        </w:rPr>
        <w:t xml:space="preserve">5 (83%), of which </w:t>
      </w:r>
      <w:r w:rsidR="001F7135" w:rsidRPr="00DE74A1">
        <w:rPr>
          <w:lang w:val="en-US"/>
        </w:rPr>
        <w:t xml:space="preserve">3 </w:t>
      </w:r>
      <w:r w:rsidR="00E73025" w:rsidRPr="00DE74A1">
        <w:rPr>
          <w:lang w:val="en-US"/>
        </w:rPr>
        <w:t xml:space="preserve">(60%) </w:t>
      </w:r>
      <w:r w:rsidR="001F7135" w:rsidRPr="00DE74A1">
        <w:rPr>
          <w:lang w:val="en-US"/>
        </w:rPr>
        <w:t xml:space="preserve">showed resolution of </w:t>
      </w:r>
      <w:r w:rsidR="00E73025" w:rsidRPr="00DE74A1">
        <w:rPr>
          <w:lang w:val="en-US"/>
        </w:rPr>
        <w:t>CNS involvement</w:t>
      </w:r>
      <w:r w:rsidRPr="00DE74A1">
        <w:rPr>
          <w:lang w:val="en-US"/>
        </w:rPr>
        <w:t xml:space="preserve">. </w:t>
      </w:r>
    </w:p>
    <w:p w14:paraId="054A98B5" w14:textId="0D5416DC" w:rsidR="00F00656" w:rsidRPr="00DE74A1" w:rsidRDefault="00F00656" w:rsidP="00E1684F">
      <w:pPr>
        <w:rPr>
          <w:lang w:val="en-US"/>
        </w:rPr>
      </w:pPr>
      <w:r w:rsidRPr="00DE74A1">
        <w:rPr>
          <w:lang w:val="en-US"/>
        </w:rPr>
        <w:t xml:space="preserve">Of the 18 patients that were untreated, </w:t>
      </w:r>
      <w:r w:rsidR="00C47B30" w:rsidRPr="00DE74A1">
        <w:rPr>
          <w:lang w:val="en-US"/>
        </w:rPr>
        <w:t>17</w:t>
      </w:r>
      <w:r w:rsidR="00E73025" w:rsidRPr="00DE74A1">
        <w:rPr>
          <w:lang w:val="en-US"/>
        </w:rPr>
        <w:t xml:space="preserve"> (</w:t>
      </w:r>
      <w:r w:rsidR="00C47B30" w:rsidRPr="00DE74A1">
        <w:rPr>
          <w:lang w:val="en-US"/>
        </w:rPr>
        <w:t>94</w:t>
      </w:r>
      <w:r w:rsidR="00E73025" w:rsidRPr="00DE74A1">
        <w:rPr>
          <w:lang w:val="en-US"/>
        </w:rPr>
        <w:t xml:space="preserve">%) had a positive CSF at treatment initiation. Of those </w:t>
      </w:r>
      <w:r w:rsidR="00C47B30" w:rsidRPr="00DE74A1">
        <w:rPr>
          <w:lang w:val="en-US"/>
        </w:rPr>
        <w:t>17</w:t>
      </w:r>
      <w:r w:rsidR="00E73025" w:rsidRPr="00DE74A1">
        <w:rPr>
          <w:lang w:val="en-US"/>
        </w:rPr>
        <w:t xml:space="preserve">, lumbar puncture was repeated in </w:t>
      </w:r>
      <w:r w:rsidR="00B83CAC" w:rsidRPr="00DE74A1">
        <w:rPr>
          <w:lang w:val="en-US"/>
        </w:rPr>
        <w:t>10</w:t>
      </w:r>
      <w:r w:rsidR="00E73025" w:rsidRPr="00DE74A1">
        <w:rPr>
          <w:lang w:val="en-US"/>
        </w:rPr>
        <w:t xml:space="preserve"> (</w:t>
      </w:r>
      <w:r w:rsidR="00AC3AB8" w:rsidRPr="00DE74A1">
        <w:rPr>
          <w:lang w:val="en-US"/>
        </w:rPr>
        <w:t>59</w:t>
      </w:r>
      <w:r w:rsidR="00E73025" w:rsidRPr="00DE74A1">
        <w:rPr>
          <w:lang w:val="en-US"/>
        </w:rPr>
        <w:t>%), of which 3 (</w:t>
      </w:r>
      <w:r w:rsidR="0044666D" w:rsidRPr="00DE74A1">
        <w:rPr>
          <w:lang w:val="en-US"/>
        </w:rPr>
        <w:t>30</w:t>
      </w:r>
      <w:r w:rsidR="00E73025" w:rsidRPr="00DE74A1">
        <w:rPr>
          <w:lang w:val="en-US"/>
        </w:rPr>
        <w:t>%) showed resolution of CNS involvement.</w:t>
      </w:r>
    </w:p>
    <w:p w14:paraId="07417F8E" w14:textId="77777777" w:rsidR="00177E72" w:rsidRPr="001539DE" w:rsidRDefault="00177E72" w:rsidP="00E1684F">
      <w:pPr>
        <w:rPr>
          <w:lang w:val="en-US"/>
        </w:rPr>
      </w:pPr>
    </w:p>
    <w:p w14:paraId="3BFDDB9C" w14:textId="2B0FC9D8" w:rsidR="0067461C" w:rsidRDefault="00C82ABA" w:rsidP="00E1684F">
      <w:pPr>
        <w:rPr>
          <w:i/>
          <w:iCs/>
          <w:lang w:val="en-US"/>
        </w:rPr>
      </w:pPr>
      <w:r>
        <w:rPr>
          <w:i/>
          <w:iCs/>
          <w:lang w:val="en-US"/>
        </w:rPr>
        <w:t>WM</w:t>
      </w:r>
      <w:r w:rsidR="0067461C">
        <w:rPr>
          <w:i/>
          <w:iCs/>
          <w:lang w:val="en-US"/>
        </w:rPr>
        <w:t xml:space="preserve"> response</w:t>
      </w:r>
    </w:p>
    <w:p w14:paraId="388827F9" w14:textId="3B33D7C7" w:rsidR="0067461C" w:rsidRDefault="00C82ABA" w:rsidP="00E1684F">
      <w:pPr>
        <w:rPr>
          <w:lang w:val="en-US"/>
        </w:rPr>
      </w:pPr>
      <w:r w:rsidRPr="00C82ABA">
        <w:rPr>
          <w:lang w:val="en-US"/>
        </w:rPr>
        <w:t>Within 12 months of starting zanubrutinib, median serum IgM levels decreased from 13 grams per liter (g/L) (range 0.4 – 46) to a nadir of 3 g/L (range 0.1 – 22). Hematological response as per IWWM response criteria was assessed in 17 cases with an increased IgM (&gt; 2.3 g/L) at start and at least one available IgM level during follow-up</w:t>
      </w:r>
      <w:r w:rsidR="004B7772">
        <w:rPr>
          <w:lang w:val="en-US"/>
        </w:rPr>
        <w:t xml:space="preserve"> </w:t>
      </w:r>
      <w:r w:rsidR="004B7772">
        <w:rPr>
          <w:lang w:val="en-US"/>
        </w:rPr>
        <w:fldChar w:fldCharType="begin">
          <w:fldData xml:space="preserve">PEVuZE5vdGU+PENpdGU+PEF1dGhvcj5Pd2VuPC9BdXRob3I+PFllYXI+MjAxMzwvWWVhcj48UmVj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</w:fldData>
        </w:fldChar>
      </w:r>
      <w:r w:rsidR="004B7772">
        <w:rPr>
          <w:lang w:val="en-US"/>
        </w:rPr>
        <w:instrText xml:space="preserve"> ADDIN EN.CITE </w:instrText>
      </w:r>
      <w:r w:rsidR="004B7772">
        <w:rPr>
          <w:lang w:val="en-US"/>
        </w:rPr>
        <w:fldChar w:fldCharType="begin">
          <w:fldData xml:space="preserve">PEVuZE5vdGU+PENpdGU+PEF1dGhvcj5Pd2VuPC9BdXRob3I+PFllYXI+MjAxMzwvWWVhcj48UmVj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</w:fldData>
        </w:fldChar>
      </w:r>
      <w:r w:rsidR="004B7772">
        <w:rPr>
          <w:lang w:val="en-US"/>
        </w:rPr>
        <w:instrText xml:space="preserve"> ADDIN EN.CITE.DATA </w:instrText>
      </w:r>
      <w:r w:rsidR="004B7772">
        <w:rPr>
          <w:lang w:val="en-US"/>
        </w:rPr>
      </w:r>
      <w:r w:rsidR="004B7772">
        <w:rPr>
          <w:lang w:val="en-US"/>
        </w:rPr>
        <w:fldChar w:fldCharType="end"/>
      </w:r>
      <w:r w:rsidR="004B7772">
        <w:rPr>
          <w:lang w:val="en-US"/>
        </w:rPr>
      </w:r>
      <w:r w:rsidR="004B7772">
        <w:rPr>
          <w:lang w:val="en-US"/>
        </w:rPr>
        <w:fldChar w:fldCharType="separate"/>
      </w:r>
      <w:r w:rsidR="004B7772">
        <w:rPr>
          <w:noProof/>
          <w:lang w:val="en-US"/>
        </w:rPr>
        <w:t>(1)</w:t>
      </w:r>
      <w:r w:rsidR="004B7772">
        <w:rPr>
          <w:lang w:val="en-US"/>
        </w:rPr>
        <w:fldChar w:fldCharType="end"/>
      </w:r>
      <w:r w:rsidRPr="00C82ABA">
        <w:rPr>
          <w:lang w:val="en-US"/>
        </w:rPr>
        <w:t>. The best hematological responses within 12 months included an overall response rate of 16 (94%), with 5 patients (29%) achieving a very good partial response, 9 patients (53%) a partial response, 2 patients (12%) a minor response, while 1 patient (6%) had stable disease.</w:t>
      </w:r>
    </w:p>
    <w:p w14:paraId="64C95D34" w14:textId="77777777" w:rsidR="00133D8F" w:rsidRDefault="00133D8F" w:rsidP="00E1684F">
      <w:pPr>
        <w:rPr>
          <w:lang w:val="en-US"/>
        </w:rPr>
      </w:pPr>
    </w:p>
    <w:p w14:paraId="344CE7DE" w14:textId="5941FE5F" w:rsidR="00133D8F" w:rsidRDefault="00133D8F" w:rsidP="00E1684F">
      <w:pPr>
        <w:rPr>
          <w:i/>
          <w:iCs/>
          <w:lang w:val="en-US"/>
        </w:rPr>
      </w:pPr>
      <w:r>
        <w:rPr>
          <w:i/>
          <w:iCs/>
          <w:lang w:val="en-US"/>
        </w:rPr>
        <w:t>Adverse events</w:t>
      </w:r>
    </w:p>
    <w:p w14:paraId="4AB0C1AA" w14:textId="68F8325A" w:rsidR="00133D8F" w:rsidRPr="00133D8F" w:rsidRDefault="00AB6BBB" w:rsidP="00E1684F">
      <w:pPr>
        <w:rPr>
          <w:lang w:val="en-US"/>
        </w:rPr>
      </w:pPr>
      <w:r w:rsidRPr="00A54618">
        <w:rPr>
          <w:lang w:val="en-US"/>
        </w:rPr>
        <w:t>Grade 2 AEs,</w:t>
      </w:r>
      <w:r>
        <w:rPr>
          <w:lang w:val="en-US"/>
        </w:rPr>
        <w:t xml:space="preserve"> </w:t>
      </w:r>
      <w:r w:rsidRPr="00A54618">
        <w:rPr>
          <w:lang w:val="en-US"/>
        </w:rPr>
        <w:t>occurring in 7 patients (23%), included infections (n=4), fever (n=1), hematoma (n=1), intraventricular hemorrhage (n=1), aortic valve disease (n=1), skin rash (n=1), fatigue (n=1), and hoarseness (n=1).</w:t>
      </w:r>
    </w:p>
    <w:p w14:paraId="71A624D6" w14:textId="77777777" w:rsidR="00A761F3" w:rsidRDefault="00A761F3">
      <w:pPr>
        <w:spacing w:line="240" w:lineRule="auto"/>
        <w:rPr>
          <w:u w:val="single"/>
          <w:lang w:val="en-US"/>
        </w:rPr>
      </w:pPr>
    </w:p>
    <w:p w14:paraId="2A932006" w14:textId="77777777" w:rsidR="00EE210D" w:rsidRDefault="00EE210D">
      <w:pPr>
        <w:spacing w:line="240" w:lineRule="auto"/>
        <w:rPr>
          <w:u w:val="single"/>
          <w:lang w:val="en-US"/>
        </w:rPr>
      </w:pPr>
    </w:p>
    <w:p w14:paraId="253213D6" w14:textId="77777777" w:rsidR="00A761F3" w:rsidRDefault="00A761F3">
      <w:pPr>
        <w:spacing w:line="240" w:lineRule="auto"/>
        <w:rPr>
          <w:u w:val="single"/>
          <w:lang w:val="en-US"/>
        </w:rPr>
      </w:pPr>
      <w:r>
        <w:rPr>
          <w:u w:val="single"/>
          <w:lang w:val="en-US"/>
        </w:rPr>
        <w:t>References</w:t>
      </w:r>
    </w:p>
    <w:p w14:paraId="4202CC44" w14:textId="77777777" w:rsidR="004B7772" w:rsidRPr="004B7772" w:rsidRDefault="00A761F3" w:rsidP="004B7772">
      <w:pPr>
        <w:pStyle w:val="EndNoteBibliography"/>
      </w:pPr>
      <w:r>
        <w:rPr>
          <w:u w:val="single"/>
        </w:rPr>
        <w:fldChar w:fldCharType="begin"/>
      </w:r>
      <w:r w:rsidRPr="003E2E4D">
        <w:rPr>
          <w:u w:val="single"/>
        </w:rPr>
        <w:instrText xml:space="preserve"> ADDIN EN.REFLIST </w:instrText>
      </w:r>
      <w:r>
        <w:rPr>
          <w:u w:val="single"/>
        </w:rPr>
        <w:fldChar w:fldCharType="separate"/>
      </w:r>
      <w:r w:rsidR="004B7772" w:rsidRPr="004B7772">
        <w:t>1.</w:t>
      </w:r>
      <w:r w:rsidR="004B7772" w:rsidRPr="004B7772">
        <w:tab/>
        <w:t>Owen RG, Kyle RA, Stone MJ, Rawstron AC, Leblond V, Merlini G, et al. Response assessment in Waldenström macroglobulinaemia: update from the VIth International Workshop. Br J Haematol. 2013;160(2):171-6.</w:t>
      </w:r>
    </w:p>
    <w:p w14:paraId="77597E9B" w14:textId="501EA091" w:rsidR="00B75D63" w:rsidRDefault="00A761F3" w:rsidP="004B7772">
      <w:pPr>
        <w:rPr>
          <w:u w:val="single"/>
          <w:lang w:val="en-US"/>
        </w:rPr>
      </w:pPr>
      <w:r>
        <w:rPr>
          <w:u w:val="single"/>
          <w:lang w:val="en-US"/>
        </w:rPr>
        <w:fldChar w:fldCharType="end"/>
      </w:r>
      <w:r w:rsidR="00B75D63">
        <w:rPr>
          <w:u w:val="single"/>
          <w:lang w:val="en-US"/>
        </w:rPr>
        <w:br w:type="page"/>
      </w:r>
    </w:p>
    <w:p w14:paraId="21B5E975" w14:textId="7445722D" w:rsidR="00EE43C8" w:rsidRDefault="00EE43C8" w:rsidP="00E1684F">
      <w:pPr>
        <w:rPr>
          <w:u w:val="single"/>
          <w:lang w:val="en-US"/>
        </w:rPr>
      </w:pPr>
      <w:r w:rsidRPr="007F42DC">
        <w:rPr>
          <w:b/>
          <w:bCs/>
          <w:u w:val="single"/>
          <w:lang w:val="en-US"/>
        </w:rPr>
        <w:lastRenderedPageBreak/>
        <w:t xml:space="preserve">Supplementary Table </w:t>
      </w:r>
      <w:r w:rsidR="0077108C" w:rsidRPr="007F42DC">
        <w:rPr>
          <w:b/>
          <w:bCs/>
          <w:u w:val="single"/>
          <w:lang w:val="en-US"/>
        </w:rPr>
        <w:t>S</w:t>
      </w:r>
      <w:r w:rsidRPr="007F42DC">
        <w:rPr>
          <w:b/>
          <w:bCs/>
          <w:u w:val="single"/>
          <w:lang w:val="en-US"/>
        </w:rPr>
        <w:t>1</w:t>
      </w:r>
      <w:r w:rsidR="007473BD">
        <w:rPr>
          <w:u w:val="single"/>
          <w:lang w:val="en-US"/>
        </w:rPr>
        <w:t xml:space="preserve">: </w:t>
      </w:r>
      <w:r w:rsidR="007473BD" w:rsidRPr="007473BD">
        <w:rPr>
          <w:u w:val="single"/>
          <w:lang w:val="en-US"/>
        </w:rPr>
        <w:t xml:space="preserve">Clinical and radiological abnormalities at treatment commencement in 30 patients </w:t>
      </w:r>
      <w:r w:rsidR="007F42DC">
        <w:rPr>
          <w:u w:val="single"/>
          <w:lang w:val="en-US"/>
        </w:rPr>
        <w:t xml:space="preserve">with Bing Neel Syndrome </w:t>
      </w:r>
      <w:r w:rsidR="007473BD" w:rsidRPr="007473BD">
        <w:rPr>
          <w:u w:val="single"/>
          <w:lang w:val="en-US"/>
        </w:rPr>
        <w:t>treated with zanubrutinib</w:t>
      </w:r>
    </w:p>
    <w:p w14:paraId="04D923DC" w14:textId="77777777" w:rsidR="00B75D63" w:rsidRDefault="00B75D63" w:rsidP="00E1684F">
      <w:pPr>
        <w:rPr>
          <w:u w:val="single"/>
          <w:lang w:val="en-US"/>
        </w:rPr>
      </w:pPr>
    </w:p>
    <w:tbl>
      <w:tblPr>
        <w:tblStyle w:val="Tabelrast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091"/>
        <w:gridCol w:w="2268"/>
      </w:tblGrid>
      <w:tr w:rsidR="00527C88" w:rsidRPr="00A54618" w14:paraId="13FA0983" w14:textId="77777777" w:rsidTr="00F13C39">
        <w:tc>
          <w:tcPr>
            <w:tcW w:w="8359" w:type="dxa"/>
            <w:gridSpan w:val="2"/>
            <w:shd w:val="clear" w:color="auto" w:fill="D9D9D9" w:themeFill="background1" w:themeFillShade="D9"/>
          </w:tcPr>
          <w:p w14:paraId="2A36D0EE" w14:textId="77777777" w:rsidR="00527C88" w:rsidRPr="00A54618" w:rsidRDefault="00527C88" w:rsidP="00F13C39">
            <w:pPr>
              <w:spacing w:line="240" w:lineRule="auto"/>
              <w:rPr>
                <w:b/>
                <w:bCs/>
                <w:lang w:val="en-US"/>
              </w:rPr>
            </w:pPr>
            <w:r w:rsidRPr="00A54618">
              <w:rPr>
                <w:b/>
                <w:bCs/>
                <w:lang w:val="en-US"/>
              </w:rPr>
              <w:t>Neurological symptoms at start</w:t>
            </w:r>
          </w:p>
        </w:tc>
      </w:tr>
      <w:tr w:rsidR="00527C88" w:rsidRPr="00A54618" w14:paraId="27CD0D74" w14:textId="77777777" w:rsidTr="00F13C39">
        <w:trPr>
          <w:trHeight w:val="70"/>
        </w:trPr>
        <w:tc>
          <w:tcPr>
            <w:tcW w:w="6091" w:type="dxa"/>
          </w:tcPr>
          <w:p w14:paraId="7A4BB244" w14:textId="77777777" w:rsidR="00527C88" w:rsidRPr="00DE74A1" w:rsidRDefault="00527C88" w:rsidP="00F13C39">
            <w:pPr>
              <w:spacing w:line="240" w:lineRule="auto"/>
              <w:rPr>
                <w:lang w:val="en-US"/>
              </w:rPr>
            </w:pPr>
            <w:r w:rsidRPr="00DE74A1">
              <w:rPr>
                <w:lang w:val="en-US"/>
              </w:rPr>
              <w:t>Of any kind (%)</w:t>
            </w:r>
          </w:p>
          <w:p w14:paraId="4502C613" w14:textId="77777777" w:rsidR="00527C88" w:rsidRPr="00DE74A1" w:rsidRDefault="00527C88" w:rsidP="00F13C39">
            <w:pPr>
              <w:spacing w:line="240" w:lineRule="auto"/>
              <w:rPr>
                <w:lang w:val="en-US"/>
              </w:rPr>
            </w:pPr>
          </w:p>
          <w:p w14:paraId="1675ABFC" w14:textId="77777777" w:rsidR="00527C88" w:rsidRPr="00DE74A1" w:rsidRDefault="00527C88" w:rsidP="00F13C39">
            <w:pPr>
              <w:spacing w:line="240" w:lineRule="auto"/>
              <w:rPr>
                <w:lang w:val="en-US"/>
              </w:rPr>
            </w:pPr>
            <w:r w:rsidRPr="00DE74A1">
              <w:rPr>
                <w:lang w:val="en-US"/>
              </w:rPr>
              <w:tab/>
              <w:t>Motor deficits</w:t>
            </w:r>
          </w:p>
          <w:p w14:paraId="3B53974C" w14:textId="77777777" w:rsidR="00527C88" w:rsidRPr="00DE74A1" w:rsidRDefault="00527C88" w:rsidP="00F13C39">
            <w:pPr>
              <w:spacing w:line="240" w:lineRule="auto"/>
              <w:rPr>
                <w:lang w:val="en-US"/>
              </w:rPr>
            </w:pPr>
            <w:r w:rsidRPr="00DE74A1">
              <w:rPr>
                <w:lang w:val="en-US"/>
              </w:rPr>
              <w:tab/>
              <w:t>Sensory deficits</w:t>
            </w:r>
          </w:p>
          <w:p w14:paraId="10E013A8" w14:textId="77777777" w:rsidR="00527C88" w:rsidRPr="00DE74A1" w:rsidRDefault="00527C88" w:rsidP="00F13C39">
            <w:pPr>
              <w:spacing w:line="240" w:lineRule="auto"/>
              <w:rPr>
                <w:lang w:val="en-US"/>
              </w:rPr>
            </w:pPr>
            <w:r w:rsidRPr="00DE74A1">
              <w:rPr>
                <w:lang w:val="en-US"/>
              </w:rPr>
              <w:tab/>
              <w:t>Lower limb ataxia</w:t>
            </w:r>
          </w:p>
          <w:p w14:paraId="7F5ECDB9" w14:textId="77777777" w:rsidR="00527C88" w:rsidRPr="00DE74A1" w:rsidRDefault="00527C88" w:rsidP="00F13C39">
            <w:pPr>
              <w:spacing w:line="240" w:lineRule="auto"/>
              <w:rPr>
                <w:lang w:val="en-US"/>
              </w:rPr>
            </w:pPr>
            <w:r w:rsidRPr="00DE74A1">
              <w:rPr>
                <w:lang w:val="en-US"/>
              </w:rPr>
              <w:tab/>
              <w:t>Cognitive deficits (including memory loss)</w:t>
            </w:r>
          </w:p>
          <w:p w14:paraId="73072D29" w14:textId="77777777" w:rsidR="00527C88" w:rsidRPr="00DE74A1" w:rsidRDefault="00527C88" w:rsidP="00F13C39">
            <w:pPr>
              <w:spacing w:line="240" w:lineRule="auto"/>
              <w:rPr>
                <w:lang w:val="en-US"/>
              </w:rPr>
            </w:pPr>
            <w:r w:rsidRPr="00DE74A1">
              <w:rPr>
                <w:lang w:val="en-US"/>
              </w:rPr>
              <w:tab/>
              <w:t>Seizures</w:t>
            </w:r>
          </w:p>
          <w:p w14:paraId="755C80F1" w14:textId="77777777" w:rsidR="00527C88" w:rsidRPr="00DE74A1" w:rsidRDefault="00527C88" w:rsidP="00F13C39">
            <w:pPr>
              <w:spacing w:line="240" w:lineRule="auto"/>
              <w:rPr>
                <w:lang w:val="en-US"/>
              </w:rPr>
            </w:pPr>
            <w:r w:rsidRPr="00DE74A1">
              <w:rPr>
                <w:lang w:val="en-US"/>
              </w:rPr>
              <w:tab/>
              <w:t>Behavioral changes</w:t>
            </w:r>
          </w:p>
          <w:p w14:paraId="78CB91E9" w14:textId="77777777" w:rsidR="00527C88" w:rsidRPr="00DE74A1" w:rsidRDefault="00527C88" w:rsidP="00F13C39">
            <w:pPr>
              <w:spacing w:line="240" w:lineRule="auto"/>
              <w:rPr>
                <w:lang w:val="en-US"/>
              </w:rPr>
            </w:pPr>
            <w:r w:rsidRPr="00DE74A1">
              <w:rPr>
                <w:lang w:val="en-US"/>
              </w:rPr>
              <w:tab/>
              <w:t>Cranial nerve deficits</w:t>
            </w:r>
          </w:p>
          <w:p w14:paraId="34A99B4B" w14:textId="77777777" w:rsidR="00527C88" w:rsidRPr="00DE74A1" w:rsidRDefault="00527C88" w:rsidP="00F13C39">
            <w:pPr>
              <w:spacing w:line="240" w:lineRule="auto"/>
              <w:rPr>
                <w:lang w:val="en-US"/>
              </w:rPr>
            </w:pPr>
            <w:r w:rsidRPr="00DE74A1">
              <w:rPr>
                <w:lang w:val="en-US"/>
              </w:rPr>
              <w:tab/>
              <w:t>Headache</w:t>
            </w:r>
          </w:p>
          <w:p w14:paraId="69B76BA1" w14:textId="77777777" w:rsidR="00527C88" w:rsidRPr="00DE74A1" w:rsidRDefault="00527C88" w:rsidP="00F13C39">
            <w:pPr>
              <w:spacing w:line="240" w:lineRule="auto"/>
              <w:rPr>
                <w:lang w:val="en-US"/>
              </w:rPr>
            </w:pPr>
            <w:r w:rsidRPr="00DE74A1">
              <w:rPr>
                <w:lang w:val="en-US"/>
              </w:rPr>
              <w:tab/>
              <w:t>Radicular nerve pain</w:t>
            </w:r>
          </w:p>
          <w:p w14:paraId="3CA8E218" w14:textId="77777777" w:rsidR="00527C88" w:rsidRPr="00DE74A1" w:rsidRDefault="00527C88" w:rsidP="00F13C39">
            <w:pPr>
              <w:spacing w:line="240" w:lineRule="auto"/>
              <w:rPr>
                <w:lang w:val="en-US"/>
              </w:rPr>
            </w:pPr>
            <w:r w:rsidRPr="00DE74A1">
              <w:rPr>
                <w:lang w:val="en-US"/>
              </w:rPr>
              <w:tab/>
              <w:t>Vertigo</w:t>
            </w:r>
            <w:r w:rsidRPr="00DE74A1">
              <w:rPr>
                <w:lang w:val="en-US"/>
              </w:rPr>
              <w:tab/>
            </w:r>
          </w:p>
          <w:p w14:paraId="35F68E0F" w14:textId="77777777" w:rsidR="00527C88" w:rsidRPr="00DE74A1" w:rsidRDefault="00527C88" w:rsidP="00F13C39">
            <w:pPr>
              <w:spacing w:line="240" w:lineRule="auto"/>
              <w:rPr>
                <w:lang w:val="en-US"/>
              </w:rPr>
            </w:pPr>
            <w:r w:rsidRPr="00DE74A1">
              <w:rPr>
                <w:lang w:val="en-US"/>
              </w:rPr>
              <w:tab/>
              <w:t>Dysphasia or aphasia</w:t>
            </w:r>
          </w:p>
          <w:p w14:paraId="4EB49909" w14:textId="77777777" w:rsidR="00527C88" w:rsidRPr="00DE74A1" w:rsidRDefault="00527C88" w:rsidP="00F13C39">
            <w:pPr>
              <w:spacing w:line="240" w:lineRule="auto"/>
              <w:rPr>
                <w:lang w:val="en-US"/>
              </w:rPr>
            </w:pPr>
            <w:r w:rsidRPr="00DE74A1">
              <w:rPr>
                <w:lang w:val="en-US"/>
              </w:rPr>
              <w:tab/>
              <w:t xml:space="preserve">Hearing loss </w:t>
            </w:r>
          </w:p>
          <w:p w14:paraId="015FC1F8" w14:textId="77777777" w:rsidR="00527C88" w:rsidRPr="00DE74A1" w:rsidRDefault="00527C88" w:rsidP="00F13C39">
            <w:pPr>
              <w:spacing w:line="240" w:lineRule="auto"/>
              <w:rPr>
                <w:lang w:val="en-US"/>
              </w:rPr>
            </w:pPr>
            <w:r w:rsidRPr="00DE74A1">
              <w:rPr>
                <w:lang w:val="en-US"/>
              </w:rPr>
              <w:tab/>
              <w:t xml:space="preserve">Decline in consciousness </w:t>
            </w:r>
          </w:p>
          <w:p w14:paraId="271B6BD4" w14:textId="0BF1CF3C" w:rsidR="00527C88" w:rsidRPr="00DE74A1" w:rsidRDefault="00527C88" w:rsidP="00F13C39">
            <w:pPr>
              <w:spacing w:line="240" w:lineRule="auto"/>
              <w:rPr>
                <w:lang w:val="en-US"/>
              </w:rPr>
            </w:pPr>
            <w:r w:rsidRPr="00DE74A1">
              <w:rPr>
                <w:lang w:val="en-US"/>
              </w:rPr>
              <w:tab/>
              <w:t>Generalized pain in arms and legs</w:t>
            </w:r>
          </w:p>
          <w:p w14:paraId="62045EFC" w14:textId="77777777" w:rsidR="00527C88" w:rsidRPr="00DE74A1" w:rsidRDefault="00527C88" w:rsidP="00F13C39">
            <w:pPr>
              <w:spacing w:line="240" w:lineRule="auto"/>
              <w:rPr>
                <w:lang w:val="en-US"/>
              </w:rPr>
            </w:pPr>
            <w:r w:rsidRPr="00DE74A1">
              <w:rPr>
                <w:lang w:val="en-US"/>
              </w:rPr>
              <w:tab/>
              <w:t>Cauda equina syndrome</w:t>
            </w:r>
          </w:p>
          <w:p w14:paraId="460708DC" w14:textId="77777777" w:rsidR="0060760F" w:rsidRPr="00DE74A1" w:rsidRDefault="00527C88" w:rsidP="00F13C39">
            <w:pPr>
              <w:spacing w:line="240" w:lineRule="auto"/>
              <w:rPr>
                <w:lang w:val="en-US"/>
              </w:rPr>
            </w:pPr>
            <w:r w:rsidRPr="00DE74A1">
              <w:rPr>
                <w:lang w:val="en-US"/>
              </w:rPr>
              <w:tab/>
              <w:t>Visual deficits</w:t>
            </w:r>
          </w:p>
          <w:p w14:paraId="6E23E356" w14:textId="77777777" w:rsidR="00527C88" w:rsidRPr="00DE74A1" w:rsidRDefault="00527C88" w:rsidP="00F13C39">
            <w:pPr>
              <w:spacing w:line="240" w:lineRule="auto"/>
              <w:rPr>
                <w:lang w:val="en-US"/>
              </w:rPr>
            </w:pPr>
            <w:r w:rsidRPr="00DE74A1">
              <w:rPr>
                <w:lang w:val="en-US"/>
              </w:rPr>
              <w:tab/>
            </w:r>
            <w:r w:rsidR="0060760F" w:rsidRPr="00DE74A1">
              <w:rPr>
                <w:lang w:val="en-US"/>
              </w:rPr>
              <w:t>Upper limb ataxia</w:t>
            </w:r>
          </w:p>
          <w:p w14:paraId="5CBCC183" w14:textId="4951DA5D" w:rsidR="00F64BA7" w:rsidRPr="00DE74A1" w:rsidRDefault="00F64BA7" w:rsidP="00F13C39">
            <w:pPr>
              <w:spacing w:line="240" w:lineRule="auto"/>
              <w:rPr>
                <w:lang w:val="en-US"/>
              </w:rPr>
            </w:pPr>
          </w:p>
        </w:tc>
        <w:tc>
          <w:tcPr>
            <w:tcW w:w="2268" w:type="dxa"/>
          </w:tcPr>
          <w:p w14:paraId="5058A1DF" w14:textId="02DDE98A" w:rsidR="00527C88" w:rsidRPr="00DE74A1" w:rsidRDefault="00527C88" w:rsidP="00F13C39">
            <w:pPr>
              <w:spacing w:line="240" w:lineRule="auto"/>
              <w:rPr>
                <w:lang w:val="en-US"/>
              </w:rPr>
            </w:pPr>
            <w:r w:rsidRPr="00DE74A1">
              <w:rPr>
                <w:lang w:val="en-US"/>
              </w:rPr>
              <w:t>2</w:t>
            </w:r>
            <w:r w:rsidR="00FF430B" w:rsidRPr="00DE74A1">
              <w:rPr>
                <w:lang w:val="en-US"/>
              </w:rPr>
              <w:t>5</w:t>
            </w:r>
            <w:r w:rsidRPr="00DE74A1">
              <w:rPr>
                <w:lang w:val="en-US"/>
              </w:rPr>
              <w:t xml:space="preserve"> (8</w:t>
            </w:r>
            <w:r w:rsidR="00FF430B" w:rsidRPr="00DE74A1">
              <w:rPr>
                <w:lang w:val="en-US"/>
              </w:rPr>
              <w:t>3</w:t>
            </w:r>
            <w:r w:rsidRPr="00DE74A1">
              <w:rPr>
                <w:lang w:val="en-US"/>
              </w:rPr>
              <w:t>)</w:t>
            </w:r>
          </w:p>
          <w:p w14:paraId="7346B556" w14:textId="77777777" w:rsidR="00527C88" w:rsidRPr="00DE74A1" w:rsidRDefault="00527C88" w:rsidP="00F13C39">
            <w:pPr>
              <w:spacing w:line="240" w:lineRule="auto"/>
              <w:rPr>
                <w:lang w:val="en-US"/>
              </w:rPr>
            </w:pPr>
          </w:p>
          <w:p w14:paraId="7AA78F76" w14:textId="635C8595" w:rsidR="00527C88" w:rsidRPr="00DE74A1" w:rsidRDefault="00527C88" w:rsidP="00F13C39">
            <w:pPr>
              <w:spacing w:line="240" w:lineRule="auto"/>
              <w:rPr>
                <w:lang w:val="en-US"/>
              </w:rPr>
            </w:pPr>
            <w:r w:rsidRPr="00DE74A1">
              <w:rPr>
                <w:lang w:val="en-US"/>
              </w:rPr>
              <w:tab/>
            </w:r>
            <w:r w:rsidR="0060760F" w:rsidRPr="00DE74A1">
              <w:rPr>
                <w:lang w:val="en-US"/>
              </w:rPr>
              <w:t>9</w:t>
            </w:r>
            <w:r w:rsidRPr="00DE74A1">
              <w:rPr>
                <w:lang w:val="en-US"/>
              </w:rPr>
              <w:t xml:space="preserve"> (</w:t>
            </w:r>
            <w:r w:rsidR="0060760F" w:rsidRPr="00DE74A1">
              <w:rPr>
                <w:lang w:val="en-US"/>
              </w:rPr>
              <w:t>36</w:t>
            </w:r>
            <w:r w:rsidRPr="00DE74A1">
              <w:rPr>
                <w:lang w:val="en-US"/>
              </w:rPr>
              <w:t>)</w:t>
            </w:r>
          </w:p>
          <w:p w14:paraId="09379F60" w14:textId="58CB6ABF" w:rsidR="00527C88" w:rsidRPr="00DE74A1" w:rsidRDefault="00527C88" w:rsidP="00F13C39">
            <w:pPr>
              <w:spacing w:line="240" w:lineRule="auto"/>
              <w:rPr>
                <w:lang w:val="en-US"/>
              </w:rPr>
            </w:pPr>
            <w:r w:rsidRPr="00DE74A1">
              <w:rPr>
                <w:lang w:val="en-US"/>
              </w:rPr>
              <w:tab/>
              <w:t>9 (3</w:t>
            </w:r>
            <w:r w:rsidR="00FF430B" w:rsidRPr="00DE74A1">
              <w:rPr>
                <w:lang w:val="en-US"/>
              </w:rPr>
              <w:t>6</w:t>
            </w:r>
            <w:r w:rsidRPr="00DE74A1">
              <w:rPr>
                <w:lang w:val="en-US"/>
              </w:rPr>
              <w:t>)</w:t>
            </w:r>
          </w:p>
          <w:p w14:paraId="35E9E2F1" w14:textId="0ECB141B" w:rsidR="00527C88" w:rsidRPr="00DE74A1" w:rsidRDefault="00527C88" w:rsidP="00F13C39">
            <w:pPr>
              <w:spacing w:line="240" w:lineRule="auto"/>
              <w:rPr>
                <w:lang w:val="en-US"/>
              </w:rPr>
            </w:pPr>
            <w:r w:rsidRPr="00DE74A1">
              <w:rPr>
                <w:lang w:val="en-US"/>
              </w:rPr>
              <w:tab/>
              <w:t>9 (3</w:t>
            </w:r>
            <w:r w:rsidR="00FF430B" w:rsidRPr="00DE74A1">
              <w:rPr>
                <w:lang w:val="en-US"/>
              </w:rPr>
              <w:t>6</w:t>
            </w:r>
            <w:r w:rsidRPr="00DE74A1">
              <w:rPr>
                <w:lang w:val="en-US"/>
              </w:rPr>
              <w:t>)</w:t>
            </w:r>
          </w:p>
          <w:p w14:paraId="68B412D0" w14:textId="1FCF06CF" w:rsidR="00527C88" w:rsidRPr="00DE74A1" w:rsidRDefault="00527C88" w:rsidP="00F13C39">
            <w:pPr>
              <w:spacing w:line="240" w:lineRule="auto"/>
              <w:rPr>
                <w:lang w:val="en-US"/>
              </w:rPr>
            </w:pPr>
            <w:r w:rsidRPr="00DE74A1">
              <w:rPr>
                <w:lang w:val="en-US"/>
              </w:rPr>
              <w:tab/>
              <w:t>8 (3</w:t>
            </w:r>
            <w:r w:rsidR="00DE2571" w:rsidRPr="00DE74A1">
              <w:rPr>
                <w:lang w:val="en-US"/>
              </w:rPr>
              <w:t>2</w:t>
            </w:r>
            <w:r w:rsidRPr="00DE74A1">
              <w:rPr>
                <w:lang w:val="en-US"/>
              </w:rPr>
              <w:t>)</w:t>
            </w:r>
          </w:p>
          <w:p w14:paraId="5F42988B" w14:textId="6444F31C" w:rsidR="00527C88" w:rsidRPr="00DE74A1" w:rsidRDefault="00527C88" w:rsidP="00F13C39">
            <w:pPr>
              <w:spacing w:line="240" w:lineRule="auto"/>
              <w:rPr>
                <w:lang w:val="en-US"/>
              </w:rPr>
            </w:pPr>
            <w:r w:rsidRPr="00DE74A1">
              <w:rPr>
                <w:lang w:val="en-US"/>
              </w:rPr>
              <w:tab/>
              <w:t>6 (2</w:t>
            </w:r>
            <w:r w:rsidR="00DE2571" w:rsidRPr="00DE74A1">
              <w:rPr>
                <w:lang w:val="en-US"/>
              </w:rPr>
              <w:t>4</w:t>
            </w:r>
            <w:r w:rsidRPr="00DE74A1">
              <w:rPr>
                <w:lang w:val="en-US"/>
              </w:rPr>
              <w:t>)</w:t>
            </w:r>
          </w:p>
          <w:p w14:paraId="18E2E451" w14:textId="442F770D" w:rsidR="00527C88" w:rsidRPr="00DE74A1" w:rsidRDefault="00527C88" w:rsidP="00F13C39">
            <w:pPr>
              <w:spacing w:line="240" w:lineRule="auto"/>
              <w:rPr>
                <w:lang w:val="en-US"/>
              </w:rPr>
            </w:pPr>
            <w:r w:rsidRPr="00DE74A1">
              <w:rPr>
                <w:lang w:val="en-US"/>
              </w:rPr>
              <w:tab/>
              <w:t>6 (2</w:t>
            </w:r>
            <w:r w:rsidR="00DE2571" w:rsidRPr="00DE74A1">
              <w:rPr>
                <w:lang w:val="en-US"/>
              </w:rPr>
              <w:t>4</w:t>
            </w:r>
            <w:r w:rsidRPr="00DE74A1">
              <w:rPr>
                <w:lang w:val="en-US"/>
              </w:rPr>
              <w:t>)</w:t>
            </w:r>
          </w:p>
          <w:p w14:paraId="535DA668" w14:textId="6BF70D8E" w:rsidR="00527C88" w:rsidRPr="00DE74A1" w:rsidRDefault="00527C88" w:rsidP="00F13C39">
            <w:pPr>
              <w:spacing w:line="240" w:lineRule="auto"/>
              <w:rPr>
                <w:lang w:val="en-US"/>
              </w:rPr>
            </w:pPr>
            <w:r w:rsidRPr="00DE74A1">
              <w:rPr>
                <w:lang w:val="en-US"/>
              </w:rPr>
              <w:tab/>
              <w:t>4 (1</w:t>
            </w:r>
            <w:r w:rsidR="00DE2571" w:rsidRPr="00DE74A1">
              <w:rPr>
                <w:lang w:val="en-US"/>
              </w:rPr>
              <w:t>6</w:t>
            </w:r>
            <w:r w:rsidRPr="00DE74A1">
              <w:rPr>
                <w:lang w:val="en-US"/>
              </w:rPr>
              <w:t>)</w:t>
            </w:r>
          </w:p>
          <w:p w14:paraId="4AC5B959" w14:textId="7FCFE6A2" w:rsidR="00527C88" w:rsidRPr="00DE74A1" w:rsidRDefault="00527C88" w:rsidP="00F13C39">
            <w:pPr>
              <w:spacing w:line="240" w:lineRule="auto"/>
              <w:rPr>
                <w:lang w:val="en-US"/>
              </w:rPr>
            </w:pPr>
            <w:r w:rsidRPr="00DE74A1">
              <w:rPr>
                <w:lang w:val="en-US"/>
              </w:rPr>
              <w:tab/>
              <w:t>4 (1</w:t>
            </w:r>
            <w:r w:rsidR="00DE2571" w:rsidRPr="00DE74A1">
              <w:rPr>
                <w:lang w:val="en-US"/>
              </w:rPr>
              <w:t>6</w:t>
            </w:r>
            <w:r w:rsidRPr="00DE74A1">
              <w:rPr>
                <w:lang w:val="en-US"/>
              </w:rPr>
              <w:t>)</w:t>
            </w:r>
          </w:p>
          <w:p w14:paraId="1E6475CF" w14:textId="65CFE456" w:rsidR="00527C88" w:rsidRPr="00DE74A1" w:rsidRDefault="00527C88" w:rsidP="00F13C39">
            <w:pPr>
              <w:spacing w:line="240" w:lineRule="auto"/>
              <w:rPr>
                <w:lang w:val="en-US"/>
              </w:rPr>
            </w:pPr>
            <w:r w:rsidRPr="00DE74A1">
              <w:rPr>
                <w:lang w:val="en-US"/>
              </w:rPr>
              <w:tab/>
              <w:t>4 (1</w:t>
            </w:r>
            <w:r w:rsidR="00DE2571" w:rsidRPr="00DE74A1">
              <w:rPr>
                <w:lang w:val="en-US"/>
              </w:rPr>
              <w:t>6</w:t>
            </w:r>
            <w:r w:rsidRPr="00DE74A1">
              <w:rPr>
                <w:lang w:val="en-US"/>
              </w:rPr>
              <w:t>)</w:t>
            </w:r>
          </w:p>
          <w:p w14:paraId="0F083DF3" w14:textId="77777777" w:rsidR="00527C88" w:rsidRPr="00DE74A1" w:rsidRDefault="00527C88" w:rsidP="00F13C39">
            <w:pPr>
              <w:spacing w:line="240" w:lineRule="auto"/>
              <w:rPr>
                <w:lang w:val="en-US"/>
              </w:rPr>
            </w:pPr>
            <w:r w:rsidRPr="00DE74A1">
              <w:rPr>
                <w:lang w:val="en-US"/>
              </w:rPr>
              <w:tab/>
              <w:t>3 (12)</w:t>
            </w:r>
          </w:p>
          <w:p w14:paraId="4A3D4C26" w14:textId="77777777" w:rsidR="00527C88" w:rsidRPr="00DE74A1" w:rsidRDefault="00527C88" w:rsidP="00F13C39">
            <w:pPr>
              <w:spacing w:line="240" w:lineRule="auto"/>
              <w:rPr>
                <w:lang w:val="en-US"/>
              </w:rPr>
            </w:pPr>
            <w:r w:rsidRPr="00DE74A1">
              <w:rPr>
                <w:lang w:val="en-US"/>
              </w:rPr>
              <w:tab/>
              <w:t>2 (8)</w:t>
            </w:r>
          </w:p>
          <w:p w14:paraId="2C9F227A" w14:textId="77777777" w:rsidR="00527C88" w:rsidRPr="00DE74A1" w:rsidRDefault="00527C88" w:rsidP="00F13C39">
            <w:pPr>
              <w:spacing w:line="240" w:lineRule="auto"/>
              <w:rPr>
                <w:lang w:val="en-US"/>
              </w:rPr>
            </w:pPr>
            <w:r w:rsidRPr="00DE74A1">
              <w:rPr>
                <w:lang w:val="en-US"/>
              </w:rPr>
              <w:tab/>
              <w:t>2 (8)</w:t>
            </w:r>
          </w:p>
          <w:p w14:paraId="6FFA5F89" w14:textId="77777777" w:rsidR="00527C88" w:rsidRPr="00DE74A1" w:rsidRDefault="00527C88" w:rsidP="00F13C39">
            <w:pPr>
              <w:spacing w:line="240" w:lineRule="auto"/>
              <w:rPr>
                <w:lang w:val="en-US"/>
              </w:rPr>
            </w:pPr>
            <w:r w:rsidRPr="00DE74A1">
              <w:rPr>
                <w:lang w:val="en-US"/>
              </w:rPr>
              <w:tab/>
              <w:t>2 (8)</w:t>
            </w:r>
          </w:p>
          <w:p w14:paraId="5FB08994" w14:textId="77777777" w:rsidR="00701257" w:rsidRPr="00DE74A1" w:rsidRDefault="00527C88" w:rsidP="00F13C39">
            <w:pPr>
              <w:spacing w:line="240" w:lineRule="auto"/>
              <w:rPr>
                <w:lang w:val="en-US"/>
              </w:rPr>
            </w:pPr>
            <w:r w:rsidRPr="00DE74A1">
              <w:rPr>
                <w:lang w:val="en-US"/>
              </w:rPr>
              <w:tab/>
              <w:t>1 (4)</w:t>
            </w:r>
            <w:r w:rsidRPr="00DE74A1">
              <w:rPr>
                <w:lang w:val="en-US"/>
              </w:rPr>
              <w:tab/>
            </w:r>
          </w:p>
          <w:p w14:paraId="0CFD0306" w14:textId="2BDE0DD4" w:rsidR="00527C88" w:rsidRPr="00DE74A1" w:rsidRDefault="00E078D4" w:rsidP="00F13C39">
            <w:pPr>
              <w:spacing w:line="240" w:lineRule="auto"/>
              <w:rPr>
                <w:lang w:val="en-US"/>
              </w:rPr>
            </w:pPr>
            <w:r w:rsidRPr="00DE74A1">
              <w:rPr>
                <w:lang w:val="en-US"/>
              </w:rPr>
              <w:tab/>
            </w:r>
            <w:r w:rsidR="00527C88" w:rsidRPr="00DE74A1">
              <w:rPr>
                <w:lang w:val="en-US"/>
              </w:rPr>
              <w:t>1 (4)</w:t>
            </w:r>
          </w:p>
          <w:p w14:paraId="6169AC15" w14:textId="77777777" w:rsidR="00527C88" w:rsidRPr="00DE74A1" w:rsidRDefault="00527C88" w:rsidP="00F13C39">
            <w:pPr>
              <w:spacing w:line="240" w:lineRule="auto"/>
              <w:rPr>
                <w:lang w:val="en-US"/>
              </w:rPr>
            </w:pPr>
            <w:r w:rsidRPr="00DE74A1">
              <w:rPr>
                <w:lang w:val="en-US"/>
              </w:rPr>
              <w:tab/>
              <w:t>1 (4)</w:t>
            </w:r>
          </w:p>
          <w:p w14:paraId="2DFB9698" w14:textId="4E1C9A7B" w:rsidR="00527C88" w:rsidRPr="00DE74A1" w:rsidRDefault="00F64BA7" w:rsidP="00F13C39">
            <w:pPr>
              <w:spacing w:line="240" w:lineRule="auto"/>
              <w:rPr>
                <w:lang w:val="en-US"/>
              </w:rPr>
            </w:pPr>
            <w:r w:rsidRPr="00DE74A1">
              <w:rPr>
                <w:lang w:val="en-US"/>
              </w:rPr>
              <w:tab/>
            </w:r>
            <w:r w:rsidR="0060760F" w:rsidRPr="00DE74A1">
              <w:rPr>
                <w:lang w:val="en-US"/>
              </w:rPr>
              <w:t>1 (4)</w:t>
            </w:r>
          </w:p>
        </w:tc>
      </w:tr>
      <w:tr w:rsidR="00527C88" w:rsidRPr="00A54618" w14:paraId="425DCE58" w14:textId="77777777" w:rsidTr="00F13C39">
        <w:tc>
          <w:tcPr>
            <w:tcW w:w="8359" w:type="dxa"/>
            <w:gridSpan w:val="2"/>
            <w:shd w:val="clear" w:color="auto" w:fill="D9D9D9" w:themeFill="background1" w:themeFillShade="D9"/>
          </w:tcPr>
          <w:p w14:paraId="0089D284" w14:textId="77777777" w:rsidR="00527C88" w:rsidRPr="00A54618" w:rsidRDefault="00527C88" w:rsidP="00F13C39">
            <w:pPr>
              <w:spacing w:line="240" w:lineRule="auto"/>
              <w:rPr>
                <w:b/>
                <w:bCs/>
                <w:lang w:val="en-US"/>
              </w:rPr>
            </w:pPr>
            <w:r w:rsidRPr="00A54618">
              <w:rPr>
                <w:b/>
                <w:bCs/>
                <w:lang w:val="en-US"/>
              </w:rPr>
              <w:t>Radiological abnormalities at start</w:t>
            </w:r>
          </w:p>
        </w:tc>
      </w:tr>
      <w:tr w:rsidR="00527C88" w:rsidRPr="00A54618" w14:paraId="5ADC868F" w14:textId="77777777" w:rsidTr="00F13C39">
        <w:tc>
          <w:tcPr>
            <w:tcW w:w="6091" w:type="dxa"/>
            <w:shd w:val="clear" w:color="auto" w:fill="auto"/>
          </w:tcPr>
          <w:p w14:paraId="23C1EF3F" w14:textId="77777777" w:rsidR="00527C88" w:rsidRPr="00A54618" w:rsidRDefault="00527C88" w:rsidP="00F13C39">
            <w:pPr>
              <w:spacing w:line="240" w:lineRule="auto"/>
              <w:rPr>
                <w:lang w:val="en-US"/>
              </w:rPr>
            </w:pPr>
            <w:r w:rsidRPr="00A54618">
              <w:rPr>
                <w:lang w:val="en-US"/>
              </w:rPr>
              <w:t>Of any kind (%)</w:t>
            </w:r>
            <w:r w:rsidRPr="00A54618">
              <w:rPr>
                <w:lang w:val="en-US"/>
              </w:rPr>
              <w:tab/>
            </w:r>
          </w:p>
          <w:p w14:paraId="62040AB1" w14:textId="77777777" w:rsidR="00527C88" w:rsidRPr="00A54618" w:rsidRDefault="00527C88" w:rsidP="00F13C39">
            <w:pPr>
              <w:spacing w:line="240" w:lineRule="auto"/>
              <w:rPr>
                <w:lang w:val="en-US"/>
              </w:rPr>
            </w:pPr>
          </w:p>
          <w:p w14:paraId="501B1B17" w14:textId="77777777" w:rsidR="00527C88" w:rsidRPr="00A54618" w:rsidRDefault="00527C88" w:rsidP="00F13C39">
            <w:pPr>
              <w:spacing w:line="240" w:lineRule="auto"/>
              <w:rPr>
                <w:lang w:val="en-US"/>
              </w:rPr>
            </w:pPr>
            <w:r w:rsidRPr="00A54618">
              <w:rPr>
                <w:lang w:val="en-US"/>
              </w:rPr>
              <w:tab/>
              <w:t>Enhancement of spinal nerves and/or cauda equina</w:t>
            </w:r>
          </w:p>
          <w:p w14:paraId="3AEB25AF" w14:textId="77777777" w:rsidR="00527C88" w:rsidRPr="00A54618" w:rsidRDefault="00527C88" w:rsidP="00F13C39">
            <w:pPr>
              <w:spacing w:line="240" w:lineRule="auto"/>
              <w:rPr>
                <w:lang w:val="en-US"/>
              </w:rPr>
            </w:pPr>
            <w:r w:rsidRPr="00A54618">
              <w:rPr>
                <w:lang w:val="en-US"/>
              </w:rPr>
              <w:tab/>
              <w:t>Cranial nerve enhancement</w:t>
            </w:r>
          </w:p>
          <w:p w14:paraId="6A118CBA" w14:textId="77777777" w:rsidR="00527C88" w:rsidRPr="00A54618" w:rsidRDefault="00527C88" w:rsidP="00F13C39">
            <w:pPr>
              <w:spacing w:line="240" w:lineRule="auto"/>
              <w:rPr>
                <w:lang w:val="en-US"/>
              </w:rPr>
            </w:pPr>
            <w:r w:rsidRPr="00A54618">
              <w:rPr>
                <w:lang w:val="en-US"/>
              </w:rPr>
              <w:tab/>
              <w:t>Leptomeningeal enhancement of the brain</w:t>
            </w:r>
          </w:p>
          <w:p w14:paraId="3E50B9D3" w14:textId="77777777" w:rsidR="00527C88" w:rsidRPr="00A54618" w:rsidRDefault="00527C88" w:rsidP="00F13C39">
            <w:pPr>
              <w:spacing w:line="240" w:lineRule="auto"/>
              <w:rPr>
                <w:lang w:val="en-US"/>
              </w:rPr>
            </w:pPr>
            <w:r w:rsidRPr="00A54618">
              <w:rPr>
                <w:lang w:val="en-US"/>
              </w:rPr>
              <w:tab/>
              <w:t>Leptomeningeal enhancement of the spine</w:t>
            </w:r>
            <w:r w:rsidRPr="00A54618">
              <w:rPr>
                <w:lang w:val="en-US"/>
              </w:rPr>
              <w:tab/>
            </w:r>
          </w:p>
          <w:p w14:paraId="39F5AFF7" w14:textId="77777777" w:rsidR="00527C88" w:rsidRPr="00A54618" w:rsidRDefault="00527C88" w:rsidP="00F13C39">
            <w:pPr>
              <w:spacing w:line="240" w:lineRule="auto"/>
              <w:rPr>
                <w:lang w:val="en-US"/>
              </w:rPr>
            </w:pPr>
            <w:r w:rsidRPr="00A54618">
              <w:rPr>
                <w:lang w:val="en-US"/>
              </w:rPr>
              <w:tab/>
              <w:t>Intraparenchymal enhancement of the brain</w:t>
            </w:r>
          </w:p>
          <w:p w14:paraId="216C682E" w14:textId="77777777" w:rsidR="00527C88" w:rsidRPr="00A54618" w:rsidRDefault="00527C88" w:rsidP="00F13C39">
            <w:pPr>
              <w:spacing w:line="240" w:lineRule="auto"/>
              <w:rPr>
                <w:lang w:val="en-US"/>
              </w:rPr>
            </w:pPr>
            <w:r w:rsidRPr="00A54618">
              <w:rPr>
                <w:lang w:val="en-US"/>
              </w:rPr>
              <w:tab/>
              <w:t>Intraparenchymal medulla enhancement</w:t>
            </w:r>
          </w:p>
          <w:p w14:paraId="56E57132" w14:textId="77777777" w:rsidR="00527C88" w:rsidRPr="00A54618" w:rsidRDefault="00527C88" w:rsidP="00F13C39">
            <w:pPr>
              <w:spacing w:line="240" w:lineRule="auto"/>
              <w:rPr>
                <w:lang w:val="en-US"/>
              </w:rPr>
            </w:pPr>
            <w:r w:rsidRPr="00A54618">
              <w:rPr>
                <w:lang w:val="en-US"/>
              </w:rPr>
              <w:tab/>
              <w:t>Hydrocephalus</w:t>
            </w:r>
          </w:p>
          <w:p w14:paraId="3B3465C1" w14:textId="77777777" w:rsidR="00527C88" w:rsidRPr="00A54618" w:rsidRDefault="00527C88" w:rsidP="00F13C39">
            <w:pPr>
              <w:spacing w:line="240" w:lineRule="auto"/>
              <w:rPr>
                <w:lang w:val="en-US"/>
              </w:rPr>
            </w:pPr>
            <w:r w:rsidRPr="00A54618">
              <w:rPr>
                <w:lang w:val="en-US"/>
              </w:rPr>
              <w:tab/>
            </w:r>
            <w:r w:rsidRPr="00A54618">
              <w:rPr>
                <w:lang w:val="en-US"/>
              </w:rPr>
              <w:tab/>
            </w:r>
          </w:p>
        </w:tc>
        <w:tc>
          <w:tcPr>
            <w:tcW w:w="2268" w:type="dxa"/>
            <w:shd w:val="clear" w:color="auto" w:fill="auto"/>
          </w:tcPr>
          <w:p w14:paraId="643067BD" w14:textId="77777777" w:rsidR="00527C88" w:rsidRPr="00A54618" w:rsidRDefault="00527C88" w:rsidP="00F13C39">
            <w:pPr>
              <w:spacing w:line="240" w:lineRule="auto"/>
              <w:rPr>
                <w:lang w:val="en-US"/>
              </w:rPr>
            </w:pPr>
            <w:r w:rsidRPr="00A54618">
              <w:rPr>
                <w:lang w:val="en-US"/>
              </w:rPr>
              <w:t>19 (63)</w:t>
            </w:r>
            <w:r w:rsidRPr="00A54618">
              <w:rPr>
                <w:lang w:val="en-US"/>
              </w:rPr>
              <w:tab/>
            </w:r>
          </w:p>
          <w:p w14:paraId="3008BA91" w14:textId="77777777" w:rsidR="00527C88" w:rsidRPr="00A54618" w:rsidRDefault="00527C88" w:rsidP="00F13C39">
            <w:pPr>
              <w:spacing w:line="240" w:lineRule="auto"/>
              <w:rPr>
                <w:lang w:val="en-US"/>
              </w:rPr>
            </w:pPr>
          </w:p>
          <w:p w14:paraId="59EA1EA5" w14:textId="77777777" w:rsidR="00527C88" w:rsidRPr="00A54618" w:rsidRDefault="00527C88" w:rsidP="00F13C39">
            <w:pPr>
              <w:spacing w:line="240" w:lineRule="auto"/>
              <w:rPr>
                <w:lang w:val="en-US"/>
              </w:rPr>
            </w:pPr>
            <w:r w:rsidRPr="00A54618">
              <w:rPr>
                <w:lang w:val="en-US"/>
              </w:rPr>
              <w:tab/>
              <w:t>11 (58)</w:t>
            </w:r>
          </w:p>
          <w:p w14:paraId="05A69535" w14:textId="77777777" w:rsidR="00527C88" w:rsidRPr="00A54618" w:rsidRDefault="00527C88" w:rsidP="00F13C39">
            <w:pPr>
              <w:spacing w:line="240" w:lineRule="auto"/>
              <w:rPr>
                <w:lang w:val="en-US"/>
              </w:rPr>
            </w:pPr>
            <w:r w:rsidRPr="00A54618">
              <w:rPr>
                <w:lang w:val="en-US"/>
              </w:rPr>
              <w:tab/>
              <w:t>8 (42)</w:t>
            </w:r>
          </w:p>
          <w:p w14:paraId="62B6CFFE" w14:textId="77777777" w:rsidR="00527C88" w:rsidRPr="00A54618" w:rsidRDefault="00527C88" w:rsidP="00F13C39">
            <w:pPr>
              <w:spacing w:line="240" w:lineRule="auto"/>
              <w:rPr>
                <w:lang w:val="en-US"/>
              </w:rPr>
            </w:pPr>
            <w:r w:rsidRPr="00A54618">
              <w:rPr>
                <w:lang w:val="en-US"/>
              </w:rPr>
              <w:tab/>
              <w:t>8 (42)</w:t>
            </w:r>
          </w:p>
          <w:p w14:paraId="1A5636E4" w14:textId="77777777" w:rsidR="00527C88" w:rsidRPr="00A54618" w:rsidRDefault="00527C88" w:rsidP="00F13C39">
            <w:pPr>
              <w:spacing w:line="240" w:lineRule="auto"/>
              <w:rPr>
                <w:lang w:val="en-US"/>
              </w:rPr>
            </w:pPr>
            <w:r w:rsidRPr="00A54618">
              <w:rPr>
                <w:lang w:val="en-US"/>
              </w:rPr>
              <w:tab/>
              <w:t>6 (32)</w:t>
            </w:r>
          </w:p>
          <w:p w14:paraId="788486B7" w14:textId="77777777" w:rsidR="00527C88" w:rsidRPr="00A54618" w:rsidRDefault="00527C88" w:rsidP="00F13C39">
            <w:pPr>
              <w:spacing w:line="240" w:lineRule="auto"/>
              <w:rPr>
                <w:lang w:val="en-US"/>
              </w:rPr>
            </w:pPr>
            <w:r w:rsidRPr="00A54618">
              <w:rPr>
                <w:lang w:val="en-US"/>
              </w:rPr>
              <w:tab/>
              <w:t>5 (26)</w:t>
            </w:r>
          </w:p>
          <w:p w14:paraId="0F311C09" w14:textId="77777777" w:rsidR="00527C88" w:rsidRPr="00A54618" w:rsidRDefault="00527C88" w:rsidP="00F13C39">
            <w:pPr>
              <w:rPr>
                <w:lang w:val="en-US"/>
              </w:rPr>
            </w:pPr>
            <w:r w:rsidRPr="00A54618">
              <w:rPr>
                <w:lang w:val="en-US"/>
              </w:rPr>
              <w:tab/>
              <w:t>4 (21)</w:t>
            </w:r>
          </w:p>
          <w:p w14:paraId="6A0D3AFE" w14:textId="77777777" w:rsidR="00527C88" w:rsidRPr="00A54618" w:rsidRDefault="00527C88" w:rsidP="00F13C39">
            <w:pPr>
              <w:spacing w:line="240" w:lineRule="auto"/>
              <w:rPr>
                <w:lang w:val="en-US"/>
              </w:rPr>
            </w:pPr>
            <w:r w:rsidRPr="00A54618">
              <w:rPr>
                <w:lang w:val="en-US"/>
              </w:rPr>
              <w:tab/>
              <w:t>3 (16)</w:t>
            </w:r>
          </w:p>
          <w:p w14:paraId="189D052E" w14:textId="77777777" w:rsidR="00527C88" w:rsidRPr="00A54618" w:rsidRDefault="00527C88" w:rsidP="00F13C39">
            <w:pPr>
              <w:spacing w:line="240" w:lineRule="auto"/>
              <w:rPr>
                <w:lang w:val="en-US"/>
              </w:rPr>
            </w:pPr>
          </w:p>
        </w:tc>
      </w:tr>
    </w:tbl>
    <w:p w14:paraId="579C5EA4" w14:textId="77777777" w:rsidR="004C4559" w:rsidRDefault="004C4559" w:rsidP="00E1684F">
      <w:pPr>
        <w:rPr>
          <w:u w:val="single"/>
          <w:lang w:val="en-US"/>
        </w:rPr>
      </w:pPr>
    </w:p>
    <w:p w14:paraId="648AB078" w14:textId="77777777" w:rsidR="004C4559" w:rsidRDefault="004C4559" w:rsidP="00E1684F">
      <w:pPr>
        <w:rPr>
          <w:u w:val="single"/>
          <w:lang w:val="en-US"/>
        </w:rPr>
      </w:pPr>
    </w:p>
    <w:p w14:paraId="7A662BDF" w14:textId="2EA282B3" w:rsidR="00B75D63" w:rsidRPr="00EE43C8" w:rsidRDefault="00B75D63" w:rsidP="00E1684F">
      <w:pPr>
        <w:rPr>
          <w:u w:val="single"/>
          <w:lang w:val="en-US"/>
        </w:rPr>
      </w:pPr>
    </w:p>
    <w:sectPr w:rsidR="00B75D63" w:rsidRPr="00EE43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105191">
    <w:abstractNumId w:val="0"/>
  </w:num>
  <w:num w:numId="2" w16cid:durableId="1026445243">
    <w:abstractNumId w:val="2"/>
  </w:num>
  <w:num w:numId="3" w16cid:durableId="593171272">
    <w:abstractNumId w:val="3"/>
  </w:num>
  <w:num w:numId="4" w16cid:durableId="1008337569">
    <w:abstractNumId w:val="1"/>
  </w:num>
  <w:num w:numId="5" w16cid:durableId="1200053308">
    <w:abstractNumId w:val="4"/>
  </w:num>
  <w:num w:numId="6" w16cid:durableId="2086148160">
    <w:abstractNumId w:val="1"/>
  </w:num>
  <w:num w:numId="7" w16cid:durableId="108204942">
    <w:abstractNumId w:val="0"/>
  </w:num>
  <w:num w:numId="8" w16cid:durableId="1159425561">
    <w:abstractNumId w:val="2"/>
  </w:num>
  <w:num w:numId="9" w16cid:durableId="517307843">
    <w:abstractNumId w:val="3"/>
  </w:num>
  <w:num w:numId="10" w16cid:durableId="1375159396">
    <w:abstractNumId w:val="2"/>
  </w:num>
  <w:num w:numId="11" w16cid:durableId="1855998875">
    <w:abstractNumId w:val="2"/>
  </w:num>
  <w:num w:numId="12" w16cid:durableId="888762083">
    <w:abstractNumId w:val="3"/>
  </w:num>
  <w:num w:numId="13" w16cid:durableId="1421874605">
    <w:abstractNumId w:val="3"/>
  </w:num>
  <w:num w:numId="14" w16cid:durableId="2034304253">
    <w:abstractNumId w:val="1"/>
  </w:num>
  <w:num w:numId="15" w16cid:durableId="244612863">
    <w:abstractNumId w:val="1"/>
  </w:num>
  <w:num w:numId="16" w16cid:durableId="1683697826">
    <w:abstractNumId w:val="1"/>
  </w:num>
  <w:num w:numId="17" w16cid:durableId="1427270423">
    <w:abstractNumId w:val="4"/>
  </w:num>
  <w:num w:numId="18" w16cid:durableId="1286042416">
    <w:abstractNumId w:val="0"/>
  </w:num>
  <w:num w:numId="19" w16cid:durableId="322970271">
    <w:abstractNumId w:val="2"/>
  </w:num>
  <w:num w:numId="20" w16cid:durableId="616446539">
    <w:abstractNumId w:val="3"/>
  </w:num>
  <w:num w:numId="21" w16cid:durableId="1937398501">
    <w:abstractNumId w:val="2"/>
  </w:num>
  <w:num w:numId="22" w16cid:durableId="1575697738">
    <w:abstractNumId w:val="2"/>
  </w:num>
  <w:num w:numId="23" w16cid:durableId="1820882858">
    <w:abstractNumId w:val="3"/>
  </w:num>
  <w:num w:numId="24" w16cid:durableId="517737764">
    <w:abstractNumId w:val="3"/>
  </w:num>
  <w:num w:numId="25" w16cid:durableId="1748528906">
    <w:abstractNumId w:val="1"/>
  </w:num>
  <w:num w:numId="26" w16cid:durableId="1343433185">
    <w:abstractNumId w:val="1"/>
  </w:num>
  <w:num w:numId="27" w16cid:durableId="1574968135">
    <w:abstractNumId w:val="1"/>
  </w:num>
  <w:num w:numId="28" w16cid:durableId="714815390">
    <w:abstractNumId w:val="4"/>
  </w:num>
  <w:num w:numId="29" w16cid:durableId="946811711">
    <w:abstractNumId w:val="1"/>
  </w:num>
  <w:num w:numId="30" w16cid:durableId="996882843">
    <w:abstractNumId w:val="1"/>
  </w:num>
  <w:num w:numId="31" w16cid:durableId="1606185036">
    <w:abstractNumId w:val="4"/>
  </w:num>
  <w:num w:numId="32" w16cid:durableId="1115752548">
    <w:abstractNumId w:val="1"/>
  </w:num>
  <w:num w:numId="33" w16cid:durableId="108551630">
    <w:abstractNumId w:val="1"/>
  </w:num>
  <w:num w:numId="34" w16cid:durableId="1409107347">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3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338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602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21149">
    <w:abstractNumId w:val="1"/>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rebuchet MS&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xzf9pff8dterlezse8vd0z0v0txeafrxsxt&quot;&gt;My EndNote Library&lt;record-ids&gt;&lt;item&gt;91&lt;/item&gt;&lt;/record-ids&gt;&lt;/item&gt;&lt;/Libraries&gt;"/>
  </w:docVars>
  <w:rsids>
    <w:rsidRoot w:val="00691059"/>
    <w:rsid w:val="000160FB"/>
    <w:rsid w:val="00035A9F"/>
    <w:rsid w:val="000570DE"/>
    <w:rsid w:val="000A0185"/>
    <w:rsid w:val="000A5F9E"/>
    <w:rsid w:val="000B2709"/>
    <w:rsid w:val="000C417E"/>
    <w:rsid w:val="000C75A6"/>
    <w:rsid w:val="00133D8F"/>
    <w:rsid w:val="00145EC7"/>
    <w:rsid w:val="001473AF"/>
    <w:rsid w:val="001539DE"/>
    <w:rsid w:val="00177E72"/>
    <w:rsid w:val="00194FEB"/>
    <w:rsid w:val="001A71D9"/>
    <w:rsid w:val="001F7135"/>
    <w:rsid w:val="00200CB1"/>
    <w:rsid w:val="00225B02"/>
    <w:rsid w:val="00264862"/>
    <w:rsid w:val="00284AEA"/>
    <w:rsid w:val="0029414F"/>
    <w:rsid w:val="002C12D8"/>
    <w:rsid w:val="002E3C42"/>
    <w:rsid w:val="0034618F"/>
    <w:rsid w:val="003746ED"/>
    <w:rsid w:val="00381EAE"/>
    <w:rsid w:val="003E2E4D"/>
    <w:rsid w:val="003F141E"/>
    <w:rsid w:val="00405BD6"/>
    <w:rsid w:val="0044666D"/>
    <w:rsid w:val="00454F8B"/>
    <w:rsid w:val="00476272"/>
    <w:rsid w:val="004B7772"/>
    <w:rsid w:val="004C4559"/>
    <w:rsid w:val="004E10E2"/>
    <w:rsid w:val="004E2D89"/>
    <w:rsid w:val="004E70A1"/>
    <w:rsid w:val="00505539"/>
    <w:rsid w:val="00506189"/>
    <w:rsid w:val="005147C8"/>
    <w:rsid w:val="00521228"/>
    <w:rsid w:val="00527887"/>
    <w:rsid w:val="00527C88"/>
    <w:rsid w:val="00571B62"/>
    <w:rsid w:val="005A2B83"/>
    <w:rsid w:val="005B2AF3"/>
    <w:rsid w:val="005B4824"/>
    <w:rsid w:val="005C2C9D"/>
    <w:rsid w:val="005E440A"/>
    <w:rsid w:val="005E4B36"/>
    <w:rsid w:val="005E62DF"/>
    <w:rsid w:val="0060760F"/>
    <w:rsid w:val="0067461C"/>
    <w:rsid w:val="00691059"/>
    <w:rsid w:val="00697FEC"/>
    <w:rsid w:val="006B7E97"/>
    <w:rsid w:val="006D71E7"/>
    <w:rsid w:val="006E1286"/>
    <w:rsid w:val="00701257"/>
    <w:rsid w:val="007035E0"/>
    <w:rsid w:val="007473BD"/>
    <w:rsid w:val="0077108C"/>
    <w:rsid w:val="00771AD8"/>
    <w:rsid w:val="007B103A"/>
    <w:rsid w:val="007B4CB3"/>
    <w:rsid w:val="007D0955"/>
    <w:rsid w:val="007F42DC"/>
    <w:rsid w:val="00821D64"/>
    <w:rsid w:val="008260F3"/>
    <w:rsid w:val="00840A00"/>
    <w:rsid w:val="00850DC9"/>
    <w:rsid w:val="008516F6"/>
    <w:rsid w:val="00874330"/>
    <w:rsid w:val="008F07FA"/>
    <w:rsid w:val="00915C38"/>
    <w:rsid w:val="009201B8"/>
    <w:rsid w:val="00943C37"/>
    <w:rsid w:val="00944185"/>
    <w:rsid w:val="0095515A"/>
    <w:rsid w:val="00963BFE"/>
    <w:rsid w:val="009B5EC1"/>
    <w:rsid w:val="009B60D0"/>
    <w:rsid w:val="00A761F3"/>
    <w:rsid w:val="00A866CF"/>
    <w:rsid w:val="00A90EFF"/>
    <w:rsid w:val="00AB30DD"/>
    <w:rsid w:val="00AB547C"/>
    <w:rsid w:val="00AB6BBB"/>
    <w:rsid w:val="00AC3AB8"/>
    <w:rsid w:val="00AD3036"/>
    <w:rsid w:val="00AE7DDD"/>
    <w:rsid w:val="00B42813"/>
    <w:rsid w:val="00B621F8"/>
    <w:rsid w:val="00B75D63"/>
    <w:rsid w:val="00B80A91"/>
    <w:rsid w:val="00B83CAC"/>
    <w:rsid w:val="00BB0BD6"/>
    <w:rsid w:val="00BE5CD4"/>
    <w:rsid w:val="00BF3836"/>
    <w:rsid w:val="00BF519E"/>
    <w:rsid w:val="00C218D4"/>
    <w:rsid w:val="00C328D4"/>
    <w:rsid w:val="00C46757"/>
    <w:rsid w:val="00C47B30"/>
    <w:rsid w:val="00C82ABA"/>
    <w:rsid w:val="00CA0EC2"/>
    <w:rsid w:val="00CB7373"/>
    <w:rsid w:val="00CC3ACE"/>
    <w:rsid w:val="00CC4CD8"/>
    <w:rsid w:val="00CE6213"/>
    <w:rsid w:val="00CF0BFA"/>
    <w:rsid w:val="00D3223C"/>
    <w:rsid w:val="00D66FC4"/>
    <w:rsid w:val="00D953B7"/>
    <w:rsid w:val="00DE07EC"/>
    <w:rsid w:val="00DE2571"/>
    <w:rsid w:val="00DE74A1"/>
    <w:rsid w:val="00DF6498"/>
    <w:rsid w:val="00DF718D"/>
    <w:rsid w:val="00E078D4"/>
    <w:rsid w:val="00E1684F"/>
    <w:rsid w:val="00E366D2"/>
    <w:rsid w:val="00E52835"/>
    <w:rsid w:val="00E55BEF"/>
    <w:rsid w:val="00E73025"/>
    <w:rsid w:val="00E86CC3"/>
    <w:rsid w:val="00ED0CB0"/>
    <w:rsid w:val="00EE210D"/>
    <w:rsid w:val="00EE43C8"/>
    <w:rsid w:val="00EF72AA"/>
    <w:rsid w:val="00F00656"/>
    <w:rsid w:val="00F01956"/>
    <w:rsid w:val="00F5568F"/>
    <w:rsid w:val="00F55BA9"/>
    <w:rsid w:val="00F62BE9"/>
    <w:rsid w:val="00F64BA7"/>
    <w:rsid w:val="00F83983"/>
    <w:rsid w:val="00F966F3"/>
    <w:rsid w:val="00FB57B8"/>
    <w:rsid w:val="00FC11E2"/>
    <w:rsid w:val="00FE316C"/>
    <w:rsid w:val="00FF1214"/>
    <w:rsid w:val="00FF430B"/>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7B39F"/>
  <w15:chartTrackingRefBased/>
  <w15:docId w15:val="{7542FFBC-99E1-4E29-A9B1-3C4AD66A9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813"/>
    <w:pPr>
      <w:spacing w:line="288" w:lineRule="auto"/>
    </w:pPr>
    <w:rPr>
      <w:rFonts w:ascii="Trebuchet MS" w:hAnsi="Trebuchet MS"/>
    </w:rPr>
  </w:style>
  <w:style w:type="paragraph" w:styleId="Kop1">
    <w:name w:val="heading 1"/>
    <w:basedOn w:val="Standaard"/>
    <w:next w:val="Standaard"/>
    <w:link w:val="Kop1Char"/>
    <w:autoRedefine/>
    <w:uiPriority w:val="1"/>
    <w:qFormat/>
    <w:rsid w:val="00DF6498"/>
    <w:pPr>
      <w:keepNext/>
      <w:spacing w:before="240" w:after="60"/>
      <w:outlineLvl w:val="0"/>
    </w:pPr>
    <w:rPr>
      <w:rFonts w:eastAsiaTheme="majorEastAsia" w:cstheme="majorBidi"/>
      <w:b/>
      <w:bCs/>
      <w:kern w:val="32"/>
      <w:sz w:val="28"/>
      <w:szCs w:val="32"/>
    </w:rPr>
  </w:style>
  <w:style w:type="paragraph" w:styleId="Kop2">
    <w:name w:val="heading 2"/>
    <w:basedOn w:val="Standaard"/>
    <w:next w:val="Standaard"/>
    <w:link w:val="Kop2Char"/>
    <w:autoRedefine/>
    <w:uiPriority w:val="1"/>
    <w:qFormat/>
    <w:rsid w:val="00E55BEF"/>
    <w:pPr>
      <w:keepNext/>
      <w:spacing w:before="180" w:after="60"/>
      <w:outlineLvl w:val="1"/>
    </w:pPr>
    <w:rPr>
      <w:rFonts w:eastAsia="Times New Roman"/>
      <w:bCs/>
      <w:iCs/>
      <w:sz w:val="24"/>
      <w:szCs w:val="28"/>
    </w:rPr>
  </w:style>
  <w:style w:type="paragraph" w:styleId="Kop3">
    <w:name w:val="heading 3"/>
    <w:basedOn w:val="Standaard"/>
    <w:next w:val="Standaard"/>
    <w:link w:val="Kop3Char"/>
    <w:autoRedefine/>
    <w:uiPriority w:val="1"/>
    <w:unhideWhenUsed/>
    <w:qFormat/>
    <w:rsid w:val="00DF6498"/>
    <w:pPr>
      <w:keepNext/>
      <w:spacing w:before="120" w:after="60"/>
      <w:contextualSpacing/>
      <w:outlineLvl w:val="2"/>
    </w:pPr>
    <w:rPr>
      <w:rFonts w:eastAsia="Times New Roman"/>
      <w:b/>
      <w:bCs/>
      <w:smallCaps/>
      <w:sz w:val="22"/>
      <w:szCs w:val="26"/>
    </w:rPr>
  </w:style>
  <w:style w:type="paragraph" w:styleId="Kop4">
    <w:name w:val="heading 4"/>
    <w:basedOn w:val="Standaard"/>
    <w:next w:val="Standaard"/>
    <w:link w:val="Kop4Char"/>
    <w:autoRedefine/>
    <w:uiPriority w:val="1"/>
    <w:unhideWhenUsed/>
    <w:rsid w:val="005B2AF3"/>
    <w:pPr>
      <w:keepNext/>
      <w:spacing w:before="60"/>
      <w:outlineLvl w:val="3"/>
    </w:pPr>
    <w:rPr>
      <w:rFonts w:eastAsiaTheme="minorEastAsia" w:cstheme="minorBidi"/>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E55BEF"/>
    <w:rPr>
      <w:rFonts w:ascii="Trebuchet MS" w:eastAsia="Times New Roman" w:hAnsi="Trebuchet MS"/>
      <w:bCs/>
      <w:iCs/>
      <w:sz w:val="24"/>
      <w:szCs w:val="28"/>
    </w:rPr>
  </w:style>
  <w:style w:type="character" w:customStyle="1" w:styleId="Kop3Char">
    <w:name w:val="Kop 3 Char"/>
    <w:link w:val="Kop3"/>
    <w:uiPriority w:val="1"/>
    <w:rsid w:val="00DF6498"/>
    <w:rPr>
      <w:rFonts w:ascii="Trebuchet MS" w:eastAsia="Times New Roman" w:hAnsi="Trebuchet MS"/>
      <w:b/>
      <w:bCs/>
      <w:smallCaps/>
      <w:sz w:val="22"/>
      <w:szCs w:val="26"/>
    </w:rPr>
  </w:style>
  <w:style w:type="character" w:customStyle="1" w:styleId="Kop1Char">
    <w:name w:val="Kop 1 Char"/>
    <w:link w:val="Kop1"/>
    <w:uiPriority w:val="1"/>
    <w:rsid w:val="00DF6498"/>
    <w:rPr>
      <w:rFonts w:ascii="Trebuchet MS" w:eastAsiaTheme="majorEastAsia" w:hAnsi="Trebuchet MS" w:cstheme="majorBidi"/>
      <w:b/>
      <w:bCs/>
      <w:kern w:val="32"/>
      <w:sz w:val="28"/>
      <w:szCs w:val="32"/>
    </w:rPr>
  </w:style>
  <w:style w:type="paragraph" w:styleId="Titel">
    <w:name w:val="Title"/>
    <w:basedOn w:val="Standaard"/>
    <w:next w:val="Standaard"/>
    <w:link w:val="Titel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elChar">
    <w:name w:val="Titel Char"/>
    <w:link w:val="Titel"/>
    <w:rsid w:val="00DF6498"/>
    <w:rPr>
      <w:rFonts w:ascii="Trebuchet MS" w:eastAsiaTheme="majorEastAsia" w:hAnsi="Trebuchet MS"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jc w:val="center"/>
      <w:outlineLvl w:val="1"/>
    </w:pPr>
    <w:rPr>
      <w:rFonts w:eastAsia="Times New Roman"/>
      <w:sz w:val="24"/>
      <w:szCs w:val="24"/>
    </w:rPr>
  </w:style>
  <w:style w:type="character" w:customStyle="1" w:styleId="OndertitelChar">
    <w:name w:val="Ondertitel Char"/>
    <w:link w:val="Ondertitel"/>
    <w:uiPriority w:val="11"/>
    <w:rsid w:val="00DF6498"/>
    <w:rPr>
      <w:rFonts w:ascii="Trebuchet MS" w:eastAsia="Times New Roman" w:hAnsi="Trebuchet MS"/>
      <w:sz w:val="24"/>
      <w:szCs w:val="24"/>
    </w:rPr>
  </w:style>
  <w:style w:type="paragraph" w:styleId="Lijstalinea">
    <w:name w:val="List Paragraph"/>
    <w:basedOn w:val="Standaard"/>
    <w:uiPriority w:val="34"/>
    <w:rsid w:val="005B2AF3"/>
    <w:pPr>
      <w:ind w:left="708"/>
    </w:pPr>
  </w:style>
  <w:style w:type="character" w:customStyle="1" w:styleId="Kop4Char">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24"/>
      </w:numPr>
      <w:spacing w:before="20" w:after="20"/>
    </w:pPr>
    <w:rPr>
      <w:szCs w:val="22"/>
      <w:lang w:eastAsia="nl-NL"/>
    </w:rPr>
  </w:style>
  <w:style w:type="paragraph" w:styleId="Lijstopsomteken">
    <w:name w:val="List Bullet"/>
    <w:basedOn w:val="Standaard"/>
    <w:autoRedefine/>
    <w:uiPriority w:val="3"/>
    <w:qFormat/>
    <w:rsid w:val="005B2AF3"/>
    <w:pPr>
      <w:numPr>
        <w:numId w:val="22"/>
      </w:numPr>
      <w:spacing w:before="20" w:after="20"/>
    </w:pPr>
  </w:style>
  <w:style w:type="paragraph" w:styleId="Lijstopsomteken2">
    <w:name w:val="List Bullet 2"/>
    <w:basedOn w:val="Standaard"/>
    <w:autoRedefine/>
    <w:uiPriority w:val="3"/>
    <w:unhideWhenUsed/>
    <w:rsid w:val="005B2AF3"/>
    <w:pPr>
      <w:numPr>
        <w:ilvl w:val="1"/>
        <w:numId w:val="22"/>
      </w:numPr>
      <w:spacing w:before="20" w:after="20"/>
    </w:pPr>
  </w:style>
  <w:style w:type="paragraph" w:styleId="Lijstopsomteken3">
    <w:name w:val="List Bullet 3"/>
    <w:basedOn w:val="Standaard"/>
    <w:autoRedefine/>
    <w:uiPriority w:val="3"/>
    <w:unhideWhenUsed/>
    <w:rsid w:val="005B2AF3"/>
    <w:pPr>
      <w:numPr>
        <w:ilvl w:val="2"/>
        <w:numId w:val="22"/>
      </w:numPr>
      <w:spacing w:before="20" w:after="20"/>
    </w:pPr>
  </w:style>
  <w:style w:type="paragraph" w:styleId="Lijst">
    <w:name w:val="List"/>
    <w:basedOn w:val="Standaard"/>
    <w:autoRedefine/>
    <w:uiPriority w:val="99"/>
    <w:semiHidden/>
    <w:unhideWhenUsed/>
    <w:qFormat/>
    <w:rsid w:val="005B2AF3"/>
    <w:pPr>
      <w:numPr>
        <w:numId w:val="18"/>
      </w:numPr>
      <w:spacing w:before="20" w:after="20"/>
    </w:pPr>
  </w:style>
  <w:style w:type="paragraph" w:styleId="Lijstnummering3">
    <w:name w:val="List Number 3"/>
    <w:basedOn w:val="Standaard"/>
    <w:uiPriority w:val="4"/>
    <w:unhideWhenUsed/>
    <w:rsid w:val="005B2AF3"/>
    <w:pPr>
      <w:numPr>
        <w:ilvl w:val="2"/>
        <w:numId w:val="24"/>
      </w:numPr>
      <w:contextualSpacing/>
    </w:pPr>
  </w:style>
  <w:style w:type="paragraph" w:styleId="Lijstnummering2">
    <w:name w:val="List Number 2"/>
    <w:basedOn w:val="Standaard"/>
    <w:uiPriority w:val="4"/>
    <w:unhideWhenUsed/>
    <w:rsid w:val="005B2AF3"/>
    <w:pPr>
      <w:numPr>
        <w:ilvl w:val="1"/>
        <w:numId w:val="24"/>
      </w:numPr>
      <w:contextualSpacing/>
    </w:pPr>
  </w:style>
  <w:style w:type="paragraph" w:customStyle="1" w:styleId="Kop2-genummerd">
    <w:name w:val="Kop 2 - genummerd"/>
    <w:basedOn w:val="Kop2"/>
    <w:next w:val="Standaard"/>
    <w:autoRedefine/>
    <w:uiPriority w:val="2"/>
    <w:unhideWhenUsed/>
    <w:qFormat/>
    <w:rsid w:val="00E55BEF"/>
    <w:pPr>
      <w:numPr>
        <w:ilvl w:val="1"/>
        <w:numId w:val="38"/>
      </w:numPr>
    </w:pPr>
  </w:style>
  <w:style w:type="paragraph" w:customStyle="1" w:styleId="Kop1-genummerd">
    <w:name w:val="Kop 1 - genummerd"/>
    <w:basedOn w:val="Kop1"/>
    <w:next w:val="Standaard"/>
    <w:autoRedefine/>
    <w:uiPriority w:val="2"/>
    <w:qFormat/>
    <w:rsid w:val="00E55BEF"/>
    <w:pPr>
      <w:numPr>
        <w:numId w:val="4"/>
      </w:numPr>
    </w:pPr>
    <w:rPr>
      <w:rFonts w:eastAsia="Times New Roman" w:cs="Times New Roman"/>
    </w:rPr>
  </w:style>
  <w:style w:type="paragraph" w:customStyle="1" w:styleId="Kop3-genummerd">
    <w:name w:val="Kop 3 - genummerd"/>
    <w:basedOn w:val="Kop3"/>
    <w:next w:val="Standaard"/>
    <w:autoRedefine/>
    <w:uiPriority w:val="2"/>
    <w:unhideWhenUsed/>
    <w:qFormat/>
    <w:rsid w:val="00D66FC4"/>
    <w:pPr>
      <w:numPr>
        <w:ilvl w:val="2"/>
        <w:numId w:val="33"/>
      </w:numPr>
    </w:pPr>
  </w:style>
  <w:style w:type="paragraph" w:customStyle="1" w:styleId="Bijlage">
    <w:name w:val="Bijlage"/>
    <w:basedOn w:val="Kop1"/>
    <w:next w:val="Standaard"/>
    <w:autoRedefine/>
    <w:uiPriority w:val="3"/>
    <w:qFormat/>
    <w:rsid w:val="00E55BEF"/>
    <w:pPr>
      <w:numPr>
        <w:numId w:val="31"/>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FF732F"/>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F732F"/>
    <w:rPr>
      <w:rFonts w:ascii="Trebuchet MS" w:hAnsi="Trebuchet MS"/>
      <w:i/>
      <w:iCs/>
      <w:color w:val="404040" w:themeColor="text1" w:themeTint="BF"/>
    </w:rPr>
  </w:style>
  <w:style w:type="character" w:styleId="Verwijzingopmerking">
    <w:name w:val="annotation reference"/>
    <w:basedOn w:val="Standaardalinea-lettertype"/>
    <w:uiPriority w:val="99"/>
    <w:semiHidden/>
    <w:unhideWhenUsed/>
    <w:rsid w:val="00C46757"/>
    <w:rPr>
      <w:sz w:val="16"/>
      <w:szCs w:val="16"/>
    </w:rPr>
  </w:style>
  <w:style w:type="paragraph" w:styleId="Tekstopmerking">
    <w:name w:val="annotation text"/>
    <w:basedOn w:val="Standaard"/>
    <w:link w:val="TekstopmerkingChar"/>
    <w:uiPriority w:val="99"/>
    <w:unhideWhenUsed/>
    <w:rsid w:val="00C46757"/>
    <w:pPr>
      <w:spacing w:line="240" w:lineRule="auto"/>
    </w:pPr>
  </w:style>
  <w:style w:type="character" w:customStyle="1" w:styleId="TekstopmerkingChar">
    <w:name w:val="Tekst opmerking Char"/>
    <w:basedOn w:val="Standaardalinea-lettertype"/>
    <w:link w:val="Tekstopmerking"/>
    <w:uiPriority w:val="99"/>
    <w:rsid w:val="00C46757"/>
    <w:rPr>
      <w:rFonts w:ascii="Trebuchet MS" w:hAnsi="Trebuchet MS"/>
    </w:rPr>
  </w:style>
  <w:style w:type="paragraph" w:customStyle="1" w:styleId="EndNoteBibliographyTitle">
    <w:name w:val="EndNote Bibliography Title"/>
    <w:basedOn w:val="Standaard"/>
    <w:link w:val="EndNoteBibliographyTitleChar"/>
    <w:rsid w:val="004C4559"/>
    <w:pPr>
      <w:jc w:val="center"/>
    </w:pPr>
    <w:rPr>
      <w:noProof/>
      <w:lang w:val="en-US"/>
    </w:rPr>
  </w:style>
  <w:style w:type="character" w:customStyle="1" w:styleId="EndNoteBibliographyTitleChar">
    <w:name w:val="EndNote Bibliography Title Char"/>
    <w:basedOn w:val="Standaardalinea-lettertype"/>
    <w:link w:val="EndNoteBibliographyTitle"/>
    <w:rsid w:val="004C4559"/>
    <w:rPr>
      <w:rFonts w:ascii="Trebuchet MS" w:hAnsi="Trebuchet MS"/>
      <w:noProof/>
      <w:lang w:val="en-US"/>
    </w:rPr>
  </w:style>
  <w:style w:type="paragraph" w:customStyle="1" w:styleId="EndNoteBibliography">
    <w:name w:val="EndNote Bibliography"/>
    <w:basedOn w:val="Standaard"/>
    <w:link w:val="EndNoteBibliographyChar"/>
    <w:rsid w:val="004C4559"/>
    <w:pPr>
      <w:spacing w:line="240" w:lineRule="auto"/>
    </w:pPr>
    <w:rPr>
      <w:noProof/>
      <w:lang w:val="en-US"/>
    </w:rPr>
  </w:style>
  <w:style w:type="character" w:customStyle="1" w:styleId="EndNoteBibliographyChar">
    <w:name w:val="EndNote Bibliography Char"/>
    <w:basedOn w:val="Standaardalinea-lettertype"/>
    <w:link w:val="EndNoteBibliography"/>
    <w:rsid w:val="004C4559"/>
    <w:rPr>
      <w:rFonts w:ascii="Trebuchet MS" w:hAnsi="Trebuchet MS"/>
      <w:noProof/>
      <w:lang w:val="en-US"/>
    </w:rPr>
  </w:style>
  <w:style w:type="table" w:styleId="Tabelraster">
    <w:name w:val="Table Grid"/>
    <w:basedOn w:val="Standaardtabel"/>
    <w:uiPriority w:val="59"/>
    <w:rsid w:val="00527C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FF430B"/>
    <w:rPr>
      <w:rFonts w:ascii="Trebuchet MS" w:hAnsi="Trebuchet MS"/>
    </w:rPr>
  </w:style>
  <w:style w:type="paragraph" w:styleId="Onderwerpvanopmerking">
    <w:name w:val="annotation subject"/>
    <w:basedOn w:val="Tekstopmerking"/>
    <w:next w:val="Tekstopmerking"/>
    <w:link w:val="OnderwerpvanopmerkingChar"/>
    <w:uiPriority w:val="99"/>
    <w:semiHidden/>
    <w:unhideWhenUsed/>
    <w:rsid w:val="00F64BA7"/>
    <w:rPr>
      <w:b/>
      <w:bCs/>
    </w:rPr>
  </w:style>
  <w:style w:type="character" w:customStyle="1" w:styleId="OnderwerpvanopmerkingChar">
    <w:name w:val="Onderwerp van opmerking Char"/>
    <w:basedOn w:val="TekstopmerkingChar"/>
    <w:link w:val="Onderwerpvanopmerking"/>
    <w:uiPriority w:val="99"/>
    <w:semiHidden/>
    <w:rsid w:val="00F64BA7"/>
    <w:rPr>
      <w:rFonts w:ascii="Trebuchet MS" w:hAnsi="Trebuchet M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233EB2-64DC-4406-8894-6E9FA12C8971}">
  <ds:schemaRefs>
    <ds:schemaRef ds:uri="http://schemas.microsoft.com/sharepoint/v3/contenttype/forms"/>
  </ds:schemaRefs>
</ds:datastoreItem>
</file>

<file path=customXml/itemProps2.xml><?xml version="1.0" encoding="utf-8"?>
<ds:datastoreItem xmlns:ds="http://schemas.openxmlformats.org/officeDocument/2006/customXml" ds:itemID="{581EA6E3-639A-4968-B0FF-9D4D419394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1016</Words>
  <Characters>5588</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Becking, A.L. (Anne-Marie)</dc:creator>
  <cp:keywords/>
  <dc:description/>
  <cp:lastModifiedBy>Becking, A.L. (Anne-Marie)</cp:lastModifiedBy>
  <cp:revision>2</cp:revision>
  <dcterms:created xsi:type="dcterms:W3CDTF">2025-03-05T16:16:00Z</dcterms:created>
  <dcterms:modified xsi:type="dcterms:W3CDTF">2025-03-05T16:16:00Z</dcterms:modified>
</cp:coreProperties>
</file>