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347" w:rsidRDefault="00307A15">
      <w:pPr>
        <w:pStyle w:val="Nessunaspaziatura"/>
        <w:tabs>
          <w:tab w:val="left" w:pos="7797"/>
        </w:tabs>
        <w:spacing w:before="100" w:beforeAutospacing="1" w:line="276" w:lineRule="auto"/>
        <w:jc w:val="both"/>
        <w:rPr>
          <w:b/>
          <w:szCs w:val="24"/>
          <w:lang w:val="en-GB"/>
        </w:rPr>
      </w:pPr>
      <w:r>
        <w:rPr>
          <w:b/>
          <w:szCs w:val="24"/>
          <w:lang w:val="en-GB"/>
        </w:rPr>
        <w:t>Supplemental Information</w:t>
      </w:r>
    </w:p>
    <w:p w:rsidR="00336347" w:rsidRDefault="00307A15">
      <w:pPr>
        <w:pStyle w:val="Nessunaspaziatura"/>
        <w:tabs>
          <w:tab w:val="left" w:pos="7797"/>
        </w:tabs>
        <w:spacing w:after="120" w:line="360" w:lineRule="auto"/>
        <w:ind w:right="-18"/>
        <w:contextualSpacing/>
        <w:jc w:val="both"/>
        <w:rPr>
          <w:b/>
          <w:szCs w:val="24"/>
          <w:lang w:val="en-GB"/>
        </w:rPr>
      </w:pPr>
      <w:r>
        <w:rPr>
          <w:b/>
          <w:szCs w:val="24"/>
          <w:lang w:val="en-GB"/>
        </w:rPr>
        <w:t xml:space="preserve">Measurement of Immunoglobulin Intraclonal diversification refines the clinical impact of IGHV mutational status in chronic lymphocytic </w:t>
      </w:r>
      <w:proofErr w:type="spellStart"/>
      <w:r>
        <w:rPr>
          <w:b/>
          <w:szCs w:val="24"/>
          <w:lang w:val="en-GB"/>
        </w:rPr>
        <w:t>leukemia</w:t>
      </w:r>
      <w:proofErr w:type="spellEnd"/>
    </w:p>
    <w:p w:rsidR="00336347" w:rsidRDefault="00336347">
      <w:pPr>
        <w:pStyle w:val="Nessunaspaziatura"/>
        <w:tabs>
          <w:tab w:val="left" w:pos="7797"/>
        </w:tabs>
        <w:spacing w:after="120" w:line="360" w:lineRule="auto"/>
        <w:ind w:right="-18"/>
        <w:contextualSpacing/>
        <w:jc w:val="both"/>
        <w:rPr>
          <w:b/>
          <w:szCs w:val="24"/>
          <w:lang w:val="en-GB"/>
        </w:rPr>
      </w:pPr>
    </w:p>
    <w:p w:rsidR="00336347" w:rsidRDefault="00307A15">
      <w:pPr>
        <w:pStyle w:val="Nessunaspaziatura"/>
        <w:tabs>
          <w:tab w:val="left" w:pos="7797"/>
        </w:tabs>
        <w:spacing w:after="120" w:line="360" w:lineRule="auto"/>
        <w:ind w:right="-18"/>
        <w:contextualSpacing/>
        <w:jc w:val="both"/>
        <w:rPr>
          <w:szCs w:val="24"/>
          <w:lang w:val="it-IT"/>
        </w:rPr>
      </w:pPr>
      <w:proofErr w:type="gramStart"/>
      <w:r>
        <w:rPr>
          <w:szCs w:val="24"/>
          <w:lang w:val="it-IT"/>
        </w:rPr>
        <w:t>Filippo Vit</w:t>
      </w:r>
      <w:r>
        <w:rPr>
          <w:szCs w:val="24"/>
          <w:vertAlign w:val="superscript"/>
          <w:lang w:val="it-IT"/>
        </w:rPr>
        <w:t>1</w:t>
      </w:r>
      <w:r>
        <w:rPr>
          <w:szCs w:val="24"/>
          <w:lang w:val="it-IT"/>
        </w:rPr>
        <w:t>, Tamara Bittolo</w:t>
      </w:r>
      <w:r>
        <w:rPr>
          <w:szCs w:val="24"/>
          <w:vertAlign w:val="superscript"/>
          <w:lang w:val="it-IT"/>
        </w:rPr>
        <w:t>1</w:t>
      </w:r>
      <w:r>
        <w:rPr>
          <w:szCs w:val="24"/>
          <w:lang w:val="it-IT"/>
        </w:rPr>
        <w:t>, Antonella Zucchetto</w:t>
      </w:r>
      <w:r>
        <w:rPr>
          <w:szCs w:val="24"/>
          <w:vertAlign w:val="superscript"/>
          <w:lang w:val="it-IT"/>
        </w:rPr>
        <w:t>1</w:t>
      </w:r>
      <w:r>
        <w:rPr>
          <w:szCs w:val="24"/>
          <w:lang w:val="it-IT"/>
        </w:rPr>
        <w:t xml:space="preserve">, </w:t>
      </w:r>
      <w:proofErr w:type="spellStart"/>
      <w:r>
        <w:rPr>
          <w:szCs w:val="24"/>
          <w:lang w:val="it-IT"/>
        </w:rPr>
        <w:t>Robel</w:t>
      </w:r>
      <w:proofErr w:type="spellEnd"/>
      <w:r>
        <w:rPr>
          <w:szCs w:val="24"/>
          <w:lang w:val="it-IT"/>
        </w:rPr>
        <w:t xml:space="preserve"> Papotti</w:t>
      </w:r>
      <w:r>
        <w:rPr>
          <w:szCs w:val="24"/>
          <w:vertAlign w:val="superscript"/>
          <w:lang w:val="it-IT"/>
        </w:rPr>
        <w:t>1</w:t>
      </w:r>
      <w:r>
        <w:rPr>
          <w:szCs w:val="24"/>
          <w:lang w:val="it-IT"/>
        </w:rPr>
        <w:t>, Erika Tissino</w:t>
      </w:r>
      <w:r>
        <w:rPr>
          <w:szCs w:val="24"/>
          <w:vertAlign w:val="superscript"/>
          <w:lang w:val="it-IT"/>
        </w:rPr>
        <w:t>1</w:t>
      </w:r>
      <w:r>
        <w:rPr>
          <w:szCs w:val="24"/>
          <w:lang w:val="it-IT"/>
        </w:rPr>
        <w:t>, Federico Pozzo</w:t>
      </w:r>
      <w:r>
        <w:rPr>
          <w:szCs w:val="24"/>
          <w:vertAlign w:val="superscript"/>
          <w:lang w:val="it-IT"/>
        </w:rPr>
        <w:t>1</w:t>
      </w:r>
      <w:r>
        <w:rPr>
          <w:szCs w:val="24"/>
          <w:lang w:val="it-IT"/>
        </w:rPr>
        <w:t>, Annalisa Gaglio</w:t>
      </w:r>
      <w:r>
        <w:rPr>
          <w:szCs w:val="24"/>
          <w:vertAlign w:val="superscript"/>
          <w:lang w:val="it-IT"/>
        </w:rPr>
        <w:t>1</w:t>
      </w:r>
      <w:r>
        <w:rPr>
          <w:szCs w:val="24"/>
          <w:lang w:val="it-IT"/>
        </w:rPr>
        <w:t>, Andrea Stacchetti</w:t>
      </w:r>
      <w:r>
        <w:rPr>
          <w:szCs w:val="24"/>
          <w:vertAlign w:val="superscript"/>
          <w:lang w:val="it-IT"/>
        </w:rPr>
        <w:t>1</w:t>
      </w:r>
      <w:r>
        <w:rPr>
          <w:szCs w:val="24"/>
          <w:lang w:val="it-IT"/>
        </w:rPr>
        <w:t xml:space="preserve">, </w:t>
      </w:r>
      <w:proofErr w:type="gramEnd"/>
      <w:r>
        <w:rPr>
          <w:szCs w:val="24"/>
          <w:lang w:val="it-IT"/>
        </w:rPr>
        <w:t>Eva Zaina</w:t>
      </w:r>
      <w:r>
        <w:rPr>
          <w:szCs w:val="24"/>
          <w:vertAlign w:val="superscript"/>
          <w:lang w:val="it-IT"/>
        </w:rPr>
        <w:t>1</w:t>
      </w:r>
      <w:r>
        <w:rPr>
          <w:szCs w:val="24"/>
          <w:lang w:val="it-IT"/>
        </w:rPr>
        <w:t>, Ilaria Cattarossi</w:t>
      </w:r>
      <w:r>
        <w:rPr>
          <w:szCs w:val="24"/>
          <w:vertAlign w:val="superscript"/>
          <w:lang w:val="it-IT"/>
        </w:rPr>
        <w:t>1</w:t>
      </w:r>
      <w:r>
        <w:rPr>
          <w:szCs w:val="24"/>
          <w:lang w:val="it-IT"/>
        </w:rPr>
        <w:t>, Paola Varaschin</w:t>
      </w:r>
      <w:r>
        <w:rPr>
          <w:szCs w:val="24"/>
          <w:vertAlign w:val="superscript"/>
          <w:lang w:val="it-IT"/>
        </w:rPr>
        <w:t>1</w:t>
      </w:r>
      <w:r>
        <w:rPr>
          <w:szCs w:val="24"/>
          <w:lang w:val="it-IT"/>
        </w:rPr>
        <w:t>, Paola Nanni</w:t>
      </w:r>
      <w:r>
        <w:rPr>
          <w:szCs w:val="24"/>
          <w:vertAlign w:val="superscript"/>
          <w:lang w:val="it-IT"/>
        </w:rPr>
        <w:t>1</w:t>
      </w:r>
      <w:r>
        <w:rPr>
          <w:szCs w:val="24"/>
          <w:lang w:val="it-IT"/>
        </w:rPr>
        <w:t>, Michele Berton</w:t>
      </w:r>
      <w:r>
        <w:rPr>
          <w:szCs w:val="24"/>
          <w:vertAlign w:val="superscript"/>
          <w:lang w:val="it-IT"/>
        </w:rPr>
        <w:t>1</w:t>
      </w:r>
      <w:r>
        <w:rPr>
          <w:szCs w:val="24"/>
          <w:lang w:val="it-IT"/>
        </w:rPr>
        <w:t>, Alessandra Braida</w:t>
      </w:r>
      <w:r>
        <w:rPr>
          <w:szCs w:val="24"/>
          <w:vertAlign w:val="superscript"/>
          <w:lang w:val="it-IT"/>
        </w:rPr>
        <w:t>1</w:t>
      </w:r>
      <w:r>
        <w:rPr>
          <w:szCs w:val="24"/>
          <w:lang w:val="it-IT"/>
        </w:rPr>
        <w:t>, Francesca Maria Rossi</w:t>
      </w:r>
      <w:r>
        <w:rPr>
          <w:szCs w:val="24"/>
          <w:vertAlign w:val="superscript"/>
          <w:lang w:val="it-IT"/>
        </w:rPr>
        <w:t>1</w:t>
      </w:r>
      <w:r>
        <w:rPr>
          <w:szCs w:val="24"/>
          <w:lang w:val="it-IT"/>
        </w:rPr>
        <w:t>, Massimo Degan</w:t>
      </w:r>
      <w:r>
        <w:rPr>
          <w:szCs w:val="24"/>
          <w:vertAlign w:val="superscript"/>
          <w:lang w:val="it-IT"/>
        </w:rPr>
        <w:t>1</w:t>
      </w:r>
      <w:r>
        <w:rPr>
          <w:szCs w:val="24"/>
          <w:lang w:val="it-IT"/>
        </w:rPr>
        <w:t>, Jerry Polesel</w:t>
      </w:r>
      <w:r>
        <w:rPr>
          <w:szCs w:val="24"/>
          <w:vertAlign w:val="superscript"/>
          <w:lang w:val="it-IT"/>
        </w:rPr>
        <w:t>2</w:t>
      </w:r>
      <w:r>
        <w:rPr>
          <w:szCs w:val="24"/>
          <w:lang w:val="it-IT"/>
        </w:rPr>
        <w:t>, Robe</w:t>
      </w:r>
      <w:r>
        <w:rPr>
          <w:szCs w:val="24"/>
          <w:lang w:val="it-IT"/>
        </w:rPr>
        <w:t>r</w:t>
      </w:r>
      <w:r>
        <w:rPr>
          <w:szCs w:val="24"/>
          <w:lang w:val="it-IT"/>
        </w:rPr>
        <w:t>ta Laureana</w:t>
      </w:r>
      <w:r>
        <w:rPr>
          <w:szCs w:val="24"/>
          <w:vertAlign w:val="superscript"/>
          <w:lang w:val="it-IT"/>
        </w:rPr>
        <w:t>1,3</w:t>
      </w:r>
      <w:r>
        <w:rPr>
          <w:szCs w:val="24"/>
          <w:lang w:val="it-IT"/>
        </w:rPr>
        <w:t>, Annalisa Chiarenza</w:t>
      </w:r>
      <w:r>
        <w:rPr>
          <w:szCs w:val="24"/>
          <w:vertAlign w:val="superscript"/>
          <w:lang w:val="it-IT"/>
        </w:rPr>
        <w:t>4</w:t>
      </w:r>
      <w:r>
        <w:rPr>
          <w:szCs w:val="24"/>
          <w:lang w:val="it-IT"/>
        </w:rPr>
        <w:t>, Jacopo Olivieri</w:t>
      </w:r>
      <w:r>
        <w:rPr>
          <w:iCs/>
          <w:szCs w:val="24"/>
          <w:vertAlign w:val="superscript"/>
          <w:lang w:val="it-IT"/>
        </w:rPr>
        <w:t>5</w:t>
      </w:r>
      <w:r>
        <w:rPr>
          <w:szCs w:val="24"/>
          <w:lang w:val="it-IT"/>
        </w:rPr>
        <w:t>, Annalisa Biagi</w:t>
      </w:r>
      <w:r>
        <w:rPr>
          <w:szCs w:val="24"/>
          <w:vertAlign w:val="superscript"/>
          <w:lang w:val="it-IT"/>
        </w:rPr>
        <w:t>6</w:t>
      </w:r>
      <w:r>
        <w:rPr>
          <w:szCs w:val="24"/>
          <w:lang w:val="it-IT"/>
        </w:rPr>
        <w:t>, Giovanni D’Arena</w:t>
      </w:r>
      <w:r>
        <w:rPr>
          <w:szCs w:val="24"/>
          <w:vertAlign w:val="superscript"/>
          <w:lang w:val="it-IT"/>
        </w:rPr>
        <w:t>7</w:t>
      </w:r>
      <w:r>
        <w:rPr>
          <w:szCs w:val="24"/>
          <w:lang w:val="it-IT"/>
        </w:rPr>
        <w:t>, Marco Ro</w:t>
      </w:r>
      <w:r>
        <w:rPr>
          <w:szCs w:val="24"/>
          <w:lang w:val="it-IT"/>
        </w:rPr>
        <w:t>s</w:t>
      </w:r>
      <w:r>
        <w:rPr>
          <w:szCs w:val="24"/>
          <w:lang w:val="it-IT"/>
        </w:rPr>
        <w:t>si</w:t>
      </w:r>
      <w:r>
        <w:rPr>
          <w:szCs w:val="24"/>
          <w:vertAlign w:val="superscript"/>
          <w:lang w:val="it-IT"/>
        </w:rPr>
        <w:t>8</w:t>
      </w:r>
      <w:r>
        <w:rPr>
          <w:szCs w:val="24"/>
          <w:lang w:val="it-IT"/>
        </w:rPr>
        <w:t>, Luca Laurenti</w:t>
      </w:r>
      <w:r>
        <w:rPr>
          <w:szCs w:val="24"/>
          <w:vertAlign w:val="superscript"/>
          <w:lang w:val="it-IT"/>
        </w:rPr>
        <w:t>9</w:t>
      </w:r>
      <w:r>
        <w:rPr>
          <w:szCs w:val="24"/>
          <w:lang w:val="it-IT"/>
        </w:rPr>
        <w:t>, Agostino Tafuri</w:t>
      </w:r>
      <w:r>
        <w:rPr>
          <w:szCs w:val="24"/>
          <w:vertAlign w:val="superscript"/>
          <w:lang w:val="it-IT"/>
        </w:rPr>
        <w:t>10</w:t>
      </w:r>
      <w:r>
        <w:rPr>
          <w:szCs w:val="24"/>
          <w:lang w:val="it-IT"/>
        </w:rPr>
        <w:t>, Pietro Bulian</w:t>
      </w:r>
      <w:r>
        <w:rPr>
          <w:szCs w:val="24"/>
          <w:vertAlign w:val="superscript"/>
          <w:lang w:val="it-IT"/>
        </w:rPr>
        <w:t>1</w:t>
      </w:r>
      <w:r>
        <w:rPr>
          <w:szCs w:val="24"/>
          <w:lang w:val="it-IT"/>
        </w:rPr>
        <w:t>, Alberto Zamò</w:t>
      </w:r>
      <w:r>
        <w:rPr>
          <w:szCs w:val="24"/>
          <w:vertAlign w:val="superscript"/>
          <w:lang w:val="it-IT"/>
        </w:rPr>
        <w:t>11</w:t>
      </w:r>
      <w:r>
        <w:rPr>
          <w:szCs w:val="24"/>
          <w:lang w:val="it-IT"/>
        </w:rPr>
        <w:t>, Ellen Leich</w:t>
      </w:r>
      <w:r>
        <w:rPr>
          <w:szCs w:val="24"/>
          <w:vertAlign w:val="superscript"/>
          <w:lang w:val="it-IT"/>
        </w:rPr>
        <w:t>11</w:t>
      </w:r>
      <w:r>
        <w:rPr>
          <w:szCs w:val="24"/>
          <w:lang w:val="it-IT"/>
        </w:rPr>
        <w:t xml:space="preserve">, </w:t>
      </w:r>
      <w:proofErr w:type="spellStart"/>
      <w:r>
        <w:rPr>
          <w:szCs w:val="24"/>
          <w:lang w:val="it-IT"/>
        </w:rPr>
        <w:t>Andreas</w:t>
      </w:r>
      <w:proofErr w:type="spellEnd"/>
      <w:r>
        <w:rPr>
          <w:szCs w:val="24"/>
          <w:lang w:val="it-IT"/>
        </w:rPr>
        <w:t xml:space="preserve"> Rose</w:t>
      </w:r>
      <w:r>
        <w:rPr>
          <w:szCs w:val="24"/>
          <w:lang w:val="it-IT"/>
        </w:rPr>
        <w:t>n</w:t>
      </w:r>
      <w:r>
        <w:rPr>
          <w:szCs w:val="24"/>
          <w:lang w:val="it-IT"/>
        </w:rPr>
        <w:t>wald</w:t>
      </w:r>
      <w:r>
        <w:rPr>
          <w:szCs w:val="24"/>
          <w:vertAlign w:val="superscript"/>
          <w:lang w:val="it-IT"/>
        </w:rPr>
        <w:t>11</w:t>
      </w:r>
      <w:r>
        <w:rPr>
          <w:szCs w:val="24"/>
          <w:lang w:val="it-IT"/>
        </w:rPr>
        <w:t xml:space="preserve">, </w:t>
      </w:r>
      <w:proofErr w:type="spellStart"/>
      <w:r>
        <w:rPr>
          <w:szCs w:val="24"/>
          <w:lang w:val="it-IT"/>
        </w:rPr>
        <w:t>Evgeny</w:t>
      </w:r>
      <w:proofErr w:type="spellEnd"/>
      <w:r>
        <w:rPr>
          <w:szCs w:val="24"/>
          <w:lang w:val="it-IT"/>
        </w:rPr>
        <w:t xml:space="preserve"> Arons</w:t>
      </w:r>
      <w:r>
        <w:rPr>
          <w:szCs w:val="24"/>
          <w:vertAlign w:val="superscript"/>
          <w:lang w:val="it-IT"/>
        </w:rPr>
        <w:t>12</w:t>
      </w:r>
      <w:r>
        <w:rPr>
          <w:szCs w:val="24"/>
          <w:lang w:val="it-IT"/>
        </w:rPr>
        <w:t>, Robert Kreitman</w:t>
      </w:r>
      <w:r>
        <w:rPr>
          <w:szCs w:val="24"/>
          <w:vertAlign w:val="superscript"/>
          <w:lang w:val="it-IT"/>
        </w:rPr>
        <w:t>12</w:t>
      </w:r>
      <w:r>
        <w:rPr>
          <w:szCs w:val="24"/>
          <w:lang w:val="it-IT"/>
        </w:rPr>
        <w:t>, Massimo Gentile</w:t>
      </w:r>
      <w:r>
        <w:rPr>
          <w:szCs w:val="24"/>
          <w:vertAlign w:val="superscript"/>
          <w:lang w:val="it-IT"/>
        </w:rPr>
        <w:t>13,14</w:t>
      </w:r>
      <w:r>
        <w:rPr>
          <w:szCs w:val="24"/>
          <w:lang w:val="it-IT"/>
        </w:rPr>
        <w:t>, Massimiliano Postorino</w:t>
      </w:r>
      <w:r>
        <w:rPr>
          <w:szCs w:val="24"/>
          <w:vertAlign w:val="superscript"/>
          <w:lang w:val="it-IT"/>
        </w:rPr>
        <w:t>3</w:t>
      </w:r>
      <w:r>
        <w:rPr>
          <w:szCs w:val="24"/>
          <w:lang w:val="it-IT"/>
        </w:rPr>
        <w:t>, Francesco Zaja</w:t>
      </w:r>
      <w:r>
        <w:rPr>
          <w:szCs w:val="24"/>
          <w:vertAlign w:val="superscript"/>
          <w:lang w:val="it-IT"/>
        </w:rPr>
        <w:t>15</w:t>
      </w:r>
      <w:r>
        <w:rPr>
          <w:szCs w:val="24"/>
          <w:lang w:val="it-IT"/>
        </w:rPr>
        <w:t>, Francesco Di Raimondo</w:t>
      </w:r>
      <w:r>
        <w:rPr>
          <w:szCs w:val="24"/>
          <w:vertAlign w:val="superscript"/>
          <w:lang w:val="it-IT"/>
        </w:rPr>
        <w:t>4</w:t>
      </w:r>
      <w:r>
        <w:rPr>
          <w:szCs w:val="24"/>
          <w:lang w:val="it-IT"/>
        </w:rPr>
        <w:t>, Maria Ilaria Del Principe</w:t>
      </w:r>
      <w:r>
        <w:rPr>
          <w:szCs w:val="24"/>
          <w:vertAlign w:val="superscript"/>
          <w:lang w:val="it-IT"/>
        </w:rPr>
        <w:t>3</w:t>
      </w:r>
      <w:r>
        <w:rPr>
          <w:szCs w:val="24"/>
          <w:lang w:val="it-IT"/>
        </w:rPr>
        <w:t>, Valter Gattei</w:t>
      </w:r>
      <w:r>
        <w:rPr>
          <w:szCs w:val="24"/>
          <w:vertAlign w:val="superscript"/>
          <w:lang w:val="it-IT"/>
        </w:rPr>
        <w:t>1*</w:t>
      </w:r>
      <w:r>
        <w:rPr>
          <w:szCs w:val="24"/>
          <w:lang w:val="it-IT"/>
        </w:rPr>
        <w:t>, and Riccardo Bomben</w:t>
      </w:r>
      <w:r>
        <w:rPr>
          <w:szCs w:val="24"/>
          <w:vertAlign w:val="superscript"/>
          <w:lang w:val="it-IT"/>
        </w:rPr>
        <w:t>1*</w:t>
      </w:r>
      <w:r>
        <w:rPr>
          <w:szCs w:val="24"/>
          <w:lang w:val="it-IT"/>
        </w:rPr>
        <w:t>.</w:t>
      </w:r>
    </w:p>
    <w:p w:rsidR="00336347" w:rsidRDefault="00336347">
      <w:pPr>
        <w:pStyle w:val="Nessunaspaziatura"/>
        <w:tabs>
          <w:tab w:val="left" w:pos="7797"/>
        </w:tabs>
        <w:spacing w:after="120" w:line="360" w:lineRule="auto"/>
        <w:ind w:right="-18"/>
        <w:contextualSpacing/>
        <w:jc w:val="both"/>
        <w:rPr>
          <w:szCs w:val="24"/>
          <w:lang w:val="it-IT"/>
        </w:rPr>
      </w:pPr>
    </w:p>
    <w:p w:rsidR="00336347" w:rsidRDefault="00307A15">
      <w:pPr>
        <w:spacing w:after="120" w:line="360" w:lineRule="auto"/>
        <w:ind w:right="-18"/>
        <w:jc w:val="both"/>
        <w:rPr>
          <w:rFonts w:ascii="Times New Roman" w:hAnsi="Times New Roman" w:cs="Times New Roman"/>
          <w:lang w:val="it-IT"/>
        </w:rPr>
      </w:pPr>
      <w:proofErr w:type="gramStart"/>
      <w:r>
        <w:rPr>
          <w:rFonts w:ascii="Times New Roman" w:hAnsi="Times New Roman" w:cs="Times New Roman"/>
          <w:vertAlign w:val="superscript"/>
          <w:lang w:val="it-IT"/>
        </w:rPr>
        <w:t>1</w:t>
      </w:r>
      <w:r>
        <w:rPr>
          <w:rFonts w:ascii="Times New Roman" w:hAnsi="Times New Roman" w:cs="Times New Roman"/>
          <w:lang w:val="it-IT"/>
        </w:rPr>
        <w:t xml:space="preserve">Clinical and </w:t>
      </w:r>
      <w:proofErr w:type="spellStart"/>
      <w:r>
        <w:rPr>
          <w:rFonts w:ascii="Times New Roman" w:hAnsi="Times New Roman" w:cs="Times New Roman"/>
          <w:lang w:val="it-IT"/>
        </w:rPr>
        <w:t>Experimental</w:t>
      </w:r>
      <w:proofErr w:type="spellEnd"/>
      <w:r>
        <w:rPr>
          <w:rFonts w:ascii="Times New Roman" w:hAnsi="Times New Roman" w:cs="Times New Roman"/>
          <w:lang w:val="it-IT"/>
        </w:rPr>
        <w:t xml:space="preserve"> </w:t>
      </w:r>
      <w:proofErr w:type="spellStart"/>
      <w:r>
        <w:rPr>
          <w:rFonts w:ascii="Times New Roman" w:hAnsi="Times New Roman" w:cs="Times New Roman"/>
          <w:lang w:val="it-IT"/>
        </w:rPr>
        <w:t>Onco-Haematology</w:t>
      </w:r>
      <w:proofErr w:type="spellEnd"/>
      <w:r>
        <w:rPr>
          <w:rFonts w:ascii="Times New Roman" w:hAnsi="Times New Roman" w:cs="Times New Roman"/>
          <w:lang w:val="it-IT"/>
        </w:rPr>
        <w:t xml:space="preserve"> </w:t>
      </w:r>
      <w:proofErr w:type="spellStart"/>
      <w:r>
        <w:rPr>
          <w:rFonts w:ascii="Times New Roman" w:hAnsi="Times New Roman" w:cs="Times New Roman"/>
          <w:lang w:val="it-IT"/>
        </w:rPr>
        <w:t>Unit</w:t>
      </w:r>
      <w:proofErr w:type="spellEnd"/>
      <w:r>
        <w:rPr>
          <w:rFonts w:ascii="Times New Roman" w:hAnsi="Times New Roman" w:cs="Times New Roman"/>
          <w:lang w:val="it-IT"/>
        </w:rPr>
        <w:t>, Centro di Riferimento Oncologico di Aviano (CRO), IRCCS, Aviano (PN), Italy;</w:t>
      </w:r>
      <w:proofErr w:type="gramEnd"/>
    </w:p>
    <w:p w:rsidR="00336347" w:rsidRDefault="00307A15">
      <w:pPr>
        <w:spacing w:after="120" w:line="360" w:lineRule="auto"/>
        <w:ind w:right="-18"/>
        <w:jc w:val="both"/>
        <w:rPr>
          <w:rFonts w:ascii="Times New Roman" w:hAnsi="Times New Roman" w:cs="Times New Roman"/>
          <w:lang w:val="it-IT"/>
        </w:rPr>
      </w:pPr>
      <w:proofErr w:type="gramStart"/>
      <w:r>
        <w:rPr>
          <w:rFonts w:ascii="Times New Roman" w:hAnsi="Times New Roman" w:cs="Times New Roman"/>
          <w:vertAlign w:val="superscript"/>
          <w:lang w:val="it-IT"/>
        </w:rPr>
        <w:t>2</w:t>
      </w:r>
      <w:r>
        <w:rPr>
          <w:rFonts w:ascii="Times New Roman" w:hAnsi="Times New Roman" w:cs="Times New Roman"/>
          <w:lang w:val="it-IT"/>
        </w:rPr>
        <w:t xml:space="preserve">Unit </w:t>
      </w:r>
      <w:proofErr w:type="spellStart"/>
      <w:r>
        <w:rPr>
          <w:rFonts w:ascii="Times New Roman" w:hAnsi="Times New Roman" w:cs="Times New Roman"/>
          <w:lang w:val="it-IT"/>
        </w:rPr>
        <w:t>of</w:t>
      </w:r>
      <w:proofErr w:type="spellEnd"/>
      <w:r>
        <w:rPr>
          <w:rFonts w:ascii="Times New Roman" w:hAnsi="Times New Roman" w:cs="Times New Roman"/>
          <w:lang w:val="it-IT"/>
        </w:rPr>
        <w:t xml:space="preserve"> </w:t>
      </w:r>
      <w:proofErr w:type="spellStart"/>
      <w:r>
        <w:rPr>
          <w:rFonts w:ascii="Times New Roman" w:hAnsi="Times New Roman" w:cs="Times New Roman"/>
          <w:lang w:val="it-IT"/>
        </w:rPr>
        <w:t>Cancer</w:t>
      </w:r>
      <w:proofErr w:type="spellEnd"/>
      <w:r>
        <w:rPr>
          <w:rFonts w:ascii="Times New Roman" w:hAnsi="Times New Roman" w:cs="Times New Roman"/>
          <w:lang w:val="it-IT"/>
        </w:rPr>
        <w:t xml:space="preserve"> </w:t>
      </w:r>
      <w:proofErr w:type="spellStart"/>
      <w:r>
        <w:rPr>
          <w:rFonts w:ascii="Times New Roman" w:hAnsi="Times New Roman" w:cs="Times New Roman"/>
          <w:lang w:val="it-IT"/>
        </w:rPr>
        <w:t>Epidemiology</w:t>
      </w:r>
      <w:proofErr w:type="spellEnd"/>
      <w:r>
        <w:rPr>
          <w:rFonts w:ascii="Times New Roman" w:hAnsi="Times New Roman" w:cs="Times New Roman"/>
          <w:lang w:val="it-IT"/>
        </w:rPr>
        <w:t>, Centro di Riferimento Oncologico di Aviano (CRO) IRCCS, Aviano, Italy;</w:t>
      </w:r>
      <w:proofErr w:type="gramEnd"/>
    </w:p>
    <w:p w:rsidR="00336347" w:rsidRDefault="00307A15">
      <w:pPr>
        <w:spacing w:after="120" w:line="360" w:lineRule="auto"/>
        <w:ind w:right="-18"/>
        <w:jc w:val="both"/>
        <w:rPr>
          <w:rFonts w:ascii="Times New Roman" w:hAnsi="Times New Roman" w:cs="Times New Roman"/>
          <w:lang w:val="en-GB"/>
        </w:rPr>
      </w:pPr>
      <w:r>
        <w:rPr>
          <w:rFonts w:ascii="Times New Roman" w:hAnsi="Times New Roman" w:cs="Times New Roman"/>
          <w:vertAlign w:val="superscript"/>
          <w:lang w:val="en-GB"/>
        </w:rPr>
        <w:t>3</w:t>
      </w:r>
      <w:r>
        <w:rPr>
          <w:rFonts w:ascii="Times New Roman" w:hAnsi="Times New Roman" w:cs="Times New Roman"/>
          <w:lang w:val="en-GB"/>
        </w:rPr>
        <w:t xml:space="preserve">Division of </w:t>
      </w:r>
      <w:proofErr w:type="spellStart"/>
      <w:r>
        <w:rPr>
          <w:rFonts w:ascii="Times New Roman" w:hAnsi="Times New Roman" w:cs="Times New Roman"/>
          <w:lang w:val="en-GB"/>
        </w:rPr>
        <w:t>Hematology</w:t>
      </w:r>
      <w:proofErr w:type="spellEnd"/>
      <w:r>
        <w:rPr>
          <w:rFonts w:ascii="Times New Roman" w:hAnsi="Times New Roman" w:cs="Times New Roman"/>
          <w:lang w:val="en-GB"/>
        </w:rPr>
        <w:t xml:space="preserve">, University of Tor </w:t>
      </w:r>
      <w:proofErr w:type="spellStart"/>
      <w:r>
        <w:rPr>
          <w:rFonts w:ascii="Times New Roman" w:hAnsi="Times New Roman" w:cs="Times New Roman"/>
          <w:lang w:val="en-GB"/>
        </w:rPr>
        <w:t>Vergata</w:t>
      </w:r>
      <w:proofErr w:type="spellEnd"/>
      <w:r>
        <w:rPr>
          <w:rFonts w:ascii="Times New Roman" w:hAnsi="Times New Roman" w:cs="Times New Roman"/>
          <w:lang w:val="en-GB"/>
        </w:rPr>
        <w:t>, Rome, Italy;</w:t>
      </w:r>
    </w:p>
    <w:p w:rsidR="00336347" w:rsidRDefault="00307A15">
      <w:pPr>
        <w:spacing w:after="120" w:line="360" w:lineRule="auto"/>
        <w:ind w:right="-18"/>
        <w:jc w:val="both"/>
        <w:rPr>
          <w:rFonts w:ascii="Times New Roman" w:hAnsi="Times New Roman" w:cs="Times New Roman"/>
          <w:lang w:val="it-IT"/>
        </w:rPr>
      </w:pPr>
      <w:r>
        <w:rPr>
          <w:rFonts w:ascii="Times New Roman" w:hAnsi="Times New Roman" w:cs="Times New Roman"/>
          <w:vertAlign w:val="superscript"/>
          <w:lang w:val="it-IT"/>
        </w:rPr>
        <w:t>4</w:t>
      </w:r>
      <w:r>
        <w:rPr>
          <w:rFonts w:ascii="Times New Roman" w:hAnsi="Times New Roman" w:cs="Times New Roman"/>
          <w:lang w:val="it-IT"/>
        </w:rPr>
        <w:t xml:space="preserve">Division </w:t>
      </w:r>
      <w:proofErr w:type="spellStart"/>
      <w:r>
        <w:rPr>
          <w:rFonts w:ascii="Times New Roman" w:hAnsi="Times New Roman" w:cs="Times New Roman"/>
          <w:lang w:val="it-IT"/>
        </w:rPr>
        <w:t>of</w:t>
      </w:r>
      <w:proofErr w:type="spellEnd"/>
      <w:r>
        <w:rPr>
          <w:rFonts w:ascii="Times New Roman" w:hAnsi="Times New Roman" w:cs="Times New Roman"/>
          <w:lang w:val="it-IT"/>
        </w:rPr>
        <w:t xml:space="preserve"> </w:t>
      </w:r>
      <w:proofErr w:type="spellStart"/>
      <w:r>
        <w:rPr>
          <w:rFonts w:ascii="Times New Roman" w:hAnsi="Times New Roman" w:cs="Times New Roman"/>
          <w:lang w:val="it-IT"/>
        </w:rPr>
        <w:t>Haematology</w:t>
      </w:r>
      <w:proofErr w:type="spellEnd"/>
      <w:r>
        <w:rPr>
          <w:rFonts w:ascii="Times New Roman" w:hAnsi="Times New Roman" w:cs="Times New Roman"/>
          <w:lang w:val="it-IT"/>
        </w:rPr>
        <w:t xml:space="preserve">, </w:t>
      </w:r>
      <w:proofErr w:type="spellStart"/>
      <w:r>
        <w:rPr>
          <w:rFonts w:ascii="Times New Roman" w:hAnsi="Times New Roman" w:cs="Times New Roman"/>
          <w:lang w:val="it-IT"/>
        </w:rPr>
        <w:t>Ferrarotto</w:t>
      </w:r>
      <w:proofErr w:type="spellEnd"/>
      <w:r>
        <w:rPr>
          <w:rFonts w:ascii="Times New Roman" w:hAnsi="Times New Roman" w:cs="Times New Roman"/>
          <w:lang w:val="it-IT"/>
        </w:rPr>
        <w:t xml:space="preserve"> Hospital, Catania, Italy;</w:t>
      </w:r>
    </w:p>
    <w:p w:rsidR="00336347" w:rsidRDefault="00307A15">
      <w:pPr>
        <w:spacing w:after="120" w:line="360" w:lineRule="auto"/>
        <w:ind w:right="-18"/>
        <w:jc w:val="both"/>
        <w:rPr>
          <w:rFonts w:ascii="Times New Roman" w:hAnsi="Times New Roman" w:cs="Times New Roman"/>
          <w:iCs/>
          <w:lang w:val="it-IT"/>
        </w:rPr>
      </w:pPr>
      <w:proofErr w:type="gramStart"/>
      <w:r>
        <w:rPr>
          <w:rFonts w:ascii="Times New Roman" w:hAnsi="Times New Roman" w:cs="Times New Roman"/>
          <w:iCs/>
          <w:vertAlign w:val="superscript"/>
          <w:lang w:val="it-IT"/>
        </w:rPr>
        <w:t>5</w:t>
      </w:r>
      <w:r>
        <w:rPr>
          <w:rFonts w:ascii="Times New Roman" w:hAnsi="Times New Roman" w:cs="Times New Roman"/>
          <w:iCs/>
          <w:lang w:val="it-IT"/>
        </w:rPr>
        <w:t xml:space="preserve">Clinica Ematologica, Centro Trapianti e Terapie Cellulari "Carlo </w:t>
      </w:r>
      <w:proofErr w:type="spellStart"/>
      <w:r>
        <w:rPr>
          <w:rFonts w:ascii="Times New Roman" w:hAnsi="Times New Roman" w:cs="Times New Roman"/>
          <w:iCs/>
          <w:lang w:val="it-IT"/>
        </w:rPr>
        <w:t>Melzi</w:t>
      </w:r>
      <w:proofErr w:type="spellEnd"/>
      <w:r>
        <w:rPr>
          <w:rFonts w:ascii="Times New Roman" w:hAnsi="Times New Roman" w:cs="Times New Roman"/>
          <w:iCs/>
          <w:lang w:val="it-IT"/>
        </w:rPr>
        <w:t>" DISM, Azienda Ospedaliera Universitaria S. Maria Misericordia, Udin</w:t>
      </w:r>
      <w:proofErr w:type="gramEnd"/>
      <w:r>
        <w:rPr>
          <w:rFonts w:ascii="Times New Roman" w:hAnsi="Times New Roman" w:cs="Times New Roman"/>
          <w:iCs/>
          <w:lang w:val="it-IT"/>
        </w:rPr>
        <w:t>e, Italy;</w:t>
      </w:r>
    </w:p>
    <w:p w:rsidR="00336347" w:rsidRDefault="00307A15">
      <w:pPr>
        <w:spacing w:after="120" w:line="360" w:lineRule="auto"/>
        <w:ind w:right="-18"/>
        <w:jc w:val="both"/>
        <w:rPr>
          <w:rFonts w:ascii="Times New Roman" w:hAnsi="Times New Roman" w:cs="Times New Roman"/>
          <w:iCs/>
          <w:lang w:val="it-IT"/>
        </w:rPr>
      </w:pPr>
      <w:r>
        <w:rPr>
          <w:rFonts w:ascii="Times New Roman" w:hAnsi="Times New Roman" w:cs="Times New Roman"/>
          <w:iCs/>
          <w:vertAlign w:val="superscript"/>
          <w:lang w:val="it-IT"/>
        </w:rPr>
        <w:t>6</w:t>
      </w:r>
      <w:r>
        <w:rPr>
          <w:rFonts w:ascii="Times New Roman" w:hAnsi="Times New Roman" w:cs="Times New Roman"/>
          <w:iCs/>
          <w:lang w:val="it-IT"/>
        </w:rPr>
        <w:t xml:space="preserve">Hematology and </w:t>
      </w:r>
      <w:proofErr w:type="spellStart"/>
      <w:r>
        <w:rPr>
          <w:rFonts w:ascii="Times New Roman" w:hAnsi="Times New Roman" w:cs="Times New Roman"/>
          <w:iCs/>
          <w:lang w:val="it-IT"/>
        </w:rPr>
        <w:t>Transplant</w:t>
      </w:r>
      <w:proofErr w:type="spellEnd"/>
      <w:r>
        <w:rPr>
          <w:rFonts w:ascii="Times New Roman" w:hAnsi="Times New Roman" w:cs="Times New Roman"/>
          <w:iCs/>
          <w:lang w:val="it-IT"/>
        </w:rPr>
        <w:t xml:space="preserve"> </w:t>
      </w:r>
      <w:proofErr w:type="spellStart"/>
      <w:r>
        <w:rPr>
          <w:rFonts w:ascii="Times New Roman" w:hAnsi="Times New Roman" w:cs="Times New Roman"/>
          <w:iCs/>
          <w:lang w:val="it-IT"/>
        </w:rPr>
        <w:t>Unit</w:t>
      </w:r>
      <w:proofErr w:type="spellEnd"/>
      <w:r>
        <w:rPr>
          <w:rFonts w:ascii="Times New Roman" w:hAnsi="Times New Roman" w:cs="Times New Roman"/>
          <w:iCs/>
          <w:lang w:val="it-IT"/>
        </w:rPr>
        <w:t xml:space="preserve">, Ospedale </w:t>
      </w:r>
      <w:proofErr w:type="spellStart"/>
      <w:proofErr w:type="gramStart"/>
      <w:r>
        <w:rPr>
          <w:rFonts w:ascii="Times New Roman" w:hAnsi="Times New Roman" w:cs="Times New Roman"/>
          <w:iCs/>
          <w:lang w:val="it-IT"/>
        </w:rPr>
        <w:t>S.M.Goretti</w:t>
      </w:r>
      <w:proofErr w:type="spellEnd"/>
      <w:proofErr w:type="gramEnd"/>
      <w:r>
        <w:rPr>
          <w:rFonts w:ascii="Times New Roman" w:hAnsi="Times New Roman" w:cs="Times New Roman"/>
          <w:iCs/>
          <w:lang w:val="it-IT"/>
        </w:rPr>
        <w:t>, AUSL Latina, Italy;</w:t>
      </w:r>
    </w:p>
    <w:p w:rsidR="00336347" w:rsidRDefault="00307A15">
      <w:pPr>
        <w:spacing w:after="120" w:line="360" w:lineRule="auto"/>
        <w:ind w:right="-18"/>
        <w:jc w:val="both"/>
        <w:rPr>
          <w:rFonts w:ascii="Times New Roman" w:hAnsi="Times New Roman" w:cs="Times New Roman"/>
          <w:iCs/>
          <w:lang w:val="it-IT"/>
        </w:rPr>
      </w:pPr>
      <w:r>
        <w:rPr>
          <w:rFonts w:ascii="Times New Roman" w:hAnsi="Times New Roman" w:cs="Times New Roman"/>
          <w:vertAlign w:val="superscript"/>
          <w:lang w:val="it-IT"/>
        </w:rPr>
        <w:t>7</w:t>
      </w:r>
      <w:r>
        <w:rPr>
          <w:rFonts w:ascii="Times New Roman" w:hAnsi="Times New Roman" w:cs="Times New Roman"/>
          <w:iCs/>
          <w:lang w:val="it-IT"/>
        </w:rPr>
        <w:t xml:space="preserve">Haematology </w:t>
      </w:r>
      <w:proofErr w:type="spellStart"/>
      <w:r>
        <w:rPr>
          <w:rFonts w:ascii="Times New Roman" w:hAnsi="Times New Roman" w:cs="Times New Roman"/>
          <w:iCs/>
          <w:lang w:val="it-IT"/>
        </w:rPr>
        <w:t>Unit</w:t>
      </w:r>
      <w:proofErr w:type="spellEnd"/>
      <w:r>
        <w:rPr>
          <w:rFonts w:ascii="Times New Roman" w:hAnsi="Times New Roman" w:cs="Times New Roman"/>
          <w:iCs/>
          <w:lang w:val="it-IT"/>
        </w:rPr>
        <w:t>, Presidio Ospedaliero S. Luca, ASL Salerno, Italy;</w:t>
      </w:r>
    </w:p>
    <w:p w:rsidR="00336347" w:rsidRDefault="00307A15">
      <w:pPr>
        <w:spacing w:after="120" w:line="360" w:lineRule="auto"/>
        <w:ind w:right="-18"/>
        <w:jc w:val="both"/>
        <w:rPr>
          <w:rFonts w:ascii="Times New Roman" w:hAnsi="Times New Roman" w:cs="Times New Roman"/>
          <w:iCs/>
        </w:rPr>
      </w:pPr>
      <w:r>
        <w:rPr>
          <w:rFonts w:ascii="Times New Roman" w:hAnsi="Times New Roman" w:cs="Times New Roman"/>
          <w:iCs/>
          <w:vertAlign w:val="superscript"/>
        </w:rPr>
        <w:t>8</w:t>
      </w:r>
      <w:r>
        <w:rPr>
          <w:rFonts w:ascii="Times New Roman" w:hAnsi="Times New Roman" w:cs="Times New Roman"/>
          <w:iCs/>
        </w:rPr>
        <w:t>Department of Hematology-Oncology, Dulbecco University Hospital, 88100 Catanzaro, Italy;</w:t>
      </w:r>
    </w:p>
    <w:p w:rsidR="00336347" w:rsidRDefault="00307A15">
      <w:pPr>
        <w:spacing w:after="120" w:line="360" w:lineRule="auto"/>
        <w:ind w:right="-18"/>
        <w:jc w:val="both"/>
        <w:rPr>
          <w:rFonts w:ascii="Times New Roman" w:hAnsi="Times New Roman" w:cs="Times New Roman"/>
          <w:iCs/>
          <w:lang w:val="it-IT"/>
        </w:rPr>
      </w:pPr>
      <w:r>
        <w:rPr>
          <w:rFonts w:ascii="Times New Roman" w:hAnsi="Times New Roman" w:cs="Times New Roman"/>
          <w:iCs/>
          <w:vertAlign w:val="superscript"/>
          <w:lang w:val="it-IT"/>
        </w:rPr>
        <w:t>9</w:t>
      </w:r>
      <w:r>
        <w:rPr>
          <w:rFonts w:ascii="Times New Roman" w:hAnsi="Times New Roman" w:cs="Times New Roman"/>
          <w:iCs/>
          <w:lang w:val="it-IT"/>
        </w:rPr>
        <w:t>Fondazione Universitaria Policlinico A Gemelli di Roma, Roma, Italy;</w:t>
      </w:r>
    </w:p>
    <w:p w:rsidR="00336347" w:rsidRDefault="00307A15">
      <w:pPr>
        <w:spacing w:after="120" w:line="360" w:lineRule="auto"/>
        <w:ind w:right="-18"/>
        <w:jc w:val="both"/>
        <w:rPr>
          <w:rFonts w:ascii="Times New Roman" w:hAnsi="Times New Roman" w:cs="Times New Roman"/>
          <w:iCs/>
        </w:rPr>
      </w:pPr>
      <w:r>
        <w:rPr>
          <w:rFonts w:ascii="Times New Roman" w:hAnsi="Times New Roman" w:cs="Times New Roman"/>
          <w:iCs/>
          <w:vertAlign w:val="superscript"/>
        </w:rPr>
        <w:t>10</w:t>
      </w:r>
      <w:r>
        <w:rPr>
          <w:rFonts w:ascii="Times New Roman" w:hAnsi="Times New Roman" w:cs="Times New Roman"/>
          <w:iCs/>
        </w:rPr>
        <w:t xml:space="preserve">Department of Clinical and Molecular Medicine and Hematology, </w:t>
      </w:r>
      <w:proofErr w:type="spellStart"/>
      <w:r>
        <w:rPr>
          <w:rFonts w:ascii="Times New Roman" w:hAnsi="Times New Roman" w:cs="Times New Roman"/>
          <w:iCs/>
        </w:rPr>
        <w:t>Sant'Andrea</w:t>
      </w:r>
      <w:proofErr w:type="spellEnd"/>
      <w:r>
        <w:rPr>
          <w:rFonts w:ascii="Times New Roman" w:hAnsi="Times New Roman" w:cs="Times New Roman"/>
          <w:iCs/>
        </w:rPr>
        <w:t xml:space="preserve"> - University Hospital - </w:t>
      </w:r>
      <w:proofErr w:type="spellStart"/>
      <w:r>
        <w:rPr>
          <w:rFonts w:ascii="Times New Roman" w:hAnsi="Times New Roman" w:cs="Times New Roman"/>
          <w:iCs/>
        </w:rPr>
        <w:t>Sapienza</w:t>
      </w:r>
      <w:proofErr w:type="spellEnd"/>
      <w:r>
        <w:rPr>
          <w:rFonts w:ascii="Times New Roman" w:hAnsi="Times New Roman" w:cs="Times New Roman"/>
          <w:iCs/>
        </w:rPr>
        <w:t>, University of Rome, Rome, Italy;</w:t>
      </w:r>
    </w:p>
    <w:p w:rsidR="00336347" w:rsidRDefault="00307A15">
      <w:pPr>
        <w:spacing w:after="120" w:line="360" w:lineRule="auto"/>
        <w:ind w:right="-18"/>
        <w:jc w:val="both"/>
        <w:rPr>
          <w:rFonts w:ascii="Times New Roman" w:hAnsi="Times New Roman" w:cs="Times New Roman"/>
        </w:rPr>
      </w:pPr>
      <w:r>
        <w:rPr>
          <w:rFonts w:ascii="Times New Roman" w:hAnsi="Times New Roman" w:cs="Times New Roman"/>
          <w:vertAlign w:val="superscript"/>
        </w:rPr>
        <w:t>11</w:t>
      </w:r>
      <w:r>
        <w:rPr>
          <w:rFonts w:ascii="Times New Roman" w:hAnsi="Times New Roman" w:cs="Times New Roman"/>
        </w:rPr>
        <w:t xml:space="preserve">Institute of Pathology, University of </w:t>
      </w:r>
      <w:proofErr w:type="spellStart"/>
      <w:r>
        <w:rPr>
          <w:rFonts w:ascii="Times New Roman" w:hAnsi="Times New Roman" w:cs="Times New Roman"/>
        </w:rPr>
        <w:t>Würzburg</w:t>
      </w:r>
      <w:proofErr w:type="spellEnd"/>
      <w:r>
        <w:rPr>
          <w:rFonts w:ascii="Times New Roman" w:hAnsi="Times New Roman" w:cs="Times New Roman"/>
        </w:rPr>
        <w:t xml:space="preserve">, </w:t>
      </w:r>
      <w:proofErr w:type="spellStart"/>
      <w:r>
        <w:rPr>
          <w:rFonts w:ascii="Times New Roman" w:hAnsi="Times New Roman" w:cs="Times New Roman"/>
        </w:rPr>
        <w:t>Würzburg</w:t>
      </w:r>
      <w:proofErr w:type="spellEnd"/>
      <w:r>
        <w:rPr>
          <w:rFonts w:ascii="Times New Roman" w:hAnsi="Times New Roman" w:cs="Times New Roman"/>
        </w:rPr>
        <w:t>, Germany;</w:t>
      </w:r>
    </w:p>
    <w:p w:rsidR="00336347" w:rsidRDefault="00307A15">
      <w:pPr>
        <w:spacing w:after="120" w:line="360" w:lineRule="auto"/>
        <w:ind w:right="-18"/>
        <w:jc w:val="both"/>
        <w:rPr>
          <w:rStyle w:val="field-content"/>
          <w:rFonts w:ascii="Times New Roman" w:hAnsi="Times New Roman" w:cs="Times New Roman"/>
        </w:rPr>
      </w:pPr>
      <w:r>
        <w:rPr>
          <w:rFonts w:ascii="Times New Roman" w:hAnsi="Times New Roman" w:cs="Times New Roman"/>
          <w:vertAlign w:val="superscript"/>
        </w:rPr>
        <w:t>12</w:t>
      </w:r>
      <w:r>
        <w:rPr>
          <w:rFonts w:ascii="Times New Roman" w:hAnsi="Times New Roman" w:cs="Times New Roman"/>
        </w:rPr>
        <w:t xml:space="preserve">Center for Cancer Research, National Cancer Institute, </w:t>
      </w:r>
      <w:r>
        <w:rPr>
          <w:rStyle w:val="field-content"/>
          <w:rFonts w:ascii="Times New Roman" w:hAnsi="Times New Roman" w:cs="Times New Roman"/>
        </w:rPr>
        <w:t>Bethesda, MD, USA;</w:t>
      </w:r>
    </w:p>
    <w:p w:rsidR="00336347" w:rsidRDefault="00307A15">
      <w:pPr>
        <w:spacing w:after="120" w:line="360" w:lineRule="auto"/>
        <w:jc w:val="both"/>
        <w:rPr>
          <w:lang w:val="it-IT"/>
        </w:rPr>
      </w:pPr>
      <w:r>
        <w:rPr>
          <w:vertAlign w:val="superscript"/>
          <w:lang w:val="it-IT"/>
        </w:rPr>
        <w:t>13</w:t>
      </w:r>
      <w:r>
        <w:rPr>
          <w:lang w:val="it-IT"/>
        </w:rPr>
        <w:t xml:space="preserve">Hematology </w:t>
      </w:r>
      <w:proofErr w:type="spellStart"/>
      <w:r>
        <w:rPr>
          <w:lang w:val="it-IT"/>
        </w:rPr>
        <w:t>Unit</w:t>
      </w:r>
      <w:proofErr w:type="spellEnd"/>
      <w:r>
        <w:rPr>
          <w:lang w:val="it-IT"/>
        </w:rPr>
        <w:t xml:space="preserve">, Azienda Ospedaliera Annunziata, Cosenza, Italy; </w:t>
      </w:r>
    </w:p>
    <w:p w:rsidR="00336347" w:rsidRDefault="00307A15">
      <w:pPr>
        <w:spacing w:after="120" w:line="360" w:lineRule="auto"/>
        <w:jc w:val="both"/>
      </w:pPr>
      <w:r>
        <w:rPr>
          <w:vertAlign w:val="superscript"/>
        </w:rPr>
        <w:lastRenderedPageBreak/>
        <w:t>14</w:t>
      </w:r>
      <w:r>
        <w:t xml:space="preserve">Department of Pharmacy, Health and Nutritional Science, University of Calabria, </w:t>
      </w:r>
      <w:proofErr w:type="spellStart"/>
      <w:r>
        <w:t>Rende</w:t>
      </w:r>
      <w:proofErr w:type="spellEnd"/>
      <w:r>
        <w:t xml:space="preserve">, Italy; </w:t>
      </w:r>
    </w:p>
    <w:p w:rsidR="00336347" w:rsidRDefault="00307A15">
      <w:pPr>
        <w:spacing w:after="120" w:line="360" w:lineRule="auto"/>
        <w:ind w:right="-18"/>
        <w:jc w:val="both"/>
        <w:rPr>
          <w:rStyle w:val="field-content"/>
          <w:rFonts w:ascii="Times New Roman" w:eastAsia="Calibri" w:hAnsi="Times New Roman" w:cs="Times New Roman"/>
          <w:lang w:eastAsia="en-US" w:bidi="ar-SA"/>
        </w:rPr>
      </w:pPr>
      <w:r>
        <w:rPr>
          <w:rFonts w:ascii="Times New Roman" w:hAnsi="Times New Roman" w:cs="Times New Roman"/>
          <w:vertAlign w:val="superscript"/>
        </w:rPr>
        <w:t>15</w:t>
      </w:r>
      <w:r>
        <w:rPr>
          <w:rFonts w:ascii="Times New Roman" w:hAnsi="Times New Roman" w:cs="Times New Roman"/>
        </w:rPr>
        <w:t>Department of Medical, Surgical and Health Sciences, University of Trieste, Italy;</w:t>
      </w:r>
    </w:p>
    <w:p w:rsidR="00336347" w:rsidRDefault="00336347">
      <w:pPr>
        <w:spacing w:after="120" w:line="360" w:lineRule="auto"/>
        <w:ind w:right="-18"/>
        <w:jc w:val="both"/>
        <w:rPr>
          <w:rFonts w:ascii="Times New Roman" w:eastAsia="Times New Roman" w:hAnsi="Times New Roman" w:cs="Times New Roman"/>
          <w:bCs/>
          <w:lang w:eastAsia="it-IT"/>
        </w:rPr>
      </w:pPr>
    </w:p>
    <w:p w:rsidR="00336347" w:rsidRDefault="00307A15">
      <w:pPr>
        <w:spacing w:after="120" w:line="360" w:lineRule="auto"/>
        <w:ind w:right="-18"/>
        <w:jc w:val="both"/>
        <w:rPr>
          <w:rFonts w:ascii="Times New Roman" w:eastAsia="Times New Roman" w:hAnsi="Times New Roman" w:cs="Times New Roman"/>
          <w:bCs/>
          <w:lang w:eastAsia="it-IT"/>
        </w:rPr>
      </w:pPr>
      <w:r>
        <w:rPr>
          <w:rFonts w:ascii="Times New Roman" w:eastAsia="Times New Roman" w:hAnsi="Times New Roman" w:cs="Times New Roman"/>
          <w:bCs/>
          <w:lang w:eastAsia="it-IT"/>
        </w:rPr>
        <w:t>*Equally contributed as senior authors.</w:t>
      </w:r>
    </w:p>
    <w:p w:rsidR="00336347" w:rsidRDefault="00307A15">
      <w:pPr>
        <w:pStyle w:val="Corpodeltesto"/>
        <w:tabs>
          <w:tab w:val="left" w:pos="9072"/>
          <w:tab w:val="left" w:pos="10000"/>
        </w:tabs>
        <w:spacing w:after="120" w:line="360" w:lineRule="auto"/>
        <w:ind w:right="-18"/>
        <w:jc w:val="both"/>
        <w:rPr>
          <w:rFonts w:ascii="Times New Roman" w:hAnsi="Times New Roman" w:cs="Times New Roman"/>
          <w:color w:val="000000" w:themeColor="text1"/>
        </w:rPr>
      </w:pPr>
      <w:r>
        <w:rPr>
          <w:rFonts w:ascii="Times New Roman" w:hAnsi="Times New Roman" w:cs="Times New Roman"/>
          <w:b/>
        </w:rPr>
        <w:t>Correspondence:</w:t>
      </w:r>
      <w:r>
        <w:rPr>
          <w:rFonts w:ascii="Times New Roman" w:hAnsi="Times New Roman" w:cs="Times New Roman"/>
        </w:rPr>
        <w:t xml:space="preserve"> </w:t>
      </w:r>
      <w:proofErr w:type="spellStart"/>
      <w:r>
        <w:rPr>
          <w:rFonts w:ascii="Times New Roman" w:hAnsi="Times New Roman" w:cs="Times New Roman"/>
          <w:color w:val="000000" w:themeColor="text1"/>
        </w:rPr>
        <w:t>Filippo</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Vit</w:t>
      </w:r>
      <w:proofErr w:type="spellEnd"/>
      <w:r>
        <w:rPr>
          <w:rFonts w:ascii="Times New Roman" w:hAnsi="Times New Roman" w:cs="Times New Roman"/>
          <w:color w:val="000000" w:themeColor="text1"/>
        </w:rPr>
        <w:t xml:space="preserve"> or </w:t>
      </w:r>
      <w:proofErr w:type="spellStart"/>
      <w:r>
        <w:rPr>
          <w:rFonts w:ascii="Times New Roman" w:hAnsi="Times New Roman" w:cs="Times New Roman"/>
          <w:color w:val="000000" w:themeColor="text1"/>
        </w:rPr>
        <w:t>Valter</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Gattei</w:t>
      </w:r>
      <w:proofErr w:type="spellEnd"/>
      <w:r>
        <w:rPr>
          <w:rFonts w:ascii="Times New Roman" w:hAnsi="Times New Roman" w:cs="Times New Roman"/>
          <w:color w:val="000000" w:themeColor="text1"/>
        </w:rPr>
        <w:t xml:space="preserve"> or </w:t>
      </w:r>
      <w:proofErr w:type="spellStart"/>
      <w:r>
        <w:rPr>
          <w:rFonts w:ascii="Times New Roman" w:hAnsi="Times New Roman" w:cs="Times New Roman"/>
          <w:color w:val="000000" w:themeColor="text1"/>
        </w:rPr>
        <w:t>Riccardo</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Bomben</w:t>
      </w:r>
      <w:proofErr w:type="spellEnd"/>
      <w:r>
        <w:rPr>
          <w:rFonts w:ascii="Times New Roman" w:hAnsi="Times New Roman" w:cs="Times New Roman"/>
          <w:color w:val="000000" w:themeColor="text1"/>
        </w:rPr>
        <w:t xml:space="preserve">, Clinical and Experimental </w:t>
      </w:r>
      <w:proofErr w:type="spellStart"/>
      <w:r>
        <w:rPr>
          <w:rFonts w:ascii="Times New Roman" w:hAnsi="Times New Roman" w:cs="Times New Roman"/>
          <w:color w:val="000000" w:themeColor="text1"/>
        </w:rPr>
        <w:t>Onco</w:t>
      </w:r>
      <w:proofErr w:type="spellEnd"/>
      <w:r>
        <w:rPr>
          <w:rFonts w:ascii="Times New Roman" w:hAnsi="Times New Roman" w:cs="Times New Roman"/>
          <w:color w:val="000000" w:themeColor="text1"/>
        </w:rPr>
        <w:t xml:space="preserve">-Hematology Unit, Centro </w:t>
      </w:r>
      <w:proofErr w:type="spellStart"/>
      <w:r>
        <w:rPr>
          <w:rFonts w:ascii="Times New Roman" w:hAnsi="Times New Roman" w:cs="Times New Roman"/>
          <w:color w:val="000000" w:themeColor="text1"/>
        </w:rPr>
        <w:t>di</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Riferimento</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Oncologico</w:t>
      </w:r>
      <w:proofErr w:type="spellEnd"/>
      <w:r>
        <w:rPr>
          <w:rFonts w:ascii="Times New Roman" w:hAnsi="Times New Roman" w:cs="Times New Roman"/>
          <w:color w:val="000000" w:themeColor="text1"/>
        </w:rPr>
        <w:t xml:space="preserve">, I.R.C.C.S., Via Franco </w:t>
      </w:r>
      <w:proofErr w:type="spellStart"/>
      <w:r>
        <w:rPr>
          <w:rFonts w:ascii="Times New Roman" w:hAnsi="Times New Roman" w:cs="Times New Roman"/>
          <w:color w:val="000000" w:themeColor="text1"/>
        </w:rPr>
        <w:t>Gallini</w:t>
      </w:r>
      <w:proofErr w:type="spellEnd"/>
      <w:r>
        <w:rPr>
          <w:rFonts w:ascii="Times New Roman" w:hAnsi="Times New Roman" w:cs="Times New Roman"/>
          <w:color w:val="000000" w:themeColor="text1"/>
        </w:rPr>
        <w:t xml:space="preserve"> 2, </w:t>
      </w:r>
      <w:proofErr w:type="spellStart"/>
      <w:r>
        <w:rPr>
          <w:rFonts w:ascii="Times New Roman" w:hAnsi="Times New Roman" w:cs="Times New Roman"/>
          <w:color w:val="000000" w:themeColor="text1"/>
        </w:rPr>
        <w:t>Aviano</w:t>
      </w:r>
      <w:proofErr w:type="spellEnd"/>
      <w:r>
        <w:rPr>
          <w:rFonts w:ascii="Times New Roman" w:hAnsi="Times New Roman" w:cs="Times New Roman"/>
          <w:color w:val="000000" w:themeColor="text1"/>
        </w:rPr>
        <w:t xml:space="preserve"> (PN), Italy; email: </w:t>
      </w:r>
      <w:hyperlink r:id="rId9" w:tooltip="mailto:filippo.vit@cro.it" w:history="1">
        <w:r>
          <w:rPr>
            <w:rStyle w:val="Collegamentoipertestuale"/>
            <w:rFonts w:ascii="Times New Roman" w:hAnsi="Times New Roman" w:cs="Times New Roman"/>
            <w:color w:val="000000" w:themeColor="text1"/>
          </w:rPr>
          <w:t>filippo</w:t>
        </w:r>
        <w:r>
          <w:rPr>
            <w:rStyle w:val="Collegamentoipertestuale"/>
            <w:color w:val="000000" w:themeColor="text1"/>
          </w:rPr>
          <w:t>.vit@</w:t>
        </w:r>
        <w:r>
          <w:rPr>
            <w:rStyle w:val="Collegamentoipertestuale"/>
            <w:rFonts w:ascii="Times New Roman" w:hAnsi="Times New Roman" w:cs="Times New Roman"/>
            <w:color w:val="000000" w:themeColor="text1"/>
          </w:rPr>
          <w:t>cro.it</w:t>
        </w:r>
      </w:hyperlink>
      <w:r>
        <w:rPr>
          <w:rFonts w:ascii="Times New Roman" w:hAnsi="Times New Roman" w:cs="Times New Roman"/>
          <w:color w:val="000000" w:themeColor="text1"/>
        </w:rPr>
        <w:t xml:space="preserve">; </w:t>
      </w:r>
      <w:hyperlink r:id="rId10" w:tooltip="mailto:vgattei@cro.it" w:history="1">
        <w:r>
          <w:rPr>
            <w:rStyle w:val="Collegamentoipertestuale"/>
            <w:rFonts w:ascii="Times New Roman" w:hAnsi="Times New Roman" w:cs="Times New Roman"/>
            <w:color w:val="000000" w:themeColor="text1"/>
          </w:rPr>
          <w:t>vgattei</w:t>
        </w:r>
        <w:r>
          <w:rPr>
            <w:rStyle w:val="Collegamentoipertestuale"/>
            <w:color w:val="000000" w:themeColor="text1"/>
          </w:rPr>
          <w:t>@cro</w:t>
        </w:r>
        <w:r>
          <w:rPr>
            <w:rStyle w:val="Collegamentoipertestuale"/>
            <w:rFonts w:ascii="Times New Roman" w:hAnsi="Times New Roman" w:cs="Times New Roman"/>
            <w:color w:val="000000" w:themeColor="text1"/>
          </w:rPr>
          <w:t>.it</w:t>
        </w:r>
      </w:hyperlink>
      <w:r>
        <w:rPr>
          <w:rFonts w:ascii="Times New Roman" w:hAnsi="Times New Roman" w:cs="Times New Roman"/>
          <w:color w:val="000000" w:themeColor="text1"/>
        </w:rPr>
        <w:t xml:space="preserve">; </w:t>
      </w:r>
      <w:hyperlink r:id="rId11" w:tooltip="mailto:rbomben@cro.it" w:history="1">
        <w:r>
          <w:rPr>
            <w:rStyle w:val="Collegamentoipertestuale"/>
            <w:rFonts w:ascii="Times New Roman" w:hAnsi="Times New Roman" w:cs="Times New Roman"/>
            <w:color w:val="000000" w:themeColor="text1"/>
          </w:rPr>
          <w:t>rbomben@cro.it</w:t>
        </w:r>
      </w:hyperlink>
      <w:r>
        <w:rPr>
          <w:rFonts w:ascii="Times New Roman" w:hAnsi="Times New Roman" w:cs="Times New Roman"/>
          <w:color w:val="000000" w:themeColor="text1"/>
        </w:rPr>
        <w:t>.</w:t>
      </w:r>
    </w:p>
    <w:p w:rsidR="00336347" w:rsidRDefault="00307A15">
      <w:pPr>
        <w:widowControl/>
        <w:rPr>
          <w:rFonts w:ascii="Times New Roman" w:hAnsi="Times New Roman" w:cs="Times New Roman"/>
          <w:b/>
          <w:bCs/>
        </w:rPr>
      </w:pPr>
      <w:r>
        <w:br w:type="page" w:clear="all"/>
      </w:r>
    </w:p>
    <w:p w:rsidR="00336347" w:rsidRDefault="00307A15">
      <w:pPr>
        <w:pStyle w:val="Paragrafoelenco1"/>
        <w:numPr>
          <w:ilvl w:val="1"/>
          <w:numId w:val="1"/>
        </w:numPr>
        <w:spacing w:before="100" w:beforeAutospacing="1" w:after="100" w:afterAutospacing="1"/>
        <w:ind w:left="360" w:hanging="360"/>
        <w:jc w:val="both"/>
        <w:rPr>
          <w:rFonts w:ascii="Times New Roman" w:hAnsi="Times New Roman"/>
          <w:b/>
          <w:sz w:val="24"/>
          <w:szCs w:val="24"/>
          <w:lang w:val="en-GB"/>
        </w:rPr>
      </w:pPr>
      <w:r>
        <w:rPr>
          <w:rFonts w:ascii="Times New Roman" w:hAnsi="Times New Roman"/>
          <w:b/>
          <w:sz w:val="24"/>
          <w:szCs w:val="24"/>
          <w:lang w:val="en-GB"/>
        </w:rPr>
        <w:lastRenderedPageBreak/>
        <w:t>Supplemental Figures:</w:t>
      </w:r>
    </w:p>
    <w:p w:rsidR="00336347" w:rsidRDefault="00307A15">
      <w:pPr>
        <w:pStyle w:val="PreformattedText"/>
        <w:numPr>
          <w:ilvl w:val="0"/>
          <w:numId w:val="1"/>
        </w:numPr>
        <w:spacing w:before="100" w:beforeAutospacing="1" w:after="100" w:afterAutospacing="1"/>
        <w:jc w:val="both"/>
        <w:rPr>
          <w:rFonts w:ascii="Times New Roman" w:hAnsi="Times New Roman" w:cs="Times New Roman"/>
          <w:bCs/>
          <w:sz w:val="24"/>
          <w:szCs w:val="24"/>
        </w:rPr>
      </w:pPr>
      <w:r>
        <w:rPr>
          <w:rFonts w:ascii="Times New Roman" w:hAnsi="Times New Roman" w:cs="Times New Roman"/>
          <w:b/>
          <w:sz w:val="24"/>
          <w:szCs w:val="24"/>
        </w:rPr>
        <w:t>Figure S1. Library generation protocol for Immunoglobulin amplification with Unique Molecular Identifiers (UMI);</w:t>
      </w:r>
    </w:p>
    <w:p w:rsidR="00336347" w:rsidRDefault="00307A15">
      <w:pPr>
        <w:pStyle w:val="PreformattedText"/>
        <w:numPr>
          <w:ilvl w:val="0"/>
          <w:numId w:val="1"/>
        </w:numPr>
        <w:spacing w:before="100" w:beforeAutospacing="1" w:after="100" w:afterAutospacing="1"/>
        <w:jc w:val="both"/>
        <w:rPr>
          <w:rFonts w:ascii="Times New Roman" w:hAnsi="Times New Roman" w:cs="Times New Roman"/>
          <w:b/>
          <w:sz w:val="24"/>
          <w:szCs w:val="24"/>
        </w:rPr>
      </w:pPr>
      <w:r>
        <w:rPr>
          <w:rFonts w:ascii="Times New Roman" w:hAnsi="Times New Roman" w:cs="Times New Roman"/>
          <w:b/>
          <w:sz w:val="24"/>
          <w:szCs w:val="24"/>
        </w:rPr>
        <w:t xml:space="preserve">Figure S2. Flow-chart representation of the CLL </w:t>
      </w:r>
      <w:r>
        <w:rPr>
          <w:rFonts w:ascii="Times New Roman" w:hAnsi="Times New Roman" w:cs="Times New Roman"/>
          <w:b/>
          <w:bCs/>
          <w:sz w:val="24"/>
          <w:szCs w:val="24"/>
        </w:rPr>
        <w:t>samples analyzed in this study</w:t>
      </w:r>
      <w:r>
        <w:rPr>
          <w:rFonts w:ascii="Times New Roman" w:hAnsi="Times New Roman" w:cs="Times New Roman"/>
          <w:b/>
          <w:sz w:val="24"/>
          <w:szCs w:val="24"/>
        </w:rPr>
        <w:t>;</w:t>
      </w:r>
    </w:p>
    <w:p w:rsidR="00336347" w:rsidRDefault="00307A15">
      <w:pPr>
        <w:pStyle w:val="PreformattedText"/>
        <w:numPr>
          <w:ilvl w:val="0"/>
          <w:numId w:val="1"/>
        </w:numPr>
        <w:spacing w:before="100" w:beforeAutospacing="1" w:after="100" w:afterAutospacing="1"/>
        <w:jc w:val="both"/>
        <w:rPr>
          <w:rFonts w:ascii="Times New Roman" w:hAnsi="Times New Roman" w:cs="Times New Roman"/>
          <w:bCs/>
          <w:sz w:val="24"/>
          <w:szCs w:val="24"/>
        </w:rPr>
      </w:pPr>
      <w:r>
        <w:rPr>
          <w:rFonts w:ascii="Times New Roman" w:hAnsi="Times New Roman" w:cs="Times New Roman"/>
          <w:b/>
          <w:sz w:val="24"/>
          <w:szCs w:val="24"/>
        </w:rPr>
        <w:t xml:space="preserve">Figure S3. Bioinformatic pipeline for </w:t>
      </w:r>
      <w:proofErr w:type="spellStart"/>
      <w:r>
        <w:rPr>
          <w:rFonts w:ascii="Times New Roman" w:hAnsi="Times New Roman" w:cs="Times New Roman"/>
          <w:b/>
          <w:sz w:val="24"/>
          <w:szCs w:val="24"/>
        </w:rPr>
        <w:t>Lymphotrack</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RepSeq</w:t>
      </w:r>
      <w:proofErr w:type="spellEnd"/>
      <w:r>
        <w:rPr>
          <w:rFonts w:ascii="Times New Roman" w:hAnsi="Times New Roman" w:cs="Times New Roman"/>
          <w:b/>
          <w:sz w:val="24"/>
          <w:szCs w:val="24"/>
        </w:rPr>
        <w:t xml:space="preserve"> data;</w:t>
      </w:r>
    </w:p>
    <w:p w:rsidR="00336347" w:rsidRDefault="00307A15">
      <w:pPr>
        <w:pStyle w:val="PreformattedText"/>
        <w:numPr>
          <w:ilvl w:val="0"/>
          <w:numId w:val="1"/>
        </w:numPr>
        <w:spacing w:before="100" w:beforeAutospacing="1" w:after="100" w:afterAutospacing="1"/>
        <w:jc w:val="both"/>
        <w:rPr>
          <w:rFonts w:ascii="Times New Roman" w:hAnsi="Times New Roman" w:cs="Times New Roman"/>
          <w:bCs/>
          <w:sz w:val="24"/>
          <w:szCs w:val="24"/>
        </w:rPr>
      </w:pPr>
      <w:r>
        <w:rPr>
          <w:rFonts w:ascii="Times New Roman" w:hAnsi="Times New Roman" w:cs="Times New Roman"/>
          <w:b/>
          <w:sz w:val="24"/>
          <w:szCs w:val="24"/>
        </w:rPr>
        <w:t xml:space="preserve">Figure S4. Read quality profile of </w:t>
      </w:r>
      <w:proofErr w:type="spellStart"/>
      <w:r>
        <w:rPr>
          <w:rFonts w:ascii="Times New Roman" w:hAnsi="Times New Roman" w:cs="Times New Roman"/>
          <w:b/>
          <w:sz w:val="24"/>
          <w:szCs w:val="24"/>
        </w:rPr>
        <w:t>Lymphotrack</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RepSeq</w:t>
      </w:r>
      <w:proofErr w:type="spellEnd"/>
      <w:r>
        <w:rPr>
          <w:rFonts w:ascii="Times New Roman" w:hAnsi="Times New Roman" w:cs="Times New Roman"/>
          <w:b/>
          <w:sz w:val="24"/>
          <w:szCs w:val="24"/>
        </w:rPr>
        <w:t xml:space="preserve"> data;</w:t>
      </w:r>
    </w:p>
    <w:p w:rsidR="00336347" w:rsidRDefault="00307A15">
      <w:pPr>
        <w:pStyle w:val="PreformattedText"/>
        <w:numPr>
          <w:ilvl w:val="0"/>
          <w:numId w:val="1"/>
        </w:numPr>
        <w:spacing w:before="100" w:beforeAutospacing="1" w:after="100" w:afterAutospacing="1"/>
        <w:jc w:val="both"/>
        <w:rPr>
          <w:rFonts w:ascii="Times New Roman" w:hAnsi="Times New Roman" w:cs="Times New Roman"/>
          <w:bCs/>
          <w:sz w:val="24"/>
          <w:szCs w:val="24"/>
        </w:rPr>
      </w:pPr>
      <w:r>
        <w:rPr>
          <w:rFonts w:ascii="Times New Roman" w:hAnsi="Times New Roman" w:cs="Times New Roman"/>
          <w:b/>
          <w:sz w:val="24"/>
          <w:szCs w:val="24"/>
        </w:rPr>
        <w:t xml:space="preserve">Figure S5. Identification of systematic error based on median </w:t>
      </w:r>
      <w:proofErr w:type="spellStart"/>
      <w:r>
        <w:rPr>
          <w:rFonts w:ascii="Times New Roman" w:hAnsi="Times New Roman" w:cs="Times New Roman"/>
          <w:b/>
          <w:sz w:val="24"/>
          <w:szCs w:val="24"/>
        </w:rPr>
        <w:t>Phred</w:t>
      </w:r>
      <w:proofErr w:type="spellEnd"/>
      <w:r>
        <w:rPr>
          <w:rFonts w:ascii="Times New Roman" w:hAnsi="Times New Roman" w:cs="Times New Roman"/>
          <w:b/>
          <w:sz w:val="24"/>
          <w:szCs w:val="24"/>
        </w:rPr>
        <w:t xml:space="preserve"> quality;</w:t>
      </w:r>
    </w:p>
    <w:p w:rsidR="00336347" w:rsidRDefault="00307A15">
      <w:pPr>
        <w:pStyle w:val="PreformattedText"/>
        <w:numPr>
          <w:ilvl w:val="0"/>
          <w:numId w:val="1"/>
        </w:numPr>
        <w:spacing w:before="100" w:beforeAutospacing="1" w:after="100" w:afterAutospacing="1"/>
        <w:jc w:val="both"/>
        <w:rPr>
          <w:rFonts w:ascii="Times New Roman" w:hAnsi="Times New Roman" w:cs="Times New Roman"/>
          <w:bCs/>
          <w:sz w:val="24"/>
          <w:szCs w:val="24"/>
        </w:rPr>
      </w:pPr>
      <w:r>
        <w:rPr>
          <w:rFonts w:ascii="Times New Roman" w:hAnsi="Times New Roman" w:cs="Times New Roman"/>
          <w:b/>
          <w:bCs/>
          <w:sz w:val="24"/>
          <w:szCs w:val="24"/>
        </w:rPr>
        <w:t>Figure S6. Schematic representation of the systematic sequencing errors (SSE) correction pipeline;</w:t>
      </w:r>
    </w:p>
    <w:p w:rsidR="00336347" w:rsidRDefault="00307A15">
      <w:pPr>
        <w:pStyle w:val="PreformattedText"/>
        <w:numPr>
          <w:ilvl w:val="0"/>
          <w:numId w:val="1"/>
        </w:numPr>
        <w:spacing w:before="100" w:beforeAutospacing="1" w:after="100" w:afterAutospacing="1"/>
        <w:jc w:val="both"/>
        <w:rPr>
          <w:rFonts w:ascii="Times New Roman" w:hAnsi="Times New Roman" w:cs="Times New Roman"/>
          <w:bCs/>
          <w:sz w:val="24"/>
          <w:szCs w:val="24"/>
        </w:rPr>
      </w:pPr>
      <w:r>
        <w:rPr>
          <w:rFonts w:ascii="Times New Roman" w:hAnsi="Times New Roman" w:cs="Times New Roman"/>
          <w:b/>
          <w:sz w:val="24"/>
          <w:szCs w:val="24"/>
        </w:rPr>
        <w:t>Figure S7. Evaluation of the error-correction pipeline in IGHV-Leader and FR1 and comparison between Unique Molecular Identifier (UMI) and IGHV Leader protocol;</w:t>
      </w:r>
    </w:p>
    <w:p w:rsidR="00336347" w:rsidRDefault="00307A15">
      <w:pPr>
        <w:pStyle w:val="PreformattedText"/>
        <w:numPr>
          <w:ilvl w:val="0"/>
          <w:numId w:val="1"/>
        </w:numPr>
        <w:spacing w:before="100" w:beforeAutospacing="1" w:after="100" w:afterAutospacing="1"/>
        <w:jc w:val="both"/>
        <w:rPr>
          <w:rFonts w:ascii="Times New Roman" w:hAnsi="Times New Roman" w:cs="Times New Roman"/>
          <w:bCs/>
          <w:sz w:val="24"/>
          <w:szCs w:val="24"/>
        </w:rPr>
      </w:pPr>
      <w:r>
        <w:rPr>
          <w:rFonts w:ascii="Times New Roman" w:hAnsi="Times New Roman" w:cs="Times New Roman"/>
          <w:b/>
          <w:sz w:val="24"/>
          <w:szCs w:val="24"/>
        </w:rPr>
        <w:t xml:space="preserve">Figure S8. Schematic representation of the bioinformatic pipeline for the analysis of </w:t>
      </w:r>
      <w:proofErr w:type="spellStart"/>
      <w:r>
        <w:rPr>
          <w:rFonts w:ascii="Times New Roman" w:hAnsi="Times New Roman" w:cs="Times New Roman"/>
          <w:b/>
          <w:sz w:val="24"/>
          <w:szCs w:val="24"/>
        </w:rPr>
        <w:t>RepSeq</w:t>
      </w:r>
      <w:proofErr w:type="spellEnd"/>
      <w:r>
        <w:rPr>
          <w:rFonts w:ascii="Times New Roman" w:hAnsi="Times New Roman" w:cs="Times New Roman"/>
          <w:b/>
          <w:sz w:val="24"/>
          <w:szCs w:val="24"/>
        </w:rPr>
        <w:t xml:space="preserve"> data tagged with Unique Molecular Identifiers (UMI);</w:t>
      </w:r>
    </w:p>
    <w:p w:rsidR="00336347" w:rsidRDefault="00307A15">
      <w:pPr>
        <w:pStyle w:val="PreformattedText"/>
        <w:numPr>
          <w:ilvl w:val="0"/>
          <w:numId w:val="1"/>
        </w:numPr>
        <w:spacing w:before="100" w:beforeAutospacing="1" w:after="100" w:afterAutospacing="1"/>
        <w:jc w:val="both"/>
        <w:rPr>
          <w:rFonts w:ascii="Times New Roman" w:hAnsi="Times New Roman" w:cs="Times New Roman"/>
          <w:b/>
          <w:sz w:val="24"/>
          <w:szCs w:val="24"/>
        </w:rPr>
      </w:pPr>
      <w:r>
        <w:rPr>
          <w:rFonts w:ascii="Times New Roman" w:hAnsi="Times New Roman" w:cs="Times New Roman"/>
          <w:b/>
          <w:sz w:val="24"/>
          <w:szCs w:val="24"/>
        </w:rPr>
        <w:t xml:space="preserve">Figure S9. </w:t>
      </w:r>
      <w:r>
        <w:rPr>
          <w:rFonts w:ascii="Times New Roman" w:hAnsi="Times New Roman" w:cs="Times New Roman"/>
          <w:b/>
          <w:bCs/>
          <w:sz w:val="24"/>
          <w:szCs w:val="24"/>
        </w:rPr>
        <w:t>IGHV mutational status in the total cohort;</w:t>
      </w:r>
    </w:p>
    <w:p w:rsidR="00336347" w:rsidRDefault="00307A15">
      <w:pPr>
        <w:pStyle w:val="PreformattedText"/>
        <w:numPr>
          <w:ilvl w:val="0"/>
          <w:numId w:val="1"/>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b/>
          <w:sz w:val="24"/>
          <w:szCs w:val="24"/>
        </w:rPr>
        <w:t xml:space="preserve">Figure S10. </w:t>
      </w:r>
      <w:proofErr w:type="spellStart"/>
      <w:r>
        <w:rPr>
          <w:rFonts w:ascii="Times New Roman" w:hAnsi="Times New Roman" w:cs="Times New Roman"/>
          <w:b/>
          <w:sz w:val="24"/>
          <w:szCs w:val="24"/>
        </w:rPr>
        <w:t>Pairwise</w:t>
      </w:r>
      <w:proofErr w:type="spellEnd"/>
      <w:r>
        <w:rPr>
          <w:rFonts w:ascii="Times New Roman" w:hAnsi="Times New Roman" w:cs="Times New Roman"/>
          <w:b/>
          <w:sz w:val="24"/>
          <w:szCs w:val="24"/>
        </w:rPr>
        <w:t xml:space="preserve"> comparisons between phylogenetic tree parameters;</w:t>
      </w:r>
    </w:p>
    <w:p w:rsidR="00336347" w:rsidRDefault="00307A15">
      <w:pPr>
        <w:pStyle w:val="PreformattedText"/>
        <w:numPr>
          <w:ilvl w:val="0"/>
          <w:numId w:val="1"/>
        </w:numPr>
        <w:spacing w:before="100" w:beforeAutospacing="1" w:after="100" w:afterAutospacing="1"/>
        <w:jc w:val="both"/>
        <w:rPr>
          <w:rFonts w:ascii="Times New Roman" w:hAnsi="Times New Roman" w:cs="Times New Roman"/>
          <w:bCs/>
          <w:sz w:val="24"/>
          <w:szCs w:val="24"/>
        </w:rPr>
      </w:pPr>
      <w:r>
        <w:rPr>
          <w:rFonts w:ascii="Times New Roman" w:hAnsi="Times New Roman" w:cs="Times New Roman"/>
          <w:b/>
          <w:sz w:val="24"/>
          <w:szCs w:val="24"/>
        </w:rPr>
        <w:t>Figure S11. Distribution of IGHV families and genes in the CLL cohort;</w:t>
      </w:r>
    </w:p>
    <w:p w:rsidR="00336347" w:rsidRDefault="00307A15">
      <w:pPr>
        <w:pStyle w:val="PreformattedText"/>
        <w:numPr>
          <w:ilvl w:val="0"/>
          <w:numId w:val="1"/>
        </w:numPr>
        <w:spacing w:before="100" w:beforeAutospacing="1" w:after="100" w:afterAutospacing="1"/>
        <w:jc w:val="both"/>
        <w:rPr>
          <w:rFonts w:ascii="Times New Roman" w:hAnsi="Times New Roman" w:cs="Times New Roman"/>
          <w:bCs/>
          <w:sz w:val="24"/>
          <w:szCs w:val="24"/>
        </w:rPr>
      </w:pPr>
      <w:r>
        <w:rPr>
          <w:rFonts w:ascii="Times New Roman" w:hAnsi="Times New Roman" w:cs="Times New Roman"/>
          <w:b/>
          <w:sz w:val="24"/>
          <w:szCs w:val="24"/>
        </w:rPr>
        <w:t xml:space="preserve">Figure S12. Top 10 IGHV </w:t>
      </w:r>
      <w:r>
        <w:rPr>
          <w:rFonts w:ascii="Times New Roman" w:hAnsi="Times New Roman" w:cs="Times New Roman"/>
          <w:b/>
          <w:bCs/>
          <w:sz w:val="24"/>
          <w:szCs w:val="24"/>
        </w:rPr>
        <w:t xml:space="preserve">genes </w:t>
      </w:r>
      <w:r>
        <w:rPr>
          <w:rFonts w:ascii="Times New Roman" w:hAnsi="Times New Roman" w:cs="Times New Roman"/>
          <w:b/>
          <w:sz w:val="24"/>
          <w:szCs w:val="24"/>
        </w:rPr>
        <w:t xml:space="preserve">with high intraclonal diversification (ID) </w:t>
      </w:r>
      <w:r>
        <w:rPr>
          <w:rFonts w:ascii="Times New Roman" w:hAnsi="Times New Roman" w:cs="Times New Roman"/>
          <w:b/>
          <w:bCs/>
          <w:sz w:val="24"/>
          <w:szCs w:val="24"/>
        </w:rPr>
        <w:t>among U and M-CLL;</w:t>
      </w:r>
    </w:p>
    <w:p w:rsidR="00336347" w:rsidRDefault="00307A15">
      <w:pPr>
        <w:pStyle w:val="PreformattedText"/>
        <w:numPr>
          <w:ilvl w:val="0"/>
          <w:numId w:val="1"/>
        </w:numPr>
        <w:spacing w:before="100" w:beforeAutospacing="1" w:after="100" w:afterAutospacing="1"/>
        <w:jc w:val="both"/>
        <w:rPr>
          <w:rFonts w:ascii="Times New Roman" w:hAnsi="Times New Roman" w:cs="Times New Roman"/>
          <w:b/>
          <w:sz w:val="24"/>
          <w:szCs w:val="24"/>
        </w:rPr>
      </w:pPr>
      <w:r>
        <w:rPr>
          <w:rFonts w:ascii="Times New Roman" w:hAnsi="Times New Roman" w:cs="Times New Roman"/>
          <w:b/>
          <w:bCs/>
          <w:sz w:val="24"/>
          <w:szCs w:val="24"/>
        </w:rPr>
        <w:t xml:space="preserve">Figure S13. </w:t>
      </w:r>
      <w:proofErr w:type="spellStart"/>
      <w:r>
        <w:rPr>
          <w:rFonts w:ascii="Times New Roman" w:hAnsi="Times New Roman" w:cs="Times New Roman"/>
          <w:b/>
          <w:bCs/>
          <w:sz w:val="24"/>
          <w:szCs w:val="24"/>
        </w:rPr>
        <w:t>Immunophenotypic</w:t>
      </w:r>
      <w:proofErr w:type="spellEnd"/>
      <w:r>
        <w:rPr>
          <w:rFonts w:ascii="Times New Roman" w:hAnsi="Times New Roman" w:cs="Times New Roman"/>
          <w:b/>
          <w:bCs/>
          <w:sz w:val="24"/>
          <w:szCs w:val="24"/>
        </w:rPr>
        <w:t xml:space="preserve"> analysis of cases </w:t>
      </w:r>
      <w:r>
        <w:rPr>
          <w:rFonts w:ascii="Times New Roman" w:hAnsi="Times New Roman" w:cs="Times New Roman"/>
          <w:b/>
          <w:sz w:val="24"/>
          <w:szCs w:val="24"/>
        </w:rPr>
        <w:t>with high intraclonal diversification (ID) in M-CLL;</w:t>
      </w:r>
    </w:p>
    <w:p w:rsidR="00336347" w:rsidRDefault="00307A15">
      <w:pPr>
        <w:pStyle w:val="PreformattedText"/>
        <w:numPr>
          <w:ilvl w:val="0"/>
          <w:numId w:val="1"/>
        </w:numPr>
        <w:spacing w:before="100" w:beforeAutospacing="1" w:after="100" w:afterAutospacing="1"/>
        <w:jc w:val="both"/>
        <w:rPr>
          <w:rFonts w:ascii="Times New Roman" w:hAnsi="Times New Roman"/>
          <w:b/>
          <w:sz w:val="24"/>
          <w:szCs w:val="24"/>
          <w:lang w:val="en-GB"/>
        </w:rPr>
      </w:pPr>
      <w:r>
        <w:rPr>
          <w:rFonts w:ascii="Times New Roman" w:hAnsi="Times New Roman" w:cs="Times New Roman"/>
          <w:b/>
          <w:sz w:val="24"/>
          <w:szCs w:val="24"/>
        </w:rPr>
        <w:t xml:space="preserve">Figure S14. Variation in the number of mutations compatible with Activation Induced </w:t>
      </w:r>
      <w:proofErr w:type="spellStart"/>
      <w:r>
        <w:rPr>
          <w:rFonts w:ascii="Times New Roman" w:hAnsi="Times New Roman" w:cs="Times New Roman"/>
          <w:b/>
          <w:sz w:val="24"/>
          <w:szCs w:val="24"/>
        </w:rPr>
        <w:t>Cytidine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Deaminase</w:t>
      </w:r>
      <w:proofErr w:type="spellEnd"/>
      <w:r>
        <w:rPr>
          <w:rFonts w:ascii="Times New Roman" w:hAnsi="Times New Roman" w:cs="Times New Roman"/>
          <w:b/>
          <w:sz w:val="24"/>
          <w:szCs w:val="24"/>
        </w:rPr>
        <w:t xml:space="preserve"> (AID) and polymerase eta;</w:t>
      </w:r>
    </w:p>
    <w:p w:rsidR="00336347" w:rsidRDefault="00307A15">
      <w:pPr>
        <w:pStyle w:val="PreformattedText"/>
        <w:numPr>
          <w:ilvl w:val="0"/>
          <w:numId w:val="1"/>
        </w:numPr>
        <w:spacing w:before="100" w:beforeAutospacing="1" w:after="100" w:afterAutospacing="1"/>
        <w:jc w:val="both"/>
        <w:rPr>
          <w:rFonts w:ascii="Times New Roman" w:hAnsi="Times New Roman" w:cs="Times New Roman"/>
          <w:b/>
          <w:sz w:val="24"/>
          <w:szCs w:val="24"/>
        </w:rPr>
      </w:pPr>
      <w:r>
        <w:rPr>
          <w:rFonts w:ascii="Times New Roman" w:hAnsi="Times New Roman" w:cs="Times New Roman"/>
          <w:b/>
          <w:sz w:val="24"/>
          <w:szCs w:val="24"/>
        </w:rPr>
        <w:t>Figure S15. Variation in percentage of replacement and silent mutations in the FR and CDR region;</w:t>
      </w:r>
    </w:p>
    <w:p w:rsidR="00336347" w:rsidRDefault="00307A15">
      <w:pPr>
        <w:pStyle w:val="PreformattedText"/>
        <w:numPr>
          <w:ilvl w:val="0"/>
          <w:numId w:val="1"/>
        </w:numPr>
        <w:spacing w:before="100" w:beforeAutospacing="1" w:after="100" w:afterAutospacing="1"/>
        <w:jc w:val="both"/>
        <w:rPr>
          <w:rFonts w:ascii="Times New Roman" w:hAnsi="Times New Roman" w:cs="Times New Roman"/>
          <w:b/>
          <w:sz w:val="24"/>
          <w:szCs w:val="24"/>
        </w:rPr>
      </w:pPr>
      <w:r>
        <w:rPr>
          <w:rFonts w:ascii="Times New Roman" w:hAnsi="Times New Roman" w:cs="Times New Roman"/>
          <w:b/>
          <w:sz w:val="24"/>
          <w:szCs w:val="24"/>
        </w:rPr>
        <w:t>Figure S16. Clonal evolution of ID in longitudinal ID</w:t>
      </w:r>
      <w:r>
        <w:rPr>
          <w:rFonts w:ascii="Times New Roman" w:hAnsi="Times New Roman" w:cs="Times New Roman"/>
          <w:b/>
          <w:sz w:val="24"/>
          <w:szCs w:val="24"/>
          <w:vertAlign w:val="subscript"/>
        </w:rPr>
        <w:t>high</w:t>
      </w:r>
      <w:r>
        <w:rPr>
          <w:rFonts w:ascii="Times New Roman" w:hAnsi="Times New Roman" w:cs="Times New Roman"/>
          <w:b/>
          <w:sz w:val="24"/>
          <w:szCs w:val="24"/>
        </w:rPr>
        <w:t xml:space="preserve"> samples.</w:t>
      </w:r>
    </w:p>
    <w:p w:rsidR="00336347" w:rsidRDefault="00307A15">
      <w:pPr>
        <w:widowControl/>
        <w:spacing w:after="0" w:line="240" w:lineRule="auto"/>
        <w:rPr>
          <w:rFonts w:ascii="Times New Roman" w:hAnsi="Times New Roman"/>
          <w:b/>
          <w:lang w:val="en-GB"/>
        </w:rPr>
      </w:pPr>
      <w:r>
        <w:rPr>
          <w:rFonts w:ascii="Times New Roman" w:hAnsi="Times New Roman"/>
          <w:b/>
          <w:lang w:val="en-GB"/>
        </w:rPr>
        <w:t>Supplemental Tables:</w:t>
      </w:r>
    </w:p>
    <w:p w:rsidR="00336347" w:rsidRDefault="00307A15">
      <w:pPr>
        <w:pStyle w:val="Paragrafoelenco1"/>
        <w:numPr>
          <w:ilvl w:val="0"/>
          <w:numId w:val="2"/>
        </w:numPr>
        <w:tabs>
          <w:tab w:val="left" w:pos="810"/>
        </w:tabs>
        <w:spacing w:before="100" w:beforeAutospacing="1" w:after="100" w:afterAutospacing="1"/>
        <w:ind w:left="900" w:hanging="540"/>
        <w:jc w:val="both"/>
        <w:rPr>
          <w:rFonts w:ascii="Times New Roman" w:hAnsi="Times New Roman"/>
          <w:b/>
          <w:sz w:val="24"/>
          <w:szCs w:val="24"/>
          <w:lang w:val="en-GB"/>
        </w:rPr>
      </w:pPr>
      <w:r>
        <w:rPr>
          <w:rFonts w:ascii="Times New Roman" w:hAnsi="Times New Roman"/>
          <w:b/>
          <w:sz w:val="24"/>
          <w:szCs w:val="24"/>
          <w:lang w:val="en-GB"/>
        </w:rPr>
        <w:t>Table S1</w:t>
      </w:r>
      <w:r>
        <w:rPr>
          <w:rFonts w:ascii="Times New Roman" w:hAnsi="Times New Roman" w:hint="eastAsia"/>
          <w:b/>
          <w:sz w:val="24"/>
          <w:szCs w:val="24"/>
          <w:lang w:val="en-GB"/>
        </w:rPr>
        <w:t>. IGHV-D-J usage and intraclonal diversification</w:t>
      </w:r>
      <w:r>
        <w:rPr>
          <w:rFonts w:ascii="Times New Roman" w:hAnsi="Times New Roman"/>
          <w:b/>
          <w:sz w:val="24"/>
          <w:szCs w:val="24"/>
          <w:lang w:val="en-GB"/>
        </w:rPr>
        <w:t>;</w:t>
      </w:r>
    </w:p>
    <w:p w:rsidR="00336347" w:rsidRDefault="00307A15">
      <w:pPr>
        <w:pStyle w:val="Paragrafoelenco1"/>
        <w:numPr>
          <w:ilvl w:val="0"/>
          <w:numId w:val="2"/>
        </w:numPr>
        <w:tabs>
          <w:tab w:val="left" w:pos="810"/>
        </w:tabs>
        <w:spacing w:before="100" w:beforeAutospacing="1" w:after="100" w:afterAutospacing="1"/>
        <w:ind w:left="900" w:hanging="540"/>
        <w:jc w:val="both"/>
        <w:rPr>
          <w:rFonts w:ascii="Times New Roman" w:hAnsi="Times New Roman"/>
          <w:b/>
          <w:sz w:val="24"/>
          <w:szCs w:val="24"/>
          <w:lang w:val="en-GB"/>
        </w:rPr>
      </w:pPr>
      <w:r>
        <w:rPr>
          <w:rFonts w:ascii="Times New Roman" w:hAnsi="Times New Roman"/>
          <w:b/>
          <w:sz w:val="24"/>
          <w:szCs w:val="24"/>
          <w:lang w:val="en-GB"/>
        </w:rPr>
        <w:t xml:space="preserve">Table S2. </w:t>
      </w:r>
      <w:r>
        <w:rPr>
          <w:rFonts w:ascii="Times New Roman" w:hAnsi="Times New Roman" w:hint="eastAsia"/>
          <w:b/>
          <w:sz w:val="24"/>
          <w:szCs w:val="24"/>
          <w:lang w:val="en-GB"/>
        </w:rPr>
        <w:t>Primers for IGHV UMI analysis</w:t>
      </w:r>
      <w:r>
        <w:rPr>
          <w:rFonts w:ascii="Times New Roman" w:hAnsi="Times New Roman"/>
          <w:b/>
          <w:sz w:val="24"/>
          <w:szCs w:val="24"/>
          <w:lang w:val="en-GB"/>
        </w:rPr>
        <w:t>.</w:t>
      </w:r>
    </w:p>
    <w:p w:rsidR="00336347" w:rsidRDefault="00307A15">
      <w:pPr>
        <w:widowControl/>
        <w:spacing w:after="0" w:line="240" w:lineRule="auto"/>
        <w:rPr>
          <w:rFonts w:ascii="Times New Roman" w:eastAsia="Calibri" w:hAnsi="Times New Roman" w:cs="Times New Roman"/>
          <w:b/>
          <w:lang w:val="en-GB" w:eastAsia="en-US" w:bidi="ar-SA"/>
        </w:rPr>
      </w:pPr>
      <w:r>
        <w:rPr>
          <w:rFonts w:ascii="Times New Roman" w:hAnsi="Times New Roman"/>
          <w:b/>
          <w:lang w:val="en-GB"/>
        </w:rPr>
        <w:br w:type="page" w:clear="all"/>
      </w:r>
    </w:p>
    <w:p w:rsidR="00336347" w:rsidRDefault="00307A15">
      <w:pPr>
        <w:pStyle w:val="PreformattedText"/>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Supplementary Material</w:t>
      </w:r>
    </w:p>
    <w:p w:rsidR="00336347" w:rsidRDefault="00307A15">
      <w:pPr>
        <w:pStyle w:val="PreformattedText"/>
        <w:spacing w:line="360" w:lineRule="auto"/>
        <w:ind w:right="-18"/>
        <w:jc w:val="both"/>
        <w:rPr>
          <w:rFonts w:ascii="Times New Roman" w:hAnsi="Times New Roman" w:cs="Times New Roman"/>
          <w:b/>
          <w:bCs/>
          <w:sz w:val="24"/>
          <w:szCs w:val="24"/>
        </w:rPr>
      </w:pPr>
      <w:proofErr w:type="spellStart"/>
      <w:r>
        <w:rPr>
          <w:rFonts w:ascii="Times New Roman" w:hAnsi="Times New Roman" w:cs="Times New Roman"/>
          <w:b/>
          <w:bCs/>
          <w:sz w:val="24"/>
          <w:szCs w:val="24"/>
        </w:rPr>
        <w:t>Immunophenotypic</w:t>
      </w:r>
      <w:proofErr w:type="spellEnd"/>
      <w:r>
        <w:rPr>
          <w:rFonts w:ascii="Times New Roman" w:hAnsi="Times New Roman" w:cs="Times New Roman"/>
          <w:b/>
          <w:bCs/>
          <w:sz w:val="24"/>
          <w:szCs w:val="24"/>
        </w:rPr>
        <w:t xml:space="preserve"> analyses </w:t>
      </w:r>
    </w:p>
    <w:p w:rsidR="00336347" w:rsidRDefault="00307A15">
      <w:pPr>
        <w:pStyle w:val="PreformattedText"/>
        <w:spacing w:line="360" w:lineRule="auto"/>
        <w:ind w:right="-18"/>
        <w:jc w:val="both"/>
        <w:rPr>
          <w:rFonts w:ascii="Times New Roman" w:hAnsi="Times New Roman" w:cs="Times New Roman"/>
          <w:bCs/>
          <w:sz w:val="24"/>
          <w:szCs w:val="24"/>
        </w:rPr>
      </w:pPr>
      <w:r>
        <w:rPr>
          <w:rFonts w:ascii="Times New Roman" w:hAnsi="Times New Roman" w:cs="Times New Roman"/>
          <w:bCs/>
          <w:sz w:val="24"/>
          <w:szCs w:val="24"/>
        </w:rPr>
        <w:t xml:space="preserve">Expression of CLL markers was evaluated by flow cytometry on fresh peripheral blood (PB) CLL samples as part of the routine diagnostic procedures for CLL assessment using a </w:t>
      </w:r>
      <w:proofErr w:type="spellStart"/>
      <w:r>
        <w:rPr>
          <w:rFonts w:ascii="Times New Roman" w:hAnsi="Times New Roman" w:cs="Times New Roman"/>
          <w:bCs/>
          <w:sz w:val="24"/>
          <w:szCs w:val="24"/>
        </w:rPr>
        <w:t>FACSCantoII</w:t>
      </w:r>
      <w:proofErr w:type="spellEnd"/>
      <w:r>
        <w:rPr>
          <w:rFonts w:ascii="Times New Roman" w:hAnsi="Times New Roman" w:cs="Times New Roman"/>
          <w:bCs/>
          <w:sz w:val="24"/>
          <w:szCs w:val="24"/>
        </w:rPr>
        <w:t xml:space="preserve"> (BD B</w:t>
      </w:r>
      <w:r>
        <w:rPr>
          <w:rFonts w:ascii="Times New Roman" w:hAnsi="Times New Roman" w:cs="Times New Roman"/>
          <w:bCs/>
          <w:sz w:val="24"/>
          <w:szCs w:val="24"/>
        </w:rPr>
        <w:t>i</w:t>
      </w:r>
      <w:r>
        <w:rPr>
          <w:rFonts w:ascii="Times New Roman" w:hAnsi="Times New Roman" w:cs="Times New Roman"/>
          <w:bCs/>
          <w:sz w:val="24"/>
          <w:szCs w:val="24"/>
        </w:rPr>
        <w:t xml:space="preserve">osciences, La Jolla, CA, USA) flow </w:t>
      </w:r>
      <w:proofErr w:type="spellStart"/>
      <w:r>
        <w:rPr>
          <w:rFonts w:ascii="Times New Roman" w:hAnsi="Times New Roman" w:cs="Times New Roman"/>
          <w:bCs/>
          <w:sz w:val="24"/>
          <w:szCs w:val="24"/>
        </w:rPr>
        <w:t>cytometer</w:t>
      </w:r>
      <w:proofErr w:type="spellEnd"/>
      <w:r>
        <w:rPr>
          <w:rFonts w:ascii="Times New Roman" w:hAnsi="Times New Roman" w:cs="Times New Roman"/>
          <w:bCs/>
          <w:sz w:val="24"/>
          <w:szCs w:val="24"/>
        </w:rPr>
        <w:t xml:space="preserve"> after calibration of the instrument with CS&amp;T beads (BD Biosciences), using the </w:t>
      </w:r>
      <w:proofErr w:type="spellStart"/>
      <w:r>
        <w:rPr>
          <w:rFonts w:ascii="Times New Roman" w:hAnsi="Times New Roman" w:cs="Times New Roman"/>
          <w:bCs/>
          <w:sz w:val="24"/>
          <w:szCs w:val="24"/>
        </w:rPr>
        <w:t>FACSDiva</w:t>
      </w:r>
      <w:proofErr w:type="spellEnd"/>
      <w:r>
        <w:rPr>
          <w:rFonts w:ascii="Times New Roman" w:hAnsi="Times New Roman" w:cs="Times New Roman"/>
          <w:bCs/>
          <w:sz w:val="24"/>
          <w:szCs w:val="24"/>
        </w:rPr>
        <w:t xml:space="preserve"> software (BD Biosciences). The analysis was limited to sa</w:t>
      </w:r>
      <w:r>
        <w:rPr>
          <w:rFonts w:ascii="Times New Roman" w:hAnsi="Times New Roman" w:cs="Times New Roman"/>
          <w:bCs/>
          <w:sz w:val="24"/>
          <w:szCs w:val="24"/>
        </w:rPr>
        <w:t>m</w:t>
      </w:r>
      <w:r>
        <w:rPr>
          <w:rFonts w:ascii="Times New Roman" w:hAnsi="Times New Roman" w:cs="Times New Roman"/>
          <w:bCs/>
          <w:sz w:val="24"/>
          <w:szCs w:val="24"/>
        </w:rPr>
        <w:t>ples collected between August 2015 and August 2018, for which the same panel of antibodies was used, allowing data comparability. The monoclonal antibodies (</w:t>
      </w:r>
      <w:proofErr w:type="spellStart"/>
      <w:r>
        <w:rPr>
          <w:rFonts w:ascii="Times New Roman" w:hAnsi="Times New Roman" w:cs="Times New Roman"/>
          <w:bCs/>
          <w:sz w:val="24"/>
          <w:szCs w:val="24"/>
        </w:rPr>
        <w:t>mAbs</w:t>
      </w:r>
      <w:proofErr w:type="spellEnd"/>
      <w:r>
        <w:rPr>
          <w:rFonts w:ascii="Times New Roman" w:hAnsi="Times New Roman" w:cs="Times New Roman"/>
          <w:bCs/>
          <w:sz w:val="24"/>
          <w:szCs w:val="24"/>
        </w:rPr>
        <w:t>) used were CD19 PerCP-Cy5.5, CD5 FITC, CD43 APC-H7, CD20 PE-Cy7, CD23 APC, CD79b APC (all from BD Biosciences) and surface membrane immunoglobulin (</w:t>
      </w:r>
      <w:proofErr w:type="spellStart"/>
      <w:r>
        <w:rPr>
          <w:rFonts w:ascii="Times New Roman" w:hAnsi="Times New Roman" w:cs="Times New Roman"/>
          <w:bCs/>
          <w:sz w:val="24"/>
          <w:szCs w:val="24"/>
        </w:rPr>
        <w:t>SmIg</w:t>
      </w:r>
      <w:proofErr w:type="spellEnd"/>
      <w:r>
        <w:rPr>
          <w:rFonts w:ascii="Times New Roman" w:hAnsi="Times New Roman" w:cs="Times New Roman"/>
          <w:bCs/>
          <w:sz w:val="24"/>
          <w:szCs w:val="24"/>
        </w:rPr>
        <w:t>) Kappa light chain PE and Lambda FITC (</w:t>
      </w:r>
      <w:proofErr w:type="spellStart"/>
      <w:r>
        <w:rPr>
          <w:rFonts w:ascii="Times New Roman" w:hAnsi="Times New Roman" w:cs="Times New Roman"/>
          <w:bCs/>
          <w:sz w:val="24"/>
          <w:szCs w:val="24"/>
        </w:rPr>
        <w:t>Dako</w:t>
      </w:r>
      <w:proofErr w:type="spellEnd"/>
      <w:r>
        <w:rPr>
          <w:rFonts w:ascii="Times New Roman" w:hAnsi="Times New Roman" w:cs="Times New Roman"/>
          <w:bCs/>
          <w:sz w:val="24"/>
          <w:szCs w:val="24"/>
        </w:rPr>
        <w:t xml:space="preserve">). For all molecules, expression data was collected as mean fluorescence intensity (MFI) in the context of the CD5+CD19+ population with the exception of </w:t>
      </w:r>
      <w:proofErr w:type="spellStart"/>
      <w:r>
        <w:rPr>
          <w:rFonts w:ascii="Times New Roman" w:hAnsi="Times New Roman" w:cs="Times New Roman"/>
          <w:bCs/>
          <w:sz w:val="24"/>
          <w:szCs w:val="24"/>
        </w:rPr>
        <w:t>SmIg</w:t>
      </w:r>
      <w:proofErr w:type="spellEnd"/>
      <w:r>
        <w:rPr>
          <w:rFonts w:ascii="Times New Roman" w:hAnsi="Times New Roman" w:cs="Times New Roman"/>
          <w:bCs/>
          <w:sz w:val="24"/>
          <w:szCs w:val="24"/>
        </w:rPr>
        <w:t xml:space="preserve"> expression which was </w:t>
      </w:r>
      <w:proofErr w:type="spellStart"/>
      <w:r>
        <w:rPr>
          <w:rFonts w:ascii="Times New Roman" w:hAnsi="Times New Roman" w:cs="Times New Roman"/>
          <w:bCs/>
          <w:sz w:val="24"/>
          <w:szCs w:val="24"/>
        </w:rPr>
        <w:t>analysed</w:t>
      </w:r>
      <w:proofErr w:type="spellEnd"/>
      <w:r>
        <w:rPr>
          <w:rFonts w:ascii="Times New Roman" w:hAnsi="Times New Roman" w:cs="Times New Roman"/>
          <w:bCs/>
          <w:sz w:val="24"/>
          <w:szCs w:val="24"/>
        </w:rPr>
        <w:t xml:space="preserve"> in the context of the CD19+ population.</w:t>
      </w:r>
    </w:p>
    <w:p w:rsidR="00336347" w:rsidRDefault="00307A15">
      <w:pPr>
        <w:pStyle w:val="PreformattedText"/>
        <w:spacing w:line="360" w:lineRule="auto"/>
        <w:ind w:right="-18"/>
        <w:jc w:val="both"/>
        <w:rPr>
          <w:rFonts w:ascii="Times New Roman" w:hAnsi="Times New Roman" w:cs="Times New Roman"/>
          <w:b/>
          <w:bCs/>
          <w:sz w:val="24"/>
          <w:szCs w:val="24"/>
        </w:rPr>
      </w:pPr>
      <w:r>
        <w:rPr>
          <w:rFonts w:ascii="Times New Roman" w:hAnsi="Times New Roman" w:cs="Times New Roman"/>
          <w:b/>
          <w:bCs/>
          <w:sz w:val="24"/>
          <w:szCs w:val="24"/>
        </w:rPr>
        <w:t xml:space="preserve">IGHV sequencing </w:t>
      </w:r>
    </w:p>
    <w:p w:rsidR="00336347" w:rsidRDefault="00307A15">
      <w:pPr>
        <w:pStyle w:val="PreformattedText"/>
        <w:spacing w:line="360" w:lineRule="auto"/>
        <w:ind w:right="-18"/>
        <w:jc w:val="both"/>
        <w:rPr>
          <w:rFonts w:ascii="Times New Roman" w:hAnsi="Times New Roman" w:cs="Times New Roman"/>
          <w:sz w:val="24"/>
          <w:szCs w:val="24"/>
        </w:rPr>
      </w:pPr>
      <w:r>
        <w:rPr>
          <w:rFonts w:ascii="Times New Roman" w:hAnsi="Times New Roman" w:cs="Times New Roman"/>
          <w:sz w:val="24"/>
          <w:szCs w:val="24"/>
        </w:rPr>
        <w:t xml:space="preserve">DNA and RNA of CLL cases were obtained from fresh </w:t>
      </w:r>
      <w:proofErr w:type="spellStart"/>
      <w:r>
        <w:rPr>
          <w:rFonts w:ascii="Times New Roman" w:hAnsi="Times New Roman" w:cs="Times New Roman"/>
          <w:sz w:val="24"/>
          <w:szCs w:val="24"/>
        </w:rPr>
        <w:t>buffy</w:t>
      </w:r>
      <w:proofErr w:type="spellEnd"/>
      <w:r>
        <w:rPr>
          <w:rFonts w:ascii="Times New Roman" w:hAnsi="Times New Roman" w:cs="Times New Roman"/>
          <w:sz w:val="24"/>
          <w:szCs w:val="24"/>
        </w:rPr>
        <w:t xml:space="preserve"> coats following commercially available extraction protocols (</w:t>
      </w:r>
      <w:proofErr w:type="spellStart"/>
      <w:r>
        <w:rPr>
          <w:rFonts w:ascii="Times New Roman" w:hAnsi="Times New Roman" w:cs="Times New Roman"/>
          <w:sz w:val="24"/>
          <w:szCs w:val="24"/>
        </w:rPr>
        <w:t>NucleoSpin</w:t>
      </w:r>
      <w:proofErr w:type="spellEnd"/>
      <w:r>
        <w:rPr>
          <w:rFonts w:ascii="Times New Roman" w:hAnsi="Times New Roman" w:cs="Times New Roman"/>
          <w:sz w:val="24"/>
          <w:szCs w:val="24"/>
        </w:rPr>
        <w:t xml:space="preserve"> Blood kit, </w:t>
      </w:r>
      <w:proofErr w:type="spellStart"/>
      <w:r>
        <w:rPr>
          <w:rFonts w:ascii="Times New Roman" w:hAnsi="Times New Roman" w:cs="Times New Roman"/>
          <w:sz w:val="24"/>
          <w:szCs w:val="24"/>
        </w:rPr>
        <w:t>Macherey</w:t>
      </w:r>
      <w:proofErr w:type="spellEnd"/>
      <w:r>
        <w:rPr>
          <w:rFonts w:ascii="Times New Roman" w:hAnsi="Times New Roman" w:cs="Times New Roman"/>
          <w:sz w:val="24"/>
          <w:szCs w:val="24"/>
        </w:rPr>
        <w:t xml:space="preserve">-Nagel for DNA and </w:t>
      </w:r>
      <w:proofErr w:type="spellStart"/>
      <w:r>
        <w:rPr>
          <w:rFonts w:ascii="Times New Roman" w:hAnsi="Times New Roman" w:cs="Times New Roman"/>
          <w:sz w:val="24"/>
          <w:szCs w:val="24"/>
        </w:rPr>
        <w:t>Trizol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ThermoFischer</w:t>
      </w:r>
      <w:proofErr w:type="spellEnd"/>
      <w:r>
        <w:rPr>
          <w:rFonts w:ascii="Times New Roman" w:hAnsi="Times New Roman" w:cs="Times New Roman"/>
          <w:sz w:val="24"/>
          <w:szCs w:val="24"/>
        </w:rPr>
        <w:t xml:space="preserve"> for RNA) according to manufacturer instructions. Total RNA (500 </w:t>
      </w:r>
      <w:proofErr w:type="spellStart"/>
      <w:r>
        <w:rPr>
          <w:rFonts w:ascii="Times New Roman" w:hAnsi="Times New Roman" w:cs="Times New Roman"/>
          <w:sz w:val="24"/>
          <w:szCs w:val="24"/>
        </w:rPr>
        <w:t>ng</w:t>
      </w:r>
      <w:proofErr w:type="spellEnd"/>
      <w:r>
        <w:rPr>
          <w:rFonts w:ascii="Times New Roman" w:hAnsi="Times New Roman" w:cs="Times New Roman"/>
          <w:sz w:val="24"/>
          <w:szCs w:val="24"/>
        </w:rPr>
        <w:t xml:space="preserve">) was retro-transcribed with the </w:t>
      </w:r>
      <w:proofErr w:type="spellStart"/>
      <w:r>
        <w:rPr>
          <w:rFonts w:ascii="Times New Roman" w:hAnsi="Times New Roman" w:cs="Times New Roman"/>
          <w:sz w:val="24"/>
          <w:szCs w:val="24"/>
        </w:rPr>
        <w:t>Improm</w:t>
      </w:r>
      <w:proofErr w:type="spellEnd"/>
      <w:r>
        <w:rPr>
          <w:rFonts w:ascii="Times New Roman" w:hAnsi="Times New Roman" w:cs="Times New Roman"/>
          <w:sz w:val="24"/>
          <w:szCs w:val="24"/>
        </w:rPr>
        <w:t>-II Reverse Transcription System (</w:t>
      </w:r>
      <w:proofErr w:type="spellStart"/>
      <w:r>
        <w:rPr>
          <w:rFonts w:ascii="Times New Roman" w:hAnsi="Times New Roman" w:cs="Times New Roman"/>
          <w:sz w:val="24"/>
          <w:szCs w:val="24"/>
        </w:rPr>
        <w:t>Promega</w:t>
      </w:r>
      <w:proofErr w:type="spellEnd"/>
      <w:r>
        <w:rPr>
          <w:rFonts w:ascii="Times New Roman" w:hAnsi="Times New Roman" w:cs="Times New Roman"/>
          <w:sz w:val="24"/>
          <w:szCs w:val="24"/>
        </w:rPr>
        <w:t xml:space="preserve">) using </w:t>
      </w:r>
      <w:proofErr w:type="spellStart"/>
      <w:r>
        <w:rPr>
          <w:rFonts w:ascii="Times New Roman" w:hAnsi="Times New Roman" w:cs="Times New Roman"/>
          <w:sz w:val="24"/>
          <w:szCs w:val="24"/>
        </w:rPr>
        <w:t>polyT</w:t>
      </w:r>
      <w:proofErr w:type="spellEnd"/>
      <w:r>
        <w:rPr>
          <w:rFonts w:ascii="Times New Roman" w:hAnsi="Times New Roman" w:cs="Times New Roman"/>
          <w:sz w:val="24"/>
          <w:szCs w:val="24"/>
        </w:rPr>
        <w:t>-specific primers following manufa</w:t>
      </w:r>
      <w:r>
        <w:rPr>
          <w:rFonts w:ascii="Times New Roman" w:hAnsi="Times New Roman" w:cs="Times New Roman"/>
          <w:sz w:val="24"/>
          <w:szCs w:val="24"/>
        </w:rPr>
        <w:t>c</w:t>
      </w:r>
      <w:r>
        <w:rPr>
          <w:rFonts w:ascii="Times New Roman" w:hAnsi="Times New Roman" w:cs="Times New Roman"/>
          <w:sz w:val="24"/>
          <w:szCs w:val="24"/>
        </w:rPr>
        <w:t>turer instructions. Sequencing analysis of IGHV was performed on either genomic DNA or compl</w:t>
      </w:r>
      <w:r>
        <w:rPr>
          <w:rFonts w:ascii="Times New Roman" w:hAnsi="Times New Roman" w:cs="Times New Roman"/>
          <w:sz w:val="24"/>
          <w:szCs w:val="24"/>
        </w:rPr>
        <w:t>e</w:t>
      </w:r>
      <w:r>
        <w:rPr>
          <w:rFonts w:ascii="Times New Roman" w:hAnsi="Times New Roman" w:cs="Times New Roman"/>
          <w:sz w:val="24"/>
          <w:szCs w:val="24"/>
        </w:rPr>
        <w:t>mentary DNA (</w:t>
      </w:r>
      <w:proofErr w:type="spellStart"/>
      <w:r>
        <w:rPr>
          <w:rFonts w:ascii="Times New Roman" w:hAnsi="Times New Roman" w:cs="Times New Roman"/>
          <w:sz w:val="24"/>
          <w:szCs w:val="24"/>
        </w:rPr>
        <w:t>cDNA</w:t>
      </w:r>
      <w:proofErr w:type="spellEnd"/>
      <w:r>
        <w:rPr>
          <w:rFonts w:ascii="Times New Roman" w:hAnsi="Times New Roman" w:cs="Times New Roman"/>
          <w:sz w:val="24"/>
          <w:szCs w:val="24"/>
        </w:rPr>
        <w:t>) using consensus primers for the IGHV leader or the IGHV FR1 regions in co</w:t>
      </w:r>
      <w:r>
        <w:rPr>
          <w:rFonts w:ascii="Times New Roman" w:hAnsi="Times New Roman" w:cs="Times New Roman"/>
          <w:sz w:val="24"/>
          <w:szCs w:val="24"/>
        </w:rPr>
        <w:t>n</w:t>
      </w:r>
      <w:r>
        <w:rPr>
          <w:rFonts w:ascii="Times New Roman" w:hAnsi="Times New Roman" w:cs="Times New Roman"/>
          <w:sz w:val="24"/>
          <w:szCs w:val="24"/>
        </w:rPr>
        <w:t xml:space="preserve">junction with JH primers, according to </w:t>
      </w:r>
      <w:proofErr w:type="spellStart"/>
      <w:r>
        <w:rPr>
          <w:rFonts w:ascii="Times New Roman" w:hAnsi="Times New Roman" w:cs="Times New Roman"/>
          <w:sz w:val="24"/>
          <w:szCs w:val="24"/>
        </w:rPr>
        <w:t>LymphoTrack</w:t>
      </w:r>
      <w:proofErr w:type="spellEnd"/>
      <w:r>
        <w:rPr>
          <w:rFonts w:ascii="Times New Roman" w:hAnsi="Times New Roman" w:cs="Times New Roman"/>
          <w:sz w:val="24"/>
          <w:szCs w:val="24"/>
        </w:rPr>
        <w:t xml:space="preserve"> IGHV Leader or IGHV FR1 assays (</w:t>
      </w:r>
      <w:proofErr w:type="spellStart"/>
      <w:r>
        <w:rPr>
          <w:rFonts w:ascii="Times New Roman" w:hAnsi="Times New Roman" w:cs="Times New Roman"/>
          <w:sz w:val="24"/>
          <w:szCs w:val="24"/>
        </w:rPr>
        <w:t>Invivoscribe</w:t>
      </w:r>
      <w:proofErr w:type="spellEnd"/>
      <w:r>
        <w:rPr>
          <w:rFonts w:ascii="Times New Roman" w:hAnsi="Times New Roman" w:cs="Times New Roman"/>
          <w:sz w:val="24"/>
          <w:szCs w:val="24"/>
        </w:rPr>
        <w:t>), as previously reported.</w:t>
      </w:r>
      <w:r w:rsidR="001F5AA7" w:rsidRPr="001F5AA7">
        <w:fldChar w:fldCharType="begin"/>
      </w:r>
      <w:r>
        <w:rPr>
          <w:rFonts w:ascii="Times New Roman" w:hAnsi="Times New Roman" w:cs="Times New Roman"/>
          <w:sz w:val="24"/>
          <w:szCs w:val="24"/>
        </w:rPr>
        <w:instrText>ADDIN CSL_CITATION {"citationItems":[{"id":"ITEM-1","itemData":{"DOI":"10.1182/bloodadvances.2021005081","ISSN":"24739537","PMID":"34614504","abstract":"We previously reported that t(14;18)-negative follicular lymphomas (FL) show a clear reduction of newly acquired N-glycosylation sites (NANGS) in immunoglobulin genes. We therefore aimed to investigate in-depth the occurrence of NANGS in a larger cohort of t(14;18)-positive and t(14;18)-negative FL, including early (I/II) and advanced (III/IV) stage treatment-naive and relapsed tumors. The clonotype was determined by using a nextgeneration sequencing approach in a series of 68 FL with fresh frozen material [36 t(14;18) positive and 32 t(14;18) negative]. The frequency of NANGS differed considerably between t(14;18)-positive and t(14;18)-negative FL stage III/IV, but no difference was observed among t(14;18)-positive and t(14;18)-negative FL stage I/II. The introduction of NANGS in all t(14;18)- negative clinical subgroups occurred significantly more often in the FR3 region. Moreover, t(14;18)-negative treatment-naive FL, specifically those with NANGS, showed a strong bias for IGHV4-34 usage compared with t(14;18)-positive treatment-naive cases with NANGS; IGHV4-34 usage was never recorded in relapsed FL. In conclusion, subgroups of t(14;18)- negative FL might use different mechanisms of B-cell receptor stimulation compared with the lectin-mediated binding described in t(14;18)-positive FL, including responsiveness to autoantigens as indicated by biased IGHV4-34 usage and strong NANGS enrichment in FR3.","author":[{"dropping-particle":"","family":"Leich","given":"Ellen","non-dropping-particle":"","parse-names":false,"suffix":""},{"dropping-particle":"","family":"Maier","given":"Claudia","non-dropping-particle":"","parse-names":false,"suffix":""},{"dropping-particle":"","family":"Bomben","given":"Riccardo","non-dropping-particle":"","parse-names":false,"suffix":""},{"dropping-particle":"","family":"Vit","given":"Filippo","non-dropping-particle":"","parse-names":false,"suffix":""},{"dropping-particle":"","family":"Bosi","given":"Alessandro","non-dropping-particle":"","parse-names":false,"suffix":""},{"dropping-particle":"","family":"Horn","given":"Heike","non-dropping-particle":"","parse-names":false,"suffix":""},{"dropping-particle":"","family":"Gattei","given":"Valter","non-dropping-particle":"","parse-names":false,"suffix":""},{"dropping-particle":"","family":"Ott","given":"German","non-dropping-particle":"","parse-names":false,"suffix":""},{"dropping-particle":"","family":"Rosenwald","given":"Andreas","non-dropping-particle":"","parse-names":false,"suffix":""},{"dropping-particle":"","family":"Zamó","given":"Alberto","non-dropping-particle":"","parse-names":false,"suffix":""}],"container-title":"Blood Advances","id":"ITEM-1","issue":"23","issued":{"date-parts":[["2021"]]},"page":"4890-4900","title":"Follicular lymphoma subgroups with and without t(14;18) differ in their N-glycosylation pattern and IGHV usage","type":"article-journal","volume":"5"},"uris":["http://www.mendeley.com/documents/?uuid=616daa55-6065-4882-9a5b-e914425b656d"]}],"mendeley":{"formattedCitation":"&lt;sup&gt;1&lt;/sup&gt;","plainTextFormattedCitation":"1","previouslyFormattedCitation":"&lt;sup&gt;1&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sz w:val="24"/>
          <w:szCs w:val="24"/>
          <w:vertAlign w:val="superscript"/>
        </w:rPr>
        <w:t>1</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Sequences were analyzed using the IMGT databases and the IMGT/V-QUEST tool (</w:t>
      </w:r>
      <w:hyperlink r:id="rId12" w:tooltip="http://imgt.org/" w:history="1">
        <w:r>
          <w:rPr>
            <w:rStyle w:val="Collegamentoipertestuale"/>
            <w:rFonts w:ascii="Times New Roman" w:hAnsi="Times New Roman" w:cs="Times New Roman"/>
            <w:sz w:val="24"/>
            <w:szCs w:val="24"/>
          </w:rPr>
          <w:t>http://imgt.org/</w:t>
        </w:r>
      </w:hyperlink>
      <w:r>
        <w:rPr>
          <w:rFonts w:ascii="Times New Roman" w:hAnsi="Times New Roman" w:cs="Times New Roman"/>
          <w:sz w:val="24"/>
          <w:szCs w:val="24"/>
        </w:rPr>
        <w:t xml:space="preserve">, version 3.2.17, </w:t>
      </w:r>
      <w:proofErr w:type="spellStart"/>
      <w:r>
        <w:rPr>
          <w:rFonts w:ascii="Times New Roman" w:hAnsi="Times New Roman" w:cs="Times New Roman"/>
          <w:sz w:val="24"/>
          <w:szCs w:val="24"/>
        </w:rPr>
        <w:t>Université</w:t>
      </w:r>
      <w:proofErr w:type="spellEnd"/>
      <w:r>
        <w:rPr>
          <w:rFonts w:ascii="Times New Roman" w:hAnsi="Times New Roman" w:cs="Times New Roman"/>
          <w:sz w:val="24"/>
          <w:szCs w:val="24"/>
        </w:rPr>
        <w:t xml:space="preserve"> Montpellier 2, CNRS, LIGM, Mon</w:t>
      </w:r>
      <w:r>
        <w:rPr>
          <w:rFonts w:ascii="Times New Roman" w:hAnsi="Times New Roman" w:cs="Times New Roman"/>
          <w:sz w:val="24"/>
          <w:szCs w:val="24"/>
        </w:rPr>
        <w:t>t</w:t>
      </w:r>
      <w:r>
        <w:rPr>
          <w:rFonts w:ascii="Times New Roman" w:hAnsi="Times New Roman" w:cs="Times New Roman"/>
          <w:sz w:val="24"/>
          <w:szCs w:val="24"/>
        </w:rPr>
        <w:t>pellier, France).</w:t>
      </w:r>
      <w:r w:rsidR="001F5AA7" w:rsidRPr="001F5AA7">
        <w:fldChar w:fldCharType="begin"/>
      </w:r>
      <w:r>
        <w:rPr>
          <w:rFonts w:ascii="Times New Roman" w:hAnsi="Times New Roman" w:cs="Times New Roman"/>
          <w:sz w:val="24"/>
          <w:szCs w:val="24"/>
        </w:rPr>
        <w:instrText>ADDIN CSL_CITATION {"citationItems":[{"id":"ITEM-1","itemData":{"DOI":"10.1093/nar/gku1056","ISSN":"1362-4962","PMID":"25378316","abstract":"IMGT(®), the international ImMunoGeneTics information system(®)(http://www.imgt.org) is the global reference in immunogenetics and immunoinformatics. By its creation in 1989 by Marie-Paule Lefranc (Université de Montpellier and CNRS), IMGT(®) marked the advent of immunoinformatics, which emerged at the interface between immunogenetics and bioinformatics. IMGT(®) is specialized in the immunoglobulins (IG) or antibodies, T cell receptors (TR), major histocompatibility (MH) and proteins of the IgSF and MhSF superfamilies. IMGT(®) is built on the IMGT-ONTOLOGY axioms and concepts, which bridged the gap between genes, sequences and 3D structures. The concepts include the IMGT(®) standardized keywords (identification), IMGT(®) standardized labels (description), IMGT(®) standardized nomenclature (classification), IMGT unique numbering and IMGT Colliers de Perles (numerotation). IMGT(®) comprises 7 databases, 17 online tools and 15,000 pages of web resources, and provides a high-quality and integrated system for analysis of the genomic and expressed IG and TR repertoire of the adaptive immune responses, including NGS high-throughput data. Tools and databases are used in basic, veterinary and medical research, in clinical applications (mutation analysis in leukemia and lymphoma) and in antibody engineering and humanization. The IMGT/mAb-DB interface was developed for therapeutic antibodies and fusion proteins for immunological applications (FPIA). IMGT(®) is freely available at http://www.imgt.org.","author":[{"dropping-particle":"","family":"Lefranc","given":"Marie-Paule","non-dropping-particle":"","parse-names":false,"suffix":""},{"dropping-particle":"","family":"Giudicelli","given":"Véronique","non-dropping-particle":"","parse-names":false,"suffix":""},{"dropping-particle":"","family":"Duroux","given":"Patrice","non-dropping-particle":"","parse-names":false,"suffix":""},{"dropping-particle":"","family":"Jabado-Michaloud","given":"Joumana","non-dropping-particle":"","parse-names":false,"suffix":""},{"dropping-particle":"","family":"Folch","given":"Géraldine","non-dropping-particle":"","parse-names":false,"suffix":""},{"dropping-particle":"","family":"Aouinti","given":"Safa","non-dropping-particle":"","parse-names":false,"suffix":""},{"dropping-particle":"","family":"Carillon","given":"Emilie","non-dropping-particle":"","parse-names":false,"suffix":""},{"dropping-particle":"","family":"Duvergey","given":"Hugo","non-dropping-particle":"","parse-names":false,"suffix":""},{"dropping-particle":"","family":"Houles","given":"Amélie","non-dropping-particle":"","parse-names":false,"suffix":""},{"dropping-particle":"","family":"Paysan-Lafosse","given":"Typhaine","non-dropping-particle":"","parse-names":false,"suffix":""},{"dropping-particle":"","family":"Hadi-Saljoqi","given":"Saida","non-dropping-particle":"","parse-names":false,"suffix":""},{"dropping-particle":"","family":"Sasorith","given":"Souphatta","non-dropping-particle":"","parse-names":false,"suffix":""},{"dropping-particle":"","family":"Lefranc","given":"Gérard","non-dropping-particle":"","parse-names":false,"suffix":""},{"dropping-particle":"","family":"Kossida","given":"Sofia","non-dropping-particle":"","parse-names":false,"suffix":""}],"container-title":"Nucleic acids research","id":"ITEM-1","issue":"Database issue","issued":{"date-parts":[["2015","1"]]},"page":"D413-22","title":"IMGT®, the international ImMunoGeneTics information system® 25 years on.","type":"article-journal","volume":"43"},"uris":["http://www.mendeley.com/documents/?uuid=203fb4a2-5dd2-3d41-be54-0ceba935682b"]}],"mendeley":{"formattedCitation":"&lt;sup&gt;2&lt;/sup&gt;","plainTextFormattedCitation":"2","previouslyFormattedCitation":"&lt;sup&gt;2&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sz w:val="24"/>
          <w:szCs w:val="24"/>
          <w:vertAlign w:val="superscript"/>
        </w:rPr>
        <w:t>2</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Sequences with ≥98% identity to the germline were considered U-IGHV; sequences with &lt;98% identity to the germline were considered M-IGHV.</w:t>
      </w:r>
      <w:r w:rsidR="001F5AA7" w:rsidRPr="001F5AA7">
        <w:fldChar w:fldCharType="begin"/>
      </w:r>
      <w:r>
        <w:rPr>
          <w:rFonts w:ascii="Times New Roman" w:hAnsi="Times New Roman" w:cs="Times New Roman"/>
          <w:sz w:val="24"/>
          <w:szCs w:val="24"/>
        </w:rPr>
        <w:instrText>ADDIN CSL_CITATION {"citationItems":[{"id":"ITEM-1","itemData":{"DOI":"10.1038/leu.2013.331","ISSN":"0887-6924","PMID":"24202404","author":[{"dropping-particle":"","family":"Rossi","given":"F M","non-dropping-particle":"","parse-names":false,"suffix":""},{"dropping-particle":"","family":"Zucchetto","given":"A.","non-dropping-particle":"","parse-names":false,"suffix":""},{"dropping-particle":"","family":"Tissino","given":"E.","non-dropping-particle":"","parse-names":false,"suffix":""},{"dropping-particle":"","family":"Dal Bo","given":"M.","non-dropping-particle":"","parse-names":false,"suffix":""},{"dropping-particle":"","family":"Bomben","given":"R.","non-dropping-particle":"","parse-names":false,"suffix":""},{"dropping-particle":"","family":"Caldana","given":"C.","non-dropping-particle":"","parse-names":false,"suffix":""},{"dropping-particle":"","family":"Pozzo","given":"F.","non-dropping-particle":"","parse-names":false,"suffix":""},{"dropping-particle":"","family":"Poeta","given":"G.","non-dropping-particle":"Del","parse-names":false,"suffix":""},{"dropping-particle":"","family":"Rossi","given":"D.","non-dropping-particle":"","parse-names":false,"suffix":""},{"dropping-particle":"","family":"Gaidano","given":"G.","non-dropping-particle":"","parse-names":false,"suffix":""},{"dropping-particle":"","family":"Gattei","given":"V.","non-dropping-particle":"","parse-names":false,"suffix":""}],"container-title":"Leukemia","id":"ITEM-1","issue":"3","issued":{"date-parts":[["2014","3","8"]]},"page":"705-708","title":"CD49d expression identifies a chronic-lymphocytic leukemia subset with high levels of mobilized circulating CD34+ hemopoietic progenitors cells","type":"article-journal","volume":"28"},"uris":["http://www.mendeley.com/documents/?uuid=9038f830-dded-3464-b503-125d22632a25"]},{"id":"ITEM-2","itemData":{"DOI":"10.1111/bjh.14843","ISSN":"00071048","PMID":"28699643","author":[{"dropping-particle":"","family":"D'Agaro","given":"Tiziana","non-dropping-particle":"","parse-names":false,"suffix":""},{"dropping-particle":"","family":"Bittolo","given":"Tamara","non-dropping-particle":"","parse-names":false,"suffix":""},{"dropping-particle":"","family":"Bravin","given":"Vanessa","non-dropping-particle":"","parse-names":false,"suffix":""},{"dropping-particle":"","family":"Dal Bo","given":"Michele","non-dropping-particle":"","parse-names":false,"suffix":""},{"dropping-particle":"","family":"Pozzo","given":"Federico","non-dropping-particle":"","parse-names":false,"suffix":""},{"dropping-particle":"","family":"Bulian","given":"Pietro","non-dropping-particle":"","parse-names":false,"suffix":""},{"dropping-particle":"","family":"Rossi","given":"Francesca M.","non-dropping-particle":"","parse-names":false,"suffix":""},{"dropping-particle":"","family":"Zucchetto","given":"Antonella","non-dropping-particle":"","parse-names":false,"suffix":""},{"dropping-particle":"","family":"Degan","given":"Massimo","non-dropping-particle":"","parse-names":false,"suffix":""},{"dropping-particle":"","family":"D'Arena","given":"Giovanni","non-dropping-particle":"","parse-names":false,"suffix":""},{"dropping-particle":"","family":"Chiarenza","given":"Annalisa","non-dropping-particle":"","parse-names":false,"suffix":""},{"dropping-particle":"","family":"Zaja","given":"Francesco","non-dropping-particle":"","parse-names":false,"suffix":""},{"dropping-particle":"","family":"Pozzato","given":"Gabriele","non-dropping-particle":"","parse-names":false,"suffix":""},{"dropping-particle":"","family":"Raimondo","given":"Francesco","non-dropping-particle":"Di","parse-names":false,"suffix":""},{"dropping-particle":"","family":"Rossi","given":"Davide","non-dropping-particle":"","parse-names":false,"suffix":""},{"dropping-particle":"","family":"Gaidano","given":"Gianluca","non-dropping-particle":"","parse-names":false,"suffix":""},{"dropping-particle":"","family":"Poeta","given":"Giovanni","non-dropping-particle":"Del","parse-names":false,"suffix":""},{"dropping-particle":"","family":"Gattei","given":"Valter","non-dropping-particle":"","parse-names":false,"suffix":""},{"dropping-particle":"","family":"Bomben","given":"Riccardo","non-dropping-particle":"","parse-names":false,"suffix":""}],"container-title":"British Journal of Haematology","id":"ITEM-2","issue":"4","issued":{"date-parts":[["2018","8"]]},"page":"597-602","title":"NOTCH1 mutational status in chronic lymphocytic leukaemia: clinical relevance of subclonal mutations and mutation types","type":"article-journal","volume":"182"},"uris":["http://www.mendeley.com/documents/?uuid=c29ddc00-8685-4c65-bc93-fbbaafc035d3"]},{"id":"ITEM-3","itemData":{"DOI":"10.1182/blood-2007-05-092486","ISSN":"0006-4971","PMID":"17959854","abstract":"CD49d/alpha4-integrin is variably expressed in chronic lymphocytic leukemia (CLL). We evaluated its relevance as independent prognosticator for overall survival and time to treatment (TTT) in a series of 303 (232 for TTT) CLLs, in comparison with other biologic or clinical prognosticators (CD38, ZAP-70, immunoglobulin variable heavy chain (IGHV) gene status, cytogenetic abnormalities, soluble CD23, beta2-microglobulin, Rai staging). Flow cytometric detection of CD49d was stable and reproducible, and the chosen cut-off (30% CLL cells) easily discriminated CD49dlow from CD49dhigh cases. CD49d, whose expression was strongly associated with that of CD38 (P&lt;.001) and ZAP-70 (P&lt;.001), or with IGHV mutations (P&lt;.001), was independent prognosticator for overall survival along with IGHV mutational status (CD49d hazard ratio, HRCD49d=3.52, P=.02; HRIGHV=6.53, P&lt;.001) or, if this parameter was omitted, with ZAP-70 (HRCD49d=3.72, P=.002; HRZAP-70=3.32, P=.009). CD49d was also a prognosticator for TTT (HR=1.74, P=.007) and refined the impact of all the other factors. Notably, a CD49dhigh phenotype, although not changing the outcome of good prognosis (ZAP-70low, mutated IGHV) CLL, was necessary to correctly prognosticate the shorter TTT of ZAP-70high (HR=3.12; P=.023) or unmutated IGHV (HR=2.95; P=.002) cases. These findings support the introduction of CD49d detection in routine prognostic assessment of CLL patients, and suggest both pathogenetic and therapeutic implications for CD49d expression in CLL.","author":[{"dropping-particle":"","family":"Gattei","given":"Valter","non-dropping-particle":"","parse-names":false,"suffix":""},{"dropping-particle":"","family":"Bulian","given":"Pietro","non-dropping-particle":"","parse-names":false,"suffix":""},{"dropping-particle":"","family":"Principe","given":"Maria Ilaria","non-dropping-particle":"Del","parse-names":false,"suffix":""},{"dropping-particle":"","family":"Zucchetto","given":"Antonella","non-dropping-particle":"","parse-names":false,"suffix":""},{"dropping-particle":"","family":"Maurillo","given":"Luca","non-dropping-particle":"","parse-names":false,"suffix":""},{"dropping-particle":"","family":"Buccisano","given":"Francesco","non-dropping-particle":"","parse-names":false,"suffix":""},{"dropping-particle":"","family":"Bomben","given":"Riccardo","non-dropping-particle":"","parse-names":false,"suffix":""},{"dropping-particle":"","family":"Dal-Bo","given":"Michele","non-dropping-particle":"","parse-names":false,"suffix":""},{"dropping-particle":"","family":"Luciano","given":"Fabrizio","non-dropping-particle":"","parse-names":false,"suffix":""},{"dropping-particle":"","family":"Rossi","given":"Francesca M.","non-dropping-particle":"","parse-names":false,"suffix":""},{"dropping-particle":"","family":"Degan","given":"Massimo","non-dropping-particle":"","parse-names":false,"suffix":""},{"dropping-particle":"","family":"Amadori","given":"Sergio","non-dropping-particle":"","parse-names":false,"suffix":""},{"dropping-particle":"","family":"Poeta","given":"Giovanni","non-dropping-particle":"Del","parse-names":false,"suffix":""}],"container-title":"Blood","id":"ITEM-3","issue":"2","issued":{"date-parts":[["2008","1","15"]]},"page":"865-73","title":"Relevance of CD49d protein expression as overall survival and progressive disease prognosticator in chronic lymphocytic leukemia.","type":"article-journal","volume":"111"},"uris":["http://www.mendeley.com/documents/?uuid=e1f5a7d6-349c-444b-b204-8039f7b2dafa"]},{"id":"ITEM-4","itemData":{"DOI":"10.1038/leu.2016.88","ISSN":"0887-6924","PMID":"27109509","abstract":"CD49d, the alpha-chain of the integrin heterodimer α4β1, was identified among the strongest predictors of overall survival (OS) in chronic lymphocytic leukemia (CLL), along with IGHV mutational status and deletion of the 17p chromosome involving TP53. In addition to TP53, the clinical relevance of NOTCH1, SF3B1 and BIRC3 gene mutations has been recently emphasized. By analyzing a cohort of 778 unselected CLL patients, we assessed the clinical relevance of CD49d as an OS predictor in subgroups defined by mutation/deletion of the TP53, NOTCH1, SF3B1 and BIRC3 genes. In this context, CD49d emerged as an independent predictor of OS in multivariate Cox analysis (Hazard ratio =1.88, P&lt;0.0001). Consistently, high CD49d expression identified CLL subsets with inferior OS in the context of each category of a previously reported hierarchical risk stratification model. Moreover, by evaluating the relative importance of biological prognosticators by random survival forests, CD49d was selected among the top-ranked OS predictor (variable importance =0.0410), along with IGHV mutational status and TP53 abnormalities. These results confirmed CD49d as an independent negative OS prognosticator in CLL also in comprehensive models comprising the novel recurrent mutations. In this context, TP53 disruption and NOTCH1 mutations retained prognostic relevance, in keeping with their roles in CLL cell immuno-chemoresistance.","author":[{"dropping-particle":"","family":"Dal Bo","given":"M.","non-dropping-particle":"","parse-names":false,"suffix":""},{"dropping-particle":"","family":"Bulian","given":"P.","non-dropping-particle":"","parse-names":false,"suffix":""},{"dropping-particle":"","family":"Bomben","given":"R.","non-dropping-particle":"","parse-names":false,"suffix":""},{"dropping-particle":"","family":"Zucchetto","given":"A.","non-dropping-particle":"","parse-names":false,"suffix":""},{"dropping-particle":"","family":"Rossi","given":"F M","non-dropping-particle":"","parse-names":false,"suffix":""},{"dropping-particle":"","family":"Pozzo","given":"F.","non-dropping-particle":"","parse-names":false,"suffix":""},{"dropping-particle":"","family":"Tissino","given":"E.","non-dropping-particle":"","parse-names":false,"suffix":""},{"dropping-particle":"","family":"Benedetti","given":"D.","non-dropping-particle":"","parse-names":false,"suffix":""},{"dropping-particle":"","family":"Bittolo","given":"T.","non-dropping-particle":"","parse-names":false,"suffix":""},{"dropping-particle":"","family":"Nanni","given":"P.","non-dropping-particle":"","parse-names":false,"suffix":""},{"dropping-particle":"","family":"Cattarossi","given":"I.","non-dropping-particle":"","parse-names":false,"suffix":""},{"dropping-particle":"","family":"Zaina","given":"E.","non-dropping-particle":"","parse-names":false,"suffix":""},{"dropping-particle":"","family":"Chivilò","given":"H.","non-dropping-particle":"","parse-names":false,"suffix":""},{"dropping-particle":"","family":"Degan","given":"M.","non-dropping-particle":"","parse-names":false,"suffix":""},{"dropping-particle":"","family":"Zaja","given":"F.","non-dropping-particle":"","parse-names":false,"suffix":""},{"dropping-particle":"","family":"Pozzato","given":"G.","non-dropping-particle":"","parse-names":false,"suffix":""},{"dropping-particle":"","family":"Chiarenza","given":"A.","non-dropping-particle":"","parse-names":false,"suffix":""},{"dropping-particle":"","family":"Raimondo","given":"F.","non-dropping-particle":"Di","parse-names":false,"suffix":""},{"dropping-particle":"","family":"Principe","given":"M I","non-dropping-particle":"Del","parse-names":false,"suffix":""},{"dropping-particle":"","family":"Poeta","given":"G.","non-dropping-particle":"Del","parse-names":false,"suffix":""},{"dropping-particle":"","family":"Rossi","given":"D.","non-dropping-particle":"","parse-names":false,"suffix":""},{"dropping-particle":"","family":"Gaidano","given":"G.","non-dropping-particle":"","parse-names":false,"suffix":""},{"dropping-particle":"","family":"Gattei","given":"V.","non-dropping-particle":"","parse-names":false,"suffix":""}],"container-title":"Leukemia","id":"ITEM-4","issue":"10","issued":{"date-parts":[["2016","10","25"]]},"page":"2011-2018","title":"CD49d prevails over the novel recurrent mutations as independent prognosticator of overall survival in chronic lymphocytic leukemia","type":"article-journal","volume":"30"},"uris":["http://www.mendeley.com/documents/?uuid=3e0679db-b3ae-3dc9-98c4-479620af605a"]},{"id":"ITEM-5","itemData":{"DOI":"10.1084/jem.20171288","ISSN":"1540-9538","PMID":"29301866","abstract":"The Bruton's tyrosine kinase (BTK) inhibitor ibrutinib, which antagonizes B cell receptor (BCR) signals, demonstrates remarkable clinical activity in chronic lymphocytic leukemia (CLL). The lymphocytosis experienced by most patients under ibrutinib has previously been attributed to inhibition of BTK-dependent integrin and chemokine cues operating to retain the tumor cells in nodal compartments. Here, we show that the VLA-4 integrin, as expressed by CD49d-positive CLL, can be inside-out activated upon BCR triggering, thus reinforcing the adhesive capacities of CLL cells. In vitro and in vivo ibrutinib treatment, although reducing the constitutive VLA-4 activation and cell adhesion, can be overcome by exogenous BCR triggering in a BTK-independent manner involving PI3K. Clinically, in three independent ibrutinib-treated CLL cohorts, CD49d expression identifies cases with reduced lymphocytosis and inferior nodal response and behaves as independent predictor of shorter progression-free survival, suggesting the retention of CD49d-expressing CLL cells in tissue sites via activated VLA-4. Evaluation of CD49d expression should be incorporated in the characterization of CLL undergoing therapy with BCR inhibitors.","author":[{"dropping-particle":"","family":"Tissino","given":"Erika","non-dropping-particle":"","parse-names":false,"suffix":""},{"dropping-particle":"","family":"Benedetti","given":"Dania","non-dropping-particle":"","parse-names":false,"suffix":""},{"dropping-particle":"","family":"Herman","given":"Sarah E M","non-dropping-particle":"","parse-names":false,"suffix":""},{"dropping-particle":"","family":"Hacken","given":"Elisa","non-dropping-particle":"Ten","parse-names":false,"suffix":""},{"dropping-particle":"","family":"Ahn","given":"Inhye E","non-dropping-particle":"","parse-names":false,"suffix":""},{"dropping-particle":"","family":"Chaffee","given":"Kari G","non-dropping-particle":"","parse-names":false,"suffix":""},{"dropping-particle":"","family":"Rossi","given":"Francesca Maria","non-dropping-particle":"","parse-names":false,"suffix":""},{"dropping-particle":"","family":"Dal Bo","given":"Michele","non-dropping-particle":"","parse-names":false,"suffix":""},{"dropping-particle":"","family":"Bulian","given":"Pietro","non-dropping-particle":"","parse-names":false,"suffix":""},{"dropping-particle":"","family":"Bomben","given":"Riccardo","non-dropping-particle":"","parse-names":false,"suffix":""},{"dropping-particle":"","family":"Bayer","given":"Elisabeth","non-dropping-particle":"","parse-names":false,"suffix":""},{"dropping-particle":"","family":"Härzschel","given":"Andrea","non-dropping-particle":"","parse-names":false,"suffix":""},{"dropping-particle":"","family":"Gutjahr","given":"Julia Christine","non-dropping-particle":"","parse-names":false,"suffix":""},{"dropping-particle":"","family":"Postorino","given":"Massimiliano","non-dropping-particle":"","parse-names":false,"suffix":""},{"dropping-particle":"","family":"Santinelli","given":"Enrico","non-dropping-particle":"","parse-names":false,"suffix":""},{"dropping-particle":"","family":"Ayed","given":"Ayed","non-dropping-particle":"","parse-names":false,"suffix":""},{"dropping-particle":"","family":"Zaja","given":"Francesco","non-dropping-particle":"","parse-names":false,"suffix":""},{"dropping-particle":"","family":"Chiarenza","given":"Annalisa","non-dropping-particle":"","parse-names":false,"suffix":""},{"dropping-particle":"","family":"Pozzato","given":"Gabriele","non-dropping-particle":"","parse-names":false,"suffix":""},{"dropping-particle":"","family":"Chigaev","given":"Alexandre","non-dropping-particle":"","parse-names":false,"suffix":""},{"dropping-particle":"","family":"Sklar","given":"Larry A","non-dropping-particle":"","parse-names":false,"suffix":""},{"dropping-particle":"","family":"Burger","given":"Jan A","non-dropping-particle":"","parse-names":false,"suffix":""},{"dropping-particle":"","family":"Ferrajoli","given":"Alessandra","non-dropping-particle":"","parse-names":false,"suffix":""},{"dropping-particle":"","family":"Shanafelt","given":"Tait D","non-dropping-particle":"","parse-names":false,"suffix":""},{"dropping-particle":"","family":"Wiestner","given":"Adrian","non-dropping-particle":"","parse-names":false,"suffix":""},{"dropping-particle":"","family":"Poeta","given":"Giovanni","non-dropping-particle":"Del","parse-names":false,"suffix":""},{"dropping-particle":"","family":"Hartmann","given":"Tanja Nicole","non-dropping-particle":"","parse-names":false,"suffix":""},{"dropping-particle":"","family":"Gattei","given":"Valter","non-dropping-particle":"","parse-names":false,"suffix":""},{"dropping-particle":"","family":"Zucchetto","given":"Antonella","non-dropping-particle":"","parse-names":false,"suffix":""}],"container-title":"The Journal of experimental medicine","id":"ITEM-5","issue":"2","issued":{"date-parts":[["2018","2","5"]]},"page":"681-697","title":"Functional and clinical relevance of VLA-4 (CD49d/CD29) in ibrutinib-treated chronic lymphocytic leukemia.","type":"article-journal","volume":"215"},"uris":["http://www.mendeley.com/documents/?uuid=ad731f6a-f12a-32fa-ab0d-4eeb66a186a5"]},{"id":"ITEM-6","itemData":{"DOI":"10.1182/blood-2006-10-051110","ISSN":"0006-4971","PMID":"17148579","abstract":"IGHV3-21–using chronic lymphocytic leukemia (CLL) is a distinct entity with restricted immunoglobulin gene features and poor prognosis and is more frequently encountered in Northern than Southern Europe. To further investigate this subset and its geographic distribution in the context of a country (Italy) with both continental and Mediterranean areas, 37 IGHV3-21 CLLs were collected out of 1076 cases enrolled by different institutions from Northern or Central Southern Italy. Of the 37 cases, 18 were identified as homologous (hom)HCDR3–IGHV3-21 CLLs and were found almost exclusively (16 of 18) in Northern Italy; in contrast, 19 nonhomHCDR3–IGHV3-21 cases were evenly distributed throughout Italy. Clinically, poor survivals were documented for IGHV3-21 CLLs as well as for subgroups of mutated and homHCDR3–IGHV3-21 CLLs. Negative prognosticators CD38, ZAP-70, CD49d, and CD79b were expressed at higher levels in homHCDR3 than nonhomHCDR3–IGHV3-21 cases. Differential gene expression profiling (GEP) of 13 IGHV3-21 versus 52 non–IGHV3-21 CLLs identified, among 122 best-correlated genes, TGFB2 and VIPR1 as down- and up-regulated in IGHV3-21 CLL cases, respectively. Moreover, GEP of 7 homHCDR3 versus 6 nonhomHCDR3–IGHV3-21 CLLs yielded 20 differentially expressed genes, with WNT-16 being that expressed at the highest levels in homHCDR3–IGHV3-21 CLLs. Altogether, IGHV3-21 CLLs, including those with homHCDR3, had a peculiar global phenotype in part explaining their worse clinical outcome.","author":[{"dropping-particle":"","family":"Bomben","given":"Riccardo","non-dropping-particle":"","parse-names":false,"suffix":""},{"dropping-particle":"","family":"Dal Bo","given":"Michele","non-dropping-particle":"","parse-names":false,"suffix":""},{"dropping-particle":"","family":"Capello","given":"Daniela","non-dropping-particle":"","parse-names":false,"suffix":""},{"dropping-particle":"","family":"Benedetti","given":"Dania","non-dropping-particle":"","parse-names":false,"suffix":""},{"dropping-particle":"","family":"Marconi","given":"Daniela","non-dropping-particle":"","parse-names":false,"suffix":""},{"dropping-particle":"","family":"Zucchetto","given":"Antonella","non-dropping-particle":"","parse-names":false,"suffix":""},{"dropping-particle":"","family":"Forconi","given":"Francesco","non-dropping-particle":"","parse-names":false,"suffix":""},{"dropping-particle":"","family":"Maffei","given":"Rossana","non-dropping-particle":"","parse-names":false,"suffix":""},{"dropping-particle":"","family":"Ghia","given":"Emanuela M","non-dropping-particle":"","parse-names":false,"suffix":""},{"dropping-particle":"","family":"Laurenti","given":"Luca","non-dropping-particle":"","parse-names":false,"suffix":""},{"dropping-particle":"","family":"Bulian","given":"Pietro","non-dropping-particle":"","parse-names":false,"suffix":""},{"dropping-particle":"","family":"Principe","given":"Maria Ilaria","non-dropping-particle":"Del","parse-names":false,"suffix":""},{"dropping-particle":"","family":"Palermo","given":"Giuseppe","non-dropping-particle":"","parse-names":false,"suffix":""},{"dropping-particle":"","family":"Thorsélius","given":"Mia","non-dropping-particle":"","parse-names":false,"suffix":""},{"dropping-particle":"","family":"Degan","given":"Massimo","non-dropping-particle":"","parse-names":false,"suffix":""},{"dropping-particle":"","family":"Campanini","given":"Renato","non-dropping-particle":"","parse-names":false,"suffix":""},{"dropping-particle":"","family":"Guarini","given":"Anna","non-dropping-particle":"","parse-names":false,"suffix":""},{"dropping-particle":"","family":"Poeta","given":"Giovanni","non-dropping-particle":"Del","parse-names":false,"suffix":""},{"dropping-particle":"","family":"Rosenquist","given":"Richard","non-dropping-particle":"","parse-names":false,"suffix":""},{"dropping-particle":"","family":"Efremov","given":"Dimitar G","non-dropping-particle":"","parse-names":false,"suffix":""},{"dropping-particle":"","family":"Marasca","given":"Roberto","non-dropping-particle":"","parse-names":false,"suffix":""},{"dropping-particle":"","family":"Foà","given":"Robin","non-dropping-particle":"","parse-names":false,"suffix":""},{"dropping-particle":"","family":"Gaidano","given":"Gianluca","non-dropping-particle":"","parse-names":false,"suffix":""},{"dropping-particle":"","family":"Gattei","given":"Valter","non-dropping-particle":"","parse-names":false,"suffix":""}],"container-title":"Blood","id":"ITEM-6","issue":"7","issued":{"date-parts":[["2007","4","1"]]},"page":"2989-2998","title":"Comprehensive characterization of IGHV3-21–expressing B-cell chronic lymphocytic leukemia: an Italian multicenter study","type":"article-journal","volume":"109"},"uris":["http://www.mendeley.com/documents/?uuid=f531573a-bbd8-3a1d-ab54-a72ecf2ae1e9"]}],"mendeley":{"formattedCitation":"&lt;sup&gt;3–8&lt;/sup&gt;","plainTextFormattedCitation":"3–8","previouslyFormattedCitation":"&lt;sup&gt;3–8&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sz w:val="24"/>
          <w:szCs w:val="24"/>
          <w:vertAlign w:val="superscript"/>
        </w:rPr>
        <w:t>3–8</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summarized in Figure 1 and Fi</w:t>
      </w:r>
      <w:r>
        <w:rPr>
          <w:rFonts w:ascii="Times New Roman" w:hAnsi="Times New Roman" w:cs="Times New Roman"/>
          <w:sz w:val="24"/>
          <w:szCs w:val="24"/>
        </w:rPr>
        <w:t>g</w:t>
      </w:r>
      <w:r>
        <w:rPr>
          <w:rFonts w:ascii="Times New Roman" w:hAnsi="Times New Roman" w:cs="Times New Roman"/>
          <w:sz w:val="24"/>
          <w:szCs w:val="24"/>
        </w:rPr>
        <w:t xml:space="preserve">ure S2, IGHV libraries were generated in 923 samples using IGHV Leader-specific primers starting from </w:t>
      </w:r>
      <w:proofErr w:type="spellStart"/>
      <w:r>
        <w:rPr>
          <w:rFonts w:ascii="Times New Roman" w:hAnsi="Times New Roman" w:cs="Times New Roman"/>
          <w:sz w:val="24"/>
          <w:szCs w:val="24"/>
        </w:rPr>
        <w:t>cDNA</w:t>
      </w:r>
      <w:proofErr w:type="spellEnd"/>
      <w:r>
        <w:rPr>
          <w:rFonts w:ascii="Times New Roman" w:hAnsi="Times New Roman" w:cs="Times New Roman"/>
          <w:sz w:val="24"/>
          <w:szCs w:val="24"/>
        </w:rPr>
        <w:t xml:space="preserve">, while in 168 samples IGHV FR1-specific primers were employed to amplify DNA. The </w:t>
      </w:r>
      <w:proofErr w:type="spellStart"/>
      <w:r>
        <w:rPr>
          <w:rFonts w:ascii="Times New Roman" w:hAnsi="Times New Roman" w:cs="Times New Roman"/>
          <w:sz w:val="24"/>
          <w:szCs w:val="24"/>
        </w:rPr>
        <w:t>LymphoTrack</w:t>
      </w:r>
      <w:proofErr w:type="spellEnd"/>
      <w:r>
        <w:rPr>
          <w:rFonts w:ascii="Times New Roman" w:hAnsi="Times New Roman" w:cs="Times New Roman"/>
          <w:sz w:val="24"/>
          <w:szCs w:val="24"/>
        </w:rPr>
        <w:t xml:space="preserve"> IGHV FR1 assay was also used for libraries generation from DNA of DLBCL, FL, HCL and MCL. After purification (</w:t>
      </w:r>
      <w:proofErr w:type="spellStart"/>
      <w:r>
        <w:rPr>
          <w:rFonts w:ascii="Times New Roman" w:hAnsi="Times New Roman" w:cs="Times New Roman"/>
          <w:sz w:val="24"/>
          <w:szCs w:val="24"/>
        </w:rPr>
        <w:t>PureLink</w:t>
      </w:r>
      <w:proofErr w:type="spellEnd"/>
      <w:r>
        <w:rPr>
          <w:rFonts w:ascii="Times New Roman" w:hAnsi="Times New Roman" w:cs="Times New Roman"/>
          <w:sz w:val="24"/>
          <w:szCs w:val="24"/>
        </w:rPr>
        <w:t xml:space="preserve"> Quick PCR Purification kit, </w:t>
      </w:r>
      <w:proofErr w:type="spellStart"/>
      <w:r>
        <w:rPr>
          <w:rFonts w:ascii="Times New Roman" w:hAnsi="Times New Roman" w:cs="Times New Roman"/>
          <w:sz w:val="24"/>
          <w:szCs w:val="24"/>
        </w:rPr>
        <w:t>ThermoFischer</w:t>
      </w:r>
      <w:proofErr w:type="spellEnd"/>
      <w:r>
        <w:rPr>
          <w:rFonts w:ascii="Times New Roman" w:hAnsi="Times New Roman" w:cs="Times New Roman"/>
          <w:sz w:val="24"/>
          <w:szCs w:val="24"/>
        </w:rPr>
        <w:t xml:space="preserve">) and dilution, PCR products were sequenced. In all cases, sequencing was performed on a </w:t>
      </w:r>
      <w:proofErr w:type="spellStart"/>
      <w:r>
        <w:rPr>
          <w:rFonts w:ascii="Times New Roman" w:hAnsi="Times New Roman" w:cs="Times New Roman"/>
          <w:sz w:val="24"/>
          <w:szCs w:val="24"/>
        </w:rPr>
        <w:t>MiSeq</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Illumina</w:t>
      </w:r>
      <w:proofErr w:type="spellEnd"/>
      <w:r>
        <w:rPr>
          <w:rFonts w:ascii="Times New Roman" w:hAnsi="Times New Roman" w:cs="Times New Roman"/>
          <w:sz w:val="24"/>
          <w:szCs w:val="24"/>
        </w:rPr>
        <w:t xml:space="preserve">). </w:t>
      </w:r>
    </w:p>
    <w:p w:rsidR="00336347" w:rsidRDefault="00307A15">
      <w:pPr>
        <w:pStyle w:val="PreformattedText"/>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Immunoglobulin sequencing library analysis</w:t>
      </w:r>
    </w:p>
    <w:p w:rsidR="00336347" w:rsidRDefault="00307A15">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To perform the analysis of the repertoire sequencing (</w:t>
      </w:r>
      <w:proofErr w:type="spellStart"/>
      <w:r>
        <w:rPr>
          <w:rFonts w:ascii="Times New Roman" w:hAnsi="Times New Roman" w:cs="Times New Roman"/>
          <w:sz w:val="24"/>
          <w:szCs w:val="24"/>
        </w:rPr>
        <w:t>RepSeq</w:t>
      </w:r>
      <w:proofErr w:type="spellEnd"/>
      <w:r>
        <w:rPr>
          <w:rFonts w:ascii="Times New Roman" w:hAnsi="Times New Roman" w:cs="Times New Roman"/>
          <w:sz w:val="24"/>
          <w:szCs w:val="24"/>
        </w:rPr>
        <w:t>) data of the heavy chain variable gene (IGHV) generated with LymphoTrack</w:t>
      </w:r>
      <w:r w:rsidR="001F5AA7" w:rsidRPr="001F5AA7">
        <w:fldChar w:fldCharType="begin"/>
      </w:r>
      <w:r>
        <w:rPr>
          <w:rFonts w:ascii="Times New Roman" w:hAnsi="Times New Roman" w:cs="Times New Roman"/>
          <w:sz w:val="24"/>
          <w:szCs w:val="24"/>
        </w:rPr>
        <w:instrText>ADDIN CSL_CITATION {"citationItems":[{"id":"ITEM-1","itemData":{"DOI":"10.1182/bloodadvances.2021005081","ISSN":"24739537","PMID":"34614504","abstract":"We previously reported that t(14;18)-negative follicular lymphomas (FL) show a clear reduction of newly acquired N-glycosylation sites (NANGS) in immunoglobulin genes. We therefore aimed to investigate in-depth the occurrence of NANGS in a larger cohort of t(14;18)-positive and t(14;18)-negative FL, including early (I/II) and advanced (III/IV) stage treatment-naive and relapsed tumors. The clonotype was determined by using a nextgeneration sequencing approach in a series of 68 FL with fresh frozen material [36 t(14;18) positive and 32 t(14;18) negative]. The frequency of NANGS differed considerably between t(14;18)-positive and t(14;18)-negative FL stage III/IV, but no difference was observed among t(14;18)-positive and t(14;18)-negative FL stage I/II. The introduction of NANGS in all t(14;18)- negative clinical subgroups occurred significantly more often in the FR3 region. Moreover, t(14;18)-negative treatment-naive FL, specifically those with NANGS, showed a strong bias for IGHV4-34 usage compared with t(14;18)-positive treatment-naive cases with NANGS; IGHV4-34 usage was never recorded in relapsed FL. In conclusion, subgroups of t(14;18)- negative FL might use different mechanisms of B-cell receptor stimulation compared with the lectin-mediated binding described in t(14;18)-positive FL, including responsiveness to autoantigens as indicated by biased IGHV4-34 usage and strong NANGS enrichment in FR3.","author":[{"dropping-particle":"","family":"Leich","given":"Ellen","non-dropping-particle":"","parse-names":false,"suffix":""},{"dropping-particle":"","family":"Maier","given":"Claudia","non-dropping-particle":"","parse-names":false,"suffix":""},{"dropping-particle":"","family":"Bomben","given":"Riccardo","non-dropping-particle":"","parse-names":false,"suffix":""},{"dropping-particle":"","family":"Vit","given":"Filippo","non-dropping-particle":"","parse-names":false,"suffix":""},{"dropping-particle":"","family":"Bosi","given":"Alessandro","non-dropping-particle":"","parse-names":false,"suffix":""},{"dropping-particle":"","family":"Horn","given":"Heike","non-dropping-particle":"","parse-names":false,"suffix":""},{"dropping-particle":"","family":"Gattei","given":"Valter","non-dropping-particle":"","parse-names":false,"suffix":""},{"dropping-particle":"","family":"Ott","given":"German","non-dropping-particle":"","parse-names":false,"suffix":""},{"dropping-particle":"","family":"Rosenwald","given":"Andreas","non-dropping-particle":"","parse-names":false,"suffix":""},{"dropping-particle":"","family":"Zamó","given":"Alberto","non-dropping-particle":"","parse-names":false,"suffix":""}],"container-title":"Blood Advances","id":"ITEM-1","issue":"23","issued":{"date-parts":[["2021"]]},"page":"4890-4900","title":"Follicular lymphoma subgroups with and without t(14;18) differ in their N-glycosylation pattern and IGHV usage","type":"article-journal","volume":"5"},"uris":["http://www.mendeley.com/documents/?uuid=616daa55-6065-4882-9a5b-e914425b656d"]}],"mendeley":{"formattedCitation":"&lt;sup&gt;1&lt;/sup&gt;","plainTextFormattedCitation":"1","previouslyFormattedCitation":"&lt;sup&gt;1&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sz w:val="24"/>
          <w:szCs w:val="24"/>
          <w:vertAlign w:val="superscript"/>
        </w:rPr>
        <w:t>1</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we designed a specific custom pipeline and applied it to 1,091 CLL samples (Figure S2 and S3).</w:t>
      </w:r>
    </w:p>
    <w:p w:rsidR="00336347" w:rsidRDefault="00307A15">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detail, the pipeline consisted of two parts (Figure S3):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the first part adopted canonical steps gene</w:t>
      </w:r>
      <w:r>
        <w:rPr>
          <w:rFonts w:ascii="Times New Roman" w:hAnsi="Times New Roman" w:cs="Times New Roman"/>
          <w:sz w:val="24"/>
          <w:szCs w:val="24"/>
        </w:rPr>
        <w:t>r</w:t>
      </w:r>
      <w:r>
        <w:rPr>
          <w:rFonts w:ascii="Times New Roman" w:hAnsi="Times New Roman" w:cs="Times New Roman"/>
          <w:sz w:val="24"/>
          <w:szCs w:val="24"/>
        </w:rPr>
        <w:t xml:space="preserve">ally employed in all </w:t>
      </w:r>
      <w:proofErr w:type="spellStart"/>
      <w:r>
        <w:rPr>
          <w:rFonts w:ascii="Times New Roman" w:hAnsi="Times New Roman" w:cs="Times New Roman"/>
          <w:sz w:val="24"/>
          <w:szCs w:val="24"/>
        </w:rPr>
        <w:t>RepSeq</w:t>
      </w:r>
      <w:proofErr w:type="spellEnd"/>
      <w:r>
        <w:rPr>
          <w:rFonts w:ascii="Times New Roman" w:hAnsi="Times New Roman" w:cs="Times New Roman"/>
          <w:sz w:val="24"/>
          <w:szCs w:val="24"/>
        </w:rPr>
        <w:t xml:space="preserve"> analysis;</w:t>
      </w:r>
      <w:r w:rsidR="001F5AA7" w:rsidRPr="001F5AA7">
        <w:fldChar w:fldCharType="begin"/>
      </w:r>
      <w:r>
        <w:rPr>
          <w:rFonts w:ascii="Times New Roman" w:hAnsi="Times New Roman" w:cs="Times New Roman"/>
          <w:sz w:val="24"/>
          <w:szCs w:val="24"/>
        </w:rPr>
        <w:instrText>ADDIN CSL_CITATION {"citationItems":[{"id":"ITEM-1","itemData":{"DOI":"10.1093/bioinformatics/btu138","ISSN":"14602059","abstract":"Summary: Driven by dramatic technological improvements, large-scale characterization of lymphocyte receptor repertoires via high-throughput sequencing is now feasible. Although promising, the high germline and somatic diversity, especially of B-cell immunoglobulin repertoires, presents challenges for analysis requiring the development of specialized computational pipelines. We developed the REpertoire Sequencing TOolkit (pRESTO) for processing reads from high-throughput lymphocyte receptor studies. pRESTO processes raw sequences to produce error-corrected, sorted and annotated sequence sets, along with a wealth of metrics at each step. The toolkit supports multiplexed primer pools, single- or paired-end reads and emerging technologies that use single-molecule identifiers. pRESTO has been tested on data generated from Roche and Illumina platforms. It has a built-in capacity to parallelize the work between available processors and is able to efficiently process millions of sequences generated by typical high-throughput projects. © The Author 2014.","author":[{"dropping-particle":"","family":"Heiden","given":"Jason A.","non-dropping-particle":"Vander","parse-names":false,"suffix":""},{"dropping-particle":"","family":"Yaari","given":"Gur","non-dropping-particle":"","parse-names":false,"suffix":""},{"dropping-particle":"","family":"Uduman","given":"Mohamed","non-dropping-particle":"","parse-names":false,"suffix":""},{"dropping-particle":"","family":"Stern","given":"Joel N.H.","non-dropping-particle":"","parse-names":false,"suffix":""},{"dropping-particle":"","family":"O'connor","given":"Kevin C.","non-dropping-particle":"","parse-names":false,"suffix":""},{"dropping-particle":"","family":"Hafler","given":"David A.","non-dropping-particle":"","parse-names":false,"suffix":""},{"dropping-particle":"","family":"Vigneault","given":"Francois","non-dropping-particle":"","parse-names":false,"suffix":""},{"dropping-particle":"","family":"Kleinstein","given":"Steven H.","non-dropping-particle":"","parse-names":false,"suffix":""}],"container-title":"Bioinformatics","id":"ITEM-1","issue":"13","issued":{"date-parts":[["2014"]]},"page":"1930-1932","title":"PRESTO: A toolkit for processing high-throughput sequencing raw reads of lymphocyte receptor repertoires","type":"article-journal","volume":"30"},"uris":["http://www.mendeley.com/documents/?uuid=5f53e861-ccc6-4468-ad78-3d97597fe7f9"]},{"id":"ITEM-2","itemData":{"DOI":"10.1093/BIOINFORMATICS/BTV359","ISSN":"1367-4811","PMID":"26069265","abstract":"Advances in high-throughput sequencing technologies now allow for large-scale characterization of B cell immunoglobulin (Ig) repertoires. The high germline and somatic diversity of the Ig repertoire presents challenges for biologically meaningful analysis, which requires specialized computational methods. We have developed a suite of utilities, Change-O, which provides tools for advanced analyses of large-scale Ig repertoire sequencing data. Change-O includes tools for determining the complete set of Ig variable region gene segment alleles carried by an individual (including novel alleles), partitioning of Ig sequences into clonal populations, creating lineage trees, inferring somatic hypermutation targeting models, measuring repertoire diversity, quantifying selection pressure, and calculating sequence chemical properties. All Change-O tools utilize a common data format, which enables the seamless integration of multiple analyses into a single workflow.","author":[{"dropping-particle":"","family":"Gupta","given":"Namita T.","non-dropping-particle":"","parse-names":false,"suffix":""},{"dropping-particle":"","family":"Heiden","given":"Jason A.","non-dropping-particle":"Vander","parse-names":false,"suffix":""},{"dropping-particle":"","family":"Uduman","given":"Mohamed","non-dropping-particle":"","parse-names":false,"suffix":""},{"dropping-particle":"","family":"Gadala-Maria","given":"Daniel","non-dropping-particle":"","parse-names":false,"suffix":""},{"dropping-particle":"","family":"Yaari","given":"Gur","non-dropping-particle":"","parse-names":false,"suffix":""},{"dropping-particle":"","family":"Kleinstein","given":"Steven H.","non-dropping-particle":"","parse-names":false,"suffix":""}],"container-title":"Bioinformatics (Oxford, England)","id":"ITEM-2","issue":"20","issued":{"date-parts":[["2015","3","25"]]},"page":"3356-3358","publisher":"Bioinformatics","title":"Change-O: a toolkit for analyzing large-scale B cell immunoglobulin repertoire sequencing data","type":"article-journal","volume":"31"},"uris":["http://www.mendeley.com/documents/?uuid=21eed981-78d8-3b50-a3d3-454d6e3c5791"]},{"id":"ITEM-3","itemData":{"DOI":"10.1093/NAR/GKT382","ISSN":"1362-4962","PMID":"23671333","abstract":"The variable domain of an immunoglobulin (IG) sequence is encoded by multiple genes, including the variable (V) gene, the diversity (D) gene and the joining (J) gene. Analysis of IG sequences typically requires identification of each gene, as well as a comparison of sequence variations in the context of defined regions. General purpose tools, such as the BLAST program, have only limited use for such tasks, as the rearranged nature of an IG sequence and the variable length of each gene requires multiple rounds of BLAST searches for a single IG sequence. Additionally, manual assembly of different genes is difficult and error-prone. To address these issues and to facilitate other common tasks in analysing IG sequences, we have developed the sequence analysis tool IgBLAST (http://www.ncbi.nlm.nih.gov/igblast/). With this tool, users can view the matches to the germline V, D and J genes, details at rearrangement junctions, the delineation of IG V domain framework regions and complementarity determining regions. IgBLAST has the capability to analyse nucleotide and protein sequences and can process sequences in batches. Furthermore, IgBLAST allows searches against the germline gene databases and other sequence databases simultaneously to minimize the chance of missing possibly the best matching germline V gene.","author":[{"dropping-particle":"","family":"Ye","given":"Jian","non-dropping-particle":"","parse-names":false,"suffix":""},{"dropping-particle":"","family":"Ma","given":"Ning","non-dropping-particle":"","parse-names":false,"suffix":""},{"dropping-particle":"","family":"Madden","given":"Thomas L.","non-dropping-particle":"","parse-names":false,"suffix":""},{"dropping-particle":"","family":"Ostell","given":"James M.","non-dropping-particle":"","parse-names":false,"suffix":""}],"container-title":"Nucleic acids research","id":"ITEM-3","issue":"Web Server issue","issued":{"date-parts":[["2013"]]},"publisher":"Nucleic Acids Res","title":"IgBLAST: an immunoglobulin variable domain sequence analysis tool","type":"article-journal","volume":"41"},"uris":["http://www.mendeley.com/documents/?uuid=92f37471-57c5-378e-a036-c51f693f3410"]},{"id":"ITEM-4","itemData":{"DOI":"10.1126/scitranslmed.3008879","ISSN":"1946-6242","PMID":"25100741","abstract":"Multiple sclerosis (MS) is an inflammatory disease of the central nervous system (CNS) characterized by autoimmune-mediated demyelination and neurodegeneration. The CNS of patients with MS harbors expanded clones of antigen-experienced B cells that reside in distinct compartments including the meninges, cerebrospinal fluid (CSF), and parenchyma. It is not understood whether this immune infiltrate initiates its development in the CNS or in peripheral tissues. B cells in the CSF can exchange with those in peripheral blood, implying that CNS B cells may have access to lymphoid tissue that may be the specific compartment(s) in which CNS-resident B cells encounter antigen and experience affinity maturation. Paired tissues were used to determine whether the B cells that populate the CNS mature in the draining cervical lymph nodes (CLNs). High-throughput sequencing of the antibody repertoire demonstrated that clonally expanded B cells were present in both compartments. Founding members of clones were more often found in the draining CLNs. More mature clonal members derived from these founders were observed in the draining CLNs and also in the CNS, including lesions. These data provide new evidence that B cells traffic freely across the tissue barrier, with the majority of B cell maturation occurring outside of the CNS in the secondary lymphoid tissue. Our study may aid in further defining the mechanisms of immunomodulatory therapies that either deplete circulating B cells or affect the intrathecal B cell compartment by inhibiting lymphocyte transmigration into the CNS.","author":[{"dropping-particle":"","family":"Stern","given":"Joel N H","non-dropping-particle":"","parse-names":false,"suffix":""},{"dropping-particle":"","family":"Yaari","given":"Gur","non-dropping-particle":"","parse-names":false,"suffix":""},{"dropping-particle":"","family":"Heiden","given":"Jason A.","non-dropping-particle":"Vander","parse-names":false,"suffix":""},{"dropping-particle":"","family":"Church","given":"George","non-dropping-particle":"","parse-names":false,"suffix":""},{"dropping-particle":"","family":"Donahue","given":"William F.","non-dropping-particle":"","parse-names":false,"suffix":""},{"dropping-particle":"","family":"Hintzen","given":"Rogier Q.","non-dropping-particle":"","parse-names":false,"suffix":""},{"dropping-particle":"","family":"Huttner","given":"Anita J.","non-dropping-particle":"","parse-names":false,"suffix":""},{"dropping-particle":"","family":"Laman","given":"Jon D.","non-dropping-particle":"","parse-names":false,"suffix":""},{"dropping-particle":"","family":"Nagra","given":"Rashed M.","non-dropping-particle":"","parse-names":false,"suffix":""},{"dropping-particle":"","family":"Nylander","given":"Alyssa","non-dropping-particle":"","parse-names":false,"suffix":""},{"dropping-particle":"","family":"Pitt","given":"David","non-dropping-particle":"","parse-names":false,"suffix":""},{"dropping-particle":"","family":"Ramanan","given":"Sriram","non-dropping-particle":"","parse-names":false,"suffix":""},{"dropping-particle":"","family":"Siddiqui","given":"Bilal A.","non-dropping-particle":"","parse-names":false,"suffix":""},{"dropping-particle":"","family":"Vigneault","given":"Francois","non-dropping-particle":"","parse-names":false,"suffix":""},{"dropping-particle":"","family":"Kleinstein","given":"Steven H.","non-dropping-particle":"","parse-names":false,"suffix":""},{"dropping-particle":"","family":"Hafler","given":"David A.","non-dropping-particle":"","parse-names":false,"suffix":""},{"dropping-particle":"","family":"O'Connor","given":"Kevin C.","non-dropping-particle":"","parse-names":false,"suffix":""}],"container-title":"Science translational medicine","id":"ITEM-4","issue":"248","issued":{"date-parts":[["2014","8","6"]]},"page":"248ra107","publisher":"NIH Public Access","title":"B cells populating the multiple sclerosis brain mature in the draining cervical lymph nodes.","type":"article-journal","volume":"6"},"uris":["http://www.mendeley.com/documents/?uuid=1b565711-99c5-3019-a5a1-d449041b9c42"]}],"mendeley":{"formattedCitation":"&lt;sup&gt;9–12&lt;/sup&gt;","plainTextFormattedCitation":"9–12","previouslyFormattedCitation":"&lt;sup&gt;9–12&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sz w:val="24"/>
          <w:szCs w:val="24"/>
          <w:vertAlign w:val="superscript"/>
        </w:rPr>
        <w:t>9–12</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ii) the second part was tailored to handle systematic errors, correct them, and analyze data to provide a measurement for the intraclonal diversification, i.e. the d</w:t>
      </w:r>
      <w:r>
        <w:rPr>
          <w:rFonts w:ascii="Times New Roman" w:hAnsi="Times New Roman" w:cs="Times New Roman"/>
          <w:sz w:val="24"/>
          <w:szCs w:val="24"/>
        </w:rPr>
        <w:t>i</w:t>
      </w:r>
      <w:r>
        <w:rPr>
          <w:rFonts w:ascii="Times New Roman" w:hAnsi="Times New Roman" w:cs="Times New Roman"/>
          <w:sz w:val="24"/>
          <w:szCs w:val="24"/>
        </w:rPr>
        <w:t>versity inside the pathological clone through calculation of the inverse Simpson Index (</w:t>
      </w:r>
      <w:proofErr w:type="spellStart"/>
      <w:r>
        <w:rPr>
          <w:rFonts w:ascii="Times New Roman" w:hAnsi="Times New Roman" w:cs="Times New Roman"/>
          <w:sz w:val="24"/>
          <w:szCs w:val="24"/>
        </w:rPr>
        <w:t>iSI</w:t>
      </w:r>
      <w:proofErr w:type="spellEnd"/>
      <w:r>
        <w:rPr>
          <w:rFonts w:ascii="Times New Roman" w:hAnsi="Times New Roman" w:cs="Times New Roman"/>
          <w:sz w:val="24"/>
          <w:szCs w:val="24"/>
        </w:rPr>
        <w:t>).</w:t>
      </w:r>
      <w:r w:rsidR="001F5AA7" w:rsidRPr="001F5AA7">
        <w:fldChar w:fldCharType="begin"/>
      </w:r>
      <w:r>
        <w:rPr>
          <w:rFonts w:ascii="Times New Roman" w:hAnsi="Times New Roman" w:cs="Times New Roman"/>
          <w:sz w:val="24"/>
          <w:szCs w:val="24"/>
        </w:rPr>
        <w:instrText>ADDIN CSL_CITATION {"citationItems":[{"id":"ITEM-1","itemData":{"DOI":"10.1890/13-0133.1","ISSN":"1557-7015","abstract":"Quantifying and assessing changes in biological diversity are central aspects of many ecological studies, yet accurate methods of estimating biological diversity from sampling data have been elusive. Hill numbers, or the effective number of species, are increasingly used to characterize the taxonomic, phylogenetic, or functional diversity of an assemblage. However, empirical estimates of Hill numbers, including species richness, tend to be an increasing function of sampling effort and, thus, tend to increase with sample completeness. Integrated curves based on sampling theory that smoothly link rarefaction (interpolation) and prediction (extrapolation) standardize samples on the basis of sample size or sample completeness and facilitate the comparison of biodiversity data. Here we extended previous rarefaction and extrapolation models for species richness (Hill number qD, where q = 0) to measures of taxon diversity incorporating relative abundance (i.e., for any Hill number qD, q &gt; 0) and present a unified approach for both individual-based (abundance) data and samplebased (incidence) data. Using this unified sampling framework, we derive both theoretical formulas and analytic estimators for seamless rarefaction and extrapolation based on Hill numbers. Detailed examples are provided for the first three Hill numbers: q = 0 (species richness), q = 1 (the exponential of Shannon's entropy index), and q = 2 (the inverse of Simpson's concentration index). We developed a bootstrap method for constructing confidence intervals around Hill numbers, facilitating the comparison of multiple assemblages of both rarefied and extrapolated samples. The proposed estimators are accurate for both rarefaction and short-range extrapolation. For long-range extrapolation, the performance of the estimators depends on both the value of q and on the extrapolation range. We tested our methods on simulated data generated from species abundance models and on data from large species inventories. We also illustrate the formulas and estimators using empirical data sets from biodiversity surveys of temperate forest spiders and tropical ants. © 2014 by the Ecological Society of America.","author":[{"dropping-particle":"","family":"Chao","given":"Anne","non-dropping-particle":"","parse-names":false,"suffix":""},{"dropping-particle":"","family":"Gotelli","given":"Nicholas J.","non-dropping-particle":"","parse-names":false,"suffix":""},{"dropping-particle":"","family":"Hsieh","given":"T. C.","non-dropping-particle":"","parse-names":false,"suffix":""},{"dropping-particle":"","family":"Sander","given":"Elizabeth L.","non-dropping-particle":"","parse-names":false,"suffix":""},{"dropping-particle":"","family":"Ma","given":"K. H.","non-dropping-particle":"","parse-names":false,"suffix":""},{"dropping-particle":"","family":"Colwell","given":"Robert K.","non-dropping-particle":"","parse-names":false,"suffix":""},{"dropping-particle":"","family":"Ellison","given":"Aaron M.","non-dropping-particle":"","parse-names":false,"suffix":""}],"container-title":"Ecological Monographs","id":"ITEM-1","issue":"1","issued":{"date-parts":[["2014","2","1"]]},"page":"45-67","publisher":"John Wiley &amp; Sons, Ltd","title":"Rarefaction and extrapolation with Hill numbers: a framework for sampling and estimation in species diversity studies","type":"article-journal","volume":"84"},"uris":["http://www.mendeley.com/documents/?uuid=bd4db381-6784-35af-8505-1a08e69f28e0"]},{"id":"ITEM-2","itemData":{"DOI":"10.1126/scitranslmed.3008879","ISSN":"1946-6242","PMID":"25100741","abstract":"Multiple sclerosis (MS) is an inflammatory disease of the central nervous system (CNS) characterized by autoimmune-mediated demyelination and neurodegeneration. The CNS of patients with MS harbors expanded clones of antigen-experienced B cells that reside in distinct compartments including the meninges, cerebrospinal fluid (CSF), and parenchyma. It is not understood whether this immune infiltrate initiates its development in the CNS or in peripheral tissues. B cells in the CSF can exchange with those in peripheral blood, implying that CNS B cells may have access to lymphoid tissue that may be the specific compartment(s) in which CNS-resident B cells encounter antigen and experience affinity maturation. Paired tissues were used to determine whether the B cells that populate the CNS mature in the draining cervical lymph nodes (CLNs). High-throughput sequencing of the antibody repertoire demonstrated that clonally expanded B cells were present in both compartments. Founding members of clones were more often found in the draining CLNs. More mature clonal members derived from these founders were observed in the draining CLNs and also in the CNS, including lesions. These data provide new evidence that B cells traffic freely across the tissue barrier, with the majority of B cell maturation occurring outside of the CNS in the secondary lymphoid tissue. Our study may aid in further defining the mechanisms of immunomodulatory therapies that either deplete circulating B cells or affect the intrathecal B cell compartment by inhibiting lymphocyte transmigration into the CNS.","author":[{"dropping-particle":"","family":"Stern","given":"Joel N H","non-dropping-particle":"","parse-names":false,"suffix":""},{"dropping-particle":"","family":"Yaari","given":"Gur","non-dropping-particle":"","parse-names":false,"suffix":""},{"dropping-particle":"","family":"Heiden","given":"Jason A.","non-dropping-particle":"Vander","parse-names":false,"suffix":""},{"dropping-particle":"","family":"Church","given":"George","non-dropping-particle":"","parse-names":false,"suffix":""},{"dropping-particle":"","family":"Donahue","given":"William F.","non-dropping-particle":"","parse-names":false,"suffix":""},{"dropping-particle":"","family":"Hintzen","given":"Rogier Q.","non-dropping-particle":"","parse-names":false,"suffix":""},{"dropping-particle":"","family":"Huttner","given":"Anita J.","non-dropping-particle":"","parse-names":false,"suffix":""},{"dropping-particle":"","family":"Laman","given":"Jon D.","non-dropping-particle":"","parse-names":false,"suffix":""},{"dropping-particle":"","family":"Nagra","given":"Rashed M.","non-dropping-particle":"","parse-names":false,"suffix":""},{"dropping-particle":"","family":"Nylander","given":"Alyssa","non-dropping-particle":"","parse-names":false,"suffix":""},{"dropping-particle":"","family":"Pitt","given":"David","non-dropping-particle":"","parse-names":false,"suffix":""},{"dropping-particle":"","family":"Ramanan","given":"Sriram","non-dropping-particle":"","parse-names":false,"suffix":""},{"dropping-particle":"","family":"Siddiqui","given":"Bilal A.","non-dropping-particle":"","parse-names":false,"suffix":""},{"dropping-particle":"","family":"Vigneault","given":"Francois","non-dropping-particle":"","parse-names":false,"suffix":""},{"dropping-particle":"","family":"Kleinstein","given":"Steven H.","non-dropping-particle":"","parse-names":false,"suffix":""},{"dropping-particle":"","family":"Hafler","given":"David A.","non-dropping-particle":"","parse-names":false,"suffix":""},{"dropping-particle":"","family":"O'Connor","given":"Kevin C.","non-dropping-particle":"","parse-names":false,"suffix":""}],"container-title":"Science translational medicine","id":"ITEM-2","issue":"248","issued":{"date-parts":[["2014","8","6"]]},"page":"248ra107","publisher":"NIH Public Access","title":"B cells populating the multiple sclerosis brain mature in the draining cervical lymph nodes.","type":"article-journal","volume":"6"},"uris":["http://www.mendeley.com/documents/?uuid=1b565711-99c5-3019-a5a1-d449041b9c42"]}],"mendeley":{"formattedCitation":"&lt;sup&gt;12,13&lt;/sup&gt;","plainTextFormattedCitation":"12,13","previouslyFormattedCitation":"&lt;sup&gt;12,13&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vertAlign w:val="superscript"/>
        </w:rPr>
        <w:t>12,13</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The pathological clone was identified as the most expressed clone inside the sample: each sequence with the same variable (IGHV), diversity (IGHD) and junction (IGHJ) segments and bearing almost ident</w:t>
      </w:r>
      <w:r>
        <w:rPr>
          <w:rFonts w:ascii="Times New Roman" w:hAnsi="Times New Roman" w:cs="Times New Roman"/>
          <w:sz w:val="24"/>
          <w:szCs w:val="24"/>
        </w:rPr>
        <w:t>i</w:t>
      </w:r>
      <w:r>
        <w:rPr>
          <w:rFonts w:ascii="Times New Roman" w:hAnsi="Times New Roman" w:cs="Times New Roman"/>
          <w:sz w:val="24"/>
          <w:szCs w:val="24"/>
        </w:rPr>
        <w:t xml:space="preserve">cal complementary determining region 3 (CDR3) were considered as belonging to the same clone. A subclone was defined as having the same IGHV, IGHD, IGHJ and CDR3 sequence of the main clone with at least 1 nucleotide difference (intraclonal diversification, ID). </w:t>
      </w:r>
    </w:p>
    <w:p w:rsidR="00336347" w:rsidRDefault="00307A15">
      <w:pPr>
        <w:pStyle w:val="PreformattedText"/>
        <w:spacing w:line="360" w:lineRule="auto"/>
        <w:jc w:val="both"/>
        <w:rPr>
          <w:rFonts w:ascii="Times New Roman" w:hAnsi="Times New Roman" w:cs="Times New Roman"/>
          <w:b/>
          <w:iCs/>
          <w:sz w:val="24"/>
          <w:szCs w:val="24"/>
        </w:rPr>
      </w:pPr>
      <w:r>
        <w:rPr>
          <w:rFonts w:ascii="Times New Roman" w:hAnsi="Times New Roman" w:cs="Times New Roman"/>
          <w:b/>
          <w:iCs/>
          <w:sz w:val="24"/>
          <w:szCs w:val="24"/>
        </w:rPr>
        <w:t xml:space="preserve">General pipeline for </w:t>
      </w:r>
      <w:proofErr w:type="spellStart"/>
      <w:r>
        <w:rPr>
          <w:rFonts w:ascii="Times New Roman" w:hAnsi="Times New Roman" w:cs="Times New Roman"/>
          <w:b/>
          <w:iCs/>
          <w:sz w:val="24"/>
          <w:szCs w:val="24"/>
        </w:rPr>
        <w:t>RepSeq</w:t>
      </w:r>
      <w:proofErr w:type="spellEnd"/>
      <w:r>
        <w:rPr>
          <w:rFonts w:ascii="Times New Roman" w:hAnsi="Times New Roman" w:cs="Times New Roman"/>
          <w:b/>
          <w:iCs/>
          <w:sz w:val="24"/>
          <w:szCs w:val="24"/>
        </w:rPr>
        <w:t xml:space="preserve"> analysis</w:t>
      </w:r>
    </w:p>
    <w:p w:rsidR="00336347" w:rsidRDefault="00307A15">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pipeline is summarized in Figure S3. Briefly, </w:t>
      </w:r>
      <w:proofErr w:type="spellStart"/>
      <w:r>
        <w:rPr>
          <w:rFonts w:ascii="Times New Roman" w:hAnsi="Times New Roman" w:cs="Times New Roman"/>
          <w:sz w:val="24"/>
          <w:szCs w:val="24"/>
        </w:rPr>
        <w:t>fastq</w:t>
      </w:r>
      <w:proofErr w:type="spellEnd"/>
      <w:r>
        <w:rPr>
          <w:rFonts w:ascii="Times New Roman" w:hAnsi="Times New Roman" w:cs="Times New Roman"/>
          <w:sz w:val="24"/>
          <w:szCs w:val="24"/>
        </w:rPr>
        <w:t xml:space="preserve"> were </w:t>
      </w:r>
      <w:proofErr w:type="spellStart"/>
      <w:r>
        <w:rPr>
          <w:rFonts w:ascii="Times New Roman" w:hAnsi="Times New Roman" w:cs="Times New Roman"/>
          <w:sz w:val="24"/>
          <w:szCs w:val="24"/>
        </w:rPr>
        <w:t>demultiplexed</w:t>
      </w:r>
      <w:proofErr w:type="spellEnd"/>
      <w:r>
        <w:rPr>
          <w:rFonts w:ascii="Times New Roman" w:hAnsi="Times New Roman" w:cs="Times New Roman"/>
          <w:sz w:val="24"/>
          <w:szCs w:val="24"/>
        </w:rPr>
        <w:t xml:space="preserve"> with bcl2fastq (v. 2.6.1). Paired </w:t>
      </w:r>
      <w:proofErr w:type="spellStart"/>
      <w:r>
        <w:rPr>
          <w:rFonts w:ascii="Times New Roman" w:hAnsi="Times New Roman" w:cs="Times New Roman"/>
          <w:sz w:val="24"/>
          <w:szCs w:val="24"/>
        </w:rPr>
        <w:t>fastq</w:t>
      </w:r>
      <w:proofErr w:type="spellEnd"/>
      <w:r>
        <w:rPr>
          <w:rFonts w:ascii="Times New Roman" w:hAnsi="Times New Roman" w:cs="Times New Roman"/>
          <w:sz w:val="24"/>
          <w:szCs w:val="24"/>
        </w:rPr>
        <w:t xml:space="preserve"> reads were merged and hard filtered with </w:t>
      </w:r>
      <w:proofErr w:type="spellStart"/>
      <w:r>
        <w:rPr>
          <w:rFonts w:ascii="Times New Roman" w:hAnsi="Times New Roman" w:cs="Times New Roman"/>
          <w:sz w:val="24"/>
          <w:szCs w:val="24"/>
        </w:rPr>
        <w:t>vsearch</w:t>
      </w:r>
      <w:proofErr w:type="spellEnd"/>
      <w:r>
        <w:rPr>
          <w:rFonts w:ascii="Times New Roman" w:hAnsi="Times New Roman" w:cs="Times New Roman"/>
          <w:sz w:val="24"/>
          <w:szCs w:val="24"/>
        </w:rPr>
        <w:t xml:space="preserve"> (v.2.14.2).</w:t>
      </w:r>
      <w:r w:rsidR="001F5AA7" w:rsidRPr="001F5AA7">
        <w:fldChar w:fldCharType="begin"/>
      </w:r>
      <w:r>
        <w:rPr>
          <w:rFonts w:ascii="Times New Roman" w:hAnsi="Times New Roman" w:cs="Times New Roman"/>
          <w:sz w:val="24"/>
          <w:szCs w:val="24"/>
        </w:rPr>
        <w:instrText>ADDIN CSL_CITATION {"citationItems":[{"id":"ITEM-1","itemData":{"DOI":"10.7717/peerj.2584","ISSN":"2167-8359","PMID":"27781170","abstract":"BACKGROUND VSEARCH is an open source and free of charge multithreaded 64-bit tool for processing and preparing metagenomics, genomics and population genomics nucleotide sequence data. It is designed as an alternative to the widely used USEARCH tool (Edgar, 2010) for which the source code is not publicly available, algorithm details are only rudimentarily described, and only a memory-confined 32-bit version is freely available for academic use. METHODS When searching nucleotide sequences, VSEARCH uses a fast heuristic based on words shared by the query and target sequences in order to quickly identify similar sequences, a similar strategy is probably used in USEARCH. VSEARCH then performs optimal global sequence alignment of the query against potential target sequences, using full dynamic programming instead of the seed-and-extend heuristic used by USEARCH. Pairwise alignments are computed in parallel using vectorisation and multiple threads. RESULTS VSEARCH includes most commands for analysing nucleotide sequences available in USEARCH version 7 and several of those available in USEARCH version 8, including searching (exact or based on global alignment), clustering by similarity (using length pre-sorting, abundance pre-sorting or a user-defined order), chimera detection (reference-based or de novo), dereplication (full length or prefix), pairwise alignment, reverse complementation, sorting, and subsampling. VSEARCH also includes commands for FASTQ file processing, i.e., format detection, filtering, read quality statistics, and merging of paired reads. Furthermore, VSEARCH extends functionality with several new commands and improvements, including shuffling, rereplication, masking of low-complexity sequences with the well-known DUST algorithm, a choice among different similarity definitions, and FASTQ file format conversion. VSEARCH is here shown to be more accurate than USEARCH when performing searching, clustering, chimera detection and subsampling, while on a par with USEARCH for paired-ends read merging. VSEARCH is slower than USEARCH when performing clustering and chimera detection, but significantly faster when performing paired-end reads merging and dereplication. VSEARCH is available at https://github.com/torognes/vsearch under either the BSD 2-clause license or the GNU General Public License version 3.0. DISCUSSION VSEARCH has been shown to be a fast, accurate and full-fledged alternative to USEARCH. A free and open-source versatile tool for sequ…","author":[{"dropping-particle":"","family":"Rognes","given":"Torbjørn","non-dropping-particle":"","parse-names":false,"suffix":""},{"dropping-particle":"","family":"Flouri","given":"Tomáš","non-dropping-particle":"","parse-names":false,"suffix":""},{"dropping-particle":"","family":"Nichols","given":"Ben","non-dropping-particle":"","parse-names":false,"suffix":""},{"dropping-particle":"","family":"Quince","given":"Christopher","non-dropping-particle":"","parse-names":false,"suffix":""},{"dropping-particle":"","family":"Mahé","given":"Frédéric","non-dropping-particle":"","parse-names":false,"suffix":""}],"container-title":"PeerJ","id":"ITEM-1","issue":"10","issued":{"date-parts":[["2016"]]},"page":"e2584","title":"VSEARCH: a versatile open source tool for metagenomics.","type":"article-journal","volume":"4"},"uris":["http://www.mendeley.com/documents/?uuid=14c00179-2b57-4f3b-994b-0c98bfbe9c81"]}],"mendeley":{"formattedCitation":"&lt;sup&gt;14&lt;/sup&gt;","plainTextFormattedCitation":"14","previouslyFormattedCitation":"&lt;sup&gt;14&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sz w:val="24"/>
          <w:szCs w:val="24"/>
          <w:vertAlign w:val="superscript"/>
        </w:rPr>
        <w:t>14</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Merging and filtering steps were performed with loose parameters (--</w:t>
      </w:r>
      <w:proofErr w:type="spellStart"/>
      <w:r>
        <w:rPr>
          <w:rFonts w:ascii="Times New Roman" w:hAnsi="Times New Roman" w:cs="Times New Roman"/>
          <w:sz w:val="24"/>
          <w:szCs w:val="24"/>
        </w:rPr>
        <w:t>fastq_mergepairs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fastq_minmergelen</w:t>
      </w:r>
      <w:proofErr w:type="spellEnd"/>
      <w:r>
        <w:rPr>
          <w:rFonts w:ascii="Times New Roman" w:hAnsi="Times New Roman" w:cs="Times New Roman"/>
          <w:sz w:val="24"/>
          <w:szCs w:val="24"/>
        </w:rPr>
        <w:t xml:space="preserve"> 5 -</w:t>
      </w:r>
      <w:proofErr w:type="spellStart"/>
      <w:r>
        <w:rPr>
          <w:rFonts w:ascii="Times New Roman" w:hAnsi="Times New Roman" w:cs="Times New Roman"/>
          <w:sz w:val="24"/>
          <w:szCs w:val="24"/>
        </w:rPr>
        <w:t>fastq_maxdiffs</w:t>
      </w:r>
      <w:proofErr w:type="spellEnd"/>
      <w:r>
        <w:rPr>
          <w:rFonts w:ascii="Times New Roman" w:hAnsi="Times New Roman" w:cs="Times New Roman"/>
          <w:sz w:val="24"/>
          <w:szCs w:val="24"/>
        </w:rPr>
        <w:t xml:space="preserve"> 20; --</w:t>
      </w:r>
      <w:proofErr w:type="spellStart"/>
      <w:r>
        <w:rPr>
          <w:rFonts w:ascii="Times New Roman" w:hAnsi="Times New Roman" w:cs="Times New Roman"/>
          <w:sz w:val="24"/>
          <w:szCs w:val="24"/>
        </w:rPr>
        <w:t>fastq_filter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fastq_minlen</w:t>
      </w:r>
      <w:proofErr w:type="spellEnd"/>
      <w:r>
        <w:rPr>
          <w:rFonts w:ascii="Times New Roman" w:hAnsi="Times New Roman" w:cs="Times New Roman"/>
          <w:sz w:val="24"/>
          <w:szCs w:val="24"/>
        </w:rPr>
        <w:t xml:space="preserve"> 100 -</w:t>
      </w:r>
      <w:proofErr w:type="spellStart"/>
      <w:r>
        <w:rPr>
          <w:rFonts w:ascii="Times New Roman" w:hAnsi="Times New Roman" w:cs="Times New Roman"/>
          <w:sz w:val="24"/>
          <w:szCs w:val="24"/>
        </w:rPr>
        <w:t>fastq_maxee</w:t>
      </w:r>
      <w:proofErr w:type="spellEnd"/>
      <w:r>
        <w:rPr>
          <w:rFonts w:ascii="Times New Roman" w:hAnsi="Times New Roman" w:cs="Times New Roman"/>
          <w:sz w:val="24"/>
          <w:szCs w:val="24"/>
        </w:rPr>
        <w:t xml:space="preserve"> 3.0) to keep most of the data for further analysis. Primers were removed with </w:t>
      </w:r>
      <w:proofErr w:type="spellStart"/>
      <w:r>
        <w:rPr>
          <w:rFonts w:ascii="Times New Roman" w:hAnsi="Times New Roman" w:cs="Times New Roman"/>
          <w:sz w:val="24"/>
          <w:szCs w:val="24"/>
        </w:rPr>
        <w:t>cutadapt</w:t>
      </w:r>
      <w:proofErr w:type="spellEnd"/>
      <w:r>
        <w:rPr>
          <w:rFonts w:ascii="Times New Roman" w:hAnsi="Times New Roman" w:cs="Times New Roman"/>
          <w:sz w:val="24"/>
          <w:szCs w:val="24"/>
        </w:rPr>
        <w:t xml:space="preserve"> (v. 2.3) and reads with no primers found were removed.</w:t>
      </w:r>
      <w:r w:rsidR="001F5AA7" w:rsidRPr="001F5AA7">
        <w:fldChar w:fldCharType="begin"/>
      </w:r>
      <w:r>
        <w:rPr>
          <w:rFonts w:ascii="Times New Roman" w:hAnsi="Times New Roman" w:cs="Times New Roman"/>
          <w:sz w:val="24"/>
          <w:szCs w:val="24"/>
        </w:rPr>
        <w:instrText>ADDIN CSL_CITATION {"citationItems":[{"id":"ITEM-1","itemData":{"DOI":"10.14806/ej.17.1.200","ISSN":"2226-6089","abstract":"In the present research it is investigated the relationship between organizational culture and knowledge management as well their simultaneous effects on performing customer relation management. The picked procedure is descriptive one. The findings show that there is a significant relation between organizational culture and knowledge management, besides every change in each of them can affect justly the successful management in communication with customer. Therefore having a correct understanding of CRM concept as one of up-to-date and effective technology indexes, flexible and entrepreneur cultures as well their simultaneous influence would bring more succeeded CRM performance in an organization also rising values for customer and organization. © 2013 AENSI Publisher All rights reserved.","author":[{"dropping-particle":"","family":"Martin","given":"Marcel","non-dropping-particle":"","parse-names":false,"suffix":""}],"container-title":"EMBnet.journal","id":"ITEM-1","issue":"1","issued":{"date-parts":[["2011","5","2"]]},"page":"10","title":"Cutadapt removes adapter sequences from high-throughput sequencing reads","type":"article-journal","volume":"17"},"uris":["http://www.mendeley.com/documents/?uuid=e2c9b35a-f46a-468d-b5b7-6a7fc7da1800"]}],"mendeley":{"formattedCitation":"&lt;sup&gt;15&lt;/sup&gt;","plainTextFormattedCitation":"15","previouslyFormattedCitation":"&lt;sup&gt;15&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sz w:val="24"/>
          <w:szCs w:val="24"/>
          <w:vertAlign w:val="superscript"/>
        </w:rPr>
        <w:t>15</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Residual reads were collapsed with a custom python script and those with a read count equal to 1 were removed. R</w:t>
      </w:r>
      <w:r>
        <w:rPr>
          <w:rFonts w:ascii="Times New Roman" w:hAnsi="Times New Roman" w:cs="Times New Roman"/>
          <w:sz w:val="24"/>
          <w:szCs w:val="24"/>
        </w:rPr>
        <w:t>e</w:t>
      </w:r>
      <w:r>
        <w:rPr>
          <w:rFonts w:ascii="Times New Roman" w:hAnsi="Times New Roman" w:cs="Times New Roman"/>
          <w:sz w:val="24"/>
          <w:szCs w:val="24"/>
        </w:rPr>
        <w:t xml:space="preserve">maining reads were aligned with </w:t>
      </w:r>
      <w:proofErr w:type="spellStart"/>
      <w:r>
        <w:rPr>
          <w:rFonts w:ascii="Times New Roman" w:hAnsi="Times New Roman" w:cs="Times New Roman"/>
          <w:sz w:val="24"/>
          <w:szCs w:val="24"/>
        </w:rPr>
        <w:t>IgBlast</w:t>
      </w:r>
      <w:proofErr w:type="spellEnd"/>
      <w:r>
        <w:rPr>
          <w:rFonts w:ascii="Times New Roman" w:hAnsi="Times New Roman" w:cs="Times New Roman"/>
          <w:sz w:val="24"/>
          <w:szCs w:val="24"/>
        </w:rPr>
        <w:t xml:space="preserve"> (v.1.8.0) against the IMGT reference database (updated A</w:t>
      </w:r>
      <w:r>
        <w:rPr>
          <w:rFonts w:ascii="Times New Roman" w:hAnsi="Times New Roman" w:cs="Times New Roman"/>
          <w:sz w:val="24"/>
          <w:szCs w:val="24"/>
        </w:rPr>
        <w:t>u</w:t>
      </w:r>
      <w:r>
        <w:rPr>
          <w:rFonts w:ascii="Times New Roman" w:hAnsi="Times New Roman" w:cs="Times New Roman"/>
          <w:sz w:val="24"/>
          <w:szCs w:val="24"/>
        </w:rPr>
        <w:t>gust 2022; http://imgt.org/).</w:t>
      </w:r>
      <w:r w:rsidR="001F5AA7" w:rsidRPr="001F5AA7">
        <w:fldChar w:fldCharType="begin"/>
      </w:r>
      <w:r>
        <w:rPr>
          <w:rFonts w:ascii="Times New Roman" w:hAnsi="Times New Roman" w:cs="Times New Roman"/>
          <w:sz w:val="24"/>
          <w:szCs w:val="24"/>
        </w:rPr>
        <w:instrText>ADDIN CSL_CITATION {"citationItems":[{"id":"ITEM-1","itemData":{"DOI":"10.1093/nar/gku1056","ISSN":"1362-4962","PMID":"25378316","abstract":"IMGT(®), the international ImMunoGeneTics information system(®)(http://www.imgt.org) is the global reference in immunogenetics and immunoinformatics. By its creation in 1989 by Marie-Paule Lefranc (Université de Montpellier and CNRS), IMGT(®) marked the advent of immunoinformatics, which emerged at the interface between immunogenetics and bioinformatics. IMGT(®) is specialized in the immunoglobulins (IG) or antibodies, T cell receptors (TR), major histocompatibility (MH) and proteins of the IgSF and MhSF superfamilies. IMGT(®) is built on the IMGT-ONTOLOGY axioms and concepts, which bridged the gap between genes, sequences and 3D structures. The concepts include the IMGT(®) standardized keywords (identification), IMGT(®) standardized labels (description), IMGT(®) standardized nomenclature (classification), IMGT unique numbering and IMGT Colliers de Perles (numerotation). IMGT(®) comprises 7 databases, 17 online tools and 15,000 pages of web resources, and provides a high-quality and integrated system for analysis of the genomic and expressed IG and TR repertoire of the adaptive immune responses, including NGS high-throughput data. Tools and databases are used in basic, veterinary and medical research, in clinical applications (mutation analysis in leukemia and lymphoma) and in antibody engineering and humanization. The IMGT/mAb-DB interface was developed for therapeutic antibodies and fusion proteins for immunological applications (FPIA). IMGT(®) is freely available at http://www.imgt.org.","author":[{"dropping-particle":"","family":"Lefranc","given":"Marie-Paule","non-dropping-particle":"","parse-names":false,"suffix":""},{"dropping-particle":"","family":"Giudicelli","given":"Véronique","non-dropping-particle":"","parse-names":false,"suffix":""},{"dropping-particle":"","family":"Duroux","given":"Patrice","non-dropping-particle":"","parse-names":false,"suffix":""},{"dropping-particle":"","family":"Jabado-Michaloud","given":"Joumana","non-dropping-particle":"","parse-names":false,"suffix":""},{"dropping-particle":"","family":"Folch","given":"Géraldine","non-dropping-particle":"","parse-names":false,"suffix":""},{"dropping-particle":"","family":"Aouinti","given":"Safa","non-dropping-particle":"","parse-names":false,"suffix":""},{"dropping-particle":"","family":"Carillon","given":"Emilie","non-dropping-particle":"","parse-names":false,"suffix":""},{"dropping-particle":"","family":"Duvergey","given":"Hugo","non-dropping-particle":"","parse-names":false,"suffix":""},{"dropping-particle":"","family":"Houles","given":"Amélie","non-dropping-particle":"","parse-names":false,"suffix":""},{"dropping-particle":"","family":"Paysan-Lafosse","given":"Typhaine","non-dropping-particle":"","parse-names":false,"suffix":""},{"dropping-particle":"","family":"Hadi-Saljoqi","given":"Saida","non-dropping-particle":"","parse-names":false,"suffix":""},{"dropping-particle":"","family":"Sasorith","given":"Souphatta","non-dropping-particle":"","parse-names":false,"suffix":""},{"dropping-particle":"","family":"Lefranc","given":"Gérard","non-dropping-particle":"","parse-names":false,"suffix":""},{"dropping-particle":"","family":"Kossida","given":"Sofia","non-dropping-particle":"","parse-names":false,"suffix":""}],"container-title":"Nucleic acids research","id":"ITEM-1","issue":"Database issue","issued":{"date-parts":[["2015","1"]]},"page":"D413-22","title":"IMGT®, the international ImMunoGeneTics information system® 25 years on.","type":"article-journal","volume":"43"},"uris":["http://www.mendeley.com/documents/?uuid=203fb4a2-5dd2-3d41-be54-0ceba935682b"]},{"id":"ITEM-2","itemData":{"DOI":"10.1093/NAR/GKT382","ISSN":"1362-4962","PMID":"23671333","abstract":"The variable domain of an immunoglobulin (IG) sequence is encoded by multiple genes, including the variable (V) gene, the diversity (D) gene and the joining (J) gene. Analysis of IG sequences typically requires identification of each gene, as well as a comparison of sequence variations in the context of defined regions. General purpose tools, such as the BLAST program, have only limited use for such tasks, as the rearranged nature of an IG sequence and the variable length of each gene requires multiple rounds of BLAST searches for a single IG sequence. Additionally, manual assembly of different genes is difficult and error-prone. To address these issues and to facilitate other common tasks in analysing IG sequences, we have developed the sequence analysis tool IgBLAST (http://www.ncbi.nlm.nih.gov/igblast/). With this tool, users can view the matches to the germline V, D and J genes, details at rearrangement junctions, the delineation of IG V domain framework regions and complementarity determining regions. IgBLAST has the capability to analyse nucleotide and protein sequences and can process sequences in batches. Furthermore, IgBLAST allows searches against the germline gene databases and other sequence databases simultaneously to minimize the chance of missing possibly the best matching germline V gene.","author":[{"dropping-particle":"","family":"Ye","given":"Jian","non-dropping-particle":"","parse-names":false,"suffix":""},{"dropping-particle":"","family":"Ma","given":"Ning","non-dropping-particle":"","parse-names":false,"suffix":""},{"dropping-particle":"","family":"Madden","given":"Thomas L.","non-dropping-particle":"","parse-names":false,"suffix":""},{"dropping-particle":"","family":"Ostell","given":"James M.","non-dropping-particle":"","parse-names":false,"suffix":""}],"container-title":"Nucleic acids research","id":"ITEM-2","issue":"Web Server issue","issued":{"date-parts":[["2013"]]},"publisher":"Nucleic Acids Res","title":"IgBLAST: an immunoglobulin variable domain sequence analysis tool","type":"article-journal","volume":"41"},"uris":["http://www.mendeley.com/documents/?uuid=92f37471-57c5-378e-a036-c51f693f3410"]}],"mendeley":{"formattedCitation":"&lt;sup&gt;2,11&lt;/sup&gt;","plainTextFormattedCitation":"2,11","previouslyFormattedCitation":"&lt;sup&gt;2,11&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vertAlign w:val="superscript"/>
        </w:rPr>
        <w:t>2,11</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The remaining sequences were filtered to keep functional </w:t>
      </w:r>
      <w:proofErr w:type="spellStart"/>
      <w:r>
        <w:rPr>
          <w:rFonts w:ascii="Times New Roman" w:hAnsi="Times New Roman" w:cs="Times New Roman"/>
          <w:sz w:val="24"/>
          <w:szCs w:val="24"/>
        </w:rPr>
        <w:t>Ig</w:t>
      </w:r>
      <w:proofErr w:type="spellEnd"/>
      <w:r>
        <w:rPr>
          <w:rFonts w:ascii="Times New Roman" w:hAnsi="Times New Roman" w:cs="Times New Roman"/>
          <w:sz w:val="24"/>
          <w:szCs w:val="24"/>
        </w:rPr>
        <w:t xml:space="preserve"> sequences only with a custom python script. </w:t>
      </w:r>
      <w:proofErr w:type="spellStart"/>
      <w:r>
        <w:rPr>
          <w:rFonts w:ascii="Times New Roman" w:hAnsi="Times New Roman" w:cs="Times New Roman"/>
          <w:sz w:val="24"/>
          <w:szCs w:val="24"/>
        </w:rPr>
        <w:t>Clonotype</w:t>
      </w:r>
      <w:proofErr w:type="spellEnd"/>
      <w:r>
        <w:rPr>
          <w:rFonts w:ascii="Times New Roman" w:hAnsi="Times New Roman" w:cs="Times New Roman"/>
          <w:sz w:val="24"/>
          <w:szCs w:val="24"/>
        </w:rPr>
        <w:t xml:space="preserve"> assignment and germline identification were performed with the </w:t>
      </w:r>
      <w:proofErr w:type="spellStart"/>
      <w:r>
        <w:rPr>
          <w:rFonts w:ascii="Times New Roman" w:hAnsi="Times New Roman" w:cs="Times New Roman"/>
          <w:sz w:val="24"/>
          <w:szCs w:val="24"/>
        </w:rPr>
        <w:t>ChangeO</w:t>
      </w:r>
      <w:proofErr w:type="spellEnd"/>
      <w:r>
        <w:rPr>
          <w:rFonts w:ascii="Times New Roman" w:hAnsi="Times New Roman" w:cs="Times New Roman"/>
          <w:sz w:val="24"/>
          <w:szCs w:val="24"/>
        </w:rPr>
        <w:t xml:space="preserve"> package (v.0.4.6).</w:t>
      </w:r>
      <w:r w:rsidR="001F5AA7" w:rsidRPr="001F5AA7">
        <w:fldChar w:fldCharType="begin"/>
      </w:r>
      <w:r>
        <w:rPr>
          <w:rFonts w:ascii="Times New Roman" w:hAnsi="Times New Roman" w:cs="Times New Roman"/>
          <w:sz w:val="24"/>
          <w:szCs w:val="24"/>
        </w:rPr>
        <w:instrText>ADDIN CSL_CITATION {"citationItems":[{"id":"ITEM-1","itemData":{"DOI":"10.1093/BIOINFORMATICS/BTV359","ISSN":"1367-4811","PMID":"26069265","abstract":"Advances in high-throughput sequencing technologies now allow for large-scale characterization of B cell immunoglobulin (Ig) repertoires. The high germline and somatic diversity of the Ig repertoire presents challenges for biologically meaningful analysis, which requires specialized computational methods. We have developed a suite of utilities, Change-O, which provides tools for advanced analyses of large-scale Ig repertoire sequencing data. Change-O includes tools for determining the complete set of Ig variable region gene segment alleles carried by an individual (including novel alleles), partitioning of Ig sequences into clonal populations, creating lineage trees, inferring somatic hypermutation targeting models, measuring repertoire diversity, quantifying selection pressure, and calculating sequence chemical properties. All Change-O tools utilize a common data format, which enables the seamless integration of multiple analyses into a single workflow.","author":[{"dropping-particle":"","family":"Gupta","given":"Namita T.","non-dropping-particle":"","parse-names":false,"suffix":""},{"dropping-particle":"","family":"Heiden","given":"Jason A.","non-dropping-particle":"Vander","parse-names":false,"suffix":""},{"dropping-particle":"","family":"Uduman","given":"Mohamed","non-dropping-particle":"","parse-names":false,"suffix":""},{"dropping-particle":"","family":"Gadala-Maria","given":"Daniel","non-dropping-particle":"","parse-names":false,"suffix":""},{"dropping-particle":"","family":"Yaari","given":"Gur","non-dropping-particle":"","parse-names":false,"suffix":""},{"dropping-particle":"","family":"Kleinstein","given":"Steven H.","non-dropping-particle":"","parse-names":false,"suffix":""}],"container-title":"Bioinformatics (Oxford, England)","id":"ITEM-1","issue":"20","issued":{"date-parts":[["2015","3","25"]]},"page":"3356-3358","publisher":"Bioinformatics","title":"Change-O: a toolkit for analyzing large-scale B cell immunoglobulin repertoire sequencing data","type":"article-journal","volume":"31"},"uris":["http://www.mendeley.com/documents/?uuid=21eed981-78d8-3b50-a3d3-454d6e3c5791"]}],"mendeley":{"formattedCitation":"&lt;sup&gt;10&lt;/sup&gt;","plainTextFormattedCitation":"10","previouslyFormattedCitation":"&lt;sup&gt;10&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vertAlign w:val="superscript"/>
        </w:rPr>
        <w:t>10</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We exploited the DefineClones.py package of </w:t>
      </w:r>
      <w:proofErr w:type="spellStart"/>
      <w:r>
        <w:rPr>
          <w:rFonts w:ascii="Times New Roman" w:hAnsi="Times New Roman" w:cs="Times New Roman"/>
          <w:sz w:val="24"/>
          <w:szCs w:val="24"/>
        </w:rPr>
        <w:t>ChangeO</w:t>
      </w:r>
      <w:proofErr w:type="spellEnd"/>
      <w:r>
        <w:rPr>
          <w:rFonts w:ascii="Times New Roman" w:hAnsi="Times New Roman" w:cs="Times New Roman"/>
          <w:sz w:val="24"/>
          <w:szCs w:val="24"/>
        </w:rPr>
        <w:t xml:space="preserve"> which assigns </w:t>
      </w:r>
      <w:proofErr w:type="spellStart"/>
      <w:r>
        <w:rPr>
          <w:rFonts w:ascii="Times New Roman" w:hAnsi="Times New Roman" w:cs="Times New Roman"/>
          <w:sz w:val="24"/>
          <w:szCs w:val="24"/>
        </w:rPr>
        <w:t>clonotypes</w:t>
      </w:r>
      <w:proofErr w:type="spellEnd"/>
      <w:r>
        <w:rPr>
          <w:rFonts w:ascii="Times New Roman" w:hAnsi="Times New Roman" w:cs="Times New Roman"/>
          <w:sz w:val="24"/>
          <w:szCs w:val="24"/>
        </w:rPr>
        <w:t xml:space="preserve"> based on IGHV, IGHJ and similar IGHV </w:t>
      </w:r>
      <w:proofErr w:type="spellStart"/>
      <w:r>
        <w:rPr>
          <w:rFonts w:ascii="Times New Roman" w:hAnsi="Times New Roman" w:cs="Times New Roman"/>
          <w:sz w:val="24"/>
          <w:szCs w:val="24"/>
        </w:rPr>
        <w:t>complementarity</w:t>
      </w:r>
      <w:proofErr w:type="spellEnd"/>
      <w:r>
        <w:rPr>
          <w:rFonts w:ascii="Times New Roman" w:hAnsi="Times New Roman" w:cs="Times New Roman"/>
          <w:sz w:val="24"/>
          <w:szCs w:val="24"/>
        </w:rPr>
        <w:t xml:space="preserve"> region 3 (CDR3) usages. In particular, sequences with same IGHV, IGHJ, and same-length CDR3 with a maximum </w:t>
      </w:r>
      <w:proofErr w:type="spellStart"/>
      <w:r>
        <w:rPr>
          <w:rFonts w:ascii="Times New Roman" w:hAnsi="Times New Roman" w:cs="Times New Roman"/>
          <w:sz w:val="24"/>
          <w:szCs w:val="24"/>
        </w:rPr>
        <w:t>nucleotidic</w:t>
      </w:r>
      <w:proofErr w:type="spellEnd"/>
      <w:r>
        <w:rPr>
          <w:rFonts w:ascii="Times New Roman" w:hAnsi="Times New Roman" w:cs="Times New Roman"/>
          <w:sz w:val="24"/>
          <w:szCs w:val="24"/>
        </w:rPr>
        <w:t xml:space="preserve"> Hamming distance equal to 0.2 were assigned to the same </w:t>
      </w:r>
      <w:proofErr w:type="spellStart"/>
      <w:r>
        <w:rPr>
          <w:rFonts w:ascii="Times New Roman" w:hAnsi="Times New Roman" w:cs="Times New Roman"/>
          <w:sz w:val="24"/>
          <w:szCs w:val="24"/>
        </w:rPr>
        <w:t>clonotype</w:t>
      </w:r>
      <w:proofErr w:type="spellEnd"/>
      <w:r>
        <w:rPr>
          <w:rFonts w:ascii="Times New Roman" w:hAnsi="Times New Roman" w:cs="Times New Roman"/>
          <w:sz w:val="24"/>
          <w:szCs w:val="24"/>
        </w:rPr>
        <w:t xml:space="preserve">/clone. Accordingly, each </w:t>
      </w:r>
      <w:proofErr w:type="spellStart"/>
      <w:r>
        <w:rPr>
          <w:rFonts w:ascii="Times New Roman" w:hAnsi="Times New Roman" w:cs="Times New Roman"/>
          <w:sz w:val="24"/>
          <w:szCs w:val="24"/>
        </w:rPr>
        <w:t>clonotype</w:t>
      </w:r>
      <w:proofErr w:type="spellEnd"/>
      <w:r>
        <w:rPr>
          <w:rFonts w:ascii="Times New Roman" w:hAnsi="Times New Roman" w:cs="Times New Roman"/>
          <w:sz w:val="24"/>
          <w:szCs w:val="24"/>
        </w:rPr>
        <w:t>/clone consists of all descendants (</w:t>
      </w:r>
      <w:proofErr w:type="spellStart"/>
      <w:r>
        <w:rPr>
          <w:rFonts w:ascii="Times New Roman" w:hAnsi="Times New Roman" w:cs="Times New Roman"/>
          <w:sz w:val="24"/>
          <w:szCs w:val="24"/>
        </w:rPr>
        <w:t>subclones</w:t>
      </w:r>
      <w:proofErr w:type="spellEnd"/>
      <w:r>
        <w:rPr>
          <w:rFonts w:ascii="Times New Roman" w:hAnsi="Times New Roman" w:cs="Times New Roman"/>
          <w:sz w:val="24"/>
          <w:szCs w:val="24"/>
        </w:rPr>
        <w:t>) of a single, fully rearranged common ancestor, as the result of the somatic hypermutation (SHM) process introducing mutations at any position, thus yielding multiple VDJ sequence transcripts (</w:t>
      </w:r>
      <w:proofErr w:type="spellStart"/>
      <w:r>
        <w:rPr>
          <w:rFonts w:ascii="Times New Roman" w:hAnsi="Times New Roman" w:cs="Times New Roman"/>
          <w:sz w:val="24"/>
          <w:szCs w:val="24"/>
        </w:rPr>
        <w:t>subclones</w:t>
      </w:r>
      <w:proofErr w:type="spellEnd"/>
      <w:r>
        <w:rPr>
          <w:rFonts w:ascii="Times New Roman" w:hAnsi="Times New Roman" w:cs="Times New Roman"/>
          <w:sz w:val="24"/>
          <w:szCs w:val="24"/>
        </w:rPr>
        <w:t xml:space="preserve">), all deriving from a specific </w:t>
      </w:r>
      <w:proofErr w:type="spellStart"/>
      <w:r>
        <w:rPr>
          <w:rFonts w:ascii="Times New Roman" w:hAnsi="Times New Roman" w:cs="Times New Roman"/>
          <w:sz w:val="24"/>
          <w:szCs w:val="24"/>
        </w:rPr>
        <w:t>clonotype</w:t>
      </w:r>
      <w:proofErr w:type="spellEnd"/>
      <w:r>
        <w:rPr>
          <w:rFonts w:ascii="Times New Roman" w:hAnsi="Times New Roman" w:cs="Times New Roman"/>
          <w:sz w:val="24"/>
          <w:szCs w:val="24"/>
        </w:rPr>
        <w:t>.</w:t>
      </w:r>
    </w:p>
    <w:p w:rsidR="00336347" w:rsidRDefault="00307A15">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This part of the analysis produces three files: 1) *</w:t>
      </w:r>
      <w:proofErr w:type="spellStart"/>
      <w:r>
        <w:rPr>
          <w:rFonts w:ascii="Times New Roman" w:hAnsi="Times New Roman" w:cs="Times New Roman"/>
          <w:sz w:val="24"/>
          <w:szCs w:val="24"/>
        </w:rPr>
        <w:t>MajClone.tab</w:t>
      </w:r>
      <w:proofErr w:type="spellEnd"/>
      <w:r>
        <w:rPr>
          <w:rFonts w:ascii="Times New Roman" w:hAnsi="Times New Roman" w:cs="Times New Roman"/>
          <w:sz w:val="24"/>
          <w:szCs w:val="24"/>
        </w:rPr>
        <w:t xml:space="preserve"> reporting </w:t>
      </w:r>
      <w:proofErr w:type="spellStart"/>
      <w:r>
        <w:rPr>
          <w:rFonts w:ascii="Times New Roman" w:hAnsi="Times New Roman" w:cs="Times New Roman"/>
          <w:sz w:val="24"/>
          <w:szCs w:val="24"/>
        </w:rPr>
        <w:t>clonotypes</w:t>
      </w:r>
      <w:proofErr w:type="spellEnd"/>
      <w:r>
        <w:rPr>
          <w:rFonts w:ascii="Times New Roman" w:hAnsi="Times New Roman" w:cs="Times New Roman"/>
          <w:sz w:val="24"/>
          <w:szCs w:val="24"/>
        </w:rPr>
        <w:t xml:space="preserve"> with their relative frequencies; 2) *germ-</w:t>
      </w:r>
      <w:proofErr w:type="spellStart"/>
      <w:r>
        <w:rPr>
          <w:rFonts w:ascii="Times New Roman" w:hAnsi="Times New Roman" w:cs="Times New Roman"/>
          <w:sz w:val="24"/>
          <w:szCs w:val="24"/>
        </w:rPr>
        <w:t>pass.tab</w:t>
      </w:r>
      <w:proofErr w:type="spellEnd"/>
      <w:r>
        <w:rPr>
          <w:rFonts w:ascii="Times New Roman" w:hAnsi="Times New Roman" w:cs="Times New Roman"/>
          <w:sz w:val="24"/>
          <w:szCs w:val="24"/>
        </w:rPr>
        <w:t>, the ChangeO-generated.tab delimited file with all the information r</w:t>
      </w:r>
      <w:r>
        <w:rPr>
          <w:rFonts w:ascii="Times New Roman" w:hAnsi="Times New Roman" w:cs="Times New Roman"/>
          <w:sz w:val="24"/>
          <w:szCs w:val="24"/>
        </w:rPr>
        <w:t>e</w:t>
      </w:r>
      <w:r>
        <w:rPr>
          <w:rFonts w:ascii="Times New Roman" w:hAnsi="Times New Roman" w:cs="Times New Roman"/>
          <w:sz w:val="24"/>
          <w:szCs w:val="24"/>
        </w:rPr>
        <w:t xml:space="preserve">garding </w:t>
      </w:r>
      <w:proofErr w:type="spellStart"/>
      <w:r>
        <w:rPr>
          <w:rFonts w:ascii="Times New Roman" w:hAnsi="Times New Roman" w:cs="Times New Roman"/>
          <w:sz w:val="24"/>
          <w:szCs w:val="24"/>
        </w:rPr>
        <w:t>Ig</w:t>
      </w:r>
      <w:proofErr w:type="spellEnd"/>
      <w:r>
        <w:rPr>
          <w:rFonts w:ascii="Times New Roman" w:hAnsi="Times New Roman" w:cs="Times New Roman"/>
          <w:sz w:val="24"/>
          <w:szCs w:val="24"/>
        </w:rPr>
        <w:t xml:space="preserve"> analyzed; 3) </w:t>
      </w:r>
      <w:proofErr w:type="spellStart"/>
      <w:r>
        <w:rPr>
          <w:rFonts w:ascii="Times New Roman" w:hAnsi="Times New Roman" w:cs="Times New Roman"/>
          <w:sz w:val="24"/>
          <w:szCs w:val="24"/>
        </w:rPr>
        <w:t>grouped.fastq</w:t>
      </w:r>
      <w:proofErr w:type="spellEnd"/>
      <w:r>
        <w:rPr>
          <w:rFonts w:ascii="Times New Roman" w:hAnsi="Times New Roman" w:cs="Times New Roman"/>
          <w:sz w:val="24"/>
          <w:szCs w:val="24"/>
        </w:rPr>
        <w:t xml:space="preserve"> which is a </w:t>
      </w:r>
      <w:proofErr w:type="spellStart"/>
      <w:r>
        <w:rPr>
          <w:rFonts w:ascii="Times New Roman" w:hAnsi="Times New Roman" w:cs="Times New Roman"/>
          <w:sz w:val="24"/>
          <w:szCs w:val="24"/>
        </w:rPr>
        <w:t>fastq</w:t>
      </w:r>
      <w:proofErr w:type="spellEnd"/>
      <w:r>
        <w:rPr>
          <w:rFonts w:ascii="Times New Roman" w:hAnsi="Times New Roman" w:cs="Times New Roman"/>
          <w:sz w:val="24"/>
          <w:szCs w:val="24"/>
        </w:rPr>
        <w:t xml:space="preserve"> file containing all the reads survived from mer</w:t>
      </w:r>
      <w:r>
        <w:rPr>
          <w:rFonts w:ascii="Times New Roman" w:hAnsi="Times New Roman" w:cs="Times New Roman"/>
          <w:sz w:val="24"/>
          <w:szCs w:val="24"/>
        </w:rPr>
        <w:t>g</w:t>
      </w:r>
      <w:r>
        <w:rPr>
          <w:rFonts w:ascii="Times New Roman" w:hAnsi="Times New Roman" w:cs="Times New Roman"/>
          <w:sz w:val="24"/>
          <w:szCs w:val="24"/>
        </w:rPr>
        <w:t>ing, filtering and primer-removal steps.</w:t>
      </w:r>
    </w:p>
    <w:p w:rsidR="00336347" w:rsidRDefault="00307A15">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All the subsequent analyses were performed only on the sequences belonging to the pathological clone identified as reported above.</w:t>
      </w:r>
    </w:p>
    <w:p w:rsidR="00336347" w:rsidRDefault="00307A15">
      <w:pPr>
        <w:pStyle w:val="PreformattedText"/>
        <w:spacing w:line="360" w:lineRule="auto"/>
        <w:jc w:val="both"/>
        <w:rPr>
          <w:rFonts w:ascii="Times New Roman" w:hAnsi="Times New Roman" w:cs="Times New Roman"/>
          <w:b/>
          <w:iCs/>
          <w:sz w:val="24"/>
          <w:szCs w:val="24"/>
        </w:rPr>
      </w:pPr>
      <w:r>
        <w:rPr>
          <w:rFonts w:ascii="Times New Roman" w:hAnsi="Times New Roman" w:cs="Times New Roman"/>
          <w:b/>
          <w:sz w:val="24"/>
          <w:szCs w:val="24"/>
        </w:rPr>
        <w:t xml:space="preserve">Identification of </w:t>
      </w:r>
      <w:r>
        <w:rPr>
          <w:rFonts w:ascii="Times New Roman" w:hAnsi="Times New Roman" w:cs="Times New Roman"/>
          <w:b/>
          <w:iCs/>
          <w:sz w:val="24"/>
          <w:szCs w:val="24"/>
        </w:rPr>
        <w:t>systematic error, systematic error correction pipeline and ID measurement</w:t>
      </w:r>
    </w:p>
    <w:p w:rsidR="00336347" w:rsidRDefault="00307A15">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The second part of the analysis reported below (Systematic sequencing errors correction pipeline; Fi</w:t>
      </w:r>
      <w:r>
        <w:rPr>
          <w:rFonts w:ascii="Times New Roman" w:hAnsi="Times New Roman" w:cs="Times New Roman"/>
          <w:sz w:val="24"/>
          <w:szCs w:val="24"/>
        </w:rPr>
        <w:t>g</w:t>
      </w:r>
      <w:r>
        <w:rPr>
          <w:rFonts w:ascii="Times New Roman" w:hAnsi="Times New Roman" w:cs="Times New Roman"/>
          <w:sz w:val="24"/>
          <w:szCs w:val="24"/>
        </w:rPr>
        <w:t xml:space="preserve">ure S3) exploits information contained in all the three files generated as reported above to correct </w:t>
      </w:r>
      <w:r>
        <w:rPr>
          <w:rFonts w:ascii="Times New Roman" w:hAnsi="Times New Roman" w:cs="Times New Roman"/>
          <w:bCs/>
          <w:sz w:val="24"/>
          <w:szCs w:val="24"/>
        </w:rPr>
        <w:t>sy</w:t>
      </w:r>
      <w:r>
        <w:rPr>
          <w:rFonts w:ascii="Times New Roman" w:hAnsi="Times New Roman" w:cs="Times New Roman"/>
          <w:bCs/>
          <w:sz w:val="24"/>
          <w:szCs w:val="24"/>
        </w:rPr>
        <w:t>s</w:t>
      </w:r>
      <w:r>
        <w:rPr>
          <w:rFonts w:ascii="Times New Roman" w:hAnsi="Times New Roman" w:cs="Times New Roman"/>
          <w:bCs/>
          <w:sz w:val="24"/>
          <w:szCs w:val="24"/>
        </w:rPr>
        <w:t>tematic sequencing errors</w:t>
      </w:r>
      <w:r>
        <w:rPr>
          <w:rFonts w:ascii="Times New Roman" w:hAnsi="Times New Roman" w:cs="Times New Roman"/>
          <w:sz w:val="24"/>
          <w:szCs w:val="24"/>
        </w:rPr>
        <w:t xml:space="preserve"> and eventually calculated the </w:t>
      </w:r>
      <w:proofErr w:type="spellStart"/>
      <w:r>
        <w:rPr>
          <w:rFonts w:ascii="Times New Roman" w:hAnsi="Times New Roman" w:cs="Times New Roman"/>
          <w:sz w:val="24"/>
          <w:szCs w:val="24"/>
        </w:rPr>
        <w:t>iSI</w:t>
      </w:r>
      <w:proofErr w:type="spellEnd"/>
      <w:r>
        <w:rPr>
          <w:rFonts w:ascii="Times New Roman" w:hAnsi="Times New Roman" w:cs="Times New Roman"/>
          <w:sz w:val="24"/>
          <w:szCs w:val="24"/>
        </w:rPr>
        <w:t xml:space="preserve"> as a measure of ID.</w:t>
      </w:r>
    </w:p>
    <w:p w:rsidR="00336347" w:rsidRDefault="00307A15">
      <w:pPr>
        <w:pStyle w:val="PreformattedText"/>
        <w:spacing w:line="360" w:lineRule="auto"/>
        <w:jc w:val="both"/>
        <w:rPr>
          <w:rFonts w:ascii="Times New Roman" w:hAnsi="Times New Roman" w:cs="Times New Roman"/>
          <w:b/>
          <w:bCs/>
          <w:i/>
          <w:sz w:val="24"/>
          <w:szCs w:val="24"/>
        </w:rPr>
      </w:pPr>
      <w:proofErr w:type="spellStart"/>
      <w:r>
        <w:rPr>
          <w:rFonts w:ascii="Times New Roman" w:hAnsi="Times New Roman" w:cs="Times New Roman"/>
          <w:b/>
          <w:i/>
          <w:sz w:val="24"/>
          <w:szCs w:val="24"/>
        </w:rPr>
        <w:t>i</w:t>
      </w:r>
      <w:proofErr w:type="spellEnd"/>
      <w:r>
        <w:rPr>
          <w:rFonts w:ascii="Times New Roman" w:hAnsi="Times New Roman" w:cs="Times New Roman"/>
          <w:b/>
          <w:i/>
          <w:sz w:val="24"/>
          <w:szCs w:val="24"/>
        </w:rPr>
        <w:t xml:space="preserve">) </w:t>
      </w:r>
      <w:r>
        <w:rPr>
          <w:rFonts w:ascii="Times New Roman" w:hAnsi="Times New Roman" w:cs="Times New Roman"/>
          <w:b/>
          <w:bCs/>
          <w:i/>
          <w:sz w:val="24"/>
          <w:szCs w:val="24"/>
        </w:rPr>
        <w:t>Identification of systematic sequencing errors</w:t>
      </w:r>
    </w:p>
    <w:p w:rsidR="00336347" w:rsidRDefault="00307A15">
      <w:pPr>
        <w:pStyle w:val="PreformattedText"/>
        <w:spacing w:line="360" w:lineRule="auto"/>
        <w:jc w:val="both"/>
        <w:rPr>
          <w:rFonts w:ascii="Times New Roman" w:hAnsi="Times New Roman" w:cs="Times New Roman"/>
          <w:bCs/>
          <w:sz w:val="24"/>
          <w:szCs w:val="24"/>
        </w:rPr>
      </w:pPr>
      <w:r>
        <w:rPr>
          <w:rFonts w:ascii="Times New Roman" w:hAnsi="Times New Roman" w:cs="Times New Roman"/>
          <w:sz w:val="24"/>
          <w:szCs w:val="24"/>
        </w:rPr>
        <w:t xml:space="preserve">We calculated the median </w:t>
      </w:r>
      <w:proofErr w:type="spellStart"/>
      <w:r>
        <w:rPr>
          <w:rFonts w:ascii="Times New Roman" w:hAnsi="Times New Roman" w:cs="Times New Roman"/>
          <w:sz w:val="24"/>
          <w:szCs w:val="24"/>
        </w:rPr>
        <w:t>Phred</w:t>
      </w:r>
      <w:proofErr w:type="spellEnd"/>
      <w:r>
        <w:rPr>
          <w:rFonts w:ascii="Times New Roman" w:hAnsi="Times New Roman" w:cs="Times New Roman"/>
          <w:sz w:val="24"/>
          <w:szCs w:val="24"/>
        </w:rPr>
        <w:t xml:space="preserve"> quality of single nucleotides in dependence of the read position and tri-</w:t>
      </w:r>
      <w:proofErr w:type="spellStart"/>
      <w:r>
        <w:rPr>
          <w:rFonts w:ascii="Times New Roman" w:hAnsi="Times New Roman" w:cs="Times New Roman"/>
          <w:sz w:val="24"/>
          <w:szCs w:val="24"/>
        </w:rPr>
        <w:t>nucleotidic</w:t>
      </w:r>
      <w:proofErr w:type="spellEnd"/>
      <w:r>
        <w:rPr>
          <w:rFonts w:ascii="Times New Roman" w:hAnsi="Times New Roman" w:cs="Times New Roman"/>
          <w:sz w:val="24"/>
          <w:szCs w:val="24"/>
        </w:rPr>
        <w:t xml:space="preserve"> motif before. In keeping with </w:t>
      </w:r>
      <w:proofErr w:type="spellStart"/>
      <w:r>
        <w:rPr>
          <w:rFonts w:ascii="Times New Roman" w:hAnsi="Times New Roman" w:cs="Times New Roman"/>
          <w:sz w:val="24"/>
          <w:szCs w:val="24"/>
        </w:rPr>
        <w:t>Schirmer</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al.</w:t>
      </w:r>
      <w:r w:rsidR="001F5AA7" w:rsidRPr="001F5AA7">
        <w:fldChar w:fldCharType="begin"/>
      </w:r>
      <w:r>
        <w:rPr>
          <w:rFonts w:ascii="Times New Roman" w:hAnsi="Times New Roman" w:cs="Times New Roman"/>
          <w:sz w:val="24"/>
          <w:szCs w:val="24"/>
        </w:rPr>
        <w:instrText>ADDIN CSL_CITATION {"citationItems":[{"id":"ITEM-1","itemData":{"DOI":"10.1093/nar/gku1341","ISSN":"1362-4962","PMID":"25586220","abstract":"With read lengths of currently up to 2 × 300 bp, high throughput and low sequencing costs Illumina's MiSeq is becoming one of the most utilized sequencing platforms worldwide. The platform is manageable and affordable even for smaller labs. This enables quick turnaround on a broad range of applications such as targeted gene sequencing, metagenomics, small genome sequencing and clinical molecular diagnostics. However, Illumina error profiles are still poorly understood and programs are therefore not designed for the idiosyncrasies of Illumina data. A better knowledge of the error patterns is essential for sequence analysis and vital if we are to draw valid conclusions. Studying true genetic variation in a population sample is fundamental for understanding diseases, evolution and origin. We conducted a large study on the error patterns for the MiSeq based on 16S rRNA amplicon sequencing data. We tested state-of-the-art library preparation methods for amplicon sequencing and showed that the library preparation method and the choice of primers are the most significant sources of bias and cause distinct error patterns. Furthermore we tested the efficiency of various error correction strategies and identified quality trimming (Sickle) combined with error correction (BayesHammer) followed by read overlapping (PANDAseq) as the most successful approach, reducing substitution error rates on average by 93%.","author":[{"dropping-particle":"","family":"Schirmer","given":"Melanie","non-dropping-particle":"","parse-names":false,"suffix":""},{"dropping-particle":"","family":"Ijaz","given":"Umer Z.","non-dropping-particle":"","parse-names":false,"suffix":""},{"dropping-particle":"","family":"D'Amore","given":"Rosalinda","non-dropping-particle":"","parse-names":false,"suffix":""},{"dropping-particle":"","family":"Hall","given":"Neil","non-dropping-particle":"","parse-names":false,"suffix":""},{"dropping-particle":"","family":"Sloan","given":"William T.","non-dropping-particle":"","parse-names":false,"suffix":""},{"dropping-particle":"","family":"Quince","given":"Christopher","non-dropping-particle":"","parse-names":false,"suffix":""}],"container-title":"Nucleic acids research","id":"ITEM-1","issue":"6","issued":{"date-parts":[["2015","3","31"]]},"page":"e37","title":"Insight into biases and sequencing errors for amplicon sequencing with the Illumina MiSeq platform.","type":"article-journal","volume":"43"},"uris":["http://www.mendeley.com/documents/?uuid=6340b6fc-8faa-4da1-99a9-0922724e5082"]}],"mendeley":{"formattedCitation":"&lt;sup&gt;16&lt;/sup&gt;","plainTextFormattedCitation":"16","previouslyFormattedCitation":"&lt;sup&gt;16&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sz w:val="24"/>
          <w:szCs w:val="24"/>
          <w:vertAlign w:val="superscript"/>
        </w:rPr>
        <w:t>16</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we observed a global decrease in Read2 (R2) quality respect to Read1 (R1) in the context of experiments carried out using the </w:t>
      </w:r>
      <w:proofErr w:type="spellStart"/>
      <w:r>
        <w:rPr>
          <w:rFonts w:ascii="Times New Roman" w:hAnsi="Times New Roman" w:cs="Times New Roman"/>
          <w:sz w:val="24"/>
          <w:szCs w:val="24"/>
        </w:rPr>
        <w:t>Illumina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MiSeq</w:t>
      </w:r>
      <w:proofErr w:type="spellEnd"/>
      <w:r>
        <w:rPr>
          <w:rFonts w:ascii="Times New Roman" w:hAnsi="Times New Roman" w:cs="Times New Roman"/>
          <w:sz w:val="24"/>
          <w:szCs w:val="24"/>
        </w:rPr>
        <w:t xml:space="preserve"> sequencer; in particular, we found huge drops associated with specific </w:t>
      </w:r>
      <w:proofErr w:type="spellStart"/>
      <w:r>
        <w:rPr>
          <w:rFonts w:ascii="Times New Roman" w:hAnsi="Times New Roman" w:cs="Times New Roman"/>
          <w:sz w:val="24"/>
          <w:szCs w:val="24"/>
        </w:rPr>
        <w:t>trinucleotidics</w:t>
      </w:r>
      <w:proofErr w:type="spellEnd"/>
      <w:r>
        <w:rPr>
          <w:rFonts w:ascii="Times New Roman" w:hAnsi="Times New Roman" w:cs="Times New Roman"/>
          <w:sz w:val="24"/>
          <w:szCs w:val="24"/>
        </w:rPr>
        <w:t xml:space="preserve"> sequences in d</w:t>
      </w:r>
      <w:r>
        <w:rPr>
          <w:rFonts w:ascii="Times New Roman" w:hAnsi="Times New Roman" w:cs="Times New Roman"/>
          <w:sz w:val="24"/>
          <w:szCs w:val="24"/>
        </w:rPr>
        <w:t>e</w:t>
      </w:r>
      <w:r>
        <w:rPr>
          <w:rFonts w:ascii="Times New Roman" w:hAnsi="Times New Roman" w:cs="Times New Roman"/>
          <w:sz w:val="24"/>
          <w:szCs w:val="24"/>
        </w:rPr>
        <w:t xml:space="preserve">pendence of particular read position especially in R2. As shown in Figure S4AC, </w:t>
      </w:r>
      <w:r>
        <w:rPr>
          <w:rFonts w:ascii="Times New Roman" w:hAnsi="Times New Roman" w:cs="Times New Roman"/>
          <w:bCs/>
          <w:sz w:val="24"/>
          <w:szCs w:val="24"/>
        </w:rPr>
        <w:t xml:space="preserve">the </w:t>
      </w:r>
      <w:proofErr w:type="spellStart"/>
      <w:r>
        <w:rPr>
          <w:rFonts w:ascii="Times New Roman" w:hAnsi="Times New Roman" w:cs="Times New Roman"/>
          <w:bCs/>
          <w:sz w:val="24"/>
          <w:szCs w:val="24"/>
        </w:rPr>
        <w:t>heatmaps</w:t>
      </w:r>
      <w:proofErr w:type="spellEnd"/>
      <w:r>
        <w:rPr>
          <w:rFonts w:ascii="Times New Roman" w:hAnsi="Times New Roman" w:cs="Times New Roman"/>
          <w:bCs/>
          <w:sz w:val="24"/>
          <w:szCs w:val="24"/>
        </w:rPr>
        <w:t xml:space="preserve"> of the median </w:t>
      </w:r>
      <w:proofErr w:type="spellStart"/>
      <w:r>
        <w:rPr>
          <w:rFonts w:ascii="Times New Roman" w:hAnsi="Times New Roman" w:cs="Times New Roman"/>
          <w:bCs/>
          <w:sz w:val="24"/>
          <w:szCs w:val="24"/>
        </w:rPr>
        <w:t>Phred</w:t>
      </w:r>
      <w:proofErr w:type="spellEnd"/>
      <w:r>
        <w:rPr>
          <w:rFonts w:ascii="Times New Roman" w:hAnsi="Times New Roman" w:cs="Times New Roman"/>
          <w:bCs/>
          <w:sz w:val="24"/>
          <w:szCs w:val="24"/>
        </w:rPr>
        <w:t xml:space="preserve"> quality observed in dependence of </w:t>
      </w:r>
      <w:proofErr w:type="spellStart"/>
      <w:r>
        <w:rPr>
          <w:rFonts w:ascii="Times New Roman" w:hAnsi="Times New Roman" w:cs="Times New Roman"/>
          <w:bCs/>
          <w:sz w:val="24"/>
          <w:szCs w:val="24"/>
        </w:rPr>
        <w:t>i</w:t>
      </w:r>
      <w:proofErr w:type="spellEnd"/>
      <w:r>
        <w:rPr>
          <w:rFonts w:ascii="Times New Roman" w:hAnsi="Times New Roman" w:cs="Times New Roman"/>
          <w:bCs/>
          <w:sz w:val="24"/>
          <w:szCs w:val="24"/>
        </w:rPr>
        <w:t xml:space="preserve">) the number of cycles, ii) nucleotide observed, and iii) preceding </w:t>
      </w:r>
      <w:proofErr w:type="spellStart"/>
      <w:r>
        <w:rPr>
          <w:rFonts w:ascii="Times New Roman" w:hAnsi="Times New Roman" w:cs="Times New Roman"/>
          <w:bCs/>
          <w:sz w:val="24"/>
          <w:szCs w:val="24"/>
        </w:rPr>
        <w:t>trinucleotidic</w:t>
      </w:r>
      <w:proofErr w:type="spellEnd"/>
      <w:r>
        <w:rPr>
          <w:rFonts w:ascii="Times New Roman" w:hAnsi="Times New Roman" w:cs="Times New Roman"/>
          <w:bCs/>
          <w:sz w:val="24"/>
          <w:szCs w:val="24"/>
        </w:rPr>
        <w:t xml:space="preserve"> motifs is different by comparing </w:t>
      </w:r>
      <w:proofErr w:type="spellStart"/>
      <w:r>
        <w:rPr>
          <w:rFonts w:ascii="Times New Roman" w:hAnsi="Times New Roman" w:cs="Times New Roman"/>
          <w:bCs/>
          <w:sz w:val="24"/>
          <w:szCs w:val="24"/>
        </w:rPr>
        <w:t>MiSeq</w:t>
      </w:r>
      <w:proofErr w:type="spellEnd"/>
      <w:r>
        <w:rPr>
          <w:rFonts w:ascii="Times New Roman" w:hAnsi="Times New Roman" w:cs="Times New Roman"/>
          <w:bCs/>
          <w:sz w:val="24"/>
          <w:szCs w:val="24"/>
        </w:rPr>
        <w:t xml:space="preserve"> Read1 and </w:t>
      </w:r>
      <w:proofErr w:type="spellStart"/>
      <w:r>
        <w:rPr>
          <w:rFonts w:ascii="Times New Roman" w:hAnsi="Times New Roman" w:cs="Times New Roman"/>
          <w:bCs/>
          <w:sz w:val="24"/>
          <w:szCs w:val="24"/>
        </w:rPr>
        <w:t>MiSeq</w:t>
      </w:r>
      <w:proofErr w:type="spellEnd"/>
      <w:r>
        <w:rPr>
          <w:rFonts w:ascii="Times New Roman" w:hAnsi="Times New Roman" w:cs="Times New Roman"/>
          <w:bCs/>
          <w:sz w:val="24"/>
          <w:szCs w:val="24"/>
        </w:rPr>
        <w:t xml:space="preserve"> Read2, the ove</w:t>
      </w:r>
      <w:r>
        <w:rPr>
          <w:rFonts w:ascii="Times New Roman" w:hAnsi="Times New Roman" w:cs="Times New Roman"/>
          <w:bCs/>
          <w:sz w:val="24"/>
          <w:szCs w:val="24"/>
        </w:rPr>
        <w:t>r</w:t>
      </w:r>
      <w:r>
        <w:rPr>
          <w:rFonts w:ascii="Times New Roman" w:hAnsi="Times New Roman" w:cs="Times New Roman"/>
          <w:bCs/>
          <w:sz w:val="24"/>
          <w:szCs w:val="24"/>
        </w:rPr>
        <w:t>all quality being reduced in Read2. Lower mean quality score was observed more frequently in the co</w:t>
      </w:r>
      <w:r>
        <w:rPr>
          <w:rFonts w:ascii="Times New Roman" w:hAnsi="Times New Roman" w:cs="Times New Roman"/>
          <w:bCs/>
          <w:sz w:val="24"/>
          <w:szCs w:val="24"/>
        </w:rPr>
        <w:t>n</w:t>
      </w:r>
      <w:r>
        <w:rPr>
          <w:rFonts w:ascii="Times New Roman" w:hAnsi="Times New Roman" w:cs="Times New Roman"/>
          <w:bCs/>
          <w:sz w:val="24"/>
          <w:szCs w:val="24"/>
        </w:rPr>
        <w:t xml:space="preserve">text of FR3 region of IGHV4 and IGHV5 respect to the others IGHV families, due to the particular </w:t>
      </w:r>
      <w:proofErr w:type="spellStart"/>
      <w:r>
        <w:rPr>
          <w:rFonts w:ascii="Times New Roman" w:hAnsi="Times New Roman" w:cs="Times New Roman"/>
          <w:bCs/>
          <w:sz w:val="24"/>
          <w:szCs w:val="24"/>
        </w:rPr>
        <w:t>trimers</w:t>
      </w:r>
      <w:proofErr w:type="spellEnd"/>
      <w:r>
        <w:rPr>
          <w:rFonts w:ascii="Times New Roman" w:hAnsi="Times New Roman" w:cs="Times New Roman"/>
          <w:bCs/>
          <w:sz w:val="24"/>
          <w:szCs w:val="24"/>
        </w:rPr>
        <w:t xml:space="preserve"> composition of these 2 families (Figure S4C).</w:t>
      </w:r>
    </w:p>
    <w:p w:rsidR="00336347" w:rsidRDefault="00307A15">
      <w:pPr>
        <w:pStyle w:val="PreformattedText"/>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To discriminate between true mutations and </w:t>
      </w:r>
      <w:r>
        <w:rPr>
          <w:rFonts w:ascii="Times New Roman" w:hAnsi="Times New Roman" w:cs="Times New Roman"/>
          <w:bCs/>
          <w:sz w:val="24"/>
          <w:szCs w:val="24"/>
        </w:rPr>
        <w:t>systematic sequencing errors,</w:t>
      </w:r>
      <w:r>
        <w:rPr>
          <w:rFonts w:ascii="Times New Roman" w:hAnsi="Times New Roman" w:cs="Times New Roman"/>
          <w:sz w:val="24"/>
          <w:szCs w:val="24"/>
        </w:rPr>
        <w:t xml:space="preserve"> we selected 62 samples pr</w:t>
      </w:r>
      <w:r>
        <w:rPr>
          <w:rFonts w:ascii="Times New Roman" w:hAnsi="Times New Roman" w:cs="Times New Roman"/>
          <w:sz w:val="24"/>
          <w:szCs w:val="24"/>
        </w:rPr>
        <w:t>e</w:t>
      </w:r>
      <w:r>
        <w:rPr>
          <w:rFonts w:ascii="Times New Roman" w:hAnsi="Times New Roman" w:cs="Times New Roman"/>
          <w:sz w:val="24"/>
          <w:szCs w:val="24"/>
        </w:rPr>
        <w:t xml:space="preserve">viously amplified with the </w:t>
      </w:r>
      <w:proofErr w:type="spellStart"/>
      <w:r>
        <w:rPr>
          <w:rFonts w:ascii="Times New Roman" w:hAnsi="Times New Roman" w:cs="Times New Roman"/>
          <w:sz w:val="24"/>
          <w:szCs w:val="24"/>
        </w:rPr>
        <w:t>LymphoTrack</w:t>
      </w:r>
      <w:proofErr w:type="spellEnd"/>
      <w:r>
        <w:rPr>
          <w:rFonts w:ascii="Times New Roman" w:hAnsi="Times New Roman" w:cs="Times New Roman"/>
          <w:sz w:val="24"/>
          <w:szCs w:val="24"/>
        </w:rPr>
        <w:t xml:space="preserve"> IGHV leader assay and we re-processed them with the </w:t>
      </w:r>
      <w:proofErr w:type="spellStart"/>
      <w:r>
        <w:rPr>
          <w:rFonts w:ascii="Times New Roman" w:hAnsi="Times New Roman" w:cs="Times New Roman"/>
          <w:sz w:val="24"/>
          <w:szCs w:val="24"/>
        </w:rPr>
        <w:t>LymphoTrack</w:t>
      </w:r>
      <w:proofErr w:type="spellEnd"/>
      <w:r>
        <w:rPr>
          <w:rFonts w:ascii="Times New Roman" w:hAnsi="Times New Roman" w:cs="Times New Roman"/>
          <w:sz w:val="24"/>
          <w:szCs w:val="24"/>
        </w:rPr>
        <w:t xml:space="preserve"> IGHV FR2 assay that allows generating completely </w:t>
      </w:r>
      <w:proofErr w:type="spellStart"/>
      <w:r>
        <w:rPr>
          <w:rFonts w:ascii="Times New Roman" w:hAnsi="Times New Roman" w:cs="Times New Roman"/>
          <w:sz w:val="24"/>
          <w:szCs w:val="24"/>
        </w:rPr>
        <w:t>superimposable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MiSeq</w:t>
      </w:r>
      <w:proofErr w:type="spellEnd"/>
      <w:r>
        <w:rPr>
          <w:rFonts w:ascii="Times New Roman" w:hAnsi="Times New Roman" w:cs="Times New Roman"/>
          <w:sz w:val="24"/>
          <w:szCs w:val="24"/>
        </w:rPr>
        <w:t xml:space="preserve"> paired reads (R1, and R2). We exploited the full reads superimposition of the FR2 assay to evaluate whether mut</w:t>
      </w:r>
      <w:r>
        <w:rPr>
          <w:rFonts w:ascii="Times New Roman" w:hAnsi="Times New Roman" w:cs="Times New Roman"/>
          <w:sz w:val="24"/>
          <w:szCs w:val="24"/>
        </w:rPr>
        <w:t>a</w:t>
      </w:r>
      <w:r>
        <w:rPr>
          <w:rFonts w:ascii="Times New Roman" w:hAnsi="Times New Roman" w:cs="Times New Roman"/>
          <w:sz w:val="24"/>
          <w:szCs w:val="24"/>
        </w:rPr>
        <w:t xml:space="preserve">tions observed in the same region of samples processed by using the </w:t>
      </w:r>
      <w:proofErr w:type="spellStart"/>
      <w:r>
        <w:rPr>
          <w:rFonts w:ascii="Times New Roman" w:hAnsi="Times New Roman" w:cs="Times New Roman"/>
          <w:sz w:val="24"/>
          <w:szCs w:val="24"/>
        </w:rPr>
        <w:t>LymphoTrack</w:t>
      </w:r>
      <w:proofErr w:type="spellEnd"/>
      <w:r>
        <w:rPr>
          <w:rFonts w:ascii="Times New Roman" w:hAnsi="Times New Roman" w:cs="Times New Roman"/>
          <w:sz w:val="24"/>
          <w:szCs w:val="24"/>
        </w:rPr>
        <w:t xml:space="preserve"> IGHV leader assay were completely recapitulated. Mutations (respect to the assigned germline) were identified on re-aligned immunoglobulin </w:t>
      </w:r>
      <w:proofErr w:type="spellStart"/>
      <w:r>
        <w:rPr>
          <w:rFonts w:ascii="Times New Roman" w:hAnsi="Times New Roman" w:cs="Times New Roman"/>
          <w:sz w:val="24"/>
          <w:szCs w:val="24"/>
        </w:rPr>
        <w:t>fastq</w:t>
      </w:r>
      <w:proofErr w:type="spellEnd"/>
      <w:r>
        <w:rPr>
          <w:rFonts w:ascii="Times New Roman" w:hAnsi="Times New Roman" w:cs="Times New Roman"/>
          <w:sz w:val="24"/>
          <w:szCs w:val="24"/>
        </w:rPr>
        <w:t xml:space="preserve"> sequences (see below) and mutational frequency was calculated as the ratio between the numbers of the alternate alleles respect to the total observations. Based on a freque</w:t>
      </w:r>
      <w:r>
        <w:rPr>
          <w:rFonts w:ascii="Times New Roman" w:hAnsi="Times New Roman" w:cs="Times New Roman"/>
          <w:sz w:val="24"/>
          <w:szCs w:val="24"/>
        </w:rPr>
        <w:t>n</w:t>
      </w:r>
      <w:r>
        <w:rPr>
          <w:rFonts w:ascii="Times New Roman" w:hAnsi="Times New Roman" w:cs="Times New Roman"/>
          <w:sz w:val="24"/>
          <w:szCs w:val="24"/>
        </w:rPr>
        <w:t xml:space="preserve">cy range of 0.1%-100%, we identified 3,021, and 1,672 mutations respectively using the IGHV leader </w:t>
      </w:r>
      <w:r>
        <w:rPr>
          <w:rFonts w:ascii="Times New Roman" w:hAnsi="Times New Roman" w:cs="Times New Roman"/>
          <w:sz w:val="24"/>
          <w:szCs w:val="24"/>
        </w:rPr>
        <w:lastRenderedPageBreak/>
        <w:t xml:space="preserve">and the IGHV FR2 assay with 1,672 mutations commonly identified by both protocols (Figure S5A). Interestingly, 338 out of 1,349 mutations only identified by the IGHV leader assay had frequencies higher than 1% (range 1%-61%, median 3.13%) that could massively affect the </w:t>
      </w:r>
      <w:proofErr w:type="spellStart"/>
      <w:r>
        <w:rPr>
          <w:rFonts w:ascii="Times New Roman" w:hAnsi="Times New Roman" w:cs="Times New Roman"/>
          <w:sz w:val="24"/>
          <w:szCs w:val="24"/>
        </w:rPr>
        <w:t>iSI</w:t>
      </w:r>
      <w:proofErr w:type="spellEnd"/>
      <w:r>
        <w:rPr>
          <w:rFonts w:ascii="Times New Roman" w:hAnsi="Times New Roman" w:cs="Times New Roman"/>
          <w:sz w:val="24"/>
          <w:szCs w:val="24"/>
        </w:rPr>
        <w:t xml:space="preserve"> calculation and ID measurement (see below). We then calculated the </w:t>
      </w:r>
      <w:proofErr w:type="spellStart"/>
      <w:r>
        <w:rPr>
          <w:rFonts w:ascii="Times New Roman" w:hAnsi="Times New Roman" w:cs="Times New Roman"/>
          <w:sz w:val="24"/>
          <w:szCs w:val="24"/>
        </w:rPr>
        <w:t>Phred</w:t>
      </w:r>
      <w:proofErr w:type="spellEnd"/>
      <w:r>
        <w:rPr>
          <w:rFonts w:ascii="Times New Roman" w:hAnsi="Times New Roman" w:cs="Times New Roman"/>
          <w:sz w:val="24"/>
          <w:szCs w:val="24"/>
        </w:rPr>
        <w:t xml:space="preserve"> quality score for each mutation by means of the </w:t>
      </w:r>
      <w:proofErr w:type="spellStart"/>
      <w:r>
        <w:rPr>
          <w:rFonts w:ascii="Times New Roman" w:hAnsi="Times New Roman" w:cs="Times New Roman"/>
          <w:sz w:val="24"/>
          <w:szCs w:val="24"/>
        </w:rPr>
        <w:t>vsearch</w:t>
      </w:r>
      <w:proofErr w:type="spellEnd"/>
      <w:r>
        <w:rPr>
          <w:rFonts w:ascii="Times New Roman" w:hAnsi="Times New Roman" w:cs="Times New Roman"/>
          <w:sz w:val="24"/>
          <w:szCs w:val="24"/>
        </w:rPr>
        <w:t xml:space="preserve"> algorithm. In the context of the median </w:t>
      </w:r>
      <w:proofErr w:type="spellStart"/>
      <w:r>
        <w:rPr>
          <w:rFonts w:ascii="Times New Roman" w:hAnsi="Times New Roman" w:cs="Times New Roman"/>
          <w:sz w:val="24"/>
          <w:szCs w:val="24"/>
        </w:rPr>
        <w:t>Phred</w:t>
      </w:r>
      <w:proofErr w:type="spellEnd"/>
      <w:r>
        <w:rPr>
          <w:rFonts w:ascii="Times New Roman" w:hAnsi="Times New Roman" w:cs="Times New Roman"/>
          <w:sz w:val="24"/>
          <w:szCs w:val="24"/>
        </w:rPr>
        <w:t xml:space="preserve"> for the 3,021 mutations, a significantly lower </w:t>
      </w:r>
      <w:proofErr w:type="spellStart"/>
      <w:r>
        <w:rPr>
          <w:rFonts w:ascii="Times New Roman" w:hAnsi="Times New Roman" w:cs="Times New Roman"/>
          <w:sz w:val="24"/>
          <w:szCs w:val="24"/>
        </w:rPr>
        <w:t>Phred</w:t>
      </w:r>
      <w:proofErr w:type="spellEnd"/>
      <w:r>
        <w:rPr>
          <w:rFonts w:ascii="Times New Roman" w:hAnsi="Times New Roman" w:cs="Times New Roman"/>
          <w:sz w:val="24"/>
          <w:szCs w:val="24"/>
        </w:rPr>
        <w:t xml:space="preserve"> score was observed for the 1,349 mutations identified only with </w:t>
      </w:r>
      <w:proofErr w:type="spellStart"/>
      <w:r>
        <w:rPr>
          <w:rFonts w:ascii="Times New Roman" w:hAnsi="Times New Roman" w:cs="Times New Roman"/>
          <w:sz w:val="24"/>
          <w:szCs w:val="24"/>
        </w:rPr>
        <w:t>LymphoTrack</w:t>
      </w:r>
      <w:proofErr w:type="spellEnd"/>
      <w:r>
        <w:rPr>
          <w:rFonts w:ascii="Times New Roman" w:hAnsi="Times New Roman" w:cs="Times New Roman"/>
          <w:sz w:val="24"/>
          <w:szCs w:val="24"/>
        </w:rPr>
        <w:t xml:space="preserve"> leader assay r</w:t>
      </w:r>
      <w:r>
        <w:rPr>
          <w:rFonts w:ascii="Times New Roman" w:hAnsi="Times New Roman" w:cs="Times New Roman"/>
          <w:sz w:val="24"/>
          <w:szCs w:val="24"/>
        </w:rPr>
        <w:t>e</w:t>
      </w:r>
      <w:r>
        <w:rPr>
          <w:rFonts w:ascii="Times New Roman" w:hAnsi="Times New Roman" w:cs="Times New Roman"/>
          <w:sz w:val="24"/>
          <w:szCs w:val="24"/>
        </w:rPr>
        <w:t>spect to the 1,672 common mutations (</w:t>
      </w:r>
      <w:r>
        <w:rPr>
          <w:rFonts w:ascii="Times New Roman" w:hAnsi="Times New Roman" w:cs="Times New Roman"/>
          <w:i/>
          <w:sz w:val="24"/>
          <w:szCs w:val="24"/>
        </w:rPr>
        <w:t>P&lt;0.0001</w:t>
      </w:r>
      <w:r>
        <w:rPr>
          <w:rFonts w:ascii="Times New Roman" w:hAnsi="Times New Roman" w:cs="Times New Roman"/>
          <w:sz w:val="24"/>
          <w:szCs w:val="24"/>
        </w:rPr>
        <w:t xml:space="preserve">; Figure S5B). These findings are in keeping with </w:t>
      </w:r>
      <w:proofErr w:type="spellStart"/>
      <w:r>
        <w:rPr>
          <w:rFonts w:ascii="Times New Roman" w:hAnsi="Times New Roman" w:cs="Times New Roman"/>
          <w:sz w:val="24"/>
          <w:szCs w:val="24"/>
        </w:rPr>
        <w:t>Kozich</w:t>
      </w:r>
      <w:proofErr w:type="spellEnd"/>
      <w:r>
        <w:rPr>
          <w:rFonts w:ascii="Times New Roman" w:hAnsi="Times New Roman" w:cs="Times New Roman"/>
          <w:sz w:val="24"/>
          <w:szCs w:val="24"/>
        </w:rPr>
        <w:t xml:space="preserve"> et al. who identified systematic errors as point mutations with </w:t>
      </w:r>
      <w:proofErr w:type="spellStart"/>
      <w:r>
        <w:rPr>
          <w:rFonts w:ascii="Times New Roman" w:hAnsi="Times New Roman" w:cs="Times New Roman"/>
          <w:sz w:val="24"/>
          <w:szCs w:val="24"/>
        </w:rPr>
        <w:t>Phred</w:t>
      </w:r>
      <w:proofErr w:type="spellEnd"/>
      <w:r>
        <w:rPr>
          <w:rFonts w:ascii="Times New Roman" w:hAnsi="Times New Roman" w:cs="Times New Roman"/>
          <w:sz w:val="24"/>
          <w:szCs w:val="24"/>
        </w:rPr>
        <w:t xml:space="preserve"> quality &lt;21.</w:t>
      </w:r>
      <w:r w:rsidR="001F5AA7" w:rsidRPr="001F5AA7">
        <w:fldChar w:fldCharType="begin"/>
      </w:r>
      <w:r>
        <w:rPr>
          <w:rFonts w:ascii="Times New Roman" w:hAnsi="Times New Roman" w:cs="Times New Roman"/>
          <w:sz w:val="24"/>
          <w:szCs w:val="24"/>
        </w:rPr>
        <w:instrText>ADDIN CSL_CITATION {"citationItems":[{"id":"ITEM-1","itemData":{"DOI":"10.1128/AEM.01043-13","ISSN":"1098-5336","PMID":"23793624","abstract":"Rapid advances in sequencing technology have changed the experimental landscape of microbial ecology. In the last 10 years, the field has moved from sequencing hundreds of 16S rRNA gene fragments per study using clone libraries to the sequencing of millions of fragments per study using next-generation sequencing technologies from 454 and Illumina. As these technologies advance, it is critical to assess the strengths, weaknesses, and overall suitability of these platforms for the interrogation of microbial communities. Here, we present an improved method for sequencing variable regions within the 16S rRNA gene using Illumina's MiSeq platform, which is currently capable of producing paired 250-nucleotide reads. We evaluated three overlapping regions of the 16S rRNA gene that vary in length (i.e., V34, V4, and V45) by resequencing a mock community and natural samples from human feces, mouse feces, and soil. By titrating the concentration of 16S rRNA gene amplicons applied to the flow cell and using a quality score-based approach to correct discrepancies between reads used to construct contigs, we were able to reduce error rates by as much as two orders of magnitude. Finally, we reprocessed samples from a previous study to demonstrate that large numbers of samples could be multiplexed and sequenced in parallel with shotgun metagenomes. These analyses demonstrate that our approach can provide data that are at least as good as that generated by the 454 platform while providing considerably higher sequencing coverage for a fraction of the cost.","author":[{"dropping-particle":"","family":"Kozich","given":"James J.","non-dropping-particle":"","parse-names":false,"suffix":""},{"dropping-particle":"","family":"Westcott","given":"Sarah L.","non-dropping-particle":"","parse-names":false,"suffix":""},{"dropping-particle":"","family":"Baxter","given":"Nielson T.","non-dropping-particle":"","parse-names":false,"suffix":""},{"dropping-particle":"","family":"Highlander","given":"Sarah K.","non-dropping-particle":"","parse-names":false,"suffix":""},{"dropping-particle":"","family":"Schloss","given":"Patrick D.","non-dropping-particle":"","parse-names":false,"suffix":""}],"container-title":"Applied and environmental microbiology","id":"ITEM-1","issue":"17","issued":{"date-parts":[["2013","9"]]},"page":"5112-20","title":"Development of a dual-index sequencing strategy and curation pipeline for analyzing amplicon sequence data on the MiSeq Illumina sequencing platform.","type":"article-journal","volume":"79"},"uris":["http://www.mendeley.com/documents/?uuid=934bb18d-3a5a-460c-a506-c67b4ab222bb"]}],"mendeley":{"formattedCitation":"&lt;sup&gt;17&lt;/sup&gt;","plainTextFormattedCitation":"17","previouslyFormattedCitation":"&lt;sup&gt;17&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sz w:val="24"/>
          <w:szCs w:val="24"/>
          <w:vertAlign w:val="superscript"/>
        </w:rPr>
        <w:t>17</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Based on these data, we integrated this information in our custom pipeline to correct sequencing errors.</w:t>
      </w:r>
    </w:p>
    <w:p w:rsidR="00336347" w:rsidRDefault="00307A15">
      <w:pPr>
        <w:pStyle w:val="PreformattedText"/>
        <w:spacing w:line="360" w:lineRule="auto"/>
        <w:jc w:val="both"/>
        <w:rPr>
          <w:rFonts w:ascii="Times New Roman" w:hAnsi="Times New Roman" w:cs="Times New Roman"/>
          <w:b/>
          <w:bCs/>
          <w:i/>
          <w:sz w:val="24"/>
          <w:szCs w:val="24"/>
        </w:rPr>
      </w:pPr>
      <w:r>
        <w:rPr>
          <w:rFonts w:ascii="Times New Roman" w:hAnsi="Times New Roman" w:cs="Times New Roman"/>
          <w:b/>
          <w:bCs/>
          <w:i/>
          <w:sz w:val="24"/>
          <w:szCs w:val="24"/>
        </w:rPr>
        <w:t>ii) Systematic sequencing errors (SSE) correction pipeline</w:t>
      </w:r>
    </w:p>
    <w:p w:rsidR="00336347" w:rsidRDefault="00307A15">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bCs/>
          <w:sz w:val="24"/>
          <w:szCs w:val="24"/>
        </w:rPr>
        <w:t xml:space="preserve">SSE pipeline, summarized in Figure S3, is an original pipeline (Italian Patent n.102022000027138_15422) </w:t>
      </w:r>
      <w:r>
        <w:rPr>
          <w:rFonts w:ascii="Times New Roman" w:hAnsi="Times New Roman" w:cs="Times New Roman"/>
          <w:sz w:val="24"/>
          <w:szCs w:val="24"/>
        </w:rPr>
        <w:t>made of 5 different packages: realign-reads.py, Ig-Mutations_parsing_from-unique.py, Parse_Ig_QUAL.py, reCollapse.py and iSI_calculation.py. Re</w:t>
      </w:r>
      <w:r>
        <w:rPr>
          <w:rFonts w:ascii="Times New Roman" w:hAnsi="Times New Roman" w:cs="Times New Roman"/>
          <w:sz w:val="24"/>
          <w:szCs w:val="24"/>
        </w:rPr>
        <w:t>a</w:t>
      </w:r>
      <w:r>
        <w:rPr>
          <w:rFonts w:ascii="Times New Roman" w:hAnsi="Times New Roman" w:cs="Times New Roman"/>
          <w:sz w:val="24"/>
          <w:szCs w:val="24"/>
        </w:rPr>
        <w:t xml:space="preserve">lign-reads.py takes original </w:t>
      </w:r>
      <w:proofErr w:type="spellStart"/>
      <w:r>
        <w:rPr>
          <w:rFonts w:ascii="Times New Roman" w:hAnsi="Times New Roman" w:cs="Times New Roman"/>
          <w:sz w:val="24"/>
          <w:szCs w:val="24"/>
        </w:rPr>
        <w:t>fastq</w:t>
      </w:r>
      <w:proofErr w:type="spellEnd"/>
      <w:r>
        <w:rPr>
          <w:rFonts w:ascii="Times New Roman" w:hAnsi="Times New Roman" w:cs="Times New Roman"/>
          <w:sz w:val="24"/>
          <w:szCs w:val="24"/>
        </w:rPr>
        <w:t xml:space="preserve"> data, selects reads belonging to the pathological clone and realigns them against the IMGT-gapped germline sequences and produces a .</w:t>
      </w:r>
      <w:proofErr w:type="spellStart"/>
      <w:r>
        <w:rPr>
          <w:rFonts w:ascii="Times New Roman" w:hAnsi="Times New Roman" w:cs="Times New Roman"/>
          <w:sz w:val="24"/>
          <w:szCs w:val="24"/>
        </w:rPr>
        <w:t>fasta</w:t>
      </w:r>
      <w:proofErr w:type="spellEnd"/>
      <w:r>
        <w:rPr>
          <w:rFonts w:ascii="Times New Roman" w:hAnsi="Times New Roman" w:cs="Times New Roman"/>
          <w:sz w:val="24"/>
          <w:szCs w:val="24"/>
        </w:rPr>
        <w:t xml:space="preserve"> file whose sequences are aligned according the IMGT numeration. Ig-Mutations_parsing_from-unique.py package takes as input the aligned .</w:t>
      </w:r>
      <w:proofErr w:type="spellStart"/>
      <w:r>
        <w:rPr>
          <w:rFonts w:ascii="Times New Roman" w:hAnsi="Times New Roman" w:cs="Times New Roman"/>
          <w:sz w:val="24"/>
          <w:szCs w:val="24"/>
        </w:rPr>
        <w:t>fasta</w:t>
      </w:r>
      <w:proofErr w:type="spellEnd"/>
      <w:r>
        <w:rPr>
          <w:rFonts w:ascii="Times New Roman" w:hAnsi="Times New Roman" w:cs="Times New Roman"/>
          <w:sz w:val="24"/>
          <w:szCs w:val="24"/>
        </w:rPr>
        <w:t xml:space="preserve"> file and generates a pileup file consisting in a </w:t>
      </w:r>
      <w:proofErr w:type="spellStart"/>
      <w:r>
        <w:rPr>
          <w:rFonts w:ascii="Times New Roman" w:hAnsi="Times New Roman" w:cs="Times New Roman"/>
          <w:sz w:val="24"/>
          <w:szCs w:val="24"/>
        </w:rPr>
        <w:t>NxM</w:t>
      </w:r>
      <w:proofErr w:type="spellEnd"/>
      <w:r>
        <w:rPr>
          <w:rFonts w:ascii="Times New Roman" w:hAnsi="Times New Roman" w:cs="Times New Roman"/>
          <w:sz w:val="24"/>
          <w:szCs w:val="24"/>
        </w:rPr>
        <w:t xml:space="preserve"> table (with N</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A, C, G, T], all the possible nucleotides, M=[1...n], all the </w:t>
      </w:r>
      <w:proofErr w:type="spellStart"/>
      <w:r>
        <w:rPr>
          <w:rFonts w:ascii="Times New Roman" w:hAnsi="Times New Roman" w:cs="Times New Roman"/>
          <w:sz w:val="24"/>
          <w:szCs w:val="24"/>
        </w:rPr>
        <w:t>Ig</w:t>
      </w:r>
      <w:proofErr w:type="spellEnd"/>
      <w:r>
        <w:rPr>
          <w:rFonts w:ascii="Times New Roman" w:hAnsi="Times New Roman" w:cs="Times New Roman"/>
          <w:sz w:val="24"/>
          <w:szCs w:val="24"/>
        </w:rPr>
        <w:t xml:space="preserve"> positions (Figure S3). The Parse_Ig_QUAL.py is responsible for the SSE identification and correction. Briefly, to identify SSE the pileup generated in the previous step is parsed and all the positions with a cumulative frequency &gt;=0.1 are considered. If the median quality observed in dependence of the </w:t>
      </w:r>
      <w:proofErr w:type="spellStart"/>
      <w:r>
        <w:rPr>
          <w:rFonts w:ascii="Times New Roman" w:hAnsi="Times New Roman" w:cs="Times New Roman"/>
          <w:sz w:val="24"/>
          <w:szCs w:val="24"/>
        </w:rPr>
        <w:t>Ig</w:t>
      </w:r>
      <w:proofErr w:type="spellEnd"/>
      <w:r>
        <w:rPr>
          <w:rFonts w:ascii="Times New Roman" w:hAnsi="Times New Roman" w:cs="Times New Roman"/>
          <w:sz w:val="24"/>
          <w:szCs w:val="24"/>
        </w:rPr>
        <w:t>-position is lower than 21 it is considered as a SSE and co</w:t>
      </w:r>
      <w:r>
        <w:rPr>
          <w:rFonts w:ascii="Times New Roman" w:hAnsi="Times New Roman" w:cs="Times New Roman"/>
          <w:sz w:val="24"/>
          <w:szCs w:val="24"/>
        </w:rPr>
        <w:t>r</w:t>
      </w:r>
      <w:r>
        <w:rPr>
          <w:rFonts w:ascii="Times New Roman" w:hAnsi="Times New Roman" w:cs="Times New Roman"/>
          <w:sz w:val="24"/>
          <w:szCs w:val="24"/>
        </w:rPr>
        <w:t>rected. The erroneous nucleotide is substituted with the second most expressed nucleotide in that pos</w:t>
      </w:r>
      <w:r>
        <w:rPr>
          <w:rFonts w:ascii="Times New Roman" w:hAnsi="Times New Roman" w:cs="Times New Roman"/>
          <w:sz w:val="24"/>
          <w:szCs w:val="24"/>
        </w:rPr>
        <w:t>i</w:t>
      </w:r>
      <w:r>
        <w:rPr>
          <w:rFonts w:ascii="Times New Roman" w:hAnsi="Times New Roman" w:cs="Times New Roman"/>
          <w:sz w:val="24"/>
          <w:szCs w:val="24"/>
        </w:rPr>
        <w:t>tion with the highest median quality (figure S6). ReCollapse.py re-collapses the newly corrected s</w:t>
      </w:r>
      <w:r>
        <w:rPr>
          <w:rFonts w:ascii="Times New Roman" w:hAnsi="Times New Roman" w:cs="Times New Roman"/>
          <w:sz w:val="24"/>
          <w:szCs w:val="24"/>
        </w:rPr>
        <w:t>e</w:t>
      </w:r>
      <w:r>
        <w:rPr>
          <w:rFonts w:ascii="Times New Roman" w:hAnsi="Times New Roman" w:cs="Times New Roman"/>
          <w:sz w:val="24"/>
          <w:szCs w:val="24"/>
        </w:rPr>
        <w:t xml:space="preserve">quences and iSI_calculation.py calculates the </w:t>
      </w:r>
      <w:proofErr w:type="spellStart"/>
      <w:r>
        <w:rPr>
          <w:rFonts w:ascii="Times New Roman" w:hAnsi="Times New Roman" w:cs="Times New Roman"/>
          <w:sz w:val="24"/>
          <w:szCs w:val="24"/>
        </w:rPr>
        <w:t>iSI</w:t>
      </w:r>
      <w:proofErr w:type="spellEnd"/>
      <w:r>
        <w:rPr>
          <w:rFonts w:ascii="Times New Roman" w:hAnsi="Times New Roman" w:cs="Times New Roman"/>
          <w:sz w:val="24"/>
          <w:szCs w:val="24"/>
        </w:rPr>
        <w:t xml:space="preserve"> on corrected sequences.</w:t>
      </w:r>
    </w:p>
    <w:p w:rsidR="00336347" w:rsidRDefault="00307A15">
      <w:pPr>
        <w:pStyle w:val="PreformattedText"/>
        <w:spacing w:line="360" w:lineRule="auto"/>
        <w:jc w:val="both"/>
        <w:rPr>
          <w:rFonts w:ascii="Times New Roman" w:hAnsi="Times New Roman" w:cs="Times New Roman"/>
          <w:b/>
          <w:bCs/>
          <w:i/>
          <w:sz w:val="24"/>
          <w:szCs w:val="24"/>
        </w:rPr>
      </w:pPr>
      <w:r>
        <w:rPr>
          <w:rFonts w:ascii="Times New Roman" w:hAnsi="Times New Roman" w:cs="Times New Roman"/>
          <w:b/>
          <w:i/>
          <w:sz w:val="24"/>
          <w:szCs w:val="24"/>
        </w:rPr>
        <w:t xml:space="preserve">iii) </w:t>
      </w:r>
      <w:r>
        <w:rPr>
          <w:rFonts w:ascii="Times New Roman" w:hAnsi="Times New Roman" w:cs="Times New Roman"/>
          <w:b/>
          <w:bCs/>
          <w:i/>
          <w:sz w:val="24"/>
          <w:szCs w:val="24"/>
        </w:rPr>
        <w:t>Inverse Simpson index (</w:t>
      </w:r>
      <w:proofErr w:type="spellStart"/>
      <w:r>
        <w:rPr>
          <w:rFonts w:ascii="Times New Roman" w:hAnsi="Times New Roman" w:cs="Times New Roman"/>
          <w:b/>
          <w:bCs/>
          <w:i/>
          <w:sz w:val="24"/>
          <w:szCs w:val="24"/>
        </w:rPr>
        <w:t>iSI</w:t>
      </w:r>
      <w:proofErr w:type="spellEnd"/>
      <w:r>
        <w:rPr>
          <w:rFonts w:ascii="Times New Roman" w:hAnsi="Times New Roman" w:cs="Times New Roman"/>
          <w:b/>
          <w:bCs/>
          <w:i/>
          <w:sz w:val="24"/>
          <w:szCs w:val="24"/>
        </w:rPr>
        <w:t>) calculation</w:t>
      </w:r>
    </w:p>
    <w:p w:rsidR="00336347" w:rsidRDefault="00307A15">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See main text.</w:t>
      </w:r>
    </w:p>
    <w:p w:rsidR="00336347" w:rsidRDefault="00307A15">
      <w:pPr>
        <w:pStyle w:val="PreformattedText"/>
        <w:spacing w:line="360" w:lineRule="auto"/>
        <w:jc w:val="both"/>
        <w:rPr>
          <w:rFonts w:ascii="Times New Roman" w:hAnsi="Times New Roman" w:cs="Times New Roman"/>
          <w:sz w:val="24"/>
          <w:szCs w:val="24"/>
        </w:rPr>
      </w:pPr>
      <w:r>
        <w:rPr>
          <w:rFonts w:ascii="Times New Roman" w:hAnsi="Times New Roman" w:cs="Times New Roman"/>
          <w:b/>
          <w:sz w:val="24"/>
          <w:szCs w:val="24"/>
        </w:rPr>
        <w:t>IGHV Leader and FR1 assays comparison</w:t>
      </w:r>
    </w:p>
    <w:p w:rsidR="00336347" w:rsidRDefault="00307A15">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summarized in Figure S2, IGHV libraries were generated in 923 samples using IGHV Leader-specific primers starting from </w:t>
      </w:r>
      <w:proofErr w:type="spellStart"/>
      <w:r>
        <w:rPr>
          <w:rFonts w:ascii="Times New Roman" w:hAnsi="Times New Roman" w:cs="Times New Roman"/>
          <w:sz w:val="24"/>
          <w:szCs w:val="24"/>
        </w:rPr>
        <w:t>cDNA</w:t>
      </w:r>
      <w:proofErr w:type="spellEnd"/>
      <w:r>
        <w:rPr>
          <w:rFonts w:ascii="Times New Roman" w:hAnsi="Times New Roman" w:cs="Times New Roman"/>
          <w:sz w:val="24"/>
          <w:szCs w:val="24"/>
        </w:rPr>
        <w:t xml:space="preserve">, while in 168 samples IGHV FR1-specific primers were employed to amplify DNA. The </w:t>
      </w:r>
      <w:proofErr w:type="spellStart"/>
      <w:r>
        <w:rPr>
          <w:rFonts w:ascii="Times New Roman" w:hAnsi="Times New Roman" w:cs="Times New Roman"/>
          <w:sz w:val="24"/>
          <w:szCs w:val="24"/>
        </w:rPr>
        <w:t>LymphoTrack</w:t>
      </w:r>
      <w:proofErr w:type="spellEnd"/>
      <w:r>
        <w:rPr>
          <w:rFonts w:ascii="Times New Roman" w:hAnsi="Times New Roman" w:cs="Times New Roman"/>
          <w:sz w:val="24"/>
          <w:szCs w:val="24"/>
        </w:rPr>
        <w:t xml:space="preserve"> IGHV FR1 assay was also used for libraries generation from DNA </w:t>
      </w:r>
      <w:r>
        <w:rPr>
          <w:rFonts w:ascii="Times New Roman" w:hAnsi="Times New Roman" w:cs="Times New Roman"/>
          <w:sz w:val="24"/>
          <w:szCs w:val="24"/>
        </w:rPr>
        <w:lastRenderedPageBreak/>
        <w:t>of DLBCL, FL, HCL, and MCL.</w:t>
      </w:r>
    </w:p>
    <w:p w:rsidR="00336347" w:rsidRDefault="00307A15">
      <w:pPr>
        <w:pStyle w:val="PreformattedText"/>
        <w:tabs>
          <w:tab w:val="left" w:pos="864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demonstrate that </w:t>
      </w:r>
      <w:proofErr w:type="spellStart"/>
      <w:r>
        <w:rPr>
          <w:rFonts w:ascii="Times New Roman" w:hAnsi="Times New Roman" w:cs="Times New Roman"/>
          <w:sz w:val="24"/>
          <w:szCs w:val="24"/>
        </w:rPr>
        <w:t>iSI</w:t>
      </w:r>
      <w:proofErr w:type="spellEnd"/>
      <w:r>
        <w:rPr>
          <w:rFonts w:ascii="Times New Roman" w:hAnsi="Times New Roman" w:cs="Times New Roman"/>
          <w:sz w:val="24"/>
          <w:szCs w:val="24"/>
        </w:rPr>
        <w:t xml:space="preserve"> calculation would provide </w:t>
      </w:r>
      <w:proofErr w:type="spellStart"/>
      <w:r>
        <w:rPr>
          <w:rFonts w:ascii="Times New Roman" w:hAnsi="Times New Roman" w:cs="Times New Roman"/>
          <w:sz w:val="24"/>
          <w:szCs w:val="24"/>
        </w:rPr>
        <w:t>superimposable</w:t>
      </w:r>
      <w:proofErr w:type="spellEnd"/>
      <w:r>
        <w:rPr>
          <w:rFonts w:ascii="Times New Roman" w:hAnsi="Times New Roman" w:cs="Times New Roman"/>
          <w:sz w:val="24"/>
          <w:szCs w:val="24"/>
        </w:rPr>
        <w:t xml:space="preserve"> results when analyzing libraries generated from IGHV Leader assays and/or IGHV FR1 assays, we amplified 2 </w:t>
      </w:r>
      <w:proofErr w:type="spellStart"/>
      <w:r>
        <w:rPr>
          <w:rFonts w:ascii="Times New Roman" w:hAnsi="Times New Roman" w:cs="Times New Roman"/>
          <w:sz w:val="24"/>
          <w:szCs w:val="24"/>
        </w:rPr>
        <w:t>ul</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cDNA</w:t>
      </w:r>
      <w:proofErr w:type="spellEnd"/>
      <w:r>
        <w:rPr>
          <w:rFonts w:ascii="Times New Roman" w:hAnsi="Times New Roman" w:cs="Times New Roman"/>
          <w:sz w:val="24"/>
          <w:szCs w:val="24"/>
        </w:rPr>
        <w:t xml:space="preserve"> and 100 </w:t>
      </w:r>
      <w:proofErr w:type="spellStart"/>
      <w:r>
        <w:rPr>
          <w:rFonts w:ascii="Times New Roman" w:hAnsi="Times New Roman" w:cs="Times New Roman"/>
          <w:sz w:val="24"/>
          <w:szCs w:val="24"/>
        </w:rPr>
        <w:t>ng</w:t>
      </w:r>
      <w:proofErr w:type="spellEnd"/>
      <w:r>
        <w:rPr>
          <w:rFonts w:ascii="Times New Roman" w:hAnsi="Times New Roman" w:cs="Times New Roman"/>
          <w:sz w:val="24"/>
          <w:szCs w:val="24"/>
        </w:rPr>
        <w:t xml:space="preserve"> of DNA of 91 CLL samples, all with a single and identifiable pathological clone and different levels of ID, both with </w:t>
      </w:r>
      <w:proofErr w:type="spellStart"/>
      <w:r>
        <w:rPr>
          <w:rFonts w:ascii="Times New Roman" w:hAnsi="Times New Roman" w:cs="Times New Roman"/>
          <w:sz w:val="24"/>
          <w:szCs w:val="24"/>
        </w:rPr>
        <w:t>LymphoTrack</w:t>
      </w:r>
      <w:proofErr w:type="spellEnd"/>
      <w:r>
        <w:rPr>
          <w:rFonts w:ascii="Times New Roman" w:hAnsi="Times New Roman" w:cs="Times New Roman"/>
          <w:sz w:val="24"/>
          <w:szCs w:val="24"/>
        </w:rPr>
        <w:t xml:space="preserve"> IGHV Leader and IGHV FR1 assays, respectively. Libraries were s</w:t>
      </w:r>
      <w:r>
        <w:rPr>
          <w:rFonts w:ascii="Times New Roman" w:hAnsi="Times New Roman" w:cs="Times New Roman"/>
          <w:sz w:val="24"/>
          <w:szCs w:val="24"/>
        </w:rPr>
        <w:t>e</w:t>
      </w:r>
      <w:r>
        <w:rPr>
          <w:rFonts w:ascii="Times New Roman" w:hAnsi="Times New Roman" w:cs="Times New Roman"/>
          <w:sz w:val="24"/>
          <w:szCs w:val="24"/>
        </w:rPr>
        <w:t>quenced on different flow cells to avoid possible errors in index assignment. IGHV Leader/FR1 data were processed with our custom pipeline for error correction and sequence frequencies were compared. Identification of the pathological clone was performed as reported above, and accordingly all the i</w:t>
      </w:r>
      <w:r>
        <w:rPr>
          <w:rFonts w:ascii="Times New Roman" w:hAnsi="Times New Roman" w:cs="Times New Roman"/>
          <w:sz w:val="24"/>
          <w:szCs w:val="24"/>
        </w:rPr>
        <w:t>m</w:t>
      </w:r>
      <w:r>
        <w:rPr>
          <w:rFonts w:ascii="Times New Roman" w:hAnsi="Times New Roman" w:cs="Times New Roman"/>
          <w:sz w:val="24"/>
          <w:szCs w:val="24"/>
        </w:rPr>
        <w:t xml:space="preserve">munoglobulin sequences different in terms of </w:t>
      </w:r>
      <w:proofErr w:type="spellStart"/>
      <w:r>
        <w:rPr>
          <w:rFonts w:ascii="Times New Roman" w:hAnsi="Times New Roman" w:cs="Times New Roman"/>
          <w:sz w:val="24"/>
          <w:szCs w:val="24"/>
        </w:rPr>
        <w:t>nucleotidic</w:t>
      </w:r>
      <w:proofErr w:type="spellEnd"/>
      <w:r>
        <w:rPr>
          <w:rFonts w:ascii="Times New Roman" w:hAnsi="Times New Roman" w:cs="Times New Roman"/>
          <w:sz w:val="24"/>
          <w:szCs w:val="24"/>
        </w:rPr>
        <w:t xml:space="preserve"> sequence were identified as </w:t>
      </w:r>
      <w:proofErr w:type="spellStart"/>
      <w:r>
        <w:rPr>
          <w:rFonts w:ascii="Times New Roman" w:hAnsi="Times New Roman" w:cs="Times New Roman"/>
          <w:sz w:val="24"/>
          <w:szCs w:val="24"/>
        </w:rPr>
        <w:t>subclones</w:t>
      </w:r>
      <w:proofErr w:type="spellEnd"/>
      <w:r>
        <w:rPr>
          <w:rFonts w:ascii="Times New Roman" w:hAnsi="Times New Roman" w:cs="Times New Roman"/>
          <w:sz w:val="24"/>
          <w:szCs w:val="24"/>
        </w:rPr>
        <w:t xml:space="preserve">. We then generated a python script which clusters sequences between IGHV Leader and FR1 data with a 100% identity through the DBSCAN </w:t>
      </w:r>
      <w:proofErr w:type="spellStart"/>
      <w:r>
        <w:rPr>
          <w:rFonts w:ascii="Times New Roman" w:hAnsi="Times New Roman" w:cs="Times New Roman"/>
          <w:sz w:val="24"/>
          <w:szCs w:val="24"/>
        </w:rPr>
        <w:t>algorythm</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sklearn</w:t>
      </w:r>
      <w:proofErr w:type="spellEnd"/>
      <w:r>
        <w:rPr>
          <w:rFonts w:ascii="Times New Roman" w:hAnsi="Times New Roman" w:cs="Times New Roman"/>
          <w:sz w:val="24"/>
          <w:szCs w:val="24"/>
        </w:rPr>
        <w:t xml:space="preserve"> python package.</w:t>
      </w:r>
      <w:r w:rsidR="001F5AA7" w:rsidRPr="001F5AA7">
        <w:fldChar w:fldCharType="begin"/>
      </w:r>
      <w:r>
        <w:rPr>
          <w:rFonts w:ascii="Times New Roman" w:hAnsi="Times New Roman" w:cs="Times New Roman"/>
          <w:sz w:val="24"/>
          <w:szCs w:val="24"/>
        </w:rPr>
        <w:instrText>ADDIN CSL_CITATION {"citationItems":[{"id":"ITEM-1","itemData":{"abstract":"Clustering algorithms are attractive for the task of class identification in spatial databases. However, the application to large spatial databases rises the following requirements for clustering algorithms: minimal requirements of domain knowledge to determine the input parameters, discovery of clusters with arbitrary shape and good efficiency on large databases. The well-known clustering algorithms offer no solution to the combination of these requirements. In this paper, we present the new clustering algorithm DBSCAN relying on a density-based notion of clusters which is designed to discover clusters of arbitrary shape. DBSCAN requires only one input parameter and supports the user in determining an appropriate value for it. We performed an experimental evaluation of the effectiveness and efficiency of DBSCAN using synthetic data and real data of the SEQUOIA 2000 benchmark. The results of our experiments demonstrate that (1) DBSCAN is significantly more effective in discovering clusters of arbitrary shape than the well-known algorithm CLAR-ANS, and that (2) DBSCAN outperforms CLARANS by factor of more than 100 in terms of efficiency.","author":[{"dropping-particle":"","family":"Ester","given":"Martin","non-dropping-particle":"","parse-names":false,"suffix":""},{"dropping-particle":"","family":"Kriegel","given":"Hans-Peter","non-dropping-particle":"","parse-names":false,"suffix":""},{"dropping-particle":"","family":"Sander","given":"Jiirg","non-dropping-particle":"","parse-names":false,"suffix":""},{"dropping-particle":"","family":"Xu","given":"Xiaowei","non-dropping-particle":"","parse-names":false,"suffix":""}],"id":"ITEM-1","issued":{"date-parts":[["1996"]]},"title":"A Density-Based Algorithm for Discovering Clusters in Large Spatial Databases with Noise","type":"article-journal"},"uris":["http://www.mendeley.com/documents/?uuid=6429556e-38c3-3605-a34c-e5eb6a0ea173"]},{"id":"ITEM-2","itemData":{"DOI":"10.1145/3068335","ISSN":"0362-5915","abstract":"At SIGMOD 2015, an article was presented with the title “DBSCAN Revisited: Mis-Claim, Un-Fixability, and Approximation” that won the conference’s best paper award. In this technical correspondence, we want to point out some inaccuracies in the way DBSCAN was represented, and why the criticism should have been directed at the assumption about the performance of spatial index structures such as R-trees and not at an algorithm that can use such indexes. We will also discuss the relationship of DBSCAN performance and the indexability of the dataset, and discuss some heuristics for choosing appropriate DBSCAN parameters. Some indicators of bad parameters will be proposed to help guide future users of this algorithm in choosing parameters such as to obtain both meaningful results and good performance. In new experiments, we show that the new SIGMOD 2015 methods do not appear to offer practical benefits if the DBSCAN parameters are well chosen and thus they are primarily of theoretical interest. In conclusion, the original DBSCAN algorithm with effective indexes and reasonably chosen parameter values performs competitively compared to the method proposed by Gan and Tao.","author":[{"dropping-particle":"","family":"Schubert","given":"Erich","non-dropping-particle":"","parse-names":false,"suffix":""},{"dropping-particle":"","family":"Sander","given":"Jörg","non-dropping-particle":"","parse-names":false,"suffix":""},{"dropping-particle":"","family":"Ester","given":"Martin","non-dropping-particle":"","parse-names":false,"suffix":""},{"dropping-particle":"","family":"Kriegel","given":"Hans Peter","non-dropping-particle":"","parse-names":false,"suffix":""},{"dropping-particle":"","family":"Xu","given":"Xiaowei","non-dropping-particle":"","parse-names":false,"suffix":""}],"container-title":"ACM Transactions on Database Systems","id":"ITEM-2","issue":"3","issued":{"date-parts":[["2017","9","30"]]},"page":"1-21","publisher":"ACM PUB27 New York, NY, USA","title":"DBSCAN Revisited, Revisited","type":"article-journal","volume":"42"},"uris":["http://www.mendeley.com/documents/?uuid=3826520c-226f-32e3-92a6-5f9a6fbfbabb"]}],"mendeley":{"formattedCitation":"&lt;sup&gt;18,19&lt;/sup&gt;","plainTextFormattedCitation":"18,19","previouslyFormattedCitation":"&lt;sup&gt;18,19&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sz w:val="24"/>
          <w:szCs w:val="24"/>
          <w:vertAlign w:val="superscript"/>
        </w:rPr>
        <w:t>18,19</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Both IGHV Leader and FR1 corrected sequences were given as arguments for the script. </w:t>
      </w:r>
    </w:p>
    <w:p w:rsidR="00336347" w:rsidRDefault="00307A15">
      <w:pPr>
        <w:pStyle w:val="PreformattedText"/>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UMI-tagged </w:t>
      </w:r>
      <w:proofErr w:type="spellStart"/>
      <w:r>
        <w:rPr>
          <w:rFonts w:ascii="Times New Roman" w:hAnsi="Times New Roman" w:cs="Times New Roman"/>
          <w:b/>
          <w:bCs/>
          <w:sz w:val="24"/>
          <w:szCs w:val="24"/>
        </w:rPr>
        <w:t>Ig</w:t>
      </w:r>
      <w:proofErr w:type="spellEnd"/>
      <w:r>
        <w:rPr>
          <w:rFonts w:ascii="Times New Roman" w:hAnsi="Times New Roman" w:cs="Times New Roman"/>
          <w:b/>
          <w:bCs/>
          <w:sz w:val="24"/>
          <w:szCs w:val="24"/>
        </w:rPr>
        <w:t xml:space="preserve"> library generation</w:t>
      </w:r>
    </w:p>
    <w:p w:rsidR="00336347" w:rsidRDefault="00307A15">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compare the results generated by our custom pipeline against the gold standard for the </w:t>
      </w:r>
      <w:proofErr w:type="spellStart"/>
      <w:r>
        <w:rPr>
          <w:rFonts w:ascii="Times New Roman" w:hAnsi="Times New Roman" w:cs="Times New Roman"/>
          <w:sz w:val="24"/>
          <w:szCs w:val="24"/>
        </w:rPr>
        <w:t>RepSeq</w:t>
      </w:r>
      <w:proofErr w:type="spellEnd"/>
      <w:r>
        <w:rPr>
          <w:rFonts w:ascii="Times New Roman" w:hAnsi="Times New Roman" w:cs="Times New Roman"/>
          <w:sz w:val="24"/>
          <w:szCs w:val="24"/>
        </w:rPr>
        <w:t xml:space="preserve"> analysis, we adapted an </w:t>
      </w:r>
      <w:proofErr w:type="spellStart"/>
      <w:r>
        <w:rPr>
          <w:rFonts w:ascii="Times New Roman" w:hAnsi="Times New Roman" w:cs="Times New Roman"/>
          <w:sz w:val="24"/>
          <w:szCs w:val="24"/>
        </w:rPr>
        <w:t>Ig</w:t>
      </w:r>
      <w:proofErr w:type="spellEnd"/>
      <w:r>
        <w:rPr>
          <w:rFonts w:ascii="Times New Roman" w:hAnsi="Times New Roman" w:cs="Times New Roman"/>
          <w:sz w:val="24"/>
          <w:szCs w:val="24"/>
        </w:rPr>
        <w:t xml:space="preserve"> library preparation protocol exploiting Unique Molecular Identifier (UMI)-tagged primers (Figure S1).</w:t>
      </w:r>
      <w:r w:rsidR="001F5AA7" w:rsidRPr="001F5AA7">
        <w:fldChar w:fldCharType="begin"/>
      </w:r>
      <w:r>
        <w:rPr>
          <w:rFonts w:ascii="Times New Roman" w:hAnsi="Times New Roman" w:cs="Times New Roman"/>
          <w:sz w:val="24"/>
          <w:szCs w:val="24"/>
        </w:rPr>
        <w:instrText>ADDIN CSL_CITATION {"citationItems":[{"id":"ITEM-1","itemData":{"DOI":"10.1126/sciadv.1501371","ISSN":"2375-2548","PMID":"26998518","abstract":"High-throughput antibody repertoire sequencing (Ig-seq) provides quantitative molecular information on humoral immunity. However, Ig-seq is compromised by biases and errors introduced during library preparation and sequencing. By using synthetic antibody spike-in genes, we determined that primer bias from multiplex polymerase chain reaction (PCR) library preparation resulted in antibody frequencies with only 42 to 62% accuracy. Additionally, Ig-seq errors resulted in antibody diversity measurements being overestimated by up to 5000-fold. To rectify this, we developed molecular amplification fingerprinting (MAF), which uses unique molecular identifier (UID) tagging before and during multiplex PCR amplification, which enabled tagging of transcripts while accounting for PCR efficiency. Combined with a bioinformatic pipeline, MAF bias correction led to measurements of antibody frequencies with up to 99% accuracy. We also used MAF to correct PCR and sequencing errors, resulting in enhanced accuracy of full-length antibody diversity measurements, achieving 98 to 100% error correction. Using murine MAF-corrected data, we established a quantitative metric of recent clonal expansion-the intraclonal diversity index-which measures the number of unique transcripts associated with an antibody clone. We used this intraclonal diversity index along with antibody frequencies and somatic hypermutation to build a logistic regression model for prediction of the immunological status of clones. The model was able to predict clonal status with high confidence but only when using MAF error and bias corrected Ig-seq data. Improved accuracy by MAF provides the potential to greatly advance Ig-seq and its utility in immunology and biotechnology.","author":[{"dropping-particle":"","family":"Khan","given":"Tarik A.","non-dropping-particle":"","parse-names":false,"suffix":""},{"dropping-particle":"","family":"Friedensohn","given":"Simon","non-dropping-particle":"","parse-names":false,"suffix":""},{"dropping-particle":"","family":"Gorter de Vries","given":"Arthur R","non-dropping-particle":"","parse-names":false,"suffix":""},{"dropping-particle":"","family":"Straszewski","given":"Jakub","non-dropping-particle":"","parse-names":false,"suffix":""},{"dropping-particle":"","family":"Ruscheweyh","given":"Hans-Joachim","non-dropping-particle":"","parse-names":false,"suffix":""},{"dropping-particle":"","family":"Reddy","given":"Sai T.","non-dropping-particle":"","parse-names":false,"suffix":""}],"container-title":"Science advances","id":"ITEM-1","issue":"3","issued":{"date-parts":[["2016","3","1"]]},"page":"e1501371","publisher":"American Association for the Advancement of Science","title":"Accurate and predictive antibody repertoire profiling by molecular amplification fingerprinting.","type":"article-journal","volume":"2"},"uris":["http://www.mendeley.com/documents/?uuid=1e94dd70-6b92-3d72-bfaf-8596b8473e8b"]}],"mendeley":{"formattedCitation":"&lt;sup&gt;20&lt;/sup&gt;","plainTextFormattedCitation":"20","previouslyFormattedCitation":"&lt;sup&gt;20&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sz w:val="24"/>
          <w:szCs w:val="24"/>
          <w:vertAlign w:val="superscript"/>
        </w:rPr>
        <w:t>20</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Firstly, we amplified 500 </w:t>
      </w:r>
      <w:proofErr w:type="spellStart"/>
      <w:r>
        <w:rPr>
          <w:rFonts w:ascii="Times New Roman" w:hAnsi="Times New Roman" w:cs="Times New Roman"/>
          <w:sz w:val="24"/>
          <w:szCs w:val="24"/>
        </w:rPr>
        <w:t>ng</w:t>
      </w:r>
      <w:proofErr w:type="spellEnd"/>
      <w:r>
        <w:rPr>
          <w:rFonts w:ascii="Times New Roman" w:hAnsi="Times New Roman" w:cs="Times New Roman"/>
          <w:sz w:val="24"/>
          <w:szCs w:val="24"/>
        </w:rPr>
        <w:t xml:space="preserve"> of RNA with a JH-specific UMI-tagged RT-primer to specifically </w:t>
      </w:r>
      <w:proofErr w:type="spellStart"/>
      <w:r>
        <w:rPr>
          <w:rFonts w:ascii="Times New Roman" w:hAnsi="Times New Roman" w:cs="Times New Roman"/>
          <w:sz w:val="24"/>
          <w:szCs w:val="24"/>
        </w:rPr>
        <w:t>retrotranscribe</w:t>
      </w:r>
      <w:proofErr w:type="spellEnd"/>
      <w:r>
        <w:rPr>
          <w:rFonts w:ascii="Times New Roman" w:hAnsi="Times New Roman" w:cs="Times New Roman"/>
          <w:sz w:val="24"/>
          <w:szCs w:val="24"/>
        </w:rPr>
        <w:t xml:space="preserve"> only </w:t>
      </w:r>
      <w:proofErr w:type="spellStart"/>
      <w:r>
        <w:rPr>
          <w:rFonts w:ascii="Times New Roman" w:hAnsi="Times New Roman" w:cs="Times New Roman"/>
          <w:sz w:val="24"/>
          <w:szCs w:val="24"/>
        </w:rPr>
        <w:t>Ig</w:t>
      </w:r>
      <w:proofErr w:type="spellEnd"/>
      <w:r>
        <w:rPr>
          <w:rFonts w:ascii="Times New Roman" w:hAnsi="Times New Roman" w:cs="Times New Roman"/>
          <w:sz w:val="24"/>
          <w:szCs w:val="24"/>
        </w:rPr>
        <w:t xml:space="preserve"> sequences. Since having </w:t>
      </w:r>
      <w:proofErr w:type="spellStart"/>
      <w:r>
        <w:rPr>
          <w:rFonts w:ascii="Times New Roman" w:hAnsi="Times New Roman" w:cs="Times New Roman"/>
          <w:sz w:val="24"/>
          <w:szCs w:val="24"/>
        </w:rPr>
        <w:t>clonotype</w:t>
      </w:r>
      <w:proofErr w:type="spellEnd"/>
      <w:r>
        <w:rPr>
          <w:rFonts w:ascii="Times New Roman" w:hAnsi="Times New Roman" w:cs="Times New Roman"/>
          <w:sz w:val="24"/>
          <w:szCs w:val="24"/>
        </w:rPr>
        <w:t xml:space="preserve"> information from </w:t>
      </w:r>
      <w:proofErr w:type="spellStart"/>
      <w:r>
        <w:rPr>
          <w:rFonts w:ascii="Times New Roman" w:hAnsi="Times New Roman" w:cs="Times New Roman"/>
          <w:sz w:val="24"/>
          <w:szCs w:val="24"/>
        </w:rPr>
        <w:t>LymphoTrack</w:t>
      </w:r>
      <w:proofErr w:type="spellEnd"/>
      <w:r>
        <w:rPr>
          <w:rFonts w:ascii="Times New Roman" w:hAnsi="Times New Roman" w:cs="Times New Roman"/>
          <w:sz w:val="24"/>
          <w:szCs w:val="24"/>
        </w:rPr>
        <w:t xml:space="preserve"> generated libraries, we used single IGHV-specific primers (Table S2) to avoid amplif</w:t>
      </w:r>
      <w:r>
        <w:rPr>
          <w:rFonts w:ascii="Times New Roman" w:hAnsi="Times New Roman" w:cs="Times New Roman"/>
          <w:sz w:val="24"/>
          <w:szCs w:val="24"/>
        </w:rPr>
        <w:t>i</w:t>
      </w:r>
      <w:r>
        <w:rPr>
          <w:rFonts w:ascii="Times New Roman" w:hAnsi="Times New Roman" w:cs="Times New Roman"/>
          <w:sz w:val="24"/>
          <w:szCs w:val="24"/>
        </w:rPr>
        <w:t>cation biases in multiplex PCR reactions. A single-cycle PCR was adopted to insert the IGHV-specific UMI-tagged primer with the specific programs (1 cycle of 98°C for 30 s; 55°C for 2 min; 72°C for 15 min) using a Verity Thermal Cycler (</w:t>
      </w:r>
      <w:proofErr w:type="spellStart"/>
      <w:r>
        <w:rPr>
          <w:rFonts w:ascii="Times New Roman" w:hAnsi="Times New Roman" w:cs="Times New Roman"/>
          <w:sz w:val="24"/>
          <w:szCs w:val="24"/>
        </w:rPr>
        <w:t>ThermoFischer</w:t>
      </w:r>
      <w:proofErr w:type="spellEnd"/>
      <w:r>
        <w:rPr>
          <w:rFonts w:ascii="Times New Roman" w:hAnsi="Times New Roman" w:cs="Times New Roman"/>
          <w:sz w:val="24"/>
          <w:szCs w:val="24"/>
        </w:rPr>
        <w:t xml:space="preserve">). Amplicon quantification was performed with an in-house </w:t>
      </w:r>
      <w:proofErr w:type="spellStart"/>
      <w:r>
        <w:rPr>
          <w:rFonts w:ascii="Times New Roman" w:hAnsi="Times New Roman" w:cs="Times New Roman"/>
          <w:sz w:val="24"/>
          <w:szCs w:val="24"/>
        </w:rPr>
        <w:t>qPCR</w:t>
      </w:r>
      <w:proofErr w:type="spellEnd"/>
      <w:r>
        <w:rPr>
          <w:rFonts w:ascii="Times New Roman" w:hAnsi="Times New Roman" w:cs="Times New Roman"/>
          <w:sz w:val="24"/>
          <w:szCs w:val="24"/>
        </w:rPr>
        <w:t xml:space="preserve"> assay with custom primers for </w:t>
      </w:r>
      <w:proofErr w:type="spellStart"/>
      <w:r>
        <w:rPr>
          <w:rFonts w:ascii="Times New Roman" w:hAnsi="Times New Roman" w:cs="Times New Roman"/>
          <w:sz w:val="24"/>
          <w:szCs w:val="24"/>
        </w:rPr>
        <w:t>Illumina</w:t>
      </w:r>
      <w:proofErr w:type="spellEnd"/>
      <w:r>
        <w:rPr>
          <w:rFonts w:ascii="Times New Roman" w:hAnsi="Times New Roman" w:cs="Times New Roman"/>
          <w:sz w:val="24"/>
          <w:szCs w:val="24"/>
        </w:rPr>
        <w:t xml:space="preserve"> partial adapter (fwd: GTTCTACAGTCCGACGATCG, rev: TTGGCACCCGAGAATTCCAC). Then, 30.000 </w:t>
      </w:r>
      <w:proofErr w:type="spellStart"/>
      <w:r>
        <w:rPr>
          <w:rFonts w:ascii="Times New Roman" w:hAnsi="Times New Roman" w:cs="Times New Roman"/>
          <w:sz w:val="24"/>
          <w:szCs w:val="24"/>
        </w:rPr>
        <w:t>Ig</w:t>
      </w:r>
      <w:proofErr w:type="spellEnd"/>
      <w:r>
        <w:rPr>
          <w:rFonts w:ascii="Times New Roman" w:hAnsi="Times New Roman" w:cs="Times New Roman"/>
          <w:sz w:val="24"/>
          <w:szCs w:val="24"/>
        </w:rPr>
        <w:t xml:space="preserve">-molecules, to avoid excessive </w:t>
      </w:r>
      <w:proofErr w:type="spellStart"/>
      <w:r>
        <w:rPr>
          <w:rFonts w:ascii="Times New Roman" w:hAnsi="Times New Roman" w:cs="Times New Roman"/>
          <w:sz w:val="24"/>
          <w:szCs w:val="24"/>
        </w:rPr>
        <w:t>Ig</w:t>
      </w:r>
      <w:proofErr w:type="spellEnd"/>
      <w:r>
        <w:rPr>
          <w:rFonts w:ascii="Times New Roman" w:hAnsi="Times New Roman" w:cs="Times New Roman"/>
          <w:sz w:val="24"/>
          <w:szCs w:val="24"/>
        </w:rPr>
        <w:t xml:space="preserve"> singletons that could affect the analysis, was used for the second round PCR and indexed with custom primers containing P5 and P7 </w:t>
      </w:r>
      <w:proofErr w:type="spellStart"/>
      <w:r>
        <w:rPr>
          <w:rFonts w:ascii="Times New Roman" w:hAnsi="Times New Roman" w:cs="Times New Roman"/>
          <w:sz w:val="24"/>
          <w:szCs w:val="24"/>
        </w:rPr>
        <w:t>Illumina</w:t>
      </w:r>
      <w:proofErr w:type="spellEnd"/>
      <w:r>
        <w:rPr>
          <w:rFonts w:ascii="Times New Roman" w:hAnsi="Times New Roman" w:cs="Times New Roman"/>
          <w:sz w:val="24"/>
          <w:szCs w:val="24"/>
        </w:rPr>
        <w:t xml:space="preserve"> sequences adapters (Table S2), with the following protocol: 98°C for 1 min; 35 cycles of 98°C for 20s; 60°C for 15 s; 72°C for 35 s; 1 cycle 72°C for 15 min (Figure S1). Each step previously reported needed </w:t>
      </w:r>
      <w:proofErr w:type="gramStart"/>
      <w:r>
        <w:rPr>
          <w:rFonts w:ascii="Times New Roman" w:hAnsi="Times New Roman" w:cs="Times New Roman"/>
          <w:sz w:val="24"/>
          <w:szCs w:val="24"/>
        </w:rPr>
        <w:t>a purification</w:t>
      </w:r>
      <w:proofErr w:type="gramEnd"/>
      <w:r>
        <w:rPr>
          <w:rFonts w:ascii="Times New Roman" w:hAnsi="Times New Roman" w:cs="Times New Roman"/>
          <w:sz w:val="24"/>
          <w:szCs w:val="24"/>
        </w:rPr>
        <w:t xml:space="preserve"> step with </w:t>
      </w:r>
      <w:proofErr w:type="spellStart"/>
      <w:r>
        <w:rPr>
          <w:rFonts w:ascii="Times New Roman" w:hAnsi="Times New Roman" w:cs="Times New Roman"/>
          <w:sz w:val="24"/>
          <w:szCs w:val="24"/>
        </w:rPr>
        <w:t>SPRIselect</w:t>
      </w:r>
      <w:proofErr w:type="spellEnd"/>
      <w:r>
        <w:rPr>
          <w:rFonts w:ascii="Times New Roman" w:hAnsi="Times New Roman" w:cs="Times New Roman"/>
          <w:sz w:val="24"/>
          <w:szCs w:val="24"/>
        </w:rPr>
        <w:t xml:space="preserve"> beads to remove primer excess. Each sample was diluted to final concentration of 3.5 </w:t>
      </w:r>
      <w:proofErr w:type="spellStart"/>
      <w:r>
        <w:rPr>
          <w:rFonts w:ascii="Times New Roman" w:hAnsi="Times New Roman" w:cs="Times New Roman"/>
          <w:sz w:val="24"/>
          <w:szCs w:val="24"/>
        </w:rPr>
        <w:t>nM</w:t>
      </w:r>
      <w:proofErr w:type="spellEnd"/>
      <w:r>
        <w:rPr>
          <w:rFonts w:ascii="Times New Roman" w:hAnsi="Times New Roman" w:cs="Times New Roman"/>
          <w:sz w:val="24"/>
          <w:szCs w:val="24"/>
        </w:rPr>
        <w:t xml:space="preserve"> and was s</w:t>
      </w:r>
      <w:r>
        <w:rPr>
          <w:rFonts w:ascii="Times New Roman" w:hAnsi="Times New Roman" w:cs="Times New Roman"/>
          <w:sz w:val="24"/>
          <w:szCs w:val="24"/>
        </w:rPr>
        <w:t>e</w:t>
      </w:r>
      <w:r>
        <w:rPr>
          <w:rFonts w:ascii="Times New Roman" w:hAnsi="Times New Roman" w:cs="Times New Roman"/>
          <w:sz w:val="24"/>
          <w:szCs w:val="24"/>
        </w:rPr>
        <w:t xml:space="preserve">quenced on a </w:t>
      </w:r>
      <w:proofErr w:type="spellStart"/>
      <w:r>
        <w:rPr>
          <w:rFonts w:ascii="Times New Roman" w:hAnsi="Times New Roman" w:cs="Times New Roman"/>
          <w:sz w:val="24"/>
          <w:szCs w:val="24"/>
        </w:rPr>
        <w:t>MiSeq</w:t>
      </w:r>
      <w:proofErr w:type="spellEnd"/>
      <w:r>
        <w:rPr>
          <w:rFonts w:ascii="Times New Roman" w:hAnsi="Times New Roman" w:cs="Times New Roman"/>
          <w:sz w:val="24"/>
          <w:szCs w:val="24"/>
        </w:rPr>
        <w:t xml:space="preserve"> (Figure S1).</w:t>
      </w:r>
    </w:p>
    <w:p w:rsidR="00336347" w:rsidRDefault="00307A15">
      <w:pPr>
        <w:pStyle w:val="PreformattedText"/>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UMI-tagged </w:t>
      </w:r>
      <w:proofErr w:type="spellStart"/>
      <w:r>
        <w:rPr>
          <w:rFonts w:ascii="Times New Roman" w:hAnsi="Times New Roman" w:cs="Times New Roman"/>
          <w:b/>
          <w:bCs/>
          <w:sz w:val="24"/>
          <w:szCs w:val="24"/>
        </w:rPr>
        <w:t>Ig</w:t>
      </w:r>
      <w:proofErr w:type="spellEnd"/>
      <w:r>
        <w:rPr>
          <w:rFonts w:ascii="Times New Roman" w:hAnsi="Times New Roman" w:cs="Times New Roman"/>
          <w:b/>
          <w:bCs/>
          <w:sz w:val="24"/>
          <w:szCs w:val="24"/>
        </w:rPr>
        <w:t xml:space="preserve"> library analysis</w:t>
      </w:r>
    </w:p>
    <w:p w:rsidR="00336347" w:rsidRDefault="00307A15">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Figure S8 reports a schematic overview of steps performed in the analysis of UMI-tagged data. We d</w:t>
      </w:r>
      <w:r>
        <w:rPr>
          <w:rFonts w:ascii="Times New Roman" w:hAnsi="Times New Roman" w:cs="Times New Roman"/>
          <w:sz w:val="24"/>
          <w:szCs w:val="24"/>
        </w:rPr>
        <w:t>e</w:t>
      </w:r>
      <w:r>
        <w:rPr>
          <w:rFonts w:ascii="Times New Roman" w:hAnsi="Times New Roman" w:cs="Times New Roman"/>
          <w:sz w:val="24"/>
          <w:szCs w:val="24"/>
        </w:rPr>
        <w:t xml:space="preserve">signed UMI to resemble those previously published by Khan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al. consisting in three degenerated 5 nt. portions interspaced by two spacers (Table S2) attached on both 5’ and 3’ ends.</w:t>
      </w:r>
      <w:r w:rsidR="001F5AA7" w:rsidRPr="001F5AA7">
        <w:fldChar w:fldCharType="begin"/>
      </w:r>
      <w:r>
        <w:rPr>
          <w:rFonts w:ascii="Times New Roman" w:hAnsi="Times New Roman" w:cs="Times New Roman"/>
          <w:sz w:val="24"/>
          <w:szCs w:val="24"/>
        </w:rPr>
        <w:instrText>ADDIN CSL_CITATION {"citationItems":[{"id":"ITEM-1","itemData":{"DOI":"10.1126/sciadv.1501371","ISSN":"2375-2548","PMID":"26998518","abstract":"High-throughput antibody repertoire sequencing (Ig-seq) provides quantitative molecular information on humoral immunity. However, Ig-seq is compromised by biases and errors introduced during library preparation and sequencing. By using synthetic antibody spike-in genes, we determined that primer bias from multiplex polymerase chain reaction (PCR) library preparation resulted in antibody frequencies with only 42 to 62% accuracy. Additionally, Ig-seq errors resulted in antibody diversity measurements being overestimated by up to 5000-fold. To rectify this, we developed molecular amplification fingerprinting (MAF), which uses unique molecular identifier (UID) tagging before and during multiplex PCR amplification, which enabled tagging of transcripts while accounting for PCR efficiency. Combined with a bioinformatic pipeline, MAF bias correction led to measurements of antibody frequencies with up to 99% accuracy. We also used MAF to correct PCR and sequencing errors, resulting in enhanced accuracy of full-length antibody diversity measurements, achieving 98 to 100% error correction. Using murine MAF-corrected data, we established a quantitative metric of recent clonal expansion-the intraclonal diversity index-which measures the number of unique transcripts associated with an antibody clone. We used this intraclonal diversity index along with antibody frequencies and somatic hypermutation to build a logistic regression model for prediction of the immunological status of clones. The model was able to predict clonal status with high confidence but only when using MAF error and bias corrected Ig-seq data. Improved accuracy by MAF provides the potential to greatly advance Ig-seq and its utility in immunology and biotechnology.","author":[{"dropping-particle":"","family":"Khan","given":"Tarik A.","non-dropping-particle":"","parse-names":false,"suffix":""},{"dropping-particle":"","family":"Friedensohn","given":"Simon","non-dropping-particle":"","parse-names":false,"suffix":""},{"dropping-particle":"","family":"Gorter de Vries","given":"Arthur R","non-dropping-particle":"","parse-names":false,"suffix":""},{"dropping-particle":"","family":"Straszewski","given":"Jakub","non-dropping-particle":"","parse-names":false,"suffix":""},{"dropping-particle":"","family":"Ruscheweyh","given":"Hans-Joachim","non-dropping-particle":"","parse-names":false,"suffix":""},{"dropping-particle":"","family":"Reddy","given":"Sai T.","non-dropping-particle":"","parse-names":false,"suffix":""}],"container-title":"Science advances","id":"ITEM-1","issue":"3","issued":{"date-parts":[["2016","3","1"]]},"page":"e1501371","publisher":"American Association for the Advancement of Science","title":"Accurate and predictive antibody repertoire profiling by molecular amplification fingerprinting.","type":"article-journal","volume":"2"},"uris":["http://www.mendeley.com/documents/?uuid=1e94dd70-6b92-3d72-bfaf-8596b8473e8b"]}],"mendeley":{"formattedCitation":"&lt;sup&gt;20&lt;/sup&gt;","plainTextFormattedCitation":"20","previouslyFormattedCitation":"&lt;sup&gt;20&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sz w:val="24"/>
          <w:szCs w:val="24"/>
          <w:vertAlign w:val="superscript"/>
        </w:rPr>
        <w:t>20</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Spacers allowed to univocally identifying UMI regions removing possible small insertions/deletions. Moreover, non-G d</w:t>
      </w:r>
      <w:r>
        <w:rPr>
          <w:rFonts w:ascii="Times New Roman" w:hAnsi="Times New Roman" w:cs="Times New Roman"/>
          <w:sz w:val="24"/>
          <w:szCs w:val="24"/>
        </w:rPr>
        <w:t>e</w:t>
      </w:r>
      <w:r>
        <w:rPr>
          <w:rFonts w:ascii="Times New Roman" w:hAnsi="Times New Roman" w:cs="Times New Roman"/>
          <w:sz w:val="24"/>
          <w:szCs w:val="24"/>
        </w:rPr>
        <w:t xml:space="preserve">generated sequences allowed to partially </w:t>
      </w:r>
      <w:proofErr w:type="gramStart"/>
      <w:r>
        <w:rPr>
          <w:rFonts w:ascii="Times New Roman" w:hAnsi="Times New Roman" w:cs="Times New Roman"/>
          <w:sz w:val="24"/>
          <w:szCs w:val="24"/>
        </w:rPr>
        <w:t>identify</w:t>
      </w:r>
      <w:proofErr w:type="gramEnd"/>
      <w:r>
        <w:rPr>
          <w:rFonts w:ascii="Times New Roman" w:hAnsi="Times New Roman" w:cs="Times New Roman"/>
          <w:sz w:val="24"/>
          <w:szCs w:val="24"/>
        </w:rPr>
        <w:t xml:space="preserve"> substitutions occurring on UMIs to correct them, thus reducing the UMI </w:t>
      </w:r>
      <w:proofErr w:type="spellStart"/>
      <w:r>
        <w:rPr>
          <w:rFonts w:ascii="Times New Roman" w:hAnsi="Times New Roman" w:cs="Times New Roman"/>
          <w:sz w:val="24"/>
          <w:szCs w:val="24"/>
        </w:rPr>
        <w:t>numerosity</w:t>
      </w:r>
      <w:proofErr w:type="spellEnd"/>
      <w:r>
        <w:rPr>
          <w:rFonts w:ascii="Times New Roman" w:hAnsi="Times New Roman" w:cs="Times New Roman"/>
          <w:sz w:val="24"/>
          <w:szCs w:val="24"/>
        </w:rPr>
        <w:t>. Lastly, applying UMI on both ends allowed accounting for different e</w:t>
      </w:r>
      <w:r>
        <w:rPr>
          <w:rFonts w:ascii="Times New Roman" w:hAnsi="Times New Roman" w:cs="Times New Roman"/>
          <w:sz w:val="24"/>
          <w:szCs w:val="24"/>
        </w:rPr>
        <w:t>r</w:t>
      </w:r>
      <w:r>
        <w:rPr>
          <w:rFonts w:ascii="Times New Roman" w:hAnsi="Times New Roman" w:cs="Times New Roman"/>
          <w:sz w:val="24"/>
          <w:szCs w:val="24"/>
        </w:rPr>
        <w:t xml:space="preserve">ror rates in sequencing reads, thus performing read-specific error polishing. Similarly to what reported above, we designed a tailored workflow divided in two distinct parts: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UMI_Analysis</w:t>
      </w:r>
      <w:proofErr w:type="spellEnd"/>
      <w:r>
        <w:rPr>
          <w:rFonts w:ascii="Times New Roman" w:hAnsi="Times New Roman" w:cs="Times New Roman"/>
          <w:sz w:val="24"/>
          <w:szCs w:val="24"/>
        </w:rPr>
        <w:t xml:space="preserve">, to handle UMI-tagged reads and remove </w:t>
      </w:r>
      <w:proofErr w:type="spellStart"/>
      <w:r>
        <w:rPr>
          <w:rFonts w:ascii="Times New Roman" w:hAnsi="Times New Roman" w:cs="Times New Roman"/>
          <w:sz w:val="24"/>
          <w:szCs w:val="24"/>
        </w:rPr>
        <w:t>randomic</w:t>
      </w:r>
      <w:proofErr w:type="spellEnd"/>
      <w:r>
        <w:rPr>
          <w:rFonts w:ascii="Times New Roman" w:hAnsi="Times New Roman" w:cs="Times New Roman"/>
          <w:sz w:val="24"/>
          <w:szCs w:val="24"/>
        </w:rPr>
        <w:t xml:space="preserve"> errors and ii) </w:t>
      </w:r>
      <w:proofErr w:type="spellStart"/>
      <w:r>
        <w:rPr>
          <w:rFonts w:ascii="Times New Roman" w:hAnsi="Times New Roman" w:cs="Times New Roman"/>
          <w:sz w:val="24"/>
          <w:szCs w:val="24"/>
        </w:rPr>
        <w:t>UMI_Error</w:t>
      </w:r>
      <w:proofErr w:type="spellEnd"/>
      <w:r>
        <w:rPr>
          <w:rFonts w:ascii="Times New Roman" w:hAnsi="Times New Roman" w:cs="Times New Roman"/>
          <w:sz w:val="24"/>
          <w:szCs w:val="24"/>
        </w:rPr>
        <w:t xml:space="preserve">-correction to remove systematic errors (Figure S8). </w:t>
      </w:r>
    </w:p>
    <w:p w:rsidR="00336347" w:rsidRDefault="00307A15">
      <w:pPr>
        <w:pStyle w:val="PreformattedText"/>
        <w:spacing w:line="360" w:lineRule="auto"/>
        <w:jc w:val="both"/>
        <w:rPr>
          <w:rFonts w:ascii="Times New Roman" w:hAnsi="Times New Roman" w:cs="Times New Roman"/>
          <w:b/>
          <w:i/>
          <w:iCs/>
          <w:sz w:val="24"/>
          <w:szCs w:val="24"/>
        </w:rPr>
      </w:pPr>
      <w:proofErr w:type="spellStart"/>
      <w:r>
        <w:rPr>
          <w:rFonts w:ascii="Times New Roman" w:hAnsi="Times New Roman" w:cs="Times New Roman"/>
          <w:b/>
          <w:i/>
          <w:iCs/>
          <w:sz w:val="24"/>
          <w:szCs w:val="24"/>
        </w:rPr>
        <w:t>i</w:t>
      </w:r>
      <w:proofErr w:type="spellEnd"/>
      <w:r>
        <w:rPr>
          <w:rFonts w:ascii="Times New Roman" w:hAnsi="Times New Roman" w:cs="Times New Roman"/>
          <w:b/>
          <w:i/>
          <w:iCs/>
          <w:sz w:val="24"/>
          <w:szCs w:val="24"/>
        </w:rPr>
        <w:t xml:space="preserve">) </w:t>
      </w:r>
      <w:proofErr w:type="spellStart"/>
      <w:r>
        <w:rPr>
          <w:rFonts w:ascii="Times New Roman" w:hAnsi="Times New Roman" w:cs="Times New Roman"/>
          <w:b/>
          <w:i/>
          <w:iCs/>
          <w:sz w:val="24"/>
          <w:szCs w:val="24"/>
        </w:rPr>
        <w:t>UMI_Analysis</w:t>
      </w:r>
      <w:proofErr w:type="spellEnd"/>
      <w:r>
        <w:rPr>
          <w:rFonts w:ascii="Times New Roman" w:hAnsi="Times New Roman" w:cs="Times New Roman"/>
          <w:b/>
          <w:i/>
          <w:iCs/>
          <w:sz w:val="24"/>
          <w:szCs w:val="24"/>
        </w:rPr>
        <w:t xml:space="preserve"> </w:t>
      </w:r>
    </w:p>
    <w:p w:rsidR="00336347" w:rsidRDefault="00307A15">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w:t>
      </w:r>
      <w:proofErr w:type="spellStart"/>
      <w:r>
        <w:rPr>
          <w:rFonts w:ascii="Times New Roman" w:hAnsi="Times New Roman" w:cs="Times New Roman"/>
          <w:sz w:val="24"/>
          <w:szCs w:val="24"/>
        </w:rPr>
        <w:t>demultiplexing</w:t>
      </w:r>
      <w:proofErr w:type="spellEnd"/>
      <w:r>
        <w:rPr>
          <w:rFonts w:ascii="Times New Roman" w:hAnsi="Times New Roman" w:cs="Times New Roman"/>
          <w:sz w:val="24"/>
          <w:szCs w:val="24"/>
        </w:rPr>
        <w:t xml:space="preserve"> raw </w:t>
      </w:r>
      <w:proofErr w:type="spellStart"/>
      <w:r>
        <w:rPr>
          <w:rFonts w:ascii="Times New Roman" w:hAnsi="Times New Roman" w:cs="Times New Roman"/>
          <w:sz w:val="24"/>
          <w:szCs w:val="24"/>
        </w:rPr>
        <w:t>fastq</w:t>
      </w:r>
      <w:proofErr w:type="spellEnd"/>
      <w:r>
        <w:rPr>
          <w:rFonts w:ascii="Times New Roman" w:hAnsi="Times New Roman" w:cs="Times New Roman"/>
          <w:sz w:val="24"/>
          <w:szCs w:val="24"/>
        </w:rPr>
        <w:t xml:space="preserve"> files by bcl2fastq (v.2.6.1), read merging and read hard-filtering were performed with </w:t>
      </w:r>
      <w:proofErr w:type="spellStart"/>
      <w:r>
        <w:rPr>
          <w:rFonts w:ascii="Times New Roman" w:hAnsi="Times New Roman" w:cs="Times New Roman"/>
          <w:sz w:val="24"/>
          <w:szCs w:val="24"/>
        </w:rPr>
        <w:t>vsearch</w:t>
      </w:r>
      <w:proofErr w:type="spellEnd"/>
      <w:r>
        <w:rPr>
          <w:rFonts w:ascii="Times New Roman" w:hAnsi="Times New Roman" w:cs="Times New Roman"/>
          <w:sz w:val="24"/>
          <w:szCs w:val="24"/>
        </w:rPr>
        <w:t xml:space="preserve"> (v.</w:t>
      </w:r>
      <w:r>
        <w:rPr>
          <w:rFonts w:ascii="Times New Roman" w:hAnsi="Times New Roman" w:cs="Times New Roman"/>
          <w:color w:val="000000" w:themeColor="text1"/>
          <w:sz w:val="24"/>
          <w:szCs w:val="24"/>
        </w:rPr>
        <w:t>2.14.2).</w:t>
      </w:r>
      <w:r w:rsidR="001F5AA7" w:rsidRPr="001F5AA7">
        <w:rPr>
          <w:color w:val="000000" w:themeColor="text1"/>
        </w:rPr>
        <w:fldChar w:fldCharType="begin"/>
      </w:r>
      <w:r>
        <w:rPr>
          <w:rFonts w:ascii="Times New Roman" w:hAnsi="Times New Roman" w:cs="Times New Roman"/>
          <w:color w:val="000000" w:themeColor="text1"/>
          <w:sz w:val="24"/>
          <w:szCs w:val="24"/>
        </w:rPr>
        <w:instrText>ADDIN CSL_CITATION {"citationItems":[{"id":"ITEM-1","itemData":{"DOI":"10.7717/peerj.2584","ISSN":"2167-8359","PMID":"27781170","abstract":"BACKGROUND VSEARCH is an open source and free of charge multithreaded 64-bit tool for processing and preparing metagenomics, genomics and population genomics nucleotide sequence data. It is designed as an alternative to the widely used USEARCH tool (Edgar, 2010) for which the source code is not publicly available, algorithm details are only rudimentarily described, and only a memory-confined 32-bit version is freely available for academic use. METHODS When searching nucleotide sequences, VSEARCH uses a fast heuristic based on words shared by the query and target sequences in order to quickly identify similar sequences, a similar strategy is probably used in USEARCH. VSEARCH then performs optimal global sequence alignment of the query against potential target sequences, using full dynamic programming instead of the seed-and-extend heuristic used by USEARCH. Pairwise alignments are computed in parallel using vectorisation and multiple threads. RESULTS VSEARCH includes most commands for analysing nucleotide sequences available in USEARCH version 7 and several of those available in USEARCH version 8, including searching (exact or based on global alignment), clustering by similarity (using length pre-sorting, abundance pre-sorting or a user-defined order), chimera detection (reference-based or de novo), dereplication (full length or prefix), pairwise alignment, reverse complementation, sorting, and subsampling. VSEARCH also includes commands for FASTQ file processing, i.e., format detection, filtering, read quality statistics, and merging of paired reads. Furthermore, VSEARCH extends functionality with several new commands and improvements, including shuffling, rereplication, masking of low-complexity sequences with the well-known DUST algorithm, a choice among different similarity definitions, and FASTQ file format conversion. VSEARCH is here shown to be more accurate than USEARCH when performing searching, clustering, chimera detection and subsampling, while on a par with USEARCH for paired-ends read merging. VSEARCH is slower than USEARCH when performing clustering and chimera detection, but significantly faster when performing paired-end reads merging and dereplication. VSEARCH is available at https://github.com/torognes/vsearch under either the BSD 2-clause license or the GNU General Public License version 3.0. DISCUSSION VSEARCH has been shown to be a fast, accurate and full-fledged alternative to USEARCH. A free and open-source versatile tool for sequ…","author":[{"dropping-particle":"","family":"Rognes","given":"Torbjørn","non-dropping-particle":"","parse-names":false,"suffix":""},{"dropping-particle":"","family":"Flouri","given":"Tomáš","non-dropping-particle":"","parse-names":false,"suffix":""},{"dropping-particle":"","family":"Nichols","given":"Ben","non-dropping-particle":"","parse-names":false,"suffix":""},{"dropping-particle":"","family":"Quince","given":"Christopher","non-dropping-particle":"","parse-names":false,"suffix":""},{"dropping-particle":"","family":"Mahé","given":"Frédéric","non-dropping-particle":"","parse-names":false,"suffix":""}],"container-title":"PeerJ","id":"ITEM-1","issue":"10","issued":{"date-parts":[["2016"]]},"page":"e2584","title":"VSEARCH: a versatile open source tool for metagenomics.","type":"article-journal","volume":"4"},"uris":["http://www.mendeley.com/documents/?uuid=14c00179-2b57-4f3b-994b-0c98bfbe9c81"]}],"mendeley":{"formattedCitation":"&lt;sup&gt;14&lt;/sup&gt;","plainTextFormattedCitation":"14","previouslyFormattedCitation":"&lt;sup&gt;14&lt;/sup&gt;"},"properties":{"noteIndex":0},"schema":"https://github.com/citation-style-language/schema/raw/master/csl-citation.json"}</w:instrText>
      </w:r>
      <w:r w:rsidR="001F5AA7">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vertAlign w:val="superscript"/>
        </w:rPr>
        <w:t>14</w:t>
      </w:r>
      <w:r w:rsidR="001F5AA7">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Forward and reverse UMI (FWR_UMI, REV_UMI) were extrac</w:t>
      </w:r>
      <w:r>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ed with a custom python script and primers removed</w:t>
      </w:r>
      <w:r>
        <w:rPr>
          <w:rFonts w:ascii="Times New Roman" w:hAnsi="Times New Roman" w:cs="Times New Roman"/>
          <w:sz w:val="24"/>
          <w:szCs w:val="24"/>
        </w:rPr>
        <w:t xml:space="preserve"> with </w:t>
      </w:r>
      <w:proofErr w:type="spellStart"/>
      <w:r>
        <w:rPr>
          <w:rFonts w:ascii="Times New Roman" w:hAnsi="Times New Roman" w:cs="Times New Roman"/>
          <w:sz w:val="24"/>
          <w:szCs w:val="24"/>
        </w:rPr>
        <w:t>cutadapt</w:t>
      </w:r>
      <w:proofErr w:type="spellEnd"/>
      <w:r>
        <w:rPr>
          <w:rFonts w:ascii="Times New Roman" w:hAnsi="Times New Roman" w:cs="Times New Roman"/>
          <w:sz w:val="24"/>
          <w:szCs w:val="24"/>
        </w:rPr>
        <w:t xml:space="preserve"> (v.2.3).</w:t>
      </w:r>
      <w:r w:rsidR="001F5AA7" w:rsidRPr="001F5AA7">
        <w:fldChar w:fldCharType="begin"/>
      </w:r>
      <w:r>
        <w:rPr>
          <w:rFonts w:ascii="Times New Roman" w:hAnsi="Times New Roman" w:cs="Times New Roman"/>
          <w:sz w:val="24"/>
          <w:szCs w:val="24"/>
        </w:rPr>
        <w:instrText>ADDIN CSL_CITATION {"citationItems":[{"id":"ITEM-1","itemData":{"DOI":"10.14806/ej.17.1.200","ISSN":"2226-6089","abstract":"In the present research it is investigated the relationship between organizational culture and knowledge management as well their simultaneous effects on performing customer relation management. The picked procedure is descriptive one. The findings show that there is a significant relation between organizational culture and knowledge management, besides every change in each of them can affect justly the successful management in communication with customer. Therefore having a correct understanding of CRM concept as one of up-to-date and effective technology indexes, flexible and entrepreneur cultures as well their simultaneous influence would bring more succeeded CRM performance in an organization also rising values for customer and organization. © 2013 AENSI Publisher All rights reserved.","author":[{"dropping-particle":"","family":"Martin","given":"Marcel","non-dropping-particle":"","parse-names":false,"suffix":""}],"container-title":"EMBnet.journal","id":"ITEM-1","issue":"1","issued":{"date-parts":[["2011","5","2"]]},"page":"10","title":"Cutadapt removes adapter sequences from high-throughput sequencing reads","type":"article-journal","volume":"17"},"uris":["http://www.mendeley.com/documents/?uuid=e2c9b35a-f46a-468d-b5b7-6a7fc7da1800"]}],"mendeley":{"formattedCitation":"&lt;sup&gt;15&lt;/sup&gt;","plainTextFormattedCitation":"15","previouslyFormattedCitation":"&lt;sup&gt;15&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sz w:val="24"/>
          <w:szCs w:val="24"/>
          <w:vertAlign w:val="superscript"/>
        </w:rPr>
        <w:t>15</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Only reads having </w:t>
      </w:r>
      <w:proofErr w:type="spellStart"/>
      <w:r>
        <w:rPr>
          <w:rFonts w:ascii="Times New Roman" w:hAnsi="Times New Roman" w:cs="Times New Roman"/>
          <w:sz w:val="24"/>
          <w:szCs w:val="24"/>
        </w:rPr>
        <w:t>Ig</w:t>
      </w:r>
      <w:proofErr w:type="spellEnd"/>
      <w:r>
        <w:rPr>
          <w:rFonts w:ascii="Times New Roman" w:hAnsi="Times New Roman" w:cs="Times New Roman"/>
          <w:sz w:val="24"/>
          <w:szCs w:val="24"/>
        </w:rPr>
        <w:t xml:space="preserve"> pr</w:t>
      </w:r>
      <w:r>
        <w:rPr>
          <w:rFonts w:ascii="Times New Roman" w:hAnsi="Times New Roman" w:cs="Times New Roman"/>
          <w:sz w:val="24"/>
          <w:szCs w:val="24"/>
        </w:rPr>
        <w:t>i</w:t>
      </w:r>
      <w:r>
        <w:rPr>
          <w:rFonts w:ascii="Times New Roman" w:hAnsi="Times New Roman" w:cs="Times New Roman"/>
          <w:sz w:val="24"/>
          <w:szCs w:val="24"/>
        </w:rPr>
        <w:t>mers cut were analyzed in the following steps. We performed an error correction procedure on FWR_UMIs and REV_UMIs which were clustered separately with a custom python script. The wor</w:t>
      </w:r>
      <w:r>
        <w:rPr>
          <w:rFonts w:ascii="Times New Roman" w:hAnsi="Times New Roman" w:cs="Times New Roman"/>
          <w:sz w:val="24"/>
          <w:szCs w:val="24"/>
        </w:rPr>
        <w:t>k</w:t>
      </w:r>
      <w:r>
        <w:rPr>
          <w:rFonts w:ascii="Times New Roman" w:hAnsi="Times New Roman" w:cs="Times New Roman"/>
          <w:sz w:val="24"/>
          <w:szCs w:val="24"/>
        </w:rPr>
        <w:t xml:space="preserve">ing principle was that ‘G’ nucleotides identified in degenerated portions were sequencing substitutions to cluster with UMIs non-containing ‘G’ with a density-based method (python </w:t>
      </w:r>
      <w:proofErr w:type="spellStart"/>
      <w:r>
        <w:rPr>
          <w:rFonts w:ascii="Times New Roman" w:hAnsi="Times New Roman" w:cs="Times New Roman"/>
          <w:sz w:val="24"/>
          <w:szCs w:val="24"/>
        </w:rPr>
        <w:t>sklearn</w:t>
      </w:r>
      <w:proofErr w:type="spellEnd"/>
      <w:r>
        <w:rPr>
          <w:rFonts w:ascii="Times New Roman" w:hAnsi="Times New Roman" w:cs="Times New Roman"/>
          <w:sz w:val="24"/>
          <w:szCs w:val="24"/>
        </w:rPr>
        <w:t xml:space="preserve"> package, DBSCAN method).</w:t>
      </w:r>
      <w:r w:rsidR="001F5AA7" w:rsidRPr="001F5AA7">
        <w:fldChar w:fldCharType="begin"/>
      </w:r>
      <w:r>
        <w:rPr>
          <w:rFonts w:ascii="Times New Roman" w:hAnsi="Times New Roman" w:cs="Times New Roman"/>
          <w:sz w:val="24"/>
          <w:szCs w:val="24"/>
        </w:rPr>
        <w:instrText>ADDIN CSL_CITATION {"citationItems":[{"id":"ITEM-1","itemData":{"abstract":"Clustering algorithms are attractive for the task of class identification in spatial databases. However, the application to large spatial databases rises the following requirements for clustering algorithms: minimal requirements of domain knowledge to determine the input parameters, discovery of clusters with arbitrary shape and good efficiency on large databases. The well-known clustering algorithms offer no solution to the combination of these requirements. In this paper, we present the new clustering algorithm DBSCAN relying on a density-based notion of clusters which is designed to discover clusters of arbitrary shape. DBSCAN requires only one input parameter and supports the user in determining an appropriate value for it. We performed an experimental evaluation of the effectiveness and efficiency of DBSCAN using synthetic data and real data of the SEQUOIA 2000 benchmark. The results of our experiments demonstrate that (1) DBSCAN is significantly more effective in discovering clusters of arbitrary shape than the well-known algorithm CLAR-ANS, and that (2) DBSCAN outperforms CLARANS by factor of more than 100 in terms of efficiency.","author":[{"dropping-particle":"","family":"Ester","given":"Martin","non-dropping-particle":"","parse-names":false,"suffix":""},{"dropping-particle":"","family":"Kriegel","given":"Hans-Peter","non-dropping-particle":"","parse-names":false,"suffix":""},{"dropping-particle":"","family":"Sander","given":"Jiirg","non-dropping-particle":"","parse-names":false,"suffix":""},{"dropping-particle":"","family":"Xu","given":"Xiaowei","non-dropping-particle":"","parse-names":false,"suffix":""}],"id":"ITEM-1","issued":{"date-parts":[["1996"]]},"title":"A Density-Based Algorithm for Discovering Clusters in Large Spatial Databases with Noise","type":"article-journal"},"uris":["http://www.mendeley.com/documents/?uuid=6429556e-38c3-3605-a34c-e5eb6a0ea173"]}],"mendeley":{"formattedCitation":"&lt;sup&gt;18&lt;/sup&gt;","plainTextFormattedCitation":"18","previouslyFormattedCitation":"&lt;sup&gt;18&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sz w:val="24"/>
          <w:szCs w:val="24"/>
          <w:vertAlign w:val="superscript"/>
        </w:rPr>
        <w:t>18</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UMI distances were calculated according to the Hamming distance with minor modification to handle ‘G’ as ‘N’ nucleotides. After the initial UMI correction, UMI were clustered with the </w:t>
      </w:r>
      <w:proofErr w:type="spellStart"/>
      <w:r>
        <w:rPr>
          <w:rFonts w:ascii="Times New Roman" w:hAnsi="Times New Roman" w:cs="Times New Roman"/>
          <w:sz w:val="24"/>
          <w:szCs w:val="24"/>
        </w:rPr>
        <w:t>UMIClusterer</w:t>
      </w:r>
      <w:proofErr w:type="spellEnd"/>
      <w:r>
        <w:rPr>
          <w:rFonts w:ascii="Times New Roman" w:hAnsi="Times New Roman" w:cs="Times New Roman"/>
          <w:sz w:val="24"/>
          <w:szCs w:val="24"/>
        </w:rPr>
        <w:t xml:space="preserve"> directional </w:t>
      </w:r>
      <w:proofErr w:type="spellStart"/>
      <w:r>
        <w:rPr>
          <w:rFonts w:ascii="Times New Roman" w:hAnsi="Times New Roman" w:cs="Times New Roman"/>
          <w:sz w:val="24"/>
          <w:szCs w:val="24"/>
        </w:rPr>
        <w:t>algorythm</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umi_tools</w:t>
      </w:r>
      <w:proofErr w:type="spellEnd"/>
      <w:r>
        <w:rPr>
          <w:rFonts w:ascii="Times New Roman" w:hAnsi="Times New Roman" w:cs="Times New Roman"/>
          <w:sz w:val="24"/>
          <w:szCs w:val="24"/>
        </w:rPr>
        <w:t xml:space="preserve"> (v.1.0.1).</w:t>
      </w:r>
      <w:r w:rsidR="001F5AA7" w:rsidRPr="001F5AA7">
        <w:fldChar w:fldCharType="begin"/>
      </w:r>
      <w:r>
        <w:rPr>
          <w:rFonts w:ascii="Times New Roman" w:hAnsi="Times New Roman" w:cs="Times New Roman"/>
          <w:sz w:val="24"/>
          <w:szCs w:val="24"/>
        </w:rPr>
        <w:instrText>ADDIN CSL_CITATION {"citationItems":[{"id":"ITEM-1","itemData":{"DOI":"10.1101/gr.209601.116","ISSN":"1549-5469","PMID":"28100584","abstract":"Unique Molecular Identifiers (UMIs) are random oligonucleotide barcodes that are increasingly used in high-throughput sequencing experiments. Through a UMI, identical copies arising from distinct molecules can be distinguished from those arising through PCR amplification of the same molecule. However, bioinformatic methods to leverage the information from UMIs have yet to be formalized. In particular, sequencing errors in the UMI sequence are often ignored or else resolved in an ad hoc manner. We show that errors in the UMI sequence are common and introduce network-based methods to account for these errors when identifying PCR duplicates. Using these methods, we demonstrate improved quantification accuracy both under simulated conditions and real iCLIP and single-cell RNA-seq data sets. Reproducibility between iCLIP replicates and single-cell RNA-seq clustering are both improved using our proposed network-based method, demonstrating the value of properly accounting for errors in UMIs. These methods are implemented in the open source UMI-tools software package.","author":[{"dropping-particle":"","family":"Smith","given":"Tom","non-dropping-particle":"","parse-names":false,"suffix":""},{"dropping-particle":"","family":"Heger","given":"Andreas","non-dropping-particle":"","parse-names":false,"suffix":""},{"dropping-particle":"","family":"Sudbery","given":"Ian","non-dropping-particle":"","parse-names":false,"suffix":""}],"container-title":"Genome research","id":"ITEM-1","issue":"3","issued":{"date-parts":[["2017","3","1"]]},"page":"491-499","publisher":"Genome Res","title":"UMI-tools: modeling sequencing errors in Unique Molecular Identifiers to improve quantification accuracy.","type":"article-journal","volume":"27"},"uris":["http://www.mendeley.com/documents/?uuid=846f271e-9272-3c32-8fbb-f2b135197370"]}],"mendeley":{"formattedCitation":"&lt;sup&gt;21&lt;/sup&gt;","plainTextFormattedCitation":"21","previouslyFormattedCitation":"&lt;sup&gt;21&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sz w:val="24"/>
          <w:szCs w:val="24"/>
          <w:vertAlign w:val="superscript"/>
        </w:rPr>
        <w:t>21</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Finally, clustered UMI-tagged reads were collapsed to generate consensus sequences for further analysis. We calculated the resultant base quality as the median </w:t>
      </w:r>
      <w:proofErr w:type="spellStart"/>
      <w:r>
        <w:rPr>
          <w:rFonts w:ascii="Times New Roman" w:hAnsi="Times New Roman" w:cs="Times New Roman"/>
          <w:sz w:val="24"/>
          <w:szCs w:val="24"/>
        </w:rPr>
        <w:t>Phred</w:t>
      </w:r>
      <w:proofErr w:type="spellEnd"/>
      <w:r>
        <w:rPr>
          <w:rFonts w:ascii="Times New Roman" w:hAnsi="Times New Roman" w:cs="Times New Roman"/>
          <w:sz w:val="24"/>
          <w:szCs w:val="24"/>
        </w:rPr>
        <w:t xml:space="preserve"> quality observed for each sequence belonging to specific clusters u</w:t>
      </w:r>
      <w:r>
        <w:rPr>
          <w:rFonts w:ascii="Times New Roman" w:hAnsi="Times New Roman" w:cs="Times New Roman"/>
          <w:sz w:val="24"/>
          <w:szCs w:val="24"/>
        </w:rPr>
        <w:t>s</w:t>
      </w:r>
      <w:r>
        <w:rPr>
          <w:rFonts w:ascii="Times New Roman" w:hAnsi="Times New Roman" w:cs="Times New Roman"/>
          <w:sz w:val="24"/>
          <w:szCs w:val="24"/>
        </w:rPr>
        <w:t xml:space="preserve">ing the </w:t>
      </w:r>
      <w:proofErr w:type="spellStart"/>
      <w:r>
        <w:rPr>
          <w:rFonts w:ascii="Times New Roman" w:hAnsi="Times New Roman" w:cs="Times New Roman"/>
          <w:sz w:val="24"/>
          <w:szCs w:val="24"/>
        </w:rPr>
        <w:t>vsearch</w:t>
      </w:r>
      <w:proofErr w:type="spellEnd"/>
      <w:r>
        <w:rPr>
          <w:rFonts w:ascii="Times New Roman" w:hAnsi="Times New Roman" w:cs="Times New Roman"/>
          <w:sz w:val="24"/>
          <w:szCs w:val="24"/>
        </w:rPr>
        <w:t xml:space="preserve"> package. Sequences were collapsed with a python script and aligned with </w:t>
      </w:r>
      <w:proofErr w:type="spellStart"/>
      <w:r>
        <w:rPr>
          <w:rFonts w:ascii="Times New Roman" w:hAnsi="Times New Roman" w:cs="Times New Roman"/>
          <w:sz w:val="24"/>
          <w:szCs w:val="24"/>
        </w:rPr>
        <w:t>IgBlast</w:t>
      </w:r>
      <w:proofErr w:type="spellEnd"/>
      <w:r>
        <w:rPr>
          <w:rFonts w:ascii="Times New Roman" w:hAnsi="Times New Roman" w:cs="Times New Roman"/>
          <w:sz w:val="24"/>
          <w:szCs w:val="24"/>
        </w:rPr>
        <w:t xml:space="preserve"> against the IMGT reference database.</w:t>
      </w:r>
      <w:r w:rsidR="001F5AA7" w:rsidRPr="001F5AA7">
        <w:fldChar w:fldCharType="begin"/>
      </w:r>
      <w:r>
        <w:rPr>
          <w:rFonts w:ascii="Times New Roman" w:hAnsi="Times New Roman" w:cs="Times New Roman"/>
          <w:sz w:val="24"/>
          <w:szCs w:val="24"/>
        </w:rPr>
        <w:instrText>ADDIN CSL_CITATION {"citationItems":[{"id":"ITEM-1","itemData":{"DOI":"10.1093/nar/gku1056","ISSN":"1362-4962","PMID":"25378316","abstract":"IMGT(®), the international ImMunoGeneTics information system(®)(http://www.imgt.org) is the global reference in immunogenetics and immunoinformatics. By its creation in 1989 by Marie-Paule Lefranc (Université de Montpellier and CNRS), IMGT(®) marked the advent of immunoinformatics, which emerged at the interface between immunogenetics and bioinformatics. IMGT(®) is specialized in the immunoglobulins (IG) or antibodies, T cell receptors (TR), major histocompatibility (MH) and proteins of the IgSF and MhSF superfamilies. IMGT(®) is built on the IMGT-ONTOLOGY axioms and concepts, which bridged the gap between genes, sequences and 3D structures. The concepts include the IMGT(®) standardized keywords (identification), IMGT(®) standardized labels (description), IMGT(®) standardized nomenclature (classification), IMGT unique numbering and IMGT Colliers de Perles (numerotation). IMGT(®) comprises 7 databases, 17 online tools and 15,000 pages of web resources, and provides a high-quality and integrated system for analysis of the genomic and expressed IG and TR repertoire of the adaptive immune responses, including NGS high-throughput data. Tools and databases are used in basic, veterinary and medical research, in clinical applications (mutation analysis in leukemia and lymphoma) and in antibody engineering and humanization. The IMGT/mAb-DB interface was developed for therapeutic antibodies and fusion proteins for immunological applications (FPIA). IMGT(®) is freely available at http://www.imgt.org.","author":[{"dropping-particle":"","family":"Lefranc","given":"Marie-Paule","non-dropping-particle":"","parse-names":false,"suffix":""},{"dropping-particle":"","family":"Giudicelli","given":"Véronique","non-dropping-particle":"","parse-names":false,"suffix":""},{"dropping-particle":"","family":"Duroux","given":"Patrice","non-dropping-particle":"","parse-names":false,"suffix":""},{"dropping-particle":"","family":"Jabado-Michaloud","given":"Joumana","non-dropping-particle":"","parse-names":false,"suffix":""},{"dropping-particle":"","family":"Folch","given":"Géraldine","non-dropping-particle":"","parse-names":false,"suffix":""},{"dropping-particle":"","family":"Aouinti","given":"Safa","non-dropping-particle":"","parse-names":false,"suffix":""},{"dropping-particle":"","family":"Carillon","given":"Emilie","non-dropping-particle":"","parse-names":false,"suffix":""},{"dropping-particle":"","family":"Duvergey","given":"Hugo","non-dropping-particle":"","parse-names":false,"suffix":""},{"dropping-particle":"","family":"Houles","given":"Amélie","non-dropping-particle":"","parse-names":false,"suffix":""},{"dropping-particle":"","family":"Paysan-Lafosse","given":"Typhaine","non-dropping-particle":"","parse-names":false,"suffix":""},{"dropping-particle":"","family":"Hadi-Saljoqi","given":"Saida","non-dropping-particle":"","parse-names":false,"suffix":""},{"dropping-particle":"","family":"Sasorith","given":"Souphatta","non-dropping-particle":"","parse-names":false,"suffix":""},{"dropping-particle":"","family":"Lefranc","given":"Gérard","non-dropping-particle":"","parse-names":false,"suffix":""},{"dropping-particle":"","family":"Kossida","given":"Sofia","non-dropping-particle":"","parse-names":false,"suffix":""}],"container-title":"Nucleic acids research","id":"ITEM-1","issue":"Database issue","issued":{"date-parts":[["2015","1"]]},"page":"D413-22","title":"IMGT®, the international ImMunoGeneTics information system® 25 years on.","type":"article-journal","volume":"43"},"uris":["http://www.mendeley.com/documents/?uuid=203fb4a2-5dd2-3d41-be54-0ceba935682b"]},{"id":"ITEM-2","itemData":{"DOI":"10.1093/NAR/GKT382","ISSN":"1362-4962","PMID":"23671333","abstract":"The variable domain of an immunoglobulin (IG) sequence is encoded by multiple genes, including the variable (V) gene, the diversity (D) gene and the joining (J) gene. Analysis of IG sequences typically requires identification of each gene, as well as a comparison of sequence variations in the context of defined regions. General purpose tools, such as the BLAST program, have only limited use for such tasks, as the rearranged nature of an IG sequence and the variable length of each gene requires multiple rounds of BLAST searches for a single IG sequence. Additionally, manual assembly of different genes is difficult and error-prone. To address these issues and to facilitate other common tasks in analysing IG sequences, we have developed the sequence analysis tool IgBLAST (http://www.ncbi.nlm.nih.gov/igblast/). With this tool, users can view the matches to the germline V, D and J genes, details at rearrangement junctions, the delineation of IG V domain framework regions and complementarity determining regions. IgBLAST has the capability to analyse nucleotide and protein sequences and can process sequences in batches. Furthermore, IgBLAST allows searches against the germline gene databases and other sequence databases simultaneously to minimize the chance of missing possibly the best matching germline V gene.","author":[{"dropping-particle":"","family":"Ye","given":"Jian","non-dropping-particle":"","parse-names":false,"suffix":""},{"dropping-particle":"","family":"Ma","given":"Ning","non-dropping-particle":"","parse-names":false,"suffix":""},{"dropping-particle":"","family":"Madden","given":"Thomas L.","non-dropping-particle":"","parse-names":false,"suffix":""},{"dropping-particle":"","family":"Ostell","given":"James M.","non-dropping-particle":"","parse-names":false,"suffix":""}],"container-title":"Nucleic acids research","id":"ITEM-2","issue":"Web Server issue","issued":{"date-parts":[["2013"]]},"publisher":"Nucleic Acids Res","title":"IgBLAST: an immunoglobulin variable domain sequence analysis tool","type":"article-journal","volume":"41"},"uris":["http://www.mendeley.com/documents/?uuid=92f37471-57c5-378e-a036-c51f693f3410"]}],"mendeley":{"formattedCitation":"&lt;sup&gt;2,11&lt;/sup&gt;","plainTextFormattedCitation":"2,11","previouslyFormattedCitation":"&lt;sup&gt;2,11&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vertAlign w:val="superscript"/>
        </w:rPr>
        <w:t>2,11</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Non-functional sequences were removed. </w:t>
      </w:r>
      <w:proofErr w:type="spellStart"/>
      <w:r>
        <w:rPr>
          <w:rFonts w:ascii="Times New Roman" w:hAnsi="Times New Roman" w:cs="Times New Roman"/>
          <w:sz w:val="24"/>
          <w:szCs w:val="24"/>
        </w:rPr>
        <w:t>ChangeO</w:t>
      </w:r>
      <w:proofErr w:type="spellEnd"/>
      <w:r>
        <w:rPr>
          <w:rFonts w:ascii="Times New Roman" w:hAnsi="Times New Roman" w:cs="Times New Roman"/>
          <w:sz w:val="24"/>
          <w:szCs w:val="24"/>
        </w:rPr>
        <w:t xml:space="preserve"> package (v.0.4.6) was exploited for </w:t>
      </w:r>
      <w:proofErr w:type="spellStart"/>
      <w:r>
        <w:rPr>
          <w:rFonts w:ascii="Times New Roman" w:hAnsi="Times New Roman" w:cs="Times New Roman"/>
          <w:sz w:val="24"/>
          <w:szCs w:val="24"/>
        </w:rPr>
        <w:t>clonotype</w:t>
      </w:r>
      <w:proofErr w:type="spellEnd"/>
      <w:r>
        <w:rPr>
          <w:rFonts w:ascii="Times New Roman" w:hAnsi="Times New Roman" w:cs="Times New Roman"/>
          <w:sz w:val="24"/>
          <w:szCs w:val="24"/>
        </w:rPr>
        <w:t xml:space="preserve"> assignment (see General pipeline for </w:t>
      </w:r>
      <w:proofErr w:type="spellStart"/>
      <w:r>
        <w:rPr>
          <w:rFonts w:ascii="Times New Roman" w:hAnsi="Times New Roman" w:cs="Times New Roman"/>
          <w:sz w:val="24"/>
          <w:szCs w:val="24"/>
        </w:rPr>
        <w:t>RepSeq</w:t>
      </w:r>
      <w:proofErr w:type="spellEnd"/>
      <w:r>
        <w:rPr>
          <w:rFonts w:ascii="Times New Roman" w:hAnsi="Times New Roman" w:cs="Times New Roman"/>
          <w:sz w:val="24"/>
          <w:szCs w:val="24"/>
        </w:rPr>
        <w:t xml:space="preserve"> analysis, Figure S3) and germline identification (Figure S8).</w:t>
      </w:r>
      <w:r w:rsidR="001F5AA7" w:rsidRPr="001F5AA7">
        <w:fldChar w:fldCharType="begin"/>
      </w:r>
      <w:r>
        <w:rPr>
          <w:rFonts w:ascii="Times New Roman" w:hAnsi="Times New Roman" w:cs="Times New Roman"/>
          <w:sz w:val="24"/>
          <w:szCs w:val="24"/>
        </w:rPr>
        <w:instrText>ADDIN CSL_CITATION {"citationItems":[{"id":"ITEM-1","itemData":{"DOI":"10.1093/BIOINFORMATICS/BTV359","ISSN":"1367-4811","PMID":"26069265","abstract":"Advances in high-throughput sequencing technologies now allow for large-scale characterization of B cell immunoglobulin (Ig) repertoires. The high germline and somatic diversity of the Ig repertoire presents challenges for biologically meaningful analysis, which requires specialized computational methods. We have developed a suite of utilities, Change-O, which provides tools for advanced analyses of large-scale Ig repertoire sequencing data. Change-O includes tools for determining the complete set of Ig variable region gene segment alleles carried by an individual (including novel alleles), partitioning of Ig sequences into clonal populations, creating lineage trees, inferring somatic hypermutation targeting models, measuring repertoire diversity, quantifying selection pressure, and calculating sequence chemical properties. All Change-O tools utilize a common data format, which enables the seamless integration of multiple analyses into a single workflow.","author":[{"dropping-particle":"","family":"Gupta","given":"Namita T.","non-dropping-particle":"","parse-names":false,"suffix":""},{"dropping-particle":"","family":"Heiden","given":"Jason A.","non-dropping-particle":"Vander","parse-names":false,"suffix":""},{"dropping-particle":"","family":"Uduman","given":"Mohamed","non-dropping-particle":"","parse-names":false,"suffix":""},{"dropping-particle":"","family":"Gadala-Maria","given":"Daniel","non-dropping-particle":"","parse-names":false,"suffix":""},{"dropping-particle":"","family":"Yaari","given":"Gur","non-dropping-particle":"","parse-names":false,"suffix":""},{"dropping-particle":"","family":"Kleinstein","given":"Steven H.","non-dropping-particle":"","parse-names":false,"suffix":""}],"container-title":"Bioinformatics (Oxford, England)","id":"ITEM-1","issue":"20","issued":{"date-parts":[["2015","3","25"]]},"page":"3356-3358","publisher":"Bioinformatics","title":"Change-O: a toolkit for analyzing large-scale B cell immunoglobulin repertoire sequencing data","type":"article-journal","volume":"31"},"uris":["http://www.mendeley.com/documents/?uuid=21eed981-78d8-3b50-a3d3-454d6e3c5791"]}],"mendeley":{"formattedCitation":"&lt;sup&gt;10&lt;/sup&gt;","plainTextFormattedCitation":"10","previouslyFormattedCitation":"&lt;sup&gt;10&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sz w:val="24"/>
          <w:szCs w:val="24"/>
          <w:vertAlign w:val="superscript"/>
        </w:rPr>
        <w:t>10</w:t>
      </w:r>
      <w:r w:rsidR="001F5AA7">
        <w:rPr>
          <w:rFonts w:ascii="Times New Roman" w:hAnsi="Times New Roman" w:cs="Times New Roman"/>
          <w:sz w:val="24"/>
          <w:szCs w:val="24"/>
        </w:rPr>
        <w:fldChar w:fldCharType="end"/>
      </w:r>
    </w:p>
    <w:p w:rsidR="00336347" w:rsidRDefault="00307A15">
      <w:pPr>
        <w:pStyle w:val="PreformattedText"/>
        <w:spacing w:line="360" w:lineRule="auto"/>
        <w:jc w:val="both"/>
        <w:rPr>
          <w:rFonts w:ascii="Times New Roman" w:hAnsi="Times New Roman" w:cs="Times New Roman"/>
          <w:b/>
          <w:i/>
          <w:iCs/>
          <w:sz w:val="24"/>
          <w:szCs w:val="24"/>
        </w:rPr>
      </w:pPr>
      <w:r>
        <w:rPr>
          <w:rFonts w:ascii="Times New Roman" w:hAnsi="Times New Roman" w:cs="Times New Roman"/>
          <w:b/>
          <w:i/>
          <w:iCs/>
          <w:sz w:val="24"/>
          <w:szCs w:val="24"/>
        </w:rPr>
        <w:t xml:space="preserve">ii) </w:t>
      </w:r>
      <w:proofErr w:type="spellStart"/>
      <w:r>
        <w:rPr>
          <w:rFonts w:ascii="Times New Roman" w:hAnsi="Times New Roman" w:cs="Times New Roman"/>
          <w:b/>
          <w:i/>
          <w:iCs/>
          <w:sz w:val="24"/>
          <w:szCs w:val="24"/>
        </w:rPr>
        <w:t>UMI_Error</w:t>
      </w:r>
      <w:proofErr w:type="spellEnd"/>
      <w:r>
        <w:rPr>
          <w:rFonts w:ascii="Times New Roman" w:hAnsi="Times New Roman" w:cs="Times New Roman"/>
          <w:b/>
          <w:i/>
          <w:iCs/>
          <w:sz w:val="24"/>
          <w:szCs w:val="24"/>
        </w:rPr>
        <w:t xml:space="preserve">-correction </w:t>
      </w:r>
    </w:p>
    <w:p w:rsidR="00336347" w:rsidRDefault="00307A15">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principle, UMI were designed to remove </w:t>
      </w:r>
      <w:proofErr w:type="spellStart"/>
      <w:r>
        <w:rPr>
          <w:rFonts w:ascii="Times New Roman" w:hAnsi="Times New Roman" w:cs="Times New Roman"/>
          <w:sz w:val="24"/>
          <w:szCs w:val="24"/>
        </w:rPr>
        <w:t>randomic</w:t>
      </w:r>
      <w:proofErr w:type="spellEnd"/>
      <w:r>
        <w:rPr>
          <w:rFonts w:ascii="Times New Roman" w:hAnsi="Times New Roman" w:cs="Times New Roman"/>
          <w:sz w:val="24"/>
          <w:szCs w:val="24"/>
        </w:rPr>
        <w:t xml:space="preserve"> amplification errors generating during library preparation but not to eliminate high frequency systematic errors. To remove massive systematic s</w:t>
      </w:r>
      <w:r>
        <w:rPr>
          <w:rFonts w:ascii="Times New Roman" w:hAnsi="Times New Roman" w:cs="Times New Roman"/>
          <w:sz w:val="24"/>
          <w:szCs w:val="24"/>
        </w:rPr>
        <w:t>e</w:t>
      </w:r>
      <w:r>
        <w:rPr>
          <w:rFonts w:ascii="Times New Roman" w:hAnsi="Times New Roman" w:cs="Times New Roman"/>
          <w:sz w:val="24"/>
          <w:szCs w:val="24"/>
        </w:rPr>
        <w:t xml:space="preserve">quencing errors we adapted principles of the error-polishing pipeline adopted for </w:t>
      </w:r>
      <w:proofErr w:type="spellStart"/>
      <w:r>
        <w:rPr>
          <w:rFonts w:ascii="Times New Roman" w:hAnsi="Times New Roman" w:cs="Times New Roman"/>
          <w:sz w:val="24"/>
          <w:szCs w:val="24"/>
        </w:rPr>
        <w:t>LymphoTrack</w:t>
      </w:r>
      <w:proofErr w:type="spellEnd"/>
      <w:r>
        <w:rPr>
          <w:rFonts w:ascii="Times New Roman" w:hAnsi="Times New Roman" w:cs="Times New Roman"/>
          <w:sz w:val="24"/>
          <w:szCs w:val="24"/>
        </w:rPr>
        <w:t xml:space="preserve"> data </w:t>
      </w:r>
      <w:r>
        <w:rPr>
          <w:rFonts w:ascii="Times New Roman" w:hAnsi="Times New Roman" w:cs="Times New Roman"/>
          <w:sz w:val="24"/>
          <w:szCs w:val="24"/>
        </w:rPr>
        <w:lastRenderedPageBreak/>
        <w:t>with slight modifications (see SSE correction pipeline, Figure S3). Consensus reads were re-aligned against the IMGT reference database,</w:t>
      </w:r>
      <w:r w:rsidR="001F5AA7" w:rsidRPr="001F5AA7">
        <w:fldChar w:fldCharType="begin"/>
      </w:r>
      <w:r>
        <w:rPr>
          <w:rFonts w:ascii="Times New Roman" w:hAnsi="Times New Roman" w:cs="Times New Roman"/>
          <w:sz w:val="24"/>
          <w:szCs w:val="24"/>
        </w:rPr>
        <w:instrText>ADDIN CSL_CITATION {"citationItems":[{"id":"ITEM-1","itemData":{"DOI":"10.1093/nar/gku1056","ISSN":"1362-4962","PMID":"25378316","abstract":"IMGT(®), the international ImMunoGeneTics information system(®)(http://www.imgt.org) is the global reference in immunogenetics and immunoinformatics. By its creation in 1989 by Marie-Paule Lefranc (Université de Montpellier and CNRS), IMGT(®) marked the advent of immunoinformatics, which emerged at the interface between immunogenetics and bioinformatics. IMGT(®) is specialized in the immunoglobulins (IG) or antibodies, T cell receptors (TR), major histocompatibility (MH) and proteins of the IgSF and MhSF superfamilies. IMGT(®) is built on the IMGT-ONTOLOGY axioms and concepts, which bridged the gap between genes, sequences and 3D structures. The concepts include the IMGT(®) standardized keywords (identification), IMGT(®) standardized labels (description), IMGT(®) standardized nomenclature (classification), IMGT unique numbering and IMGT Colliers de Perles (numerotation). IMGT(®) comprises 7 databases, 17 online tools and 15,000 pages of web resources, and provides a high-quality and integrated system for analysis of the genomic and expressed IG and TR repertoire of the adaptive immune responses, including NGS high-throughput data. Tools and databases are used in basic, veterinary and medical research, in clinical applications (mutation analysis in leukemia and lymphoma) and in antibody engineering and humanization. The IMGT/mAb-DB interface was developed for therapeutic antibodies and fusion proteins for immunological applications (FPIA). IMGT(®) is freely available at http://www.imgt.org.","author":[{"dropping-particle":"","family":"Lefranc","given":"Marie-Paule","non-dropping-particle":"","parse-names":false,"suffix":""},{"dropping-particle":"","family":"Giudicelli","given":"Véronique","non-dropping-particle":"","parse-names":false,"suffix":""},{"dropping-particle":"","family":"Duroux","given":"Patrice","non-dropping-particle":"","parse-names":false,"suffix":""},{"dropping-particle":"","family":"Jabado-Michaloud","given":"Joumana","non-dropping-particle":"","parse-names":false,"suffix":""},{"dropping-particle":"","family":"Folch","given":"Géraldine","non-dropping-particle":"","parse-names":false,"suffix":""},{"dropping-particle":"","family":"Aouinti","given":"Safa","non-dropping-particle":"","parse-names":false,"suffix":""},{"dropping-particle":"","family":"Carillon","given":"Emilie","non-dropping-particle":"","parse-names":false,"suffix":""},{"dropping-particle":"","family":"Duvergey","given":"Hugo","non-dropping-particle":"","parse-names":false,"suffix":""},{"dropping-particle":"","family":"Houles","given":"Amélie","non-dropping-particle":"","parse-names":false,"suffix":""},{"dropping-particle":"","family":"Paysan-Lafosse","given":"Typhaine","non-dropping-particle":"","parse-names":false,"suffix":""},{"dropping-particle":"","family":"Hadi-Saljoqi","given":"Saida","non-dropping-particle":"","parse-names":false,"suffix":""},{"dropping-particle":"","family":"Sasorith","given":"Souphatta","non-dropping-particle":"","parse-names":false,"suffix":""},{"dropping-particle":"","family":"Lefranc","given":"Gérard","non-dropping-particle":"","parse-names":false,"suffix":""},{"dropping-particle":"","family":"Kossida","given":"Sofia","non-dropping-particle":"","parse-names":false,"suffix":""}],"container-title":"Nucleic acids research","id":"ITEM-1","issue":"Database issue","issued":{"date-parts":[["2015","1"]]},"page":"D413-22","title":"IMGT®, the international ImMunoGeneTics information system® 25 years on.","type":"article-journal","volume":"43"},"uris":["http://www.mendeley.com/documents/?uuid=203fb4a2-5dd2-3d41-be54-0ceba935682b"]}],"mendeley":{"formattedCitation":"&lt;sup&gt;2&lt;/sup&gt;","plainTextFormattedCitation":"2","previouslyFormattedCitation":"&lt;sup&gt;2&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vertAlign w:val="superscript"/>
        </w:rPr>
        <w:t>2</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we then generated count matrices in a position and nucleotide-dependent way. For each position/nucleotide we calculated the median </w:t>
      </w:r>
      <w:proofErr w:type="spellStart"/>
      <w:r>
        <w:rPr>
          <w:rFonts w:ascii="Times New Roman" w:hAnsi="Times New Roman" w:cs="Times New Roman"/>
          <w:sz w:val="24"/>
          <w:szCs w:val="24"/>
        </w:rPr>
        <w:t>Phred</w:t>
      </w:r>
      <w:proofErr w:type="spellEnd"/>
      <w:r>
        <w:rPr>
          <w:rFonts w:ascii="Times New Roman" w:hAnsi="Times New Roman" w:cs="Times New Roman"/>
          <w:sz w:val="24"/>
          <w:szCs w:val="24"/>
        </w:rPr>
        <w:t xml:space="preserve"> quality weighted for the total number of nucleotides observed at specific positions, highlighting systematic errors characterized by median </w:t>
      </w:r>
      <w:proofErr w:type="spellStart"/>
      <w:r>
        <w:rPr>
          <w:rFonts w:ascii="Times New Roman" w:hAnsi="Times New Roman" w:cs="Times New Roman"/>
          <w:sz w:val="24"/>
          <w:szCs w:val="24"/>
        </w:rPr>
        <w:t>Phred</w:t>
      </w:r>
      <w:proofErr w:type="spellEnd"/>
      <w:r>
        <w:rPr>
          <w:rFonts w:ascii="Times New Roman" w:hAnsi="Times New Roman" w:cs="Times New Roman"/>
          <w:sz w:val="24"/>
          <w:szCs w:val="24"/>
        </w:rPr>
        <w:t xml:space="preserve"> scores &lt;21. To correct erroneous positions we exploited the same decisional scheme adopted for </w:t>
      </w:r>
      <w:proofErr w:type="spellStart"/>
      <w:r>
        <w:rPr>
          <w:rFonts w:ascii="Times New Roman" w:hAnsi="Times New Roman" w:cs="Times New Roman"/>
          <w:sz w:val="24"/>
          <w:szCs w:val="24"/>
        </w:rPr>
        <w:t>LymphoTrack</w:t>
      </w:r>
      <w:proofErr w:type="spellEnd"/>
      <w:r>
        <w:rPr>
          <w:rFonts w:ascii="Times New Roman" w:hAnsi="Times New Roman" w:cs="Times New Roman"/>
          <w:sz w:val="24"/>
          <w:szCs w:val="24"/>
        </w:rPr>
        <w:t xml:space="preserve"> data (Figure S3 and S6). ID was calculated as reported above by means of </w:t>
      </w:r>
      <w:proofErr w:type="spellStart"/>
      <w:r>
        <w:rPr>
          <w:rFonts w:ascii="Times New Roman" w:hAnsi="Times New Roman" w:cs="Times New Roman"/>
          <w:sz w:val="24"/>
          <w:szCs w:val="24"/>
        </w:rPr>
        <w:t>iSI</w:t>
      </w:r>
      <w:proofErr w:type="spellEnd"/>
      <w:r>
        <w:rPr>
          <w:rFonts w:ascii="Times New Roman" w:hAnsi="Times New Roman" w:cs="Times New Roman"/>
          <w:sz w:val="24"/>
          <w:szCs w:val="24"/>
        </w:rPr>
        <w:t xml:space="preserve">. </w:t>
      </w:r>
    </w:p>
    <w:p w:rsidR="00336347" w:rsidRDefault="00307A15">
      <w:pPr>
        <w:pStyle w:val="PreformattedText"/>
        <w:spacing w:line="360" w:lineRule="auto"/>
        <w:jc w:val="both"/>
        <w:rPr>
          <w:rFonts w:ascii="Times New Roman" w:hAnsi="Times New Roman" w:cs="Times New Roman"/>
          <w:b/>
          <w:sz w:val="24"/>
          <w:szCs w:val="24"/>
        </w:rPr>
      </w:pPr>
      <w:r>
        <w:rPr>
          <w:rFonts w:ascii="Times New Roman" w:hAnsi="Times New Roman" w:cs="Times New Roman"/>
          <w:b/>
          <w:sz w:val="24"/>
          <w:szCs w:val="24"/>
        </w:rPr>
        <w:t>Calculation of mutability in hotspot/coldspot</w:t>
      </w:r>
    </w:p>
    <w:p w:rsidR="00336347" w:rsidRDefault="00307A15">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CLL cells may undergo SHM due to the activity of Activation Induced </w:t>
      </w:r>
      <w:proofErr w:type="spellStart"/>
      <w:r>
        <w:rPr>
          <w:rFonts w:ascii="Times New Roman" w:hAnsi="Times New Roman" w:cs="Times New Roman"/>
          <w:sz w:val="24"/>
          <w:szCs w:val="24"/>
        </w:rPr>
        <w:t>Cytidine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Deaminase</w:t>
      </w:r>
      <w:proofErr w:type="spellEnd"/>
      <w:r>
        <w:rPr>
          <w:rFonts w:ascii="Times New Roman" w:hAnsi="Times New Roman" w:cs="Times New Roman"/>
          <w:sz w:val="24"/>
          <w:szCs w:val="24"/>
        </w:rPr>
        <w:t xml:space="preserve"> (AID).</w:t>
      </w:r>
      <w:r w:rsidR="001F5AA7" w:rsidRPr="001F5AA7">
        <w:fldChar w:fldCharType="begin"/>
      </w:r>
      <w:r>
        <w:rPr>
          <w:rFonts w:ascii="Times New Roman" w:hAnsi="Times New Roman" w:cs="Times New Roman"/>
          <w:sz w:val="24"/>
          <w:szCs w:val="24"/>
        </w:rPr>
        <w:instrText>ADDIN CSL_CITATION {"citationItems":[{"id":"ITEM-1","itemData":{"DOI":"10.3389/fimmu.2019.00438","ISSN":"1664-3224","PMID":"30915081","abstract":"Somatic hypermutation (SHM) of immunoglobulin (Ig) genes plays a key role in antibody mediated immunity. SHM in B cells provides the molecular basis for affinity maturation of antibodies. In this way SHM is key in optimizing antibody dependent immune responses. SHM is initiated by targeting the Activation-Induced Cytidine Deaminase (AID) to rearranged V(D)J and switch regions of Ig genes. The mutation rate of this programmed mutagenesis is ~10-3 base pairs per generation, a million-fold higher than the non-AID targeted genome of B cells. AID is a processive enzyme that binds single-stranded DNA and deaminates cytosines in DNA. Cytosine deamination generates highly mutagenic deoxy-uracil (U) in the DNA of both strands of the Ig loci. Mutagenic processing of the U by the DNA damage response generates the entire spectrum of base substitutions characterizing SHM at and around the initial U lesion. Starting from the U as a primary lesion, currently five mutagenic DNA damage response pathways have been identified in generating a well-defined SHM spectrum of C/G transitions, C/G transversions, and A/T mutations around this initial lesion. These pathways include (1) replication opposite template U generates transitions at C/G, (2) UNG2-dependent translesion synthesis (TLS) generates transversions at C/G, (3) a hybrid pathway comprising non-canonical mismatch repair (ncMMR) and UNG2-dependent TLS generates transversions at C/G, (4) ncMMR generates mutations at A/T, and (5) UNG2- and PCNA Ubiquitination (PCNA-Ub)-dependent mutations at A/T. Furthermore, specific strand-biases of SHM spectra arise as a consequence of a biased AID targeting, ncMMR, and anti-mutagenic repriming. Here, we review mammalian SHM with special focus on the mutagenic DNA damage response pathways involved in processing AID induced Us, the origin of characteristic strand biases, and relevance of the cell cycle.","author":[{"dropping-particle":"","family":"Pilzecker","given":"Bas","non-dropping-particle":"","parse-names":false,"suffix":""},{"dropping-particle":"","family":"Jacobs","given":"Heinz","non-dropping-particle":"","parse-names":false,"suffix":""}],"container-title":"Frontiers in immunology","id":"ITEM-1","issued":{"date-parts":[["2019"]]},"page":"438","title":"Mutating for Good: DNA Damage Responses During Somatic Hypermutation.","type":"article-journal","volume":"10"},"uris":["http://www.mendeley.com/documents/?uuid=df621e80-622e-35bc-bdc4-d646389ce9c9"]},{"id":"ITEM-2","itemData":{"DOI":"10.1016/j.dnarep.2014.11.006","author":[{"dropping-particle":"","family":"Pettersen","given":"Henrik Sahlin","non-dropping-particle":"","parse-names":false,"suffix":""},{"dropping-particle":"","family":"Galashevskaya","given":"Anastasia","non-dropping-particle":"","parse-names":false,"suffix":""},{"dropping-particle":"","family":"Doseth","given":"Berit","non-dropping-particle":"","parse-names":false,"suffix":""},{"dropping-particle":"","family":"Sousa","given":"Mirta M L","non-dropping-particle":"","parse-names":false,"suffix":""},{"dropping-particle":"","family":"Sarno","given":"Antonio","non-dropping-particle":"","parse-names":false,"suffix":""},{"dropping-particle":"","family":"Visnes","given":"Torkild","non-dropping-particle":"","parse-names":false,"suffix":""},{"dropping-particle":"","family":"Aas","given":"Arne","non-dropping-particle":"","parse-names":false,"suffix":""},{"dropping-particle":"","family":"Liabakk","given":"Nina-Beate","non-dropping-particle":"","parse-names":false,"suffix":""},{"dropping-particle":"","family":"Slupphaug","given":"Geir","non-dropping-particle":"","parse-names":false,"suffix":""},{"dropping-particle":"","family":"Saetrom","given":"Pål","non-dropping-particle":"","parse-names":false,"suffix":""},{"dropping-particle":"","family":"Kavli","given":"Bodil","non-dropping-particle":"","parse-names":false,"suffix":""},{"dropping-particle":"","family":"Krokan","given":"Hans E","non-dropping-particle":"","parse-names":false,"suffix":""}],"container-title":"DNA Repair","id":"ITEM-2","issued":{"date-parts":[["2015"]]},"page":"60-71","title":"AID expression in B-cell lymphomas causes accumulation of genomic uracil and a distinct AID mutational signature","type":"article-journal","volume":"25"},"uris":["http://www.mendeley.com/documents/?uuid=4412740c-88f4-36a4-984a-5575a603b8ea"]},{"id":"ITEM-3","itemData":{"DOI":"10.1038/s41467-019-11037-8","ISSN":"2041-1723","PMID":"31278357","abstract":"Analysis of mutational signatures is becoming routine in cancer genomics, with implications for pathogenesis, classification, prognosis, and even treatment decisions. However, the field lacks a consensus on analysis and result interpretation. Using whole-genome sequencing of multiple myeloma (MM), chronic lymphocytic leukemia (CLL) and acute myeloid leukemia, we compare the performance of public signature analysis tools. We describe caveats and pitfalls of de novo signature extraction and fitting approaches, reporting on common inaccuracies: erroneous signature assignment, identification of localized hyper-mutational processes, overcalling of signatures. We provide reproducible solutions to solve these issues and use orthogonal approaches to validate our results. We show how a comprehensive mutational signature analysis may provide relevant biological insights, reporting evidence of c-AID activity among unmutated CLL cases or the absence of BRCA1/BRCA2-mediated homologous recombination deficiency in a MM cohort. Finally, we propose a general analysis framework to ensure production of accurate and reproducible mutational signature data.","author":[{"dropping-particle":"","family":"Maura","given":"Francesco","non-dropping-particle":"","parse-names":false,"suffix":""},{"dropping-particle":"","family":"Degasperi","given":"Andrea","non-dropping-particle":"","parse-names":false,"suffix":""},{"dropping-particle":"","family":"Nadeu","given":"Ferran","non-dropping-particle":"","parse-names":false,"suffix":""},{"dropping-particle":"","family":"Leongamornlert","given":"Daniel","non-dropping-particle":"","parse-names":false,"suffix":""},{"dropping-particle":"","family":"Davies","given":"Helen","non-dropping-particle":"","parse-names":false,"suffix":""},{"dropping-particle":"","family":"Moore","given":"Luiza","non-dropping-particle":"","parse-names":false,"suffix":""},{"dropping-particle":"","family":"Royo","given":"Romina","non-dropping-particle":"","parse-names":false,"suffix":""},{"dropping-particle":"","family":"Ziccheddu","given":"Bachisio","non-dropping-particle":"","parse-names":false,"suffix":""},{"dropping-particle":"","family":"Puente","given":"Xose S","non-dropping-particle":"","parse-names":false,"suffix":""},{"dropping-particle":"","family":"Avet-Loiseau","given":"Herve","non-dropping-particle":"","parse-names":false,"suffix":""},{"dropping-particle":"","family":"Campbell","given":"Peter J","non-dropping-particle":"","parse-names":false,"suffix":""},{"dropping-particle":"","family":"Nik-Zainal","given":"Serena","non-dropping-particle":"","parse-names":false,"suffix":""},{"dropping-particle":"","family":"Campo","given":"Elias","non-dropping-particle":"","parse-names":false,"suffix":""},{"dropping-particle":"","family":"Munshi","given":"Nikhil","non-dropping-particle":"","parse-names":false,"suffix":""},{"dropping-particle":"","family":"Bolli","given":"Niccolò","non-dropping-particle":"","parse-names":false,"suffix":""}],"container-title":"Nature communications","id":"ITEM-3","issue":"1","issued":{"date-parts":[["2019","7","5"]]},"page":"2969","title":"A practical guide for mutational signature analysis in hematological malignancies.","type":"article-journal","volume":"10"},"uris":["http://www.mendeley.com/documents/?uuid=05c5fc9f-634c-302a-ac9b-8a816817cb08"]}],"mendeley":{"formattedCitation":"&lt;sup&gt;22–24&lt;/sup&gt;","plainTextFormattedCitation":"22–24","previouslyFormattedCitation":"&lt;sup&gt;22–24&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sz w:val="24"/>
          <w:szCs w:val="24"/>
          <w:vertAlign w:val="superscript"/>
        </w:rPr>
        <w:t>22–24</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A persistent activation of SHM enzymes could partially explain the ID observed in CLL.</w:t>
      </w:r>
      <w:r w:rsidR="001F5AA7" w:rsidRPr="001F5AA7">
        <w:fldChar w:fldCharType="begin"/>
      </w:r>
      <w:r>
        <w:rPr>
          <w:rFonts w:ascii="Times New Roman" w:hAnsi="Times New Roman" w:cs="Times New Roman"/>
          <w:sz w:val="24"/>
          <w:szCs w:val="24"/>
        </w:rPr>
        <w:instrText>ADDIN CSL_CITATION {"citationItems":[{"id":"ITEM-1","itemData":{"DOI":"10.1084/jem.20011693","ISBN":"5165621022","ISSN":"00221007","PMID":"12208878","abstract":"Chronic lymphocytic leukemia (CLL) arises from the clonal expansion of a CD5+ B lymphocyte that is thought not to undergo intraclonal diversification. Using VHDJH cDNA single strand conformation polymorphism analyses, we detected intraclonal mobility variants in 11 of 18 CLL cases. cDNA sequence analyses indicated that these variants represented unique point-mutations (1-35/patient). In nine cases, these mutations were unique to individual submembers of the CLL clone, although in two cases they occurred in a large percentage of the clonal submembers and genealogical trees could be identified. The diversification process responsible for these changes led to single nucleotide changes that favored transitions over transversions, but did not target A nucleotides and did not have the replacement/silent nucleotide change characteristics of antigen-selected B cells. Intraclonal diversification did not correlate with the original mutational load of an individual CLL case in that diversification was as frequent in CLL cells with little or no somatic mutations as in those with considerable mutations. Finally, CLL B cells that did not exhibit intraclonal diversification in vivo could be induced to mutate their VHDJH genes in vitro after stimulation. These data indicate that a somatic mutation mechanism remains functional in CLL cells and could play a role in the evolution of the clone.","author":[{"dropping-particle":"","family":"Gurrieri","given":"Carmela","non-dropping-particle":"","parse-names":false,"suffix":""},{"dropping-particle":"","family":"McGuire","given":"Peter","non-dropping-particle":"","parse-names":false,"suffix":""},{"dropping-particle":"","family":"Zan","given":"Hong","non-dropping-particle":"","parse-names":false,"suffix":""},{"dropping-particle":"","family":"Yan","given":"Xiao Jie","non-dropping-particle":"","parse-names":false,"suffix":""},{"dropping-particle":"","family":"Cerutti","given":"Andrea","non-dropping-particle":"","parse-names":false,"suffix":""},{"dropping-particle":"","family":"Albesiano","given":"Emilia","non-dropping-particle":"","parse-names":false,"suffix":""},{"dropping-particle":"","family":"Allen","given":"Steven L.","non-dropping-particle":"","parse-names":false,"suffix":""},{"dropping-particle":"","family":"Vinciguerra","given":"Vincent","non-dropping-particle":"","parse-names":false,"suffix":""},{"dropping-particle":"","family":"Rai","given":"Kanti R.","non-dropping-particle":"","parse-names":false,"suffix":""},{"dropping-particle":"","family":"Ferrarini","given":"Manlio","non-dropping-particle":"","parse-names":false,"suffix":""},{"dropping-particle":"","family":"Casali","given":"Paolo","non-dropping-particle":"","parse-names":false,"suffix":""},{"dropping-particle":"","family":"Chiorazzi","given":"Nicholas","non-dropping-particle":"","parse-names":false,"suffix":""}],"container-title":"Journal of Experimental Medicine","id":"ITEM-1","issue":"5","issued":{"date-parts":[["2002"]]},"page":"629-639","title":"Chronic lymphocytic leukemia B cells can undergo somatic hypermutation and intraclonal immunoglobulin VHDJH gene diversification","type":"article-journal","volume":"196"},"uris":["http://www.mendeley.com/documents/?uuid=e40a186a-0534-465d-8980-348b282a2739"]},{"id":"ITEM-2","itemData":{"DOI":"10.1111/j.1365-2141.2004.04985.x","ISSN":"0007-1048","PMID":"15198729","abstract":"Cases of B-cell chronic lymphocytic leukaemia (B-CLL) with mutated (M) IgV(H) genes have a better prognosis than unmutated (UM) cases. We analysed the IgV(H) mutational status of B-CLL according to the features of a canonical somatic hypermutation (SHM) process, correlating this data with survival. In a series of 141 B-CLLs, 124 cases were examined for IgV(H) gene per cent mutations and skewing of replacement/silent mutations in the framework/complementarity-determining regions as evidence of antigen-driven selection; this identified three B-CLL subsets: significantly mutated (sM), with evidence of antigen-driven selection, not significantly mutated (nsM) and UM, without such evidence and IgV(H) gene per cent mutations above or below the 2% cut-off. sM B-CLL patients had longer survival within the good prognosis subgroup that had more than 2% mutations of IgV(H) genes. sM, nsM and UM B-CLL were also characterized for the biased usage of IgV(H) families, intraclonal IgV(H) gene diversification, preference of mutations to target-specific nucleotides or hotspots, and for the expression of enzymes involved in SHM (translesion DNA polymerase zeta and eta and activation-induced cytidine deaminase). These findings indicate the activation of a canonical SHM process in nsM and sM B-CLLs and underscore the role of the antigen in defining the specific clinical and biological features of B-CLL.","author":[{"dropping-particle":"","family":"Degan","given":"Massimo","non-dropping-particle":"","parse-names":false,"suffix":""},{"dropping-particle":"","family":"Bomben","given":"Riccardo","non-dropping-particle":"","parse-names":false,"suffix":""},{"dropping-particle":"","family":"Bo","given":"Michele Dal","non-dropping-particle":"","parse-names":false,"suffix":""},{"dropping-particle":"","family":"Zucchetto","given":"Antonella","non-dropping-particle":"","parse-names":false,"suffix":""},{"dropping-particle":"","family":"Nanni","given":"Paola","non-dropping-particle":"","parse-names":false,"suffix":""},{"dropping-particle":"","family":"Rupolo","given":"Maurizio","non-dropping-particle":"","parse-names":false,"suffix":""},{"dropping-particle":"","family":"Steffan","given":"Agostino","non-dropping-particle":"","parse-names":false,"suffix":""},{"dropping-particle":"","family":"Attadia","given":"Vincenza","non-dropping-particle":"","parse-names":false,"suffix":""},{"dropping-particle":"","family":"Ballerini","given":"Pier Ferruccio","non-dropping-particle":"","parse-names":false,"suffix":""},{"dropping-particle":"","family":"Damiani","given":"Daniela","non-dropping-particle":"","parse-names":false,"suffix":""},{"dropping-particle":"","family":"Pucillo","given":"Carlo","non-dropping-particle":"","parse-names":false,"suffix":""},{"dropping-particle":"Del","family":"Poeta","given":"Giovanni","non-dropping-particle":"","parse-names":false,"suffix":""},{"dropping-particle":"","family":"Colombatti","given":"Alfonso","non-dropping-particle":"","parse-names":false,"suffix":""},{"dropping-particle":"","family":"Gattei","given":"Valter","non-dropping-particle":"","parse-names":false,"suffix":""}],"container-title":"British journal of haematology","id":"ITEM-2","issue":"1","issued":{"date-parts":[["2004","7"]]},"page":"29-42","title":"Analysis of IgV gene mutations in B cell chronic lymphocytic leukaemia according to antigen-driven selection identifies subgroups with different prognosis and usage of the canonical somatic hypermutation machinery.","type":"article-journal","volume":"126"},"uris":["http://www.mendeley.com/documents/?uuid=2a2febd9-4534-33d4-8642-f7130701cc75"]},{"id":"ITEM-3","itemData":{"DOI":"10.3389/fonc.2021.640731","ISSN":"2234943X","abstract":"Analyses of IGHV gene mutations in chronic lymphocytic leukemia (CLL) have had a major impact on the prognostication and treatment of this disease. A hallmark of IGHV-mutation status is that it very rarely changes clonally over time. Nevertheless, targeted and deep DNA sequencing of IGHV-IGHD-IGHJ regions has revealed intraclonal heterogeneity. We used a DNA sequencing approach that achieves considerable depth and minimizes artefacts and amplification bias to identify IGHV-IGHD-IGHJ subclones in patients with prolonged temporal follow-up. Our findings extend previous studies, revealing intraclonal IGHV-IGHD-IGHJ diversification in almost all CLL clones. Also, they indicate that some subclones with additional IGHV-IGHD-IGHJ mutations can become a large fraction of the leukemic burden, reaching numerical criteria for monoclonal B-cell lymphocytosis. Notably, the occurrence and complexity of post-transformation IGHV-IGHD-IGHJ heterogeneity and the expansion of diversified subclones are similar among U-CLL and M-CLL patients. The molecular characteristics of the mutations present in the parental, clinically dominant CLL clone (CDC) differed from those developing post-transformation (post-CDC). Post-CDC mutations exhibit significantly lower fractions of mutations bearing signatures of activation induced deaminase (AID) and of error-prone repair by Polη, and most of the mutations were not ascribable to those enzymes. Additionally, post-CDC mutations displayed a lower percentage of nucleotide transitions compared with transversions that was also not like the action of AID. Finally, the post-CDC mutations led to significantly lower ratios of replacement to silent mutations in VH CDRs and higher ratios in VH FRs, distributions different from mutations found in normal B-cell subsets undergoing an AID-mediated process. Based on these findings, we propose that post-transformation mutations in CLL cells either reflect a dysfunctional standard somatic mutational process or point to the action of another mutational process not previously associated with IG V gene loci. If the former option is the case, post-CDC mutations could lead to a lesser dependence on antigen dependent BCR signaling and potentially a greater influence of off-target, non-IG genomic mutations. Alternatively, the latter activity could add a new stimulatory survival/growth advantage mediated by the BCR through structurally altered FRs, such as that occurring by superantigen binding and stimulation.","author":[{"dropping-particle":"","family":"Bagnara","given":"Davide","non-dropping-particle":"","parse-names":false,"suffix":""},{"dropping-particle":"","family":"Tang","given":"Catherine","non-dropping-particle":"","parse-names":false,"suffix":""},{"dropping-particle":"","family":"Brown","given":"Jennifer R.","non-dropping-particle":"","parse-names":false,"suffix":""},{"dropping-particle":"","family":"Kasar","given":"Siddha","non-dropping-particle":"","parse-names":false,"suffix":""},{"dropping-particle":"","family":"Fernandes","given":"Stacey","non-dropping-particle":"","parse-names":false,"suffix":""},{"dropping-particle":"","family":"Colombo","given":"Monica","non-dropping-particle":"","parse-names":false,"suffix":""},{"dropping-particle":"","family":"Vergani","given":"Stefano","non-dropping-particle":"","parse-names":false,"suffix":""},{"dropping-particle":"","family":"Mazzarello","given":"Andrea N.","non-dropping-particle":"","parse-names":false,"suffix":""},{"dropping-particle":"","family":"Ghiotto","given":"Fabio","non-dropping-particle":"","parse-names":false,"suffix":""},{"dropping-particle":"","family":"Bruno","given":"Silvia","non-dropping-particle":"","parse-names":false,"suffix":""},{"dropping-particle":"","family":"Morabito","given":"Fortunato","non-dropping-particle":"","parse-names":false,"suffix":""},{"dropping-particle":"","family":"Rai","given":"Kanti R.","non-dropping-particle":"","parse-names":false,"suffix":""},{"dropping-particle":"","family":"Kolitz","given":"Jonathan E.","non-dropping-particle":"","parse-names":false,"suffix":""},{"dropping-particle":"","family":"Barrientos","given":"Jacqueline C.","non-dropping-particle":"","parse-names":false,"suffix":""},{"dropping-particle":"","family":"Allen","given":"Steven L.","non-dropping-particle":"","parse-names":false,"suffix":""},{"dropping-particle":"","family":"Fais","given":"Franco","non-dropping-particle":"","parse-names":false,"suffix":""},{"dropping-particle":"","family":"Scharff","given":"Matthew D.","non-dropping-particle":"","parse-names":false,"suffix":""},{"dropping-particle":"","family":"MacCarthy","given":"Thomas","non-dropping-particle":"","parse-names":false,"suffix":""},{"dropping-particle":"","family":"Chiorazzi","given":"Nicholas","non-dropping-particle":"","parse-names":false,"suffix":""}],"container-title":"Frontiers in Oncology","id":"ITEM-3","issue":"May","issued":{"date-parts":[["2021"]]},"page":"1-14","title":"Post-Transformation IGHV-IGHD-IGHJ Mutations in Chronic Lymphocytic Leukemia B Cells: Implications for Mutational Mechanisms and Impact on Clinical Course","type":"article-journal","volume":"11"},"uris":["http://www.mendeley.com/documents/?uuid=9607615e-5140-4059-9aa6-b5197a59838e"]},{"id":"ITEM-4","itemData":{"DOI":"10.1371/journal.pone.0167602","ISBN":"1111111111","ISSN":"19326203","abstract":"The targeting of mutations by Activation-Induced Deaminase (AID) is a key step in generating antibody diversity at the Immunoglobulin (Ig) loci but is also implicated in B-cell malignancies such as chronic lymphocytic leukemia (CLL). AID has previously been shown to preferentially deaminate WRC (W = A/T, R = A/G) hotspots. WGCW sites, which contain an overlapping WRC hotspot on both DNA strands, mutate at much higher frequency than single hotspots. Human Ig heavy chain (IGHV) genes differ in terms of WGCW numbers, ranging from 4 for IGHV3-48</w:instrText>
      </w:r>
      <w:r>
        <w:rPr>
          <w:rFonts w:ascii="Cambria Math" w:hAnsi="Cambria Math" w:cs="Cambria Math"/>
          <w:sz w:val="24"/>
          <w:szCs w:val="24"/>
        </w:rPr>
        <w:instrText>∗</w:instrText>
      </w:r>
      <w:r>
        <w:rPr>
          <w:rFonts w:ascii="Times New Roman" w:hAnsi="Times New Roman" w:cs="Times New Roman"/>
          <w:sz w:val="24"/>
          <w:szCs w:val="24"/>
        </w:rPr>
        <w:instrText>03 to as many as 12 in IGHV1-69</w:instrText>
      </w:r>
      <w:r>
        <w:rPr>
          <w:rFonts w:ascii="Cambria Math" w:hAnsi="Cambria Math" w:cs="Cambria Math"/>
          <w:sz w:val="24"/>
          <w:szCs w:val="24"/>
        </w:rPr>
        <w:instrText>∗</w:instrText>
      </w:r>
      <w:r>
        <w:rPr>
          <w:rFonts w:ascii="Times New Roman" w:hAnsi="Times New Roman" w:cs="Times New Roman"/>
          <w:sz w:val="24"/>
          <w:szCs w:val="24"/>
        </w:rPr>
        <w:instrText xml:space="preserve">01. An absence of V-region mutations in CLL patients (\"IGHV unmutated\", or U-CLL) is associated with a poorer prognosis compared to \"IGHV mutated\" (M-CLL) patients. The reasons for this difference are still unclear, but it has been noted that particular IGHV genes associate with U-CLL vs M-CLL. For example, patients with IGHV1-69 clones tend to be U-CLL with a poor prognosis, whereas patients with IGHV3-30 tend to be M-CLL and have a better prognosis. Another distinctive feature of CLL is that </w:instrText>
      </w:r>
      <w:r>
        <w:rPr>
          <w:rFonts w:ascii="Cambria Math" w:hAnsi="Cambria Math" w:cs="Cambria Math"/>
          <w:sz w:val="24"/>
          <w:szCs w:val="24"/>
        </w:rPr>
        <w:instrText>∼</w:instrText>
      </w:r>
      <w:r>
        <w:rPr>
          <w:rFonts w:ascii="Times New Roman" w:hAnsi="Times New Roman" w:cs="Times New Roman"/>
          <w:sz w:val="24"/>
          <w:szCs w:val="24"/>
        </w:rPr>
        <w:instrText>30% of (mostly poor prognosis) patients can be classified into \"stereotyped\" subsets, each defined by HCDR3 similarity, suggesting selection, possibly for a self-antigen. We analyzed &gt;1000 IGHV genes from CLL patients and found a highly significant statistical relationship between the number of WGCW hotspots in the germline V-region and the observed mutation frequency in patients. However, paradoxically, this correlation was inverse, with V-regions with more WGCW hotspots being less likely to be mutated, i.e., more likely to be U-CLL. The number of WGCW hotspots in particular, are more strongly correlated with mutation frequency than either non-overlapping (WRC) hotspots or more general models of mutability derived from somatic hypermutation data. Furthermore, this correlation is not observed in sequences from the B cell repertoires of normal individuals and those with autoimmune diseases.","author":[{"dropping-particle":"","family":"Yuan","given":"Chaohui","non-dropping-particle":"","parse-names":false,"suffix":""},{"dropping-particle":"","family":"Chu","given":"Charles C.","non-dropping-particle":"","parse-names":false,"suffix":""},{"dropping-particle":"","family":"Yan","given":"Xiao Jie","non-dropping-particle":"","parse-names":false,"suffix":""},{"dropping-particle":"","family":"Bagnara","given":"Davide","non-dropping-particle":"","parse-names":false,"suffix":""},{"dropping-particle":"","family":"Chiorazzi","given":"Nicholas","non-dropping-particle":"","parse-names":false,"suffix":""},{"dropping-particle":"","family":"MacCarthy","given":"Thomas","non-dropping-particle":"","parse-names":false,"suffix":""}],"container-title":"PLoS ONE","id":"ITEM-4","issue":"1","issued":{"date-parts":[["2017"]]},"page":"1-17","title":"The number of overlapping AID hotspots in Germline IGHV genes is inversely correlated with mutation frequency in chronic lymphocytic Leukemia","type":"article-journal","volume":"12"},"uris":["http://www.mendeley.com/documents/?uuid=f542f498-335d-45db-84ff-cf2d51bb7beb"]}],"mendeley":{"formattedCitation":"&lt;sup&gt;25–28&lt;/sup&gt;","plainTextFormattedCitation":"25–28","previouslyFormattedCitation":"&lt;sup&gt;25–28&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sz w:val="24"/>
          <w:szCs w:val="24"/>
          <w:vertAlign w:val="superscript"/>
        </w:rPr>
        <w:t>25–28</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demonstrate that ID is dependent on SHM machinery, we evaluated in </w:t>
      </w:r>
      <w:proofErr w:type="spellStart"/>
      <w:r>
        <w:rPr>
          <w:rFonts w:ascii="Times New Roman" w:hAnsi="Times New Roman" w:cs="Times New Roman"/>
          <w:sz w:val="24"/>
          <w:szCs w:val="24"/>
        </w:rPr>
        <w:t>silico</w:t>
      </w:r>
      <w:proofErr w:type="spellEnd"/>
      <w:r>
        <w:rPr>
          <w:rFonts w:ascii="Times New Roman" w:hAnsi="Times New Roman" w:cs="Times New Roman"/>
          <w:sz w:val="24"/>
          <w:szCs w:val="24"/>
        </w:rPr>
        <w:t xml:space="preserve"> whether mutations respo</w:t>
      </w:r>
      <w:r>
        <w:rPr>
          <w:rFonts w:ascii="Times New Roman" w:hAnsi="Times New Roman" w:cs="Times New Roman"/>
          <w:sz w:val="24"/>
          <w:szCs w:val="24"/>
        </w:rPr>
        <w:t>n</w:t>
      </w:r>
      <w:r>
        <w:rPr>
          <w:rFonts w:ascii="Times New Roman" w:hAnsi="Times New Roman" w:cs="Times New Roman"/>
          <w:sz w:val="24"/>
          <w:szCs w:val="24"/>
        </w:rPr>
        <w:t xml:space="preserve">sible for ID were compatible with known signatures. We employed </w:t>
      </w:r>
      <w:proofErr w:type="spellStart"/>
      <w:r>
        <w:rPr>
          <w:rFonts w:ascii="Times New Roman" w:hAnsi="Times New Roman" w:cs="Times New Roman"/>
          <w:sz w:val="24"/>
          <w:szCs w:val="24"/>
        </w:rPr>
        <w:t>igphyml</w:t>
      </w:r>
      <w:proofErr w:type="spellEnd"/>
      <w:r>
        <w:rPr>
          <w:rFonts w:ascii="Times New Roman" w:hAnsi="Times New Roman" w:cs="Times New Roman"/>
          <w:sz w:val="24"/>
          <w:szCs w:val="24"/>
        </w:rPr>
        <w:t xml:space="preserve"> (v.1.1.0), a phylogenetic </w:t>
      </w:r>
      <w:proofErr w:type="spellStart"/>
      <w:r>
        <w:rPr>
          <w:rFonts w:ascii="Times New Roman" w:hAnsi="Times New Roman" w:cs="Times New Roman"/>
          <w:sz w:val="24"/>
          <w:szCs w:val="24"/>
        </w:rPr>
        <w:t>algorythm</w:t>
      </w:r>
      <w:proofErr w:type="spellEnd"/>
      <w:r>
        <w:rPr>
          <w:rFonts w:ascii="Times New Roman" w:hAnsi="Times New Roman" w:cs="Times New Roman"/>
          <w:sz w:val="24"/>
          <w:szCs w:val="24"/>
        </w:rPr>
        <w:t xml:space="preserve"> designed to exploit the HLP19 substitution model to generate lineage trees taking into a</w:t>
      </w:r>
      <w:r>
        <w:rPr>
          <w:rFonts w:ascii="Times New Roman" w:hAnsi="Times New Roman" w:cs="Times New Roman"/>
          <w:sz w:val="24"/>
          <w:szCs w:val="24"/>
        </w:rPr>
        <w:t>c</w:t>
      </w:r>
      <w:r>
        <w:rPr>
          <w:rFonts w:ascii="Times New Roman" w:hAnsi="Times New Roman" w:cs="Times New Roman"/>
          <w:sz w:val="24"/>
          <w:szCs w:val="24"/>
        </w:rPr>
        <w:t>count SHM.</w:t>
      </w:r>
      <w:r w:rsidR="001F5AA7" w:rsidRPr="001F5AA7">
        <w:fldChar w:fldCharType="begin"/>
      </w:r>
      <w:r>
        <w:rPr>
          <w:rFonts w:ascii="Times New Roman" w:hAnsi="Times New Roman" w:cs="Times New Roman"/>
          <w:sz w:val="24"/>
          <w:szCs w:val="24"/>
        </w:rPr>
        <w:instrText>ADDIN CSL_CITATION {"citationItems":[{"id":"ITEM-1","itemData":{"DOI":"10.1073/PNAS.1906020116/SUPPL_FILE/PNAS.1906020116.SAPP.PDF","ISSN":"10916490","PMID":"31636219","abstract":"In order to produce effective antibodies, B cells undergo rapid somatic hypermutation (SHM) and selection for binding affinity to antigen via a process called affinity maturation. The similarities between this process and evolution by natural selection have led many groups to use phylogenetic methods to characterize the development of immunological memory, vaccination, and other processes that depend on affinity maturation. However, these applications are limited by the fact that most phylogenetic models are designed to be applied to individual lineages comprising genetically diverse sequences, while B cell repertoires often consist of hundreds to thousands of separate low-diversity lineages. Further, several features of affinity maturation violate important assumptions in standard phylogenetic models. Here, we introduce a hierarchical phylogenetic framework that integrates information from all lineages in a repertoire to more precisely estimate model parameters while simultaneously incorporating the unique features of SHM. We demonstrate the power of this repertoire-wide approach by characterizing previously undescribed phenomena in affinity maturation. First, we find evidence consistent with age-related changes in SHM hot-spot targeting. Second, we identify a consistent relationship between increased tree length and signs of increased negative selection, apparent in the repertoires of recently vaccinated subjects and those without any known recent infections or vaccinations. This suggests that B cell lineages shift toward negative selection over time as a general feature of affinity maturation. Our study provides a framework for undertaking repertoire-wide phylogenetic testing of SHM hypotheses and provides a means of characterizing dynamics of mutation and selection during affinity maturation.","author":[{"dropping-particle":"","family":"Hoehn","given":"Kenneth B.","non-dropping-particle":"","parse-names":false,"suffix":""},{"dropping-particle":"","family":"Heiden","given":"Jason A.","non-dropping-particle":"Vander","parse-names":false,"suffix":""},{"dropping-particle":"","family":"Zhou","given":"Julian Q.","non-dropping-particle":"","parse-names":false,"suffix":""},{"dropping-particle":"","family":"Lunter","given":"Gerton","non-dropping-particle":"","parse-names":false,"suffix":""},{"dropping-particle":"","family":"Pybus","given":"Oliver G.","non-dropping-particle":"","parse-names":false,"suffix":""},{"dropping-particle":"","family":"Kleinstein","given":"Steven H.","non-dropping-particle":"","parse-names":false,"suffix":""}],"container-title":"Proceedings of the National Academy of Sciences of the United States of America","id":"ITEM-1","issue":"45","issued":{"date-parts":[["2019","11","5"]]},"page":"22664-22672","publisher":"National Academy of Sciences","title":"Repertoire-wide phylogenetic models of B cell molecular evolution reveal evolutionary signatures of aging and vaccination","type":"article-journal","volume":"116"},"uris":["http://www.mendeley.com/documents/?uuid=b991c4c9-e1dd-3d45-ba49-b718aa4d9dab"]},{"id":"ITEM-2","itemData":{"DOI":"10.1534/genetics.116.196303","ISSN":"19432631","PMID":"28315836","abstract":"Phylogenetic methods have shown promise in understanding the development of broadly neutralizing antibody lineages (bNAbs). However, the mutational process that generates these lineages, somatic hypermutation, is biased by hotspot motifs which violates important assumptions in most phylogenetic substitution models. Here, we develop a modified GY94-type substitution model that partially accounts for this context dependency while preserving independence of sites during calculation. This model shows a substantially better fit to three well-characterized bNAb lineages than the standard GY94 model. We also demonstrate how our model can be used to test hypotheses concerning the roles of different hotspot and coldspot motifs in the evolution of B-cell lineages. Further, we explore the consequences of the idea that the number of hotspot motifs, and perhaps the mutation rate in general, is expected to decay over time in individual bNAb lineages.","author":[{"dropping-particle":"","family":"Hoehn","given":"Kenneth B.","non-dropping-particle":"","parse-names":false,"suffix":""},{"dropping-particle":"","family":"Lunter","given":"Gerton","non-dropping-particle":"","parse-names":false,"suffix":""},{"dropping-particle":"","family":"Pybus","given":"Oliver G.","non-dropping-particle":"","parse-names":false,"suffix":""}],"container-title":"Genetics","id":"ITEM-2","issue":"1","issued":{"date-parts":[["2017"]]},"page":"417-427","title":"A phylogenetic codon substitution model for antibody lineages","type":"article-journal","volume":"206"},"uris":["http://www.mendeley.com/documents/?uuid=3f892357-0303-4dd3-a25e-3575fbc3d861"]}],"mendeley":{"formattedCitation":"&lt;sup&gt;29,30&lt;/sup&gt;","plainTextFormattedCitation":"29,30","previouslyFormattedCitation":"&lt;sup&gt;29,30&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sz w:val="24"/>
          <w:szCs w:val="24"/>
          <w:vertAlign w:val="superscript"/>
        </w:rPr>
        <w:t>29,30</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The algorithm calculates variations in mutational load of specific </w:t>
      </w:r>
      <w:proofErr w:type="spellStart"/>
      <w:r>
        <w:rPr>
          <w:rFonts w:ascii="Times New Roman" w:hAnsi="Times New Roman" w:cs="Times New Roman"/>
          <w:sz w:val="24"/>
          <w:szCs w:val="24"/>
        </w:rPr>
        <w:t>nucleotidic</w:t>
      </w:r>
      <w:proofErr w:type="spellEnd"/>
      <w:r>
        <w:rPr>
          <w:rFonts w:ascii="Times New Roman" w:hAnsi="Times New Roman" w:cs="Times New Roman"/>
          <w:sz w:val="24"/>
          <w:szCs w:val="24"/>
        </w:rPr>
        <w:t xml:space="preserve"> motifs, namely WRC/GYW AID hotspot (known to be preferentially targeted by AID), and SYC/GRS AID coldspot (rarely targeted by AID mutational activity).</w:t>
      </w:r>
      <w:r w:rsidR="001F5AA7" w:rsidRPr="001F5AA7">
        <w:fldChar w:fldCharType="begin"/>
      </w:r>
      <w:r>
        <w:rPr>
          <w:rFonts w:ascii="Times New Roman" w:hAnsi="Times New Roman" w:cs="Times New Roman"/>
          <w:sz w:val="24"/>
          <w:szCs w:val="24"/>
        </w:rPr>
        <w:instrText>ADDIN CSL_CITATION {"citationItems":[{"id":"ITEM-1","itemData":{"DOI":"10.3389/fimmu.2019.00438","ISSN":"1664-3224","PMID":"30915081","abstract":"Somatic hypermutation (SHM) of immunoglobulin (Ig) genes plays a key role in antibody mediated immunity. SHM in B cells provides the molecular basis for affinity maturation of antibodies. In this way SHM is key in optimizing antibody dependent immune responses. SHM is initiated by targeting the Activation-Induced Cytidine Deaminase (AID) to rearranged V(D)J and switch regions of Ig genes. The mutation rate of this programmed mutagenesis is ~10-3 base pairs per generation, a million-fold higher than the non-AID targeted genome of B cells. AID is a processive enzyme that binds single-stranded DNA and deaminates cytosines in DNA. Cytosine deamination generates highly mutagenic deoxy-uracil (U) in the DNA of both strands of the Ig loci. Mutagenic processing of the U by the DNA damage response generates the entire spectrum of base substitutions characterizing SHM at and around the initial U lesion. Starting from the U as a primary lesion, currently five mutagenic DNA damage response pathways have been identified in generating a well-defined SHM spectrum of C/G transitions, C/G transversions, and A/T mutations around this initial lesion. These pathways include (1) replication opposite template U generates transitions at C/G, (2) UNG2-dependent translesion synthesis (TLS) generates transversions at C/G, (3) a hybrid pathway comprising non-canonical mismatch repair (ncMMR) and UNG2-dependent TLS generates transversions at C/G, (4) ncMMR generates mutations at A/T, and (5) UNG2- and PCNA Ubiquitination (PCNA-Ub)-dependent mutations at A/T. Furthermore, specific strand-biases of SHM spectra arise as a consequence of a biased AID targeting, ncMMR, and anti-mutagenic repriming. Here, we review mammalian SHM with special focus on the mutagenic DNA damage response pathways involved in processing AID induced Us, the origin of characteristic strand biases, and relevance of the cell cycle.","author":[{"dropping-particle":"","family":"Pilzecker","given":"Bas","non-dropping-particle":"","parse-names":false,"suffix":""},{"dropping-particle":"","family":"Jacobs","given":"Heinz","non-dropping-particle":"","parse-names":false,"suffix":""}],"container-title":"Frontiers in immunology","id":"ITEM-1","issued":{"date-parts":[["2019"]]},"page":"438","title":"Mutating for Good: DNA Damage Responses During Somatic Hypermutation.","type":"article-journal","volume":"10"},"uris":["http://www.mendeley.com/documents/?uuid=df621e80-622e-35bc-bdc4-d646389ce9c9"]},{"id":"ITEM-2","itemData":{"DOI":"10.1016/j.dnarep.2014.11.006","author":[{"dropping-particle":"","family":"Pettersen","given":"Henrik Sahlin","non-dropping-particle":"","parse-names":false,"suffix":""},{"dropping-particle":"","family":"Galashevskaya","given":"Anastasia","non-dropping-particle":"","parse-names":false,"suffix":""},{"dropping-particle":"","family":"Doseth","given":"Berit","non-dropping-particle":"","parse-names":false,"suffix":""},{"dropping-particle":"","family":"Sousa","given":"Mirta M L","non-dropping-particle":"","parse-names":false,"suffix":""},{"dropping-particle":"","family":"Sarno","given":"Antonio","non-dropping-particle":"","parse-names":false,"suffix":""},{"dropping-particle":"","family":"Visnes","given":"Torkild","non-dropping-particle":"","parse-names":false,"suffix":""},{"dropping-particle":"","family":"Aas","given":"Arne","non-dropping-particle":"","parse-names":false,"suffix":""},{"dropping-particle":"","family":"Liabakk","given":"Nina-Beate","non-dropping-particle":"","parse-names":false,"suffix":""},{"dropping-particle":"","family":"Slupphaug","given":"Geir","non-dropping-particle":"","parse-names":false,"suffix":""},{"dropping-particle":"","family":"Saetrom","given":"Pål","non-dropping-particle":"","parse-names":false,"suffix":""},{"dropping-particle":"","family":"Kavli","given":"Bodil","non-dropping-particle":"","parse-names":false,"suffix":""},{"dropping-particle":"","family":"Krokan","given":"Hans E","non-dropping-particle":"","parse-names":false,"suffix":""}],"container-title":"DNA Repair","id":"ITEM-2","issued":{"date-parts":[["2015"]]},"page":"60-71","title":"AID expression in B-cell lymphomas causes accumulation of genomic uracil and a distinct AID mutational signature","type":"article-journal","volume":"25"},"uris":["http://www.mendeley.com/documents/?uuid=4412740c-88f4-36a4-984a-5575a603b8ea"]},{"id":"ITEM-3","itemData":{"DOI":"10.1038/s41467-019-11037-8","ISSN":"2041-1723","PMID":"31278357","abstract":"Analysis of mutational signatures is becoming routine in cancer genomics, with implications for pathogenesis, classification, prognosis, and even treatment decisions. However, the field lacks a consensus on analysis and result interpretation. Using whole-genome sequencing of multiple myeloma (MM), chronic lymphocytic leukemia (CLL) and acute myeloid leukemia, we compare the performance of public signature analysis tools. We describe caveats and pitfalls of de novo signature extraction and fitting approaches, reporting on common inaccuracies: erroneous signature assignment, identification of localized hyper-mutational processes, overcalling of signatures. We provide reproducible solutions to solve these issues and use orthogonal approaches to validate our results. We show how a comprehensive mutational signature analysis may provide relevant biological insights, reporting evidence of c-AID activity among unmutated CLL cases or the absence of BRCA1/BRCA2-mediated homologous recombination deficiency in a MM cohort. Finally, we propose a general analysis framework to ensure production of accurate and reproducible mutational signature data.","author":[{"dropping-particle":"","family":"Maura","given":"Francesco","non-dropping-particle":"","parse-names":false,"suffix":""},{"dropping-particle":"","family":"Degasperi","given":"Andrea","non-dropping-particle":"","parse-names":false,"suffix":""},{"dropping-particle":"","family":"Nadeu","given":"Ferran","non-dropping-particle":"","parse-names":false,"suffix":""},{"dropping-particle":"","family":"Leongamornlert","given":"Daniel","non-dropping-particle":"","parse-names":false,"suffix":""},{"dropping-particle":"","family":"Davies","given":"Helen","non-dropping-particle":"","parse-names":false,"suffix":""},{"dropping-particle":"","family":"Moore","given":"Luiza","non-dropping-particle":"","parse-names":false,"suffix":""},{"dropping-particle":"","family":"Royo","given":"Romina","non-dropping-particle":"","parse-names":false,"suffix":""},{"dropping-particle":"","family":"Ziccheddu","given":"Bachisio","non-dropping-particle":"","parse-names":false,"suffix":""},{"dropping-particle":"","family":"Puente","given":"Xose S","non-dropping-particle":"","parse-names":false,"suffix":""},{"dropping-particle":"","family":"Avet-Loiseau","given":"Herve","non-dropping-particle":"","parse-names":false,"suffix":""},{"dropping-particle":"","family":"Campbell","given":"Peter J","non-dropping-particle":"","parse-names":false,"suffix":""},{"dropping-particle":"","family":"Nik-Zainal","given":"Serena","non-dropping-particle":"","parse-names":false,"suffix":""},{"dropping-particle":"","family":"Campo","given":"Elias","non-dropping-particle":"","parse-names":false,"suffix":""},{"dropping-particle":"","family":"Munshi","given":"Nikhil","non-dropping-particle":"","parse-names":false,"suffix":""},{"dropping-particle":"","family":"Bolli","given":"Niccolò","non-dropping-particle":"","parse-names":false,"suffix":""}],"container-title":"Nature communications","id":"ITEM-3","issue":"1","issued":{"date-parts":[["2019","7","5"]]},"page":"2969","title":"A practical guide for mutational signature analysis in hematological malignancies.","type":"article-journal","volume":"10"},"uris":["http://www.mendeley.com/documents/?uuid=05c5fc9f-634c-302a-ac9b-8a816817cb08"]}],"mendeley":{"formattedCitation":"&lt;sup&gt;22–24&lt;/sup&gt;","plainTextFormattedCitation":"22–24","previouslyFormattedCitation":"&lt;sup&gt;22–24&lt;/sup&gt;"},"properties":{"noteIndex":0},"schema":"https://github.com/citation-style-language/schema/raw/master/csl-citation.json"}</w:instrText>
      </w:r>
      <w:r w:rsidR="001F5AA7">
        <w:rPr>
          <w:rFonts w:ascii="Times New Roman" w:hAnsi="Times New Roman" w:cs="Times New Roman"/>
          <w:sz w:val="24"/>
          <w:szCs w:val="24"/>
        </w:rPr>
        <w:fldChar w:fldCharType="separate"/>
      </w:r>
      <w:r>
        <w:rPr>
          <w:rFonts w:ascii="Times New Roman" w:hAnsi="Times New Roman" w:cs="Times New Roman"/>
          <w:sz w:val="24"/>
          <w:szCs w:val="24"/>
          <w:vertAlign w:val="superscript"/>
        </w:rPr>
        <w:t>22–24</w:t>
      </w:r>
      <w:r w:rsidR="001F5AA7">
        <w:rPr>
          <w:rFonts w:ascii="Times New Roman" w:hAnsi="Times New Roman" w:cs="Times New Roman"/>
          <w:sz w:val="24"/>
          <w:szCs w:val="24"/>
        </w:rPr>
        <w:fldChar w:fldCharType="end"/>
      </w:r>
      <w:r>
        <w:rPr>
          <w:rFonts w:ascii="Times New Roman" w:hAnsi="Times New Roman" w:cs="Times New Roman"/>
          <w:sz w:val="24"/>
          <w:szCs w:val="24"/>
        </w:rPr>
        <w:t xml:space="preserve"> We ran the </w:t>
      </w:r>
      <w:proofErr w:type="spellStart"/>
      <w:r>
        <w:rPr>
          <w:rFonts w:ascii="Times New Roman" w:hAnsi="Times New Roman" w:cs="Times New Roman"/>
          <w:sz w:val="24"/>
          <w:szCs w:val="24"/>
        </w:rPr>
        <w:t>algorythm</w:t>
      </w:r>
      <w:proofErr w:type="spellEnd"/>
      <w:r>
        <w:rPr>
          <w:rFonts w:ascii="Times New Roman" w:hAnsi="Times New Roman" w:cs="Times New Roman"/>
          <w:sz w:val="24"/>
          <w:szCs w:val="24"/>
        </w:rPr>
        <w:t xml:space="preserve"> with the following p</w:t>
      </w:r>
      <w:r>
        <w:rPr>
          <w:rFonts w:ascii="Times New Roman" w:hAnsi="Times New Roman" w:cs="Times New Roman"/>
          <w:sz w:val="24"/>
          <w:szCs w:val="24"/>
        </w:rPr>
        <w:t>a</w:t>
      </w:r>
      <w:r>
        <w:rPr>
          <w:rFonts w:ascii="Times New Roman" w:hAnsi="Times New Roman" w:cs="Times New Roman"/>
          <w:sz w:val="24"/>
          <w:szCs w:val="24"/>
        </w:rPr>
        <w:t xml:space="preserve">rameters: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t e --omega </w:t>
      </w:r>
      <w:proofErr w:type="spellStart"/>
      <w:r>
        <w:rPr>
          <w:rFonts w:ascii="Times New Roman" w:hAnsi="Times New Roman" w:cs="Times New Roman"/>
          <w:sz w:val="24"/>
          <w:szCs w:val="24"/>
        </w:rPr>
        <w:t>e,e</w:t>
      </w:r>
      <w:proofErr w:type="spellEnd"/>
      <w:r>
        <w:rPr>
          <w:rFonts w:ascii="Times New Roman" w:hAnsi="Times New Roman" w:cs="Times New Roman"/>
          <w:sz w:val="24"/>
          <w:szCs w:val="24"/>
        </w:rPr>
        <w:t xml:space="preserve"> --optimize </w:t>
      </w:r>
      <w:proofErr w:type="spellStart"/>
      <w:r>
        <w:rPr>
          <w:rFonts w:ascii="Times New Roman" w:hAnsi="Times New Roman" w:cs="Times New Roman"/>
          <w:sz w:val="24"/>
          <w:szCs w:val="24"/>
        </w:rPr>
        <w:t>lr</w:t>
      </w:r>
      <w:proofErr w:type="spellEnd"/>
      <w:r>
        <w:rPr>
          <w:rFonts w:ascii="Times New Roman" w:hAnsi="Times New Roman" w:cs="Times New Roman"/>
          <w:sz w:val="24"/>
          <w:szCs w:val="24"/>
        </w:rPr>
        <w:t xml:space="preserve"> “ on data corrected with our custom pipeline as described above. To further corroborate the results obtained, we calculated with a custom script the percentage of mutations compatible with SHM signatures per sample.</w:t>
      </w:r>
    </w:p>
    <w:p w:rsidR="00336347" w:rsidRDefault="00307A15">
      <w:pPr>
        <w:pStyle w:val="PreformattedText"/>
        <w:spacing w:line="360" w:lineRule="auto"/>
        <w:ind w:right="-18"/>
        <w:jc w:val="both"/>
        <w:rPr>
          <w:rFonts w:ascii="Times New Roman" w:hAnsi="Times New Roman" w:cs="Times New Roman"/>
          <w:sz w:val="24"/>
          <w:szCs w:val="24"/>
        </w:rPr>
      </w:pPr>
      <w:r>
        <w:rPr>
          <w:rFonts w:ascii="Times New Roman" w:hAnsi="Times New Roman" w:cs="Times New Roman"/>
          <w:sz w:val="24"/>
          <w:szCs w:val="24"/>
        </w:rPr>
        <w:br w:type="page" w:clear="all"/>
      </w:r>
    </w:p>
    <w:p w:rsidR="00336347" w:rsidRDefault="00307A15">
      <w:pPr>
        <w:spacing w:after="0" w:line="240" w:lineRule="auto"/>
        <w:ind w:left="640" w:hanging="640"/>
        <w:rPr>
          <w:rFonts w:ascii="Times New Roman" w:hAnsi="Times New Roman" w:cs="Times New Roman"/>
          <w:b/>
        </w:rPr>
      </w:pPr>
      <w:r>
        <w:rPr>
          <w:rFonts w:ascii="Times New Roman" w:hAnsi="Times New Roman" w:cs="Times New Roman"/>
          <w:b/>
        </w:rPr>
        <w:lastRenderedPageBreak/>
        <w:t>References</w:t>
      </w:r>
    </w:p>
    <w:p w:rsidR="00336347" w:rsidRDefault="00336347">
      <w:pPr>
        <w:spacing w:after="0" w:line="240" w:lineRule="auto"/>
        <w:ind w:left="640" w:hanging="640"/>
        <w:rPr>
          <w:rFonts w:ascii="Times New Roman" w:hAnsi="Times New Roman" w:cs="Times New Roman"/>
          <w:b/>
        </w:rPr>
      </w:pPr>
    </w:p>
    <w:p w:rsidR="00336347" w:rsidRDefault="001F5AA7">
      <w:pPr>
        <w:spacing w:line="360" w:lineRule="auto"/>
        <w:ind w:left="640" w:hanging="640"/>
        <w:rPr>
          <w:rFonts w:ascii="Times New Roman" w:hAnsi="Times New Roman" w:cs="Times New Roman"/>
          <w:lang w:val="it-IT"/>
        </w:rPr>
      </w:pPr>
      <w:r w:rsidRPr="001F5AA7">
        <w:fldChar w:fldCharType="begin"/>
      </w:r>
      <w:r w:rsidR="00307A15">
        <w:rPr>
          <w:rFonts w:ascii="Times New Roman" w:hAnsi="Times New Roman"/>
          <w:b/>
        </w:rPr>
        <w:instrText>ADDIN Mendeley Bibliography CSL_BIBLIOGRAPHY</w:instrText>
      </w:r>
      <w:r>
        <w:rPr>
          <w:rFonts w:ascii="Times New Roman" w:hAnsi="Times New Roman"/>
          <w:b/>
        </w:rPr>
        <w:fldChar w:fldCharType="separate"/>
      </w:r>
      <w:r w:rsidR="00307A15">
        <w:rPr>
          <w:rFonts w:ascii="Times New Roman" w:hAnsi="Times New Roman" w:cs="Times New Roman"/>
        </w:rPr>
        <w:t>1.</w:t>
      </w:r>
      <w:r w:rsidR="00307A15">
        <w:rPr>
          <w:rFonts w:ascii="Times New Roman" w:hAnsi="Times New Roman" w:cs="Times New Roman"/>
        </w:rPr>
        <w:tab/>
        <w:t xml:space="preserve">Leich E, Maier C, Bomben R, et al. Follicular lymphoma subgroups with and without t(14;18) differ in their N-glycosylation pattern and IGHV usage. </w:t>
      </w:r>
      <w:r w:rsidR="00307A15">
        <w:rPr>
          <w:rFonts w:ascii="Times New Roman" w:hAnsi="Times New Roman" w:cs="Times New Roman"/>
          <w:i/>
          <w:iCs/>
          <w:lang w:val="it-IT"/>
        </w:rPr>
        <w:t>Blood Adv</w:t>
      </w:r>
      <w:r w:rsidR="00307A15">
        <w:rPr>
          <w:rFonts w:ascii="Times New Roman" w:hAnsi="Times New Roman" w:cs="Times New Roman"/>
          <w:lang w:val="it-IT"/>
        </w:rPr>
        <w:t xml:space="preserve">. 2021;5(23):4890–4900. </w:t>
      </w:r>
    </w:p>
    <w:p w:rsidR="00336347" w:rsidRDefault="00307A15">
      <w:pPr>
        <w:spacing w:line="360" w:lineRule="auto"/>
        <w:ind w:left="640" w:hanging="640"/>
        <w:rPr>
          <w:rFonts w:ascii="Times New Roman" w:hAnsi="Times New Roman" w:cs="Times New Roman"/>
          <w:lang w:val="it-IT"/>
        </w:rPr>
      </w:pPr>
      <w:r>
        <w:rPr>
          <w:rFonts w:ascii="Times New Roman" w:hAnsi="Times New Roman" w:cs="Times New Roman"/>
          <w:lang w:val="it-IT"/>
        </w:rPr>
        <w:t>2.</w:t>
      </w:r>
      <w:r>
        <w:rPr>
          <w:rFonts w:ascii="Times New Roman" w:hAnsi="Times New Roman" w:cs="Times New Roman"/>
          <w:lang w:val="it-IT"/>
        </w:rPr>
        <w:tab/>
        <w:t xml:space="preserve">Lefranc M-P, Giudicelli V, Duroux P, et al. </w:t>
      </w:r>
      <w:r>
        <w:rPr>
          <w:rFonts w:ascii="Times New Roman" w:hAnsi="Times New Roman" w:cs="Times New Roman"/>
        </w:rPr>
        <w:t>IMGT®, the international ImMunoGeneTics info</w:t>
      </w:r>
      <w:r>
        <w:rPr>
          <w:rFonts w:ascii="Times New Roman" w:hAnsi="Times New Roman" w:cs="Times New Roman"/>
        </w:rPr>
        <w:t>r</w:t>
      </w:r>
      <w:r>
        <w:rPr>
          <w:rFonts w:ascii="Times New Roman" w:hAnsi="Times New Roman" w:cs="Times New Roman"/>
        </w:rPr>
        <w:t xml:space="preserve">mation system® 25 years on. </w:t>
      </w:r>
      <w:r>
        <w:rPr>
          <w:rFonts w:ascii="Times New Roman" w:hAnsi="Times New Roman" w:cs="Times New Roman"/>
          <w:i/>
          <w:iCs/>
          <w:lang w:val="it-IT"/>
        </w:rPr>
        <w:t>Nucleic Acids Res</w:t>
      </w:r>
      <w:r>
        <w:rPr>
          <w:rFonts w:ascii="Times New Roman" w:hAnsi="Times New Roman" w:cs="Times New Roman"/>
          <w:lang w:val="it-IT"/>
        </w:rPr>
        <w:t xml:space="preserve">. 2015;43(Database issue):D413-22. </w:t>
      </w:r>
    </w:p>
    <w:p w:rsidR="00336347" w:rsidRDefault="00307A15">
      <w:pPr>
        <w:spacing w:line="360" w:lineRule="auto"/>
        <w:ind w:left="640" w:hanging="640"/>
        <w:rPr>
          <w:rFonts w:ascii="Times New Roman" w:hAnsi="Times New Roman" w:cs="Times New Roman"/>
        </w:rPr>
      </w:pPr>
      <w:r>
        <w:rPr>
          <w:rFonts w:ascii="Times New Roman" w:hAnsi="Times New Roman" w:cs="Times New Roman"/>
          <w:lang w:val="it-IT"/>
        </w:rPr>
        <w:t>3.</w:t>
      </w:r>
      <w:r>
        <w:rPr>
          <w:rFonts w:ascii="Times New Roman" w:hAnsi="Times New Roman" w:cs="Times New Roman"/>
          <w:lang w:val="it-IT"/>
        </w:rPr>
        <w:tab/>
        <w:t xml:space="preserve">Rossi FM, Zucchetto A, Tissino E, et al. </w:t>
      </w:r>
      <w:r>
        <w:rPr>
          <w:rFonts w:ascii="Times New Roman" w:hAnsi="Times New Roman" w:cs="Times New Roman"/>
        </w:rPr>
        <w:t xml:space="preserve">CD49d expression identifies a chronic-lymphocytic leukemia subset with high levels of mobilized circulating CD34+ hemopoietic progenitors cells. </w:t>
      </w:r>
      <w:r>
        <w:rPr>
          <w:rFonts w:ascii="Times New Roman" w:hAnsi="Times New Roman" w:cs="Times New Roman"/>
          <w:i/>
          <w:iCs/>
        </w:rPr>
        <w:t>Leukemia</w:t>
      </w:r>
      <w:r>
        <w:rPr>
          <w:rFonts w:ascii="Times New Roman" w:hAnsi="Times New Roman" w:cs="Times New Roman"/>
        </w:rPr>
        <w:t xml:space="preserve">. 2014;28(3):705–708. </w:t>
      </w:r>
    </w:p>
    <w:p w:rsidR="00336347" w:rsidRDefault="00307A15">
      <w:pPr>
        <w:spacing w:line="360" w:lineRule="auto"/>
        <w:ind w:left="640" w:hanging="640"/>
        <w:rPr>
          <w:rFonts w:ascii="Times New Roman" w:hAnsi="Times New Roman" w:cs="Times New Roman"/>
          <w:lang w:val="it-IT"/>
        </w:rPr>
      </w:pPr>
      <w:r>
        <w:rPr>
          <w:rFonts w:ascii="Times New Roman" w:hAnsi="Times New Roman" w:cs="Times New Roman"/>
        </w:rPr>
        <w:t>4.</w:t>
      </w:r>
      <w:r>
        <w:rPr>
          <w:rFonts w:ascii="Times New Roman" w:hAnsi="Times New Roman" w:cs="Times New Roman"/>
        </w:rPr>
        <w:tab/>
        <w:t>D’Agaro T, Bittolo T, Bravin V, et al. NOTCH1 mutational status in chronic lymphocytic le</w:t>
      </w:r>
      <w:r>
        <w:rPr>
          <w:rFonts w:ascii="Times New Roman" w:hAnsi="Times New Roman" w:cs="Times New Roman"/>
        </w:rPr>
        <w:t>u</w:t>
      </w:r>
      <w:r>
        <w:rPr>
          <w:rFonts w:ascii="Times New Roman" w:hAnsi="Times New Roman" w:cs="Times New Roman"/>
        </w:rPr>
        <w:t xml:space="preserve">kaemia: clinical relevance of subclonal mutations and mutation types. </w:t>
      </w:r>
      <w:r>
        <w:rPr>
          <w:rFonts w:ascii="Times New Roman" w:hAnsi="Times New Roman" w:cs="Times New Roman"/>
          <w:i/>
          <w:iCs/>
          <w:lang w:val="it-IT"/>
        </w:rPr>
        <w:t>Br J Haematol</w:t>
      </w:r>
      <w:r>
        <w:rPr>
          <w:rFonts w:ascii="Times New Roman" w:hAnsi="Times New Roman" w:cs="Times New Roman"/>
          <w:lang w:val="it-IT"/>
        </w:rPr>
        <w:t xml:space="preserve">. 2018;182(4):597–602. </w:t>
      </w:r>
    </w:p>
    <w:p w:rsidR="00336347" w:rsidRDefault="00307A15">
      <w:pPr>
        <w:spacing w:line="360" w:lineRule="auto"/>
        <w:ind w:left="640" w:hanging="640"/>
        <w:rPr>
          <w:rFonts w:ascii="Times New Roman" w:hAnsi="Times New Roman" w:cs="Times New Roman"/>
        </w:rPr>
      </w:pPr>
      <w:r>
        <w:rPr>
          <w:rFonts w:ascii="Times New Roman" w:hAnsi="Times New Roman" w:cs="Times New Roman"/>
          <w:lang w:val="it-IT"/>
        </w:rPr>
        <w:t>5.</w:t>
      </w:r>
      <w:r>
        <w:rPr>
          <w:rFonts w:ascii="Times New Roman" w:hAnsi="Times New Roman" w:cs="Times New Roman"/>
          <w:lang w:val="it-IT"/>
        </w:rPr>
        <w:tab/>
        <w:t xml:space="preserve">Gattei V, Bulian P, Del Principe MI, et al. </w:t>
      </w:r>
      <w:r>
        <w:rPr>
          <w:rFonts w:ascii="Times New Roman" w:hAnsi="Times New Roman" w:cs="Times New Roman"/>
        </w:rPr>
        <w:t xml:space="preserve">Relevance of CD49d protein expression as overall survival and progressive disease prognosticator in chronic lymphocytic leukemia. </w:t>
      </w:r>
      <w:r>
        <w:rPr>
          <w:rFonts w:ascii="Times New Roman" w:hAnsi="Times New Roman" w:cs="Times New Roman"/>
          <w:i/>
          <w:iCs/>
        </w:rPr>
        <w:t>Blood</w:t>
      </w:r>
      <w:r>
        <w:rPr>
          <w:rFonts w:ascii="Times New Roman" w:hAnsi="Times New Roman" w:cs="Times New Roman"/>
        </w:rPr>
        <w:t xml:space="preserve">. 2008;111(2):865–73. </w:t>
      </w:r>
    </w:p>
    <w:p w:rsidR="00336347" w:rsidRDefault="00307A15">
      <w:pPr>
        <w:spacing w:line="360" w:lineRule="auto"/>
        <w:ind w:left="640" w:hanging="640"/>
        <w:rPr>
          <w:rFonts w:ascii="Times New Roman" w:hAnsi="Times New Roman" w:cs="Times New Roman"/>
        </w:rPr>
      </w:pPr>
      <w:r>
        <w:rPr>
          <w:rFonts w:ascii="Times New Roman" w:hAnsi="Times New Roman" w:cs="Times New Roman"/>
        </w:rPr>
        <w:t>6.</w:t>
      </w:r>
      <w:r>
        <w:rPr>
          <w:rFonts w:ascii="Times New Roman" w:hAnsi="Times New Roman" w:cs="Times New Roman"/>
        </w:rPr>
        <w:tab/>
        <w:t>Dal Bo M, Bulian P, Bomben R, et al. CD49d prevails over the novel recurrent mutations as i</w:t>
      </w:r>
      <w:r>
        <w:rPr>
          <w:rFonts w:ascii="Times New Roman" w:hAnsi="Times New Roman" w:cs="Times New Roman"/>
        </w:rPr>
        <w:t>n</w:t>
      </w:r>
      <w:r>
        <w:rPr>
          <w:rFonts w:ascii="Times New Roman" w:hAnsi="Times New Roman" w:cs="Times New Roman"/>
        </w:rPr>
        <w:t xml:space="preserve">dependent prognosticator of overall survival in chronic lymphocytic leukemia. </w:t>
      </w:r>
      <w:r>
        <w:rPr>
          <w:rFonts w:ascii="Times New Roman" w:hAnsi="Times New Roman" w:cs="Times New Roman"/>
          <w:i/>
          <w:iCs/>
        </w:rPr>
        <w:t>Leukemia</w:t>
      </w:r>
      <w:r>
        <w:rPr>
          <w:rFonts w:ascii="Times New Roman" w:hAnsi="Times New Roman" w:cs="Times New Roman"/>
        </w:rPr>
        <w:t xml:space="preserve">. 2016;30(10):2011–2018. </w:t>
      </w:r>
    </w:p>
    <w:p w:rsidR="00336347" w:rsidRDefault="00307A15">
      <w:pPr>
        <w:spacing w:line="360" w:lineRule="auto"/>
        <w:ind w:left="640" w:hanging="640"/>
        <w:rPr>
          <w:rFonts w:ascii="Times New Roman" w:hAnsi="Times New Roman" w:cs="Times New Roman"/>
          <w:lang w:val="it-IT"/>
        </w:rPr>
      </w:pPr>
      <w:r>
        <w:rPr>
          <w:rFonts w:ascii="Times New Roman" w:hAnsi="Times New Roman" w:cs="Times New Roman"/>
        </w:rPr>
        <w:t>7.</w:t>
      </w:r>
      <w:r>
        <w:rPr>
          <w:rFonts w:ascii="Times New Roman" w:hAnsi="Times New Roman" w:cs="Times New Roman"/>
        </w:rPr>
        <w:tab/>
        <w:t xml:space="preserve">Tissino E, Benedetti D, Herman SEM, et al. Functional and clinical relevance of VLA-4 (CD49d/CD29) in ibrutinib-treated chronic lymphocytic leukemia. </w:t>
      </w:r>
      <w:r>
        <w:rPr>
          <w:rFonts w:ascii="Times New Roman" w:hAnsi="Times New Roman" w:cs="Times New Roman"/>
          <w:i/>
          <w:iCs/>
          <w:lang w:val="it-IT"/>
        </w:rPr>
        <w:t>J Exp Med</w:t>
      </w:r>
      <w:r>
        <w:rPr>
          <w:rFonts w:ascii="Times New Roman" w:hAnsi="Times New Roman" w:cs="Times New Roman"/>
          <w:lang w:val="it-IT"/>
        </w:rPr>
        <w:t xml:space="preserve">. 2018;215(2):681–697. </w:t>
      </w:r>
    </w:p>
    <w:p w:rsidR="00336347" w:rsidRDefault="00307A15">
      <w:pPr>
        <w:spacing w:line="360" w:lineRule="auto"/>
        <w:ind w:left="640" w:hanging="640"/>
        <w:rPr>
          <w:rFonts w:ascii="Times New Roman" w:hAnsi="Times New Roman" w:cs="Times New Roman"/>
        </w:rPr>
      </w:pPr>
      <w:r>
        <w:rPr>
          <w:rFonts w:ascii="Times New Roman" w:hAnsi="Times New Roman" w:cs="Times New Roman"/>
          <w:lang w:val="it-IT"/>
        </w:rPr>
        <w:t>8.</w:t>
      </w:r>
      <w:r>
        <w:rPr>
          <w:rFonts w:ascii="Times New Roman" w:hAnsi="Times New Roman" w:cs="Times New Roman"/>
          <w:lang w:val="it-IT"/>
        </w:rPr>
        <w:tab/>
        <w:t xml:space="preserve">Bomben R, Dal Bo M, Capello D, et al. </w:t>
      </w:r>
      <w:r>
        <w:rPr>
          <w:rFonts w:ascii="Times New Roman" w:hAnsi="Times New Roman" w:cs="Times New Roman"/>
        </w:rPr>
        <w:t xml:space="preserve">Comprehensive characterization of IGHV3-21–expressing B-cell chronic lymphocytic leukemia: an Italian multicenter study. </w:t>
      </w:r>
      <w:r>
        <w:rPr>
          <w:rFonts w:ascii="Times New Roman" w:hAnsi="Times New Roman" w:cs="Times New Roman"/>
          <w:i/>
          <w:iCs/>
        </w:rPr>
        <w:t>Blood</w:t>
      </w:r>
      <w:r>
        <w:rPr>
          <w:rFonts w:ascii="Times New Roman" w:hAnsi="Times New Roman" w:cs="Times New Roman"/>
        </w:rPr>
        <w:t xml:space="preserve">. 2007;109(7):2989–2998. </w:t>
      </w:r>
    </w:p>
    <w:p w:rsidR="00336347" w:rsidRDefault="00307A15">
      <w:pPr>
        <w:spacing w:line="360" w:lineRule="auto"/>
        <w:ind w:left="640" w:hanging="640"/>
        <w:rPr>
          <w:rFonts w:ascii="Times New Roman" w:hAnsi="Times New Roman" w:cs="Times New Roman"/>
        </w:rPr>
      </w:pPr>
      <w:r>
        <w:rPr>
          <w:rFonts w:ascii="Times New Roman" w:hAnsi="Times New Roman" w:cs="Times New Roman"/>
        </w:rPr>
        <w:t>9.</w:t>
      </w:r>
      <w:r>
        <w:rPr>
          <w:rFonts w:ascii="Times New Roman" w:hAnsi="Times New Roman" w:cs="Times New Roman"/>
        </w:rPr>
        <w:tab/>
        <w:t xml:space="preserve">Vander Heiden JA, Yaari G, Uduman M, et al. PRESTO: A toolkit for processing high-throughput sequencing raw reads of lymphocyte receptor repertoires. </w:t>
      </w:r>
      <w:r>
        <w:rPr>
          <w:rFonts w:ascii="Times New Roman" w:hAnsi="Times New Roman" w:cs="Times New Roman"/>
          <w:i/>
          <w:iCs/>
        </w:rPr>
        <w:t>Bioinformatics</w:t>
      </w:r>
      <w:r>
        <w:rPr>
          <w:rFonts w:ascii="Times New Roman" w:hAnsi="Times New Roman" w:cs="Times New Roman"/>
        </w:rPr>
        <w:t xml:space="preserve">. 2014;30(13):1930–1932. </w:t>
      </w:r>
    </w:p>
    <w:p w:rsidR="00336347" w:rsidRDefault="00307A15">
      <w:pPr>
        <w:spacing w:line="360" w:lineRule="auto"/>
        <w:ind w:left="640" w:hanging="640"/>
        <w:rPr>
          <w:rFonts w:ascii="Times New Roman" w:hAnsi="Times New Roman" w:cs="Times New Roman"/>
        </w:rPr>
      </w:pPr>
      <w:r>
        <w:rPr>
          <w:rFonts w:ascii="Times New Roman" w:hAnsi="Times New Roman" w:cs="Times New Roman"/>
        </w:rPr>
        <w:t>10.</w:t>
      </w:r>
      <w:r>
        <w:rPr>
          <w:rFonts w:ascii="Times New Roman" w:hAnsi="Times New Roman" w:cs="Times New Roman"/>
        </w:rPr>
        <w:tab/>
        <w:t xml:space="preserve">Gupta NT, Vander Heiden JA, Uduman M, et al. Change-O: a toolkit for analyzing large-scale B cell immunoglobulin repertoire sequencing data. </w:t>
      </w:r>
      <w:r>
        <w:rPr>
          <w:rFonts w:ascii="Times New Roman" w:hAnsi="Times New Roman" w:cs="Times New Roman"/>
          <w:i/>
          <w:iCs/>
        </w:rPr>
        <w:t>Bioinformatics</w:t>
      </w:r>
      <w:r>
        <w:rPr>
          <w:rFonts w:ascii="Times New Roman" w:hAnsi="Times New Roman" w:cs="Times New Roman"/>
        </w:rPr>
        <w:t xml:space="preserve">. 2015;31(20):3356–3358. </w:t>
      </w:r>
    </w:p>
    <w:p w:rsidR="00336347" w:rsidRDefault="00307A15">
      <w:pPr>
        <w:spacing w:line="360" w:lineRule="auto"/>
        <w:ind w:left="640" w:hanging="640"/>
        <w:rPr>
          <w:rFonts w:ascii="Times New Roman" w:hAnsi="Times New Roman" w:cs="Times New Roman"/>
        </w:rPr>
      </w:pPr>
      <w:r>
        <w:rPr>
          <w:rFonts w:ascii="Times New Roman" w:hAnsi="Times New Roman" w:cs="Times New Roman"/>
        </w:rPr>
        <w:lastRenderedPageBreak/>
        <w:t>11.</w:t>
      </w:r>
      <w:r>
        <w:rPr>
          <w:rFonts w:ascii="Times New Roman" w:hAnsi="Times New Roman" w:cs="Times New Roman"/>
        </w:rPr>
        <w:tab/>
        <w:t xml:space="preserve">Ye J, Ma N, Madden TL, Ostell JM. IgBLAST: an immunoglobulin variable domain sequence analysis tool. </w:t>
      </w:r>
      <w:r>
        <w:rPr>
          <w:rFonts w:ascii="Times New Roman" w:hAnsi="Times New Roman" w:cs="Times New Roman"/>
          <w:i/>
          <w:iCs/>
        </w:rPr>
        <w:t>Nucleic Acids Res</w:t>
      </w:r>
      <w:r>
        <w:rPr>
          <w:rFonts w:ascii="Times New Roman" w:hAnsi="Times New Roman" w:cs="Times New Roman"/>
        </w:rPr>
        <w:t xml:space="preserve">. 2013;41(Web Server issue): </w:t>
      </w:r>
    </w:p>
    <w:p w:rsidR="00336347" w:rsidRDefault="00307A15">
      <w:pPr>
        <w:spacing w:line="360" w:lineRule="auto"/>
        <w:ind w:left="640" w:hanging="640"/>
        <w:rPr>
          <w:rFonts w:ascii="Times New Roman" w:hAnsi="Times New Roman" w:cs="Times New Roman"/>
        </w:rPr>
      </w:pPr>
      <w:r>
        <w:rPr>
          <w:rFonts w:ascii="Times New Roman" w:hAnsi="Times New Roman" w:cs="Times New Roman"/>
        </w:rPr>
        <w:t>12.</w:t>
      </w:r>
      <w:r>
        <w:rPr>
          <w:rFonts w:ascii="Times New Roman" w:hAnsi="Times New Roman" w:cs="Times New Roman"/>
        </w:rPr>
        <w:tab/>
        <w:t>Stern JNH, Yaari G, Vander Heiden JA, et al. B cells populating the multiple sclerosis brain m</w:t>
      </w:r>
      <w:r>
        <w:rPr>
          <w:rFonts w:ascii="Times New Roman" w:hAnsi="Times New Roman" w:cs="Times New Roman"/>
        </w:rPr>
        <w:t>a</w:t>
      </w:r>
      <w:r>
        <w:rPr>
          <w:rFonts w:ascii="Times New Roman" w:hAnsi="Times New Roman" w:cs="Times New Roman"/>
        </w:rPr>
        <w:t xml:space="preserve">ture in the draining cervical lymph nodes. </w:t>
      </w:r>
      <w:r>
        <w:rPr>
          <w:rFonts w:ascii="Times New Roman" w:hAnsi="Times New Roman" w:cs="Times New Roman"/>
          <w:i/>
          <w:iCs/>
        </w:rPr>
        <w:t>Sci Transl Med</w:t>
      </w:r>
      <w:r>
        <w:rPr>
          <w:rFonts w:ascii="Times New Roman" w:hAnsi="Times New Roman" w:cs="Times New Roman"/>
        </w:rPr>
        <w:t xml:space="preserve">. 2014;6(248):248ra107. </w:t>
      </w:r>
    </w:p>
    <w:p w:rsidR="00336347" w:rsidRDefault="00307A15">
      <w:pPr>
        <w:spacing w:line="360" w:lineRule="auto"/>
        <w:ind w:left="640" w:hanging="640"/>
        <w:rPr>
          <w:rFonts w:ascii="Times New Roman" w:hAnsi="Times New Roman" w:cs="Times New Roman"/>
        </w:rPr>
      </w:pPr>
      <w:r>
        <w:rPr>
          <w:rFonts w:ascii="Times New Roman" w:hAnsi="Times New Roman" w:cs="Times New Roman"/>
        </w:rPr>
        <w:t>13.</w:t>
      </w:r>
      <w:r>
        <w:rPr>
          <w:rFonts w:ascii="Times New Roman" w:hAnsi="Times New Roman" w:cs="Times New Roman"/>
        </w:rPr>
        <w:tab/>
        <w:t>Chao A, Gotelli NJ, Hsieh TC, et al. Rarefaction and extrapolation with Hill numbers: a fram</w:t>
      </w:r>
      <w:r>
        <w:rPr>
          <w:rFonts w:ascii="Times New Roman" w:hAnsi="Times New Roman" w:cs="Times New Roman"/>
        </w:rPr>
        <w:t>e</w:t>
      </w:r>
      <w:r>
        <w:rPr>
          <w:rFonts w:ascii="Times New Roman" w:hAnsi="Times New Roman" w:cs="Times New Roman"/>
        </w:rPr>
        <w:t xml:space="preserve">work for sampling and estimation in species diversity studies. </w:t>
      </w:r>
      <w:r>
        <w:rPr>
          <w:rFonts w:ascii="Times New Roman" w:hAnsi="Times New Roman" w:cs="Times New Roman"/>
          <w:i/>
          <w:iCs/>
        </w:rPr>
        <w:t>Ecol Monogr</w:t>
      </w:r>
      <w:r>
        <w:rPr>
          <w:rFonts w:ascii="Times New Roman" w:hAnsi="Times New Roman" w:cs="Times New Roman"/>
        </w:rPr>
        <w:t xml:space="preserve">. 2014;84(1):45–67. </w:t>
      </w:r>
    </w:p>
    <w:p w:rsidR="00336347" w:rsidRDefault="00307A15">
      <w:pPr>
        <w:spacing w:line="360" w:lineRule="auto"/>
        <w:ind w:left="640" w:hanging="640"/>
        <w:rPr>
          <w:rFonts w:ascii="Times New Roman" w:hAnsi="Times New Roman" w:cs="Times New Roman"/>
        </w:rPr>
      </w:pPr>
      <w:r>
        <w:rPr>
          <w:rFonts w:ascii="Times New Roman" w:hAnsi="Times New Roman" w:cs="Times New Roman"/>
        </w:rPr>
        <w:t>14.</w:t>
      </w:r>
      <w:r>
        <w:rPr>
          <w:rFonts w:ascii="Times New Roman" w:hAnsi="Times New Roman" w:cs="Times New Roman"/>
        </w:rPr>
        <w:tab/>
        <w:t xml:space="preserve">Rognes T, Flouri T, Nichols B, Quince C, Mahé F. VSEARCH: a versatile open source tool for metagenomics. </w:t>
      </w:r>
      <w:r>
        <w:rPr>
          <w:rFonts w:ascii="Times New Roman" w:hAnsi="Times New Roman" w:cs="Times New Roman"/>
          <w:i/>
          <w:iCs/>
        </w:rPr>
        <w:t>PeerJ</w:t>
      </w:r>
      <w:r>
        <w:rPr>
          <w:rFonts w:ascii="Times New Roman" w:hAnsi="Times New Roman" w:cs="Times New Roman"/>
        </w:rPr>
        <w:t xml:space="preserve">. 2016;4(10):e2584. </w:t>
      </w:r>
    </w:p>
    <w:p w:rsidR="00336347" w:rsidRDefault="00307A15">
      <w:pPr>
        <w:spacing w:line="360" w:lineRule="auto"/>
        <w:ind w:left="640" w:hanging="640"/>
        <w:rPr>
          <w:rFonts w:ascii="Times New Roman" w:hAnsi="Times New Roman" w:cs="Times New Roman"/>
        </w:rPr>
      </w:pPr>
      <w:r>
        <w:rPr>
          <w:rFonts w:ascii="Times New Roman" w:hAnsi="Times New Roman" w:cs="Times New Roman"/>
        </w:rPr>
        <w:t>15.</w:t>
      </w:r>
      <w:r>
        <w:rPr>
          <w:rFonts w:ascii="Times New Roman" w:hAnsi="Times New Roman" w:cs="Times New Roman"/>
        </w:rPr>
        <w:tab/>
        <w:t xml:space="preserve">Martin M. Cutadapt removes adapter sequences from high-throughput sequencing reads. </w:t>
      </w:r>
      <w:r>
        <w:rPr>
          <w:rFonts w:ascii="Times New Roman" w:hAnsi="Times New Roman" w:cs="Times New Roman"/>
          <w:i/>
          <w:iCs/>
        </w:rPr>
        <w:t>EMBnet.journal</w:t>
      </w:r>
      <w:r>
        <w:rPr>
          <w:rFonts w:ascii="Times New Roman" w:hAnsi="Times New Roman" w:cs="Times New Roman"/>
        </w:rPr>
        <w:t xml:space="preserve">. 2011;17(1):10. </w:t>
      </w:r>
    </w:p>
    <w:p w:rsidR="00336347" w:rsidRDefault="00307A15">
      <w:pPr>
        <w:spacing w:line="360" w:lineRule="auto"/>
        <w:ind w:left="640" w:hanging="640"/>
        <w:rPr>
          <w:rFonts w:ascii="Times New Roman" w:hAnsi="Times New Roman" w:cs="Times New Roman"/>
        </w:rPr>
      </w:pPr>
      <w:r>
        <w:rPr>
          <w:rFonts w:ascii="Times New Roman" w:hAnsi="Times New Roman" w:cs="Times New Roman"/>
        </w:rPr>
        <w:t>16.</w:t>
      </w:r>
      <w:r>
        <w:rPr>
          <w:rFonts w:ascii="Times New Roman" w:hAnsi="Times New Roman" w:cs="Times New Roman"/>
        </w:rPr>
        <w:tab/>
        <w:t xml:space="preserve">Schirmer M, Ijaz UZ, D’Amore R, et al. Insight into biases and sequencing errors for amplicon sequencing with the Illumina MiSeq platform. </w:t>
      </w:r>
      <w:r>
        <w:rPr>
          <w:rFonts w:ascii="Times New Roman" w:hAnsi="Times New Roman" w:cs="Times New Roman"/>
          <w:i/>
          <w:iCs/>
        </w:rPr>
        <w:t>Nucleic Acids Res</w:t>
      </w:r>
      <w:r>
        <w:rPr>
          <w:rFonts w:ascii="Times New Roman" w:hAnsi="Times New Roman" w:cs="Times New Roman"/>
        </w:rPr>
        <w:t xml:space="preserve">. 2015;43(6):e37. </w:t>
      </w:r>
    </w:p>
    <w:p w:rsidR="00336347" w:rsidRDefault="00307A15">
      <w:pPr>
        <w:spacing w:line="360" w:lineRule="auto"/>
        <w:ind w:left="640" w:hanging="640"/>
        <w:rPr>
          <w:rFonts w:ascii="Times New Roman" w:hAnsi="Times New Roman" w:cs="Times New Roman"/>
        </w:rPr>
      </w:pPr>
      <w:r>
        <w:rPr>
          <w:rFonts w:ascii="Times New Roman" w:hAnsi="Times New Roman" w:cs="Times New Roman"/>
        </w:rPr>
        <w:t>17.</w:t>
      </w:r>
      <w:r>
        <w:rPr>
          <w:rFonts w:ascii="Times New Roman" w:hAnsi="Times New Roman" w:cs="Times New Roman"/>
        </w:rPr>
        <w:tab/>
        <w:t xml:space="preserve">Kozich JJ, Westcott SL, Baxter NT, Highlander SK, Schloss PD. Development of a dual-index sequencing strategy and curation pipeline for analyzing amplicon sequence data on the MiSeq Illumina sequencing platform. </w:t>
      </w:r>
      <w:r>
        <w:rPr>
          <w:rFonts w:ascii="Times New Roman" w:hAnsi="Times New Roman" w:cs="Times New Roman"/>
          <w:i/>
          <w:iCs/>
        </w:rPr>
        <w:t>Appl Environ Microbiol</w:t>
      </w:r>
      <w:r>
        <w:rPr>
          <w:rFonts w:ascii="Times New Roman" w:hAnsi="Times New Roman" w:cs="Times New Roman"/>
        </w:rPr>
        <w:t xml:space="preserve">. 2013;79(17):5112–20. </w:t>
      </w:r>
    </w:p>
    <w:p w:rsidR="00336347" w:rsidRDefault="00307A15">
      <w:pPr>
        <w:spacing w:line="360" w:lineRule="auto"/>
        <w:ind w:left="640" w:hanging="640"/>
        <w:rPr>
          <w:rFonts w:ascii="Times New Roman" w:hAnsi="Times New Roman" w:cs="Times New Roman"/>
        </w:rPr>
      </w:pPr>
      <w:r>
        <w:rPr>
          <w:rFonts w:ascii="Times New Roman" w:hAnsi="Times New Roman" w:cs="Times New Roman"/>
        </w:rPr>
        <w:t>18.</w:t>
      </w:r>
      <w:r>
        <w:rPr>
          <w:rFonts w:ascii="Times New Roman" w:hAnsi="Times New Roman" w:cs="Times New Roman"/>
        </w:rPr>
        <w:tab/>
        <w:t xml:space="preserve">Ester M, Kriegel H-P, Sander J, Xu X. A Density-Based Algorithm for Discovering Clusters in Large Spatial Databases with Noise. 1996; </w:t>
      </w:r>
    </w:p>
    <w:p w:rsidR="00336347" w:rsidRDefault="00307A15">
      <w:pPr>
        <w:spacing w:line="360" w:lineRule="auto"/>
        <w:ind w:left="640" w:hanging="640"/>
        <w:rPr>
          <w:rFonts w:ascii="Times New Roman" w:hAnsi="Times New Roman" w:cs="Times New Roman"/>
        </w:rPr>
      </w:pPr>
      <w:r>
        <w:rPr>
          <w:rFonts w:ascii="Times New Roman" w:hAnsi="Times New Roman" w:cs="Times New Roman"/>
        </w:rPr>
        <w:t>19.</w:t>
      </w:r>
      <w:r>
        <w:rPr>
          <w:rFonts w:ascii="Times New Roman" w:hAnsi="Times New Roman" w:cs="Times New Roman"/>
        </w:rPr>
        <w:tab/>
        <w:t xml:space="preserve">Schubert E, Sander J, Ester M, Kriegel HP, Xu X. DBSCAN Revisited, Revisited. </w:t>
      </w:r>
      <w:r>
        <w:rPr>
          <w:rFonts w:ascii="Times New Roman" w:hAnsi="Times New Roman" w:cs="Times New Roman"/>
          <w:i/>
          <w:iCs/>
        </w:rPr>
        <w:t>ACM Trans Database Syst</w:t>
      </w:r>
      <w:r>
        <w:rPr>
          <w:rFonts w:ascii="Times New Roman" w:hAnsi="Times New Roman" w:cs="Times New Roman"/>
        </w:rPr>
        <w:t xml:space="preserve">. 2017;42(3):1–21. </w:t>
      </w:r>
    </w:p>
    <w:p w:rsidR="00336347" w:rsidRDefault="00307A15">
      <w:pPr>
        <w:spacing w:line="360" w:lineRule="auto"/>
        <w:ind w:left="640" w:hanging="640"/>
        <w:rPr>
          <w:rFonts w:ascii="Times New Roman" w:hAnsi="Times New Roman" w:cs="Times New Roman"/>
        </w:rPr>
      </w:pPr>
      <w:r>
        <w:rPr>
          <w:rFonts w:ascii="Times New Roman" w:hAnsi="Times New Roman" w:cs="Times New Roman"/>
        </w:rPr>
        <w:t>20.</w:t>
      </w:r>
      <w:r>
        <w:rPr>
          <w:rFonts w:ascii="Times New Roman" w:hAnsi="Times New Roman" w:cs="Times New Roman"/>
        </w:rPr>
        <w:tab/>
        <w:t xml:space="preserve">Khan TA, Friedensohn S, Gorter de Vries AR, et al. Accurate and predictive antibody repertoire profiling by molecular amplification fingerprinting. </w:t>
      </w:r>
      <w:r>
        <w:rPr>
          <w:rFonts w:ascii="Times New Roman" w:hAnsi="Times New Roman" w:cs="Times New Roman"/>
          <w:i/>
          <w:iCs/>
        </w:rPr>
        <w:t>Sci Adv</w:t>
      </w:r>
      <w:r>
        <w:rPr>
          <w:rFonts w:ascii="Times New Roman" w:hAnsi="Times New Roman" w:cs="Times New Roman"/>
        </w:rPr>
        <w:t xml:space="preserve">. 2016;2(3):e1501371. </w:t>
      </w:r>
    </w:p>
    <w:p w:rsidR="00336347" w:rsidRDefault="00307A15">
      <w:pPr>
        <w:spacing w:line="360" w:lineRule="auto"/>
        <w:ind w:left="640" w:hanging="640"/>
        <w:rPr>
          <w:rFonts w:ascii="Times New Roman" w:hAnsi="Times New Roman" w:cs="Times New Roman"/>
        </w:rPr>
      </w:pPr>
      <w:r>
        <w:rPr>
          <w:rFonts w:ascii="Times New Roman" w:hAnsi="Times New Roman" w:cs="Times New Roman"/>
        </w:rPr>
        <w:t>21.</w:t>
      </w:r>
      <w:r>
        <w:rPr>
          <w:rFonts w:ascii="Times New Roman" w:hAnsi="Times New Roman" w:cs="Times New Roman"/>
        </w:rPr>
        <w:tab/>
        <w:t>Smith T, Heger A, Sudbery I. UMI-tools: modeling sequencing errors in Unique Molecular Ide</w:t>
      </w:r>
      <w:r>
        <w:rPr>
          <w:rFonts w:ascii="Times New Roman" w:hAnsi="Times New Roman" w:cs="Times New Roman"/>
        </w:rPr>
        <w:t>n</w:t>
      </w:r>
      <w:r>
        <w:rPr>
          <w:rFonts w:ascii="Times New Roman" w:hAnsi="Times New Roman" w:cs="Times New Roman"/>
        </w:rPr>
        <w:t xml:space="preserve">tifiers to improve quantification accuracy. </w:t>
      </w:r>
      <w:r>
        <w:rPr>
          <w:rFonts w:ascii="Times New Roman" w:hAnsi="Times New Roman" w:cs="Times New Roman"/>
          <w:i/>
          <w:iCs/>
        </w:rPr>
        <w:t>Genome Res</w:t>
      </w:r>
      <w:r>
        <w:rPr>
          <w:rFonts w:ascii="Times New Roman" w:hAnsi="Times New Roman" w:cs="Times New Roman"/>
        </w:rPr>
        <w:t xml:space="preserve">. 2017;27(3):491–499. </w:t>
      </w:r>
    </w:p>
    <w:p w:rsidR="00336347" w:rsidRDefault="00307A15">
      <w:pPr>
        <w:spacing w:line="360" w:lineRule="auto"/>
        <w:ind w:left="640" w:hanging="640"/>
        <w:rPr>
          <w:rFonts w:ascii="Times New Roman" w:hAnsi="Times New Roman" w:cs="Times New Roman"/>
        </w:rPr>
      </w:pPr>
      <w:r>
        <w:rPr>
          <w:rFonts w:ascii="Times New Roman" w:hAnsi="Times New Roman" w:cs="Times New Roman"/>
        </w:rPr>
        <w:t>22.</w:t>
      </w:r>
      <w:r>
        <w:rPr>
          <w:rFonts w:ascii="Times New Roman" w:hAnsi="Times New Roman" w:cs="Times New Roman"/>
        </w:rPr>
        <w:tab/>
        <w:t xml:space="preserve">Pilzecker B, Jacobs H. Mutating for Good: DNA Damage Responses During Somatic Hypermutation. </w:t>
      </w:r>
      <w:r>
        <w:rPr>
          <w:rFonts w:ascii="Times New Roman" w:hAnsi="Times New Roman" w:cs="Times New Roman"/>
          <w:i/>
          <w:iCs/>
        </w:rPr>
        <w:t>Front Immunol</w:t>
      </w:r>
      <w:r>
        <w:rPr>
          <w:rFonts w:ascii="Times New Roman" w:hAnsi="Times New Roman" w:cs="Times New Roman"/>
        </w:rPr>
        <w:t xml:space="preserve">. 2019;10:438. </w:t>
      </w:r>
    </w:p>
    <w:p w:rsidR="00336347" w:rsidRDefault="00307A15">
      <w:pPr>
        <w:spacing w:line="360" w:lineRule="auto"/>
        <w:ind w:left="640" w:hanging="640"/>
        <w:rPr>
          <w:rFonts w:ascii="Times New Roman" w:hAnsi="Times New Roman" w:cs="Times New Roman"/>
        </w:rPr>
      </w:pPr>
      <w:r>
        <w:rPr>
          <w:rFonts w:ascii="Times New Roman" w:hAnsi="Times New Roman" w:cs="Times New Roman"/>
        </w:rPr>
        <w:t>23.</w:t>
      </w:r>
      <w:r>
        <w:rPr>
          <w:rFonts w:ascii="Times New Roman" w:hAnsi="Times New Roman" w:cs="Times New Roman"/>
        </w:rPr>
        <w:tab/>
        <w:t xml:space="preserve">Pettersen HS, Galashevskaya A, Doseth B, et al. AID expression in B-cell lymphomas causes accumulation of genomic uracil and a distinct AID mutational signature. </w:t>
      </w:r>
      <w:r>
        <w:rPr>
          <w:rFonts w:ascii="Times New Roman" w:hAnsi="Times New Roman" w:cs="Times New Roman"/>
          <w:i/>
          <w:iCs/>
        </w:rPr>
        <w:t>DNA Repair (Amst)</w:t>
      </w:r>
      <w:r>
        <w:rPr>
          <w:rFonts w:ascii="Times New Roman" w:hAnsi="Times New Roman" w:cs="Times New Roman"/>
        </w:rPr>
        <w:t xml:space="preserve">. </w:t>
      </w:r>
      <w:r>
        <w:rPr>
          <w:rFonts w:ascii="Times New Roman" w:hAnsi="Times New Roman" w:cs="Times New Roman"/>
        </w:rPr>
        <w:lastRenderedPageBreak/>
        <w:t xml:space="preserve">2015;25:60–71. </w:t>
      </w:r>
    </w:p>
    <w:p w:rsidR="00336347" w:rsidRDefault="00307A15">
      <w:pPr>
        <w:spacing w:line="360" w:lineRule="auto"/>
        <w:ind w:left="640" w:hanging="640"/>
        <w:rPr>
          <w:rFonts w:ascii="Times New Roman" w:hAnsi="Times New Roman" w:cs="Times New Roman"/>
          <w:lang w:val="it-IT"/>
        </w:rPr>
      </w:pPr>
      <w:r>
        <w:rPr>
          <w:rFonts w:ascii="Times New Roman" w:hAnsi="Times New Roman" w:cs="Times New Roman"/>
        </w:rPr>
        <w:t>24.</w:t>
      </w:r>
      <w:r>
        <w:rPr>
          <w:rFonts w:ascii="Times New Roman" w:hAnsi="Times New Roman" w:cs="Times New Roman"/>
        </w:rPr>
        <w:tab/>
        <w:t>Maura F, Degasperi A, Nadeu F, et al. A practical guide for mutational signature analysis in h</w:t>
      </w:r>
      <w:r>
        <w:rPr>
          <w:rFonts w:ascii="Times New Roman" w:hAnsi="Times New Roman" w:cs="Times New Roman"/>
        </w:rPr>
        <w:t>e</w:t>
      </w:r>
      <w:r>
        <w:rPr>
          <w:rFonts w:ascii="Times New Roman" w:hAnsi="Times New Roman" w:cs="Times New Roman"/>
        </w:rPr>
        <w:t xml:space="preserve">matological malignancies. </w:t>
      </w:r>
      <w:r>
        <w:rPr>
          <w:rFonts w:ascii="Times New Roman" w:hAnsi="Times New Roman" w:cs="Times New Roman"/>
          <w:i/>
          <w:iCs/>
          <w:lang w:val="it-IT"/>
        </w:rPr>
        <w:t>Nat Commun</w:t>
      </w:r>
      <w:r>
        <w:rPr>
          <w:rFonts w:ascii="Times New Roman" w:hAnsi="Times New Roman" w:cs="Times New Roman"/>
          <w:lang w:val="it-IT"/>
        </w:rPr>
        <w:t xml:space="preserve">. 2019;10(1):2969. </w:t>
      </w:r>
    </w:p>
    <w:p w:rsidR="00336347" w:rsidRDefault="00307A15">
      <w:pPr>
        <w:spacing w:line="360" w:lineRule="auto"/>
        <w:ind w:left="640" w:hanging="640"/>
        <w:rPr>
          <w:rFonts w:ascii="Times New Roman" w:hAnsi="Times New Roman" w:cs="Times New Roman"/>
        </w:rPr>
      </w:pPr>
      <w:r>
        <w:rPr>
          <w:rFonts w:ascii="Times New Roman" w:hAnsi="Times New Roman" w:cs="Times New Roman"/>
          <w:lang w:val="it-IT"/>
        </w:rPr>
        <w:t>25.</w:t>
      </w:r>
      <w:r>
        <w:rPr>
          <w:rFonts w:ascii="Times New Roman" w:hAnsi="Times New Roman" w:cs="Times New Roman"/>
          <w:lang w:val="it-IT"/>
        </w:rPr>
        <w:tab/>
        <w:t xml:space="preserve">Gurrieri C, McGuire P, Zan H, et al. </w:t>
      </w:r>
      <w:r>
        <w:rPr>
          <w:rFonts w:ascii="Times New Roman" w:hAnsi="Times New Roman" w:cs="Times New Roman"/>
        </w:rPr>
        <w:t xml:space="preserve">Chronic lymphocytic leukemia B cells can undergo somatic hypermutation and intraclonal immunoglobulin VHDJH gene diversification. </w:t>
      </w:r>
      <w:r>
        <w:rPr>
          <w:rFonts w:ascii="Times New Roman" w:hAnsi="Times New Roman" w:cs="Times New Roman"/>
          <w:i/>
          <w:iCs/>
        </w:rPr>
        <w:t>J Exp Med</w:t>
      </w:r>
      <w:r>
        <w:rPr>
          <w:rFonts w:ascii="Times New Roman" w:hAnsi="Times New Roman" w:cs="Times New Roman"/>
        </w:rPr>
        <w:t xml:space="preserve">. 2002;196(5):629–639. </w:t>
      </w:r>
    </w:p>
    <w:p w:rsidR="00336347" w:rsidRDefault="00307A15">
      <w:pPr>
        <w:spacing w:line="360" w:lineRule="auto"/>
        <w:ind w:left="640" w:hanging="640"/>
        <w:rPr>
          <w:rFonts w:ascii="Times New Roman" w:hAnsi="Times New Roman" w:cs="Times New Roman"/>
        </w:rPr>
      </w:pPr>
      <w:r>
        <w:rPr>
          <w:rFonts w:ascii="Times New Roman" w:hAnsi="Times New Roman" w:cs="Times New Roman"/>
        </w:rPr>
        <w:t>26.</w:t>
      </w:r>
      <w:r>
        <w:rPr>
          <w:rFonts w:ascii="Times New Roman" w:hAnsi="Times New Roman" w:cs="Times New Roman"/>
        </w:rPr>
        <w:tab/>
        <w:t>Degan M, Bomben R, Bo MD, et al. Analysis of IgV gene mutations in B cell chronic lymph</w:t>
      </w:r>
      <w:r>
        <w:rPr>
          <w:rFonts w:ascii="Times New Roman" w:hAnsi="Times New Roman" w:cs="Times New Roman"/>
        </w:rPr>
        <w:t>o</w:t>
      </w:r>
      <w:r>
        <w:rPr>
          <w:rFonts w:ascii="Times New Roman" w:hAnsi="Times New Roman" w:cs="Times New Roman"/>
        </w:rPr>
        <w:t>cytic leukaemia according to antigen-driven selection identifies subgroups with different pro</w:t>
      </w:r>
      <w:r>
        <w:rPr>
          <w:rFonts w:ascii="Times New Roman" w:hAnsi="Times New Roman" w:cs="Times New Roman"/>
        </w:rPr>
        <w:t>g</w:t>
      </w:r>
      <w:r>
        <w:rPr>
          <w:rFonts w:ascii="Times New Roman" w:hAnsi="Times New Roman" w:cs="Times New Roman"/>
        </w:rPr>
        <w:t xml:space="preserve">nosis and usage of the canonical somatic hypermutation machinery. </w:t>
      </w:r>
      <w:r>
        <w:rPr>
          <w:rFonts w:ascii="Times New Roman" w:hAnsi="Times New Roman" w:cs="Times New Roman"/>
          <w:i/>
          <w:iCs/>
        </w:rPr>
        <w:t>Br J Haematol</w:t>
      </w:r>
      <w:r>
        <w:rPr>
          <w:rFonts w:ascii="Times New Roman" w:hAnsi="Times New Roman" w:cs="Times New Roman"/>
        </w:rPr>
        <w:t xml:space="preserve">. 2004;126(1):29–42. </w:t>
      </w:r>
    </w:p>
    <w:p w:rsidR="00336347" w:rsidRDefault="00307A15">
      <w:pPr>
        <w:spacing w:line="360" w:lineRule="auto"/>
        <w:ind w:left="640" w:hanging="640"/>
        <w:rPr>
          <w:rFonts w:ascii="Times New Roman" w:hAnsi="Times New Roman" w:cs="Times New Roman"/>
        </w:rPr>
      </w:pPr>
      <w:r>
        <w:rPr>
          <w:rFonts w:ascii="Times New Roman" w:hAnsi="Times New Roman" w:cs="Times New Roman"/>
        </w:rPr>
        <w:t>27.</w:t>
      </w:r>
      <w:r>
        <w:rPr>
          <w:rFonts w:ascii="Times New Roman" w:hAnsi="Times New Roman" w:cs="Times New Roman"/>
        </w:rPr>
        <w:tab/>
        <w:t xml:space="preserve">Bagnara D, Tang C, Brown JR, et al. Post-Transformation IGHV-IGHD-IGHJ Mutations in Chronic Lymphocytic Leukemia B Cells: Implications for Mutational Mechanisms and Impact on Clinical Course. </w:t>
      </w:r>
      <w:r>
        <w:rPr>
          <w:rFonts w:ascii="Times New Roman" w:hAnsi="Times New Roman" w:cs="Times New Roman"/>
          <w:i/>
          <w:iCs/>
        </w:rPr>
        <w:t>Front Oncol</w:t>
      </w:r>
      <w:r>
        <w:rPr>
          <w:rFonts w:ascii="Times New Roman" w:hAnsi="Times New Roman" w:cs="Times New Roman"/>
        </w:rPr>
        <w:t xml:space="preserve">. 2021;11(May):1–14. </w:t>
      </w:r>
    </w:p>
    <w:p w:rsidR="00336347" w:rsidRDefault="00307A15">
      <w:pPr>
        <w:spacing w:line="360" w:lineRule="auto"/>
        <w:ind w:left="640" w:hanging="640"/>
        <w:rPr>
          <w:rFonts w:ascii="Times New Roman" w:hAnsi="Times New Roman" w:cs="Times New Roman"/>
        </w:rPr>
      </w:pPr>
      <w:r>
        <w:rPr>
          <w:rFonts w:ascii="Times New Roman" w:hAnsi="Times New Roman" w:cs="Times New Roman"/>
        </w:rPr>
        <w:t>28.</w:t>
      </w:r>
      <w:r>
        <w:rPr>
          <w:rFonts w:ascii="Times New Roman" w:hAnsi="Times New Roman" w:cs="Times New Roman"/>
        </w:rPr>
        <w:tab/>
        <w:t xml:space="preserve">Yuan C, Chu CC, Yan XJ, et al. The number of overlapping AID hotspots in Germline IGHV genes is inversely correlated with mutation frequency in chronic lymphocytic Leukemia. </w:t>
      </w:r>
      <w:r>
        <w:rPr>
          <w:rFonts w:ascii="Times New Roman" w:hAnsi="Times New Roman" w:cs="Times New Roman"/>
          <w:i/>
          <w:iCs/>
        </w:rPr>
        <w:t>PLoS One</w:t>
      </w:r>
      <w:r>
        <w:rPr>
          <w:rFonts w:ascii="Times New Roman" w:hAnsi="Times New Roman" w:cs="Times New Roman"/>
        </w:rPr>
        <w:t xml:space="preserve">. 2017;12(1):1–17. </w:t>
      </w:r>
    </w:p>
    <w:p w:rsidR="00336347" w:rsidRDefault="00307A15">
      <w:pPr>
        <w:spacing w:line="360" w:lineRule="auto"/>
        <w:ind w:left="640" w:hanging="640"/>
        <w:rPr>
          <w:rFonts w:ascii="Times New Roman" w:hAnsi="Times New Roman" w:cs="Times New Roman"/>
        </w:rPr>
      </w:pPr>
      <w:r>
        <w:rPr>
          <w:rFonts w:ascii="Times New Roman" w:hAnsi="Times New Roman" w:cs="Times New Roman"/>
        </w:rPr>
        <w:t>29.</w:t>
      </w:r>
      <w:r>
        <w:rPr>
          <w:rFonts w:ascii="Times New Roman" w:hAnsi="Times New Roman" w:cs="Times New Roman"/>
        </w:rPr>
        <w:tab/>
        <w:t xml:space="preserve">Hoehn KB, Vander Heiden JA, Zhou JQ, et al. Repertoire-wide phylogenetic models of B cell molecular evolution reveal evolutionary signatures of aging and vaccination. </w:t>
      </w:r>
      <w:r>
        <w:rPr>
          <w:rFonts w:ascii="Times New Roman" w:hAnsi="Times New Roman" w:cs="Times New Roman"/>
          <w:i/>
          <w:iCs/>
        </w:rPr>
        <w:t>Proc Natl Acad Sci U S A</w:t>
      </w:r>
      <w:r>
        <w:rPr>
          <w:rFonts w:ascii="Times New Roman" w:hAnsi="Times New Roman" w:cs="Times New Roman"/>
        </w:rPr>
        <w:t xml:space="preserve">. 2019;116(45):22664–22672. </w:t>
      </w:r>
    </w:p>
    <w:p w:rsidR="00336347" w:rsidRDefault="00307A15">
      <w:pPr>
        <w:spacing w:line="360" w:lineRule="auto"/>
        <w:ind w:left="640" w:hanging="640"/>
        <w:rPr>
          <w:rFonts w:ascii="Times New Roman" w:hAnsi="Times New Roman" w:cs="Times New Roman"/>
        </w:rPr>
      </w:pPr>
      <w:r>
        <w:rPr>
          <w:rFonts w:ascii="Times New Roman" w:hAnsi="Times New Roman" w:cs="Times New Roman"/>
        </w:rPr>
        <w:t>30.</w:t>
      </w:r>
      <w:r>
        <w:rPr>
          <w:rFonts w:ascii="Times New Roman" w:hAnsi="Times New Roman" w:cs="Times New Roman"/>
        </w:rPr>
        <w:tab/>
        <w:t>Hoehn KB, Lunter G, Pybus OG. A phylogenetic codon substitution model for antibody lin</w:t>
      </w:r>
      <w:r>
        <w:rPr>
          <w:rFonts w:ascii="Times New Roman" w:hAnsi="Times New Roman" w:cs="Times New Roman"/>
        </w:rPr>
        <w:t>e</w:t>
      </w:r>
      <w:r>
        <w:rPr>
          <w:rFonts w:ascii="Times New Roman" w:hAnsi="Times New Roman" w:cs="Times New Roman"/>
        </w:rPr>
        <w:t xml:space="preserve">ages. </w:t>
      </w:r>
      <w:r>
        <w:rPr>
          <w:rFonts w:ascii="Times New Roman" w:hAnsi="Times New Roman" w:cs="Times New Roman"/>
          <w:i/>
          <w:iCs/>
        </w:rPr>
        <w:t>Genetics</w:t>
      </w:r>
      <w:r>
        <w:rPr>
          <w:rFonts w:ascii="Times New Roman" w:hAnsi="Times New Roman" w:cs="Times New Roman"/>
        </w:rPr>
        <w:t xml:space="preserve">. 2017;206(1):417–427. </w:t>
      </w:r>
    </w:p>
    <w:p w:rsidR="00336347" w:rsidRDefault="001F5AA7">
      <w:pPr>
        <w:spacing w:line="360" w:lineRule="auto"/>
        <w:ind w:left="640" w:hanging="640"/>
        <w:rPr>
          <w:rFonts w:ascii="Times New Roman" w:hAnsi="Times New Roman" w:cs="Times New Roman"/>
          <w:b/>
        </w:rPr>
      </w:pPr>
      <w:r>
        <w:rPr>
          <w:rFonts w:ascii="Times New Roman" w:hAnsi="Times New Roman"/>
          <w:b/>
        </w:rPr>
        <w:fldChar w:fldCharType="end"/>
      </w:r>
      <w:r w:rsidR="00307A15">
        <w:br w:type="page" w:clear="all"/>
      </w:r>
    </w:p>
    <w:p w:rsidR="00336347" w:rsidRDefault="00307A15">
      <w:pPr>
        <w:widowControl/>
        <w:spacing w:line="360" w:lineRule="auto"/>
        <w:rPr>
          <w:rFonts w:ascii="Times New Roman" w:eastAsia="Nimbus Mono L" w:hAnsi="Times New Roman" w:cs="Times New Roman"/>
          <w:highlight w:val="yellow"/>
        </w:rPr>
      </w:pPr>
      <w:r>
        <w:rPr>
          <w:rFonts w:ascii="Times New Roman" w:hAnsi="Times New Roman" w:cs="Times New Roman"/>
          <w:b/>
        </w:rPr>
        <w:lastRenderedPageBreak/>
        <w:t>Figure Legends</w:t>
      </w:r>
    </w:p>
    <w:p w:rsidR="00336347" w:rsidRDefault="00307A15">
      <w:pPr>
        <w:pStyle w:val="PreformattedText"/>
        <w:spacing w:line="360" w:lineRule="auto"/>
        <w:jc w:val="both"/>
        <w:rPr>
          <w:rFonts w:ascii="Times New Roman" w:hAnsi="Times New Roman" w:cs="Times New Roman"/>
          <w:bCs/>
          <w:sz w:val="24"/>
          <w:szCs w:val="24"/>
        </w:rPr>
      </w:pPr>
      <w:r>
        <w:rPr>
          <w:rFonts w:ascii="Times New Roman" w:hAnsi="Times New Roman" w:cs="Times New Roman"/>
          <w:b/>
          <w:sz w:val="24"/>
          <w:szCs w:val="24"/>
        </w:rPr>
        <w:t xml:space="preserve">Figure S1. </w:t>
      </w:r>
      <w:proofErr w:type="gramStart"/>
      <w:r>
        <w:rPr>
          <w:rFonts w:ascii="Times New Roman" w:hAnsi="Times New Roman" w:cs="Times New Roman"/>
          <w:b/>
          <w:sz w:val="24"/>
          <w:szCs w:val="24"/>
        </w:rPr>
        <w:t>Library generation protocol for Immunoglobulin amplification with Unique Molec</w:t>
      </w:r>
      <w:r>
        <w:rPr>
          <w:rFonts w:ascii="Times New Roman" w:hAnsi="Times New Roman" w:cs="Times New Roman"/>
          <w:b/>
          <w:sz w:val="24"/>
          <w:szCs w:val="24"/>
        </w:rPr>
        <w:t>u</w:t>
      </w:r>
      <w:r>
        <w:rPr>
          <w:rFonts w:ascii="Times New Roman" w:hAnsi="Times New Roman" w:cs="Times New Roman"/>
          <w:b/>
          <w:sz w:val="24"/>
          <w:szCs w:val="24"/>
        </w:rPr>
        <w:t>lar Identifiers (UMI).</w:t>
      </w:r>
      <w:proofErr w:type="gramEnd"/>
      <w:r>
        <w:rPr>
          <w:rFonts w:ascii="Times New Roman" w:hAnsi="Times New Roman" w:cs="Times New Roman"/>
          <w:b/>
          <w:sz w:val="24"/>
          <w:szCs w:val="24"/>
        </w:rPr>
        <w:t xml:space="preserve"> </w:t>
      </w:r>
      <w:r>
        <w:rPr>
          <w:rFonts w:ascii="Times New Roman" w:hAnsi="Times New Roman" w:cs="Times New Roman"/>
          <w:bCs/>
          <w:sz w:val="24"/>
          <w:szCs w:val="24"/>
        </w:rPr>
        <w:t xml:space="preserve">The scheme reports the steps adopted for the library generation of UMI-tagged immunoglobulins. </w:t>
      </w:r>
      <w:proofErr w:type="spellStart"/>
      <w:r>
        <w:rPr>
          <w:rFonts w:ascii="Times New Roman" w:hAnsi="Times New Roman" w:cs="Times New Roman"/>
          <w:bCs/>
          <w:sz w:val="24"/>
          <w:szCs w:val="24"/>
        </w:rPr>
        <w:t>i</w:t>
      </w:r>
      <w:proofErr w:type="spellEnd"/>
      <w:r>
        <w:rPr>
          <w:rFonts w:ascii="Times New Roman" w:hAnsi="Times New Roman" w:cs="Times New Roman"/>
          <w:bCs/>
          <w:sz w:val="24"/>
          <w:szCs w:val="24"/>
        </w:rPr>
        <w:t xml:space="preserve">) RNA reverse transcription was performed with a JH-specific primer. ii) </w:t>
      </w:r>
      <w:proofErr w:type="spellStart"/>
      <w:proofErr w:type="gramStart"/>
      <w:r>
        <w:rPr>
          <w:rFonts w:ascii="Times New Roman" w:hAnsi="Times New Roman" w:cs="Times New Roman"/>
          <w:bCs/>
          <w:sz w:val="24"/>
          <w:szCs w:val="24"/>
        </w:rPr>
        <w:t>cDNA</w:t>
      </w:r>
      <w:proofErr w:type="spellEnd"/>
      <w:proofErr w:type="gramEnd"/>
      <w:r>
        <w:rPr>
          <w:rFonts w:ascii="Times New Roman" w:hAnsi="Times New Roman" w:cs="Times New Roman"/>
          <w:bCs/>
          <w:sz w:val="24"/>
          <w:szCs w:val="24"/>
        </w:rPr>
        <w:t xml:space="preserve"> was amplified with a single-cycle PCR. iii) 30.000 molecules obtained by step ii were amplified with </w:t>
      </w:r>
      <w:proofErr w:type="spellStart"/>
      <w:r>
        <w:rPr>
          <w:rFonts w:ascii="Times New Roman" w:hAnsi="Times New Roman" w:cs="Times New Roman"/>
          <w:bCs/>
          <w:sz w:val="24"/>
          <w:szCs w:val="24"/>
        </w:rPr>
        <w:t>Illumina</w:t>
      </w:r>
      <w:proofErr w:type="spellEnd"/>
      <w:r>
        <w:rPr>
          <w:rFonts w:ascii="Times New Roman" w:hAnsi="Times New Roman" w:cs="Times New Roman"/>
          <w:bCs/>
          <w:sz w:val="24"/>
          <w:szCs w:val="24"/>
        </w:rPr>
        <w:t xml:space="preserve"> adapters.</w:t>
      </w:r>
    </w:p>
    <w:p w:rsidR="00336347" w:rsidRDefault="00307A15">
      <w:pPr>
        <w:pStyle w:val="PreformattedText"/>
        <w:spacing w:line="360" w:lineRule="auto"/>
        <w:jc w:val="both"/>
        <w:rPr>
          <w:rFonts w:ascii="Times New Roman" w:hAnsi="Times New Roman" w:cs="Times New Roman"/>
          <w:bCs/>
          <w:sz w:val="24"/>
          <w:szCs w:val="24"/>
        </w:rPr>
      </w:pPr>
      <w:r>
        <w:rPr>
          <w:rFonts w:ascii="Times New Roman" w:hAnsi="Times New Roman" w:cs="Times New Roman"/>
          <w:b/>
          <w:sz w:val="24"/>
          <w:szCs w:val="24"/>
        </w:rPr>
        <w:t xml:space="preserve">Figure S2. Flow-chart representation of the CLL </w:t>
      </w:r>
      <w:r>
        <w:rPr>
          <w:rFonts w:ascii="Times New Roman" w:hAnsi="Times New Roman" w:cs="Times New Roman"/>
          <w:b/>
          <w:bCs/>
          <w:sz w:val="24"/>
          <w:szCs w:val="24"/>
        </w:rPr>
        <w:t>samples analyzed in this study</w:t>
      </w:r>
      <w:r>
        <w:rPr>
          <w:rFonts w:ascii="Times New Roman" w:hAnsi="Times New Roman" w:cs="Times New Roman"/>
          <w:b/>
          <w:sz w:val="24"/>
          <w:szCs w:val="24"/>
        </w:rPr>
        <w:t xml:space="preserve">. </w:t>
      </w:r>
      <w:r>
        <w:rPr>
          <w:rFonts w:ascii="Times New Roman" w:hAnsi="Times New Roman" w:cs="Times New Roman"/>
          <w:sz w:val="24"/>
          <w:szCs w:val="24"/>
        </w:rPr>
        <w:t xml:space="preserve">A) </w:t>
      </w:r>
      <w:r>
        <w:rPr>
          <w:rFonts w:ascii="Times New Roman" w:hAnsi="Times New Roman" w:cs="Times New Roman"/>
          <w:bCs/>
          <w:sz w:val="24"/>
          <w:szCs w:val="24"/>
        </w:rPr>
        <w:t xml:space="preserve">Samples are divided depending on the amplification protocol adopted (IGHV-Leader and FR1 </w:t>
      </w:r>
      <w:proofErr w:type="spellStart"/>
      <w:r>
        <w:rPr>
          <w:rFonts w:ascii="Times New Roman" w:hAnsi="Times New Roman" w:cs="Times New Roman"/>
          <w:bCs/>
          <w:sz w:val="24"/>
          <w:szCs w:val="24"/>
        </w:rPr>
        <w:t>Lymphotrack</w:t>
      </w:r>
      <w:proofErr w:type="spellEnd"/>
      <w:r>
        <w:rPr>
          <w:rFonts w:ascii="Times New Roman" w:hAnsi="Times New Roman" w:cs="Times New Roman"/>
          <w:bCs/>
          <w:sz w:val="24"/>
          <w:szCs w:val="24"/>
        </w:rPr>
        <w:t xml:space="preserve"> a</w:t>
      </w:r>
      <w:r>
        <w:rPr>
          <w:rFonts w:ascii="Times New Roman" w:hAnsi="Times New Roman" w:cs="Times New Roman"/>
          <w:bCs/>
          <w:sz w:val="24"/>
          <w:szCs w:val="24"/>
        </w:rPr>
        <w:t>s</w:t>
      </w:r>
      <w:r>
        <w:rPr>
          <w:rFonts w:ascii="Times New Roman" w:hAnsi="Times New Roman" w:cs="Times New Roman"/>
          <w:bCs/>
          <w:sz w:val="24"/>
          <w:szCs w:val="24"/>
        </w:rPr>
        <w:t xml:space="preserve">says). Samples discarded due to the inability of identifying a prevalent pathological clone (Polyclonal) or with a total </w:t>
      </w:r>
      <w:r w:rsidRPr="004F5B9A">
        <w:rPr>
          <w:rFonts w:ascii="Times New Roman" w:hAnsi="Times New Roman" w:cs="Times New Roman"/>
          <w:bCs/>
          <w:sz w:val="24"/>
          <w:szCs w:val="24"/>
        </w:rPr>
        <w:t>read number lower than 5000 are reported. B) Box plots show the number of sequences analyzed after each step of the pipeline, as reported in Figure S3, within the final cohort of 983 CLL patients.</w:t>
      </w:r>
      <w:r>
        <w:rPr>
          <w:rFonts w:ascii="Times New Roman" w:hAnsi="Times New Roman" w:cs="Times New Roman"/>
          <w:bCs/>
          <w:sz w:val="24"/>
          <w:szCs w:val="24"/>
        </w:rPr>
        <w:t xml:space="preserve"> </w:t>
      </w:r>
    </w:p>
    <w:p w:rsidR="00336347" w:rsidRDefault="00307A15">
      <w:pPr>
        <w:pStyle w:val="PreformattedText"/>
        <w:spacing w:line="360" w:lineRule="auto"/>
        <w:jc w:val="both"/>
        <w:rPr>
          <w:rFonts w:ascii="Times New Roman" w:hAnsi="Times New Roman" w:cs="Times New Roman"/>
          <w:bCs/>
          <w:sz w:val="24"/>
          <w:szCs w:val="24"/>
        </w:rPr>
      </w:pPr>
      <w:r>
        <w:rPr>
          <w:rFonts w:ascii="Times New Roman" w:hAnsi="Times New Roman" w:cs="Times New Roman"/>
          <w:b/>
          <w:sz w:val="24"/>
          <w:szCs w:val="24"/>
        </w:rPr>
        <w:t xml:space="preserve">Figure S3. </w:t>
      </w:r>
      <w:proofErr w:type="gramStart"/>
      <w:r>
        <w:rPr>
          <w:rFonts w:ascii="Times New Roman" w:hAnsi="Times New Roman" w:cs="Times New Roman"/>
          <w:b/>
          <w:sz w:val="24"/>
          <w:szCs w:val="24"/>
        </w:rPr>
        <w:t xml:space="preserve">Bioinformatic pipeline for </w:t>
      </w:r>
      <w:proofErr w:type="spellStart"/>
      <w:r>
        <w:rPr>
          <w:rFonts w:ascii="Times New Roman" w:hAnsi="Times New Roman" w:cs="Times New Roman"/>
          <w:b/>
          <w:sz w:val="24"/>
          <w:szCs w:val="24"/>
        </w:rPr>
        <w:t>Lymphotrack</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RepSeq</w:t>
      </w:r>
      <w:proofErr w:type="spellEnd"/>
      <w:r>
        <w:rPr>
          <w:rFonts w:ascii="Times New Roman" w:hAnsi="Times New Roman" w:cs="Times New Roman"/>
          <w:b/>
          <w:sz w:val="24"/>
          <w:szCs w:val="24"/>
        </w:rPr>
        <w:t xml:space="preserve"> data.</w:t>
      </w:r>
      <w:proofErr w:type="gramEnd"/>
      <w:r>
        <w:rPr>
          <w:rFonts w:ascii="Times New Roman" w:hAnsi="Times New Roman" w:cs="Times New Roman"/>
          <w:b/>
          <w:sz w:val="24"/>
          <w:szCs w:val="24"/>
        </w:rPr>
        <w:t xml:space="preserve"> </w:t>
      </w:r>
      <w:r>
        <w:rPr>
          <w:rFonts w:ascii="Times New Roman" w:hAnsi="Times New Roman" w:cs="Times New Roman"/>
          <w:bCs/>
          <w:sz w:val="24"/>
          <w:szCs w:val="24"/>
        </w:rPr>
        <w:t>The first block of the chart r</w:t>
      </w:r>
      <w:r>
        <w:rPr>
          <w:rFonts w:ascii="Times New Roman" w:hAnsi="Times New Roman" w:cs="Times New Roman"/>
          <w:bCs/>
          <w:sz w:val="24"/>
          <w:szCs w:val="24"/>
        </w:rPr>
        <w:t>e</w:t>
      </w:r>
      <w:r>
        <w:rPr>
          <w:rFonts w:ascii="Times New Roman" w:hAnsi="Times New Roman" w:cs="Times New Roman"/>
          <w:bCs/>
          <w:sz w:val="24"/>
          <w:szCs w:val="24"/>
        </w:rPr>
        <w:t>ports the generic bioinformatic pipeline adopted for canonical immunological repertoire (</w:t>
      </w:r>
      <w:proofErr w:type="spellStart"/>
      <w:r>
        <w:rPr>
          <w:rFonts w:ascii="Times New Roman" w:hAnsi="Times New Roman" w:cs="Times New Roman"/>
          <w:bCs/>
          <w:sz w:val="24"/>
          <w:szCs w:val="24"/>
        </w:rPr>
        <w:t>RepSeq</w:t>
      </w:r>
      <w:proofErr w:type="spellEnd"/>
      <w:r>
        <w:rPr>
          <w:rFonts w:ascii="Times New Roman" w:hAnsi="Times New Roman" w:cs="Times New Roman"/>
          <w:bCs/>
          <w:sz w:val="24"/>
          <w:szCs w:val="24"/>
        </w:rPr>
        <w:t>) analysis. The second block of the chart reports the steps for the systematic sequencing errors (SSE) co</w:t>
      </w:r>
      <w:r>
        <w:rPr>
          <w:rFonts w:ascii="Times New Roman" w:hAnsi="Times New Roman" w:cs="Times New Roman"/>
          <w:bCs/>
          <w:sz w:val="24"/>
          <w:szCs w:val="24"/>
        </w:rPr>
        <w:t>r</w:t>
      </w:r>
      <w:r>
        <w:rPr>
          <w:rFonts w:ascii="Times New Roman" w:hAnsi="Times New Roman" w:cs="Times New Roman"/>
          <w:bCs/>
          <w:sz w:val="24"/>
          <w:szCs w:val="24"/>
        </w:rPr>
        <w:t xml:space="preserve">rection pipeline analysis performed on data generated with the generic pipeline for </w:t>
      </w:r>
      <w:proofErr w:type="spellStart"/>
      <w:r>
        <w:rPr>
          <w:rFonts w:ascii="Times New Roman" w:hAnsi="Times New Roman" w:cs="Times New Roman"/>
          <w:bCs/>
          <w:sz w:val="24"/>
          <w:szCs w:val="24"/>
        </w:rPr>
        <w:t>RepSeq</w:t>
      </w:r>
      <w:proofErr w:type="spellEnd"/>
      <w:r>
        <w:rPr>
          <w:rFonts w:ascii="Times New Roman" w:hAnsi="Times New Roman" w:cs="Times New Roman"/>
          <w:bCs/>
          <w:sz w:val="24"/>
          <w:szCs w:val="24"/>
        </w:rPr>
        <w:t xml:space="preserve"> data. The last block reports the steps for inverse Simpson Index calculation (</w:t>
      </w:r>
      <w:proofErr w:type="spellStart"/>
      <w:r>
        <w:rPr>
          <w:rFonts w:ascii="Times New Roman" w:hAnsi="Times New Roman" w:cs="Times New Roman"/>
          <w:bCs/>
          <w:sz w:val="24"/>
          <w:szCs w:val="24"/>
        </w:rPr>
        <w:t>iSI</w:t>
      </w:r>
      <w:proofErr w:type="spellEnd"/>
      <w:r>
        <w:rPr>
          <w:rFonts w:ascii="Times New Roman" w:hAnsi="Times New Roman" w:cs="Times New Roman"/>
          <w:bCs/>
          <w:sz w:val="24"/>
          <w:szCs w:val="24"/>
        </w:rPr>
        <w:t xml:space="preserve"> calculation). On the left side are depicted the single steps analysis, while on the right side are reported the packages used for specific steps.</w:t>
      </w:r>
    </w:p>
    <w:p w:rsidR="00336347" w:rsidRDefault="00307A15">
      <w:pPr>
        <w:pStyle w:val="PreformattedText"/>
        <w:spacing w:line="360" w:lineRule="auto"/>
        <w:jc w:val="both"/>
        <w:rPr>
          <w:rFonts w:ascii="Times New Roman" w:hAnsi="Times New Roman" w:cs="Times New Roman"/>
          <w:bCs/>
          <w:sz w:val="24"/>
          <w:szCs w:val="24"/>
        </w:rPr>
      </w:pPr>
      <w:r>
        <w:rPr>
          <w:rFonts w:ascii="Times New Roman" w:hAnsi="Times New Roman" w:cs="Times New Roman"/>
          <w:b/>
          <w:sz w:val="24"/>
          <w:szCs w:val="24"/>
        </w:rPr>
        <w:t xml:space="preserve">Figure S4. Read quality profile of </w:t>
      </w:r>
      <w:proofErr w:type="spellStart"/>
      <w:r>
        <w:rPr>
          <w:rFonts w:ascii="Times New Roman" w:hAnsi="Times New Roman" w:cs="Times New Roman"/>
          <w:b/>
          <w:sz w:val="24"/>
          <w:szCs w:val="24"/>
        </w:rPr>
        <w:t>Lymphotrack</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RepSeq</w:t>
      </w:r>
      <w:proofErr w:type="spellEnd"/>
      <w:r>
        <w:rPr>
          <w:rFonts w:ascii="Times New Roman" w:hAnsi="Times New Roman" w:cs="Times New Roman"/>
          <w:b/>
          <w:sz w:val="24"/>
          <w:szCs w:val="24"/>
        </w:rPr>
        <w:t xml:space="preserve"> data. </w:t>
      </w:r>
      <w:r>
        <w:rPr>
          <w:rFonts w:ascii="Times New Roman" w:hAnsi="Times New Roman" w:cs="Times New Roman"/>
          <w:sz w:val="24"/>
          <w:szCs w:val="24"/>
        </w:rPr>
        <w:t>A)</w:t>
      </w:r>
      <w:r>
        <w:rPr>
          <w:rFonts w:ascii="Times New Roman" w:hAnsi="Times New Roman" w:cs="Times New Roman"/>
          <w:b/>
          <w:sz w:val="24"/>
          <w:szCs w:val="24"/>
        </w:rPr>
        <w:t xml:space="preserve"> </w:t>
      </w:r>
      <w:r>
        <w:rPr>
          <w:rFonts w:ascii="Times New Roman" w:hAnsi="Times New Roman" w:cs="Times New Roman"/>
          <w:bCs/>
          <w:sz w:val="24"/>
          <w:szCs w:val="24"/>
        </w:rPr>
        <w:t xml:space="preserve">The heatmap reports the median </w:t>
      </w:r>
      <w:proofErr w:type="spellStart"/>
      <w:r>
        <w:rPr>
          <w:rFonts w:ascii="Times New Roman" w:hAnsi="Times New Roman" w:cs="Times New Roman"/>
          <w:bCs/>
          <w:sz w:val="24"/>
          <w:szCs w:val="24"/>
        </w:rPr>
        <w:t>Phred</w:t>
      </w:r>
      <w:proofErr w:type="spellEnd"/>
      <w:r>
        <w:rPr>
          <w:rFonts w:ascii="Times New Roman" w:hAnsi="Times New Roman" w:cs="Times New Roman"/>
          <w:bCs/>
          <w:sz w:val="24"/>
          <w:szCs w:val="24"/>
        </w:rPr>
        <w:t xml:space="preserve"> quality observed in </w:t>
      </w:r>
      <w:proofErr w:type="spellStart"/>
      <w:r>
        <w:rPr>
          <w:rFonts w:ascii="Times New Roman" w:hAnsi="Times New Roman" w:cs="Times New Roman"/>
          <w:bCs/>
          <w:sz w:val="24"/>
          <w:szCs w:val="24"/>
        </w:rPr>
        <w:t>MiSeq</w:t>
      </w:r>
      <w:proofErr w:type="spellEnd"/>
      <w:r>
        <w:rPr>
          <w:rFonts w:ascii="Times New Roman" w:hAnsi="Times New Roman" w:cs="Times New Roman"/>
          <w:bCs/>
          <w:sz w:val="24"/>
          <w:szCs w:val="24"/>
        </w:rPr>
        <w:t xml:space="preserve"> Read1 in dependence of I) the number of cycles, II) nucleotide o</w:t>
      </w:r>
      <w:r>
        <w:rPr>
          <w:rFonts w:ascii="Times New Roman" w:hAnsi="Times New Roman" w:cs="Times New Roman"/>
          <w:bCs/>
          <w:sz w:val="24"/>
          <w:szCs w:val="24"/>
        </w:rPr>
        <w:t>b</w:t>
      </w:r>
      <w:r>
        <w:rPr>
          <w:rFonts w:ascii="Times New Roman" w:hAnsi="Times New Roman" w:cs="Times New Roman"/>
          <w:bCs/>
          <w:sz w:val="24"/>
          <w:szCs w:val="24"/>
        </w:rPr>
        <w:t xml:space="preserve">served, and III) preceding </w:t>
      </w:r>
      <w:proofErr w:type="spellStart"/>
      <w:r>
        <w:rPr>
          <w:rFonts w:ascii="Times New Roman" w:hAnsi="Times New Roman" w:cs="Times New Roman"/>
          <w:bCs/>
          <w:sz w:val="24"/>
          <w:szCs w:val="24"/>
        </w:rPr>
        <w:t>trinucleotidic</w:t>
      </w:r>
      <w:proofErr w:type="spellEnd"/>
      <w:r>
        <w:rPr>
          <w:rFonts w:ascii="Times New Roman" w:hAnsi="Times New Roman" w:cs="Times New Roman"/>
          <w:bCs/>
          <w:sz w:val="24"/>
          <w:szCs w:val="24"/>
        </w:rPr>
        <w:t xml:space="preserve"> motif. B) The heatmap reports the median </w:t>
      </w:r>
      <w:proofErr w:type="spellStart"/>
      <w:r>
        <w:rPr>
          <w:rFonts w:ascii="Times New Roman" w:hAnsi="Times New Roman" w:cs="Times New Roman"/>
          <w:bCs/>
          <w:sz w:val="24"/>
          <w:szCs w:val="24"/>
        </w:rPr>
        <w:t>Phred</w:t>
      </w:r>
      <w:proofErr w:type="spellEnd"/>
      <w:r>
        <w:rPr>
          <w:rFonts w:ascii="Times New Roman" w:hAnsi="Times New Roman" w:cs="Times New Roman"/>
          <w:bCs/>
          <w:sz w:val="24"/>
          <w:szCs w:val="24"/>
        </w:rPr>
        <w:t xml:space="preserve"> quality o</w:t>
      </w:r>
      <w:r>
        <w:rPr>
          <w:rFonts w:ascii="Times New Roman" w:hAnsi="Times New Roman" w:cs="Times New Roman"/>
          <w:bCs/>
          <w:sz w:val="24"/>
          <w:szCs w:val="24"/>
        </w:rPr>
        <w:t>b</w:t>
      </w:r>
      <w:r>
        <w:rPr>
          <w:rFonts w:ascii="Times New Roman" w:hAnsi="Times New Roman" w:cs="Times New Roman"/>
          <w:bCs/>
          <w:sz w:val="24"/>
          <w:szCs w:val="24"/>
        </w:rPr>
        <w:t xml:space="preserve">served in </w:t>
      </w:r>
      <w:proofErr w:type="spellStart"/>
      <w:r>
        <w:rPr>
          <w:rFonts w:ascii="Times New Roman" w:hAnsi="Times New Roman" w:cs="Times New Roman"/>
          <w:bCs/>
          <w:sz w:val="24"/>
          <w:szCs w:val="24"/>
        </w:rPr>
        <w:t>MiSeq</w:t>
      </w:r>
      <w:proofErr w:type="spellEnd"/>
      <w:r>
        <w:rPr>
          <w:rFonts w:ascii="Times New Roman" w:hAnsi="Times New Roman" w:cs="Times New Roman"/>
          <w:bCs/>
          <w:sz w:val="24"/>
          <w:szCs w:val="24"/>
        </w:rPr>
        <w:t xml:space="preserve"> Read2 in dependence of I) the number of cycles, II) nucleotide observed, and III) pr</w:t>
      </w:r>
      <w:r>
        <w:rPr>
          <w:rFonts w:ascii="Times New Roman" w:hAnsi="Times New Roman" w:cs="Times New Roman"/>
          <w:bCs/>
          <w:sz w:val="24"/>
          <w:szCs w:val="24"/>
        </w:rPr>
        <w:t>e</w:t>
      </w:r>
      <w:r>
        <w:rPr>
          <w:rFonts w:ascii="Times New Roman" w:hAnsi="Times New Roman" w:cs="Times New Roman"/>
          <w:bCs/>
          <w:sz w:val="24"/>
          <w:szCs w:val="24"/>
        </w:rPr>
        <w:t xml:space="preserve">ceding </w:t>
      </w:r>
      <w:proofErr w:type="spellStart"/>
      <w:r>
        <w:rPr>
          <w:rFonts w:ascii="Times New Roman" w:hAnsi="Times New Roman" w:cs="Times New Roman"/>
          <w:bCs/>
          <w:sz w:val="24"/>
          <w:szCs w:val="24"/>
        </w:rPr>
        <w:t>trinucleotidic</w:t>
      </w:r>
      <w:proofErr w:type="spellEnd"/>
      <w:r>
        <w:rPr>
          <w:rFonts w:ascii="Times New Roman" w:hAnsi="Times New Roman" w:cs="Times New Roman"/>
          <w:bCs/>
          <w:sz w:val="24"/>
          <w:szCs w:val="24"/>
        </w:rPr>
        <w:t xml:space="preserve"> motif. </w:t>
      </w:r>
      <w:proofErr w:type="spellStart"/>
      <w:r>
        <w:rPr>
          <w:rFonts w:ascii="Times New Roman" w:hAnsi="Times New Roman" w:cs="Times New Roman"/>
          <w:bCs/>
          <w:sz w:val="24"/>
          <w:szCs w:val="24"/>
        </w:rPr>
        <w:t>Phred</w:t>
      </w:r>
      <w:proofErr w:type="spellEnd"/>
      <w:r>
        <w:rPr>
          <w:rFonts w:ascii="Times New Roman" w:hAnsi="Times New Roman" w:cs="Times New Roman"/>
          <w:bCs/>
          <w:sz w:val="24"/>
          <w:szCs w:val="24"/>
        </w:rPr>
        <w:t xml:space="preserve"> score according to </w:t>
      </w:r>
      <w:proofErr w:type="spellStart"/>
      <w:r>
        <w:rPr>
          <w:rFonts w:ascii="Times New Roman" w:hAnsi="Times New Roman" w:cs="Times New Roman"/>
          <w:bCs/>
          <w:sz w:val="24"/>
          <w:szCs w:val="24"/>
        </w:rPr>
        <w:t>Illumina</w:t>
      </w:r>
      <w:proofErr w:type="spellEnd"/>
      <w:r>
        <w:rPr>
          <w:rFonts w:ascii="Times New Roman" w:hAnsi="Times New Roman" w:cs="Times New Roman"/>
          <w:bCs/>
          <w:sz w:val="24"/>
          <w:szCs w:val="24"/>
        </w:rPr>
        <w:t xml:space="preserve">. C) The heatmap reports the median </w:t>
      </w:r>
      <w:proofErr w:type="spellStart"/>
      <w:r>
        <w:rPr>
          <w:rFonts w:ascii="Times New Roman" w:hAnsi="Times New Roman" w:cs="Times New Roman"/>
          <w:bCs/>
          <w:sz w:val="24"/>
          <w:szCs w:val="24"/>
        </w:rPr>
        <w:t>Phred</w:t>
      </w:r>
      <w:proofErr w:type="spellEnd"/>
      <w:r>
        <w:rPr>
          <w:rFonts w:ascii="Times New Roman" w:hAnsi="Times New Roman" w:cs="Times New Roman"/>
          <w:bCs/>
          <w:sz w:val="24"/>
          <w:szCs w:val="24"/>
        </w:rPr>
        <w:t xml:space="preserve"> quality observed for each base after the reconstruction of immunoglobulin in dependence of the IGHV families and the immunoglobulin position.</w:t>
      </w:r>
    </w:p>
    <w:p w:rsidR="00336347" w:rsidRDefault="00307A15">
      <w:pPr>
        <w:pStyle w:val="PreformattedText"/>
        <w:spacing w:line="360" w:lineRule="auto"/>
        <w:jc w:val="both"/>
        <w:rPr>
          <w:rFonts w:ascii="Times New Roman" w:hAnsi="Times New Roman" w:cs="Times New Roman"/>
          <w:bCs/>
          <w:sz w:val="24"/>
          <w:szCs w:val="24"/>
        </w:rPr>
      </w:pPr>
      <w:r>
        <w:rPr>
          <w:rFonts w:ascii="Times New Roman" w:hAnsi="Times New Roman" w:cs="Times New Roman"/>
          <w:b/>
          <w:sz w:val="24"/>
          <w:szCs w:val="24"/>
        </w:rPr>
        <w:t xml:space="preserve">Figure S5. Identification of systematic error based on median </w:t>
      </w:r>
      <w:proofErr w:type="spellStart"/>
      <w:r>
        <w:rPr>
          <w:rFonts w:ascii="Times New Roman" w:hAnsi="Times New Roman" w:cs="Times New Roman"/>
          <w:b/>
          <w:sz w:val="24"/>
          <w:szCs w:val="24"/>
        </w:rPr>
        <w:t>Phred</w:t>
      </w:r>
      <w:proofErr w:type="spellEnd"/>
      <w:r>
        <w:rPr>
          <w:rFonts w:ascii="Times New Roman" w:hAnsi="Times New Roman" w:cs="Times New Roman"/>
          <w:b/>
          <w:sz w:val="24"/>
          <w:szCs w:val="24"/>
        </w:rPr>
        <w:t xml:space="preserve"> quality. </w:t>
      </w:r>
      <w:r>
        <w:rPr>
          <w:rFonts w:ascii="Times New Roman" w:hAnsi="Times New Roman" w:cs="Times New Roman"/>
          <w:bCs/>
          <w:sz w:val="24"/>
          <w:szCs w:val="24"/>
        </w:rPr>
        <w:t xml:space="preserve">The </w:t>
      </w:r>
      <w:proofErr w:type="spellStart"/>
      <w:r>
        <w:rPr>
          <w:rFonts w:ascii="Times New Roman" w:hAnsi="Times New Roman" w:cs="Times New Roman"/>
          <w:bCs/>
          <w:sz w:val="24"/>
          <w:szCs w:val="24"/>
        </w:rPr>
        <w:t>scatterplot</w:t>
      </w:r>
      <w:proofErr w:type="spellEnd"/>
      <w:r>
        <w:rPr>
          <w:rFonts w:ascii="Times New Roman" w:hAnsi="Times New Roman" w:cs="Times New Roman"/>
          <w:bCs/>
          <w:sz w:val="24"/>
          <w:szCs w:val="24"/>
        </w:rPr>
        <w:t xml:space="preserve"> d</w:t>
      </w:r>
      <w:r>
        <w:rPr>
          <w:rFonts w:ascii="Times New Roman" w:hAnsi="Times New Roman" w:cs="Times New Roman"/>
          <w:bCs/>
          <w:sz w:val="24"/>
          <w:szCs w:val="24"/>
        </w:rPr>
        <w:t>e</w:t>
      </w:r>
      <w:r>
        <w:rPr>
          <w:rFonts w:ascii="Times New Roman" w:hAnsi="Times New Roman" w:cs="Times New Roman"/>
          <w:bCs/>
          <w:sz w:val="24"/>
          <w:szCs w:val="24"/>
        </w:rPr>
        <w:t xml:space="preserve">picts the percentage of single mutations observed by both FR2 and IGHV-Leader assays (blue), and by IGHV-Leader protocol only (red) in 62 CLL samples based on a frequency range of 0.1%-100% VAF. B) The </w:t>
      </w:r>
      <w:proofErr w:type="spellStart"/>
      <w:r>
        <w:rPr>
          <w:rFonts w:ascii="Times New Roman" w:hAnsi="Times New Roman" w:cs="Times New Roman"/>
          <w:bCs/>
          <w:sz w:val="24"/>
          <w:szCs w:val="24"/>
        </w:rPr>
        <w:t>boxplot</w:t>
      </w:r>
      <w:proofErr w:type="spellEnd"/>
      <w:r>
        <w:rPr>
          <w:rFonts w:ascii="Times New Roman" w:hAnsi="Times New Roman" w:cs="Times New Roman"/>
          <w:bCs/>
          <w:sz w:val="24"/>
          <w:szCs w:val="24"/>
        </w:rPr>
        <w:t xml:space="preserve"> reports the median </w:t>
      </w:r>
      <w:proofErr w:type="spellStart"/>
      <w:r>
        <w:rPr>
          <w:rFonts w:ascii="Times New Roman" w:hAnsi="Times New Roman" w:cs="Times New Roman"/>
          <w:bCs/>
          <w:sz w:val="24"/>
          <w:szCs w:val="24"/>
        </w:rPr>
        <w:t>Phred</w:t>
      </w:r>
      <w:proofErr w:type="spellEnd"/>
      <w:r>
        <w:rPr>
          <w:rFonts w:ascii="Times New Roman" w:hAnsi="Times New Roman" w:cs="Times New Roman"/>
          <w:bCs/>
          <w:sz w:val="24"/>
          <w:szCs w:val="24"/>
        </w:rPr>
        <w:t xml:space="preserve"> quality observed for the 1,349 mutations identified by IGHV-</w:t>
      </w:r>
      <w:r>
        <w:rPr>
          <w:rFonts w:ascii="Times New Roman" w:hAnsi="Times New Roman" w:cs="Times New Roman"/>
          <w:bCs/>
          <w:sz w:val="24"/>
          <w:szCs w:val="24"/>
        </w:rPr>
        <w:lastRenderedPageBreak/>
        <w:t xml:space="preserve">Leader assay only (orange box) and for the 1,672 mutations </w:t>
      </w:r>
      <w:r>
        <w:rPr>
          <w:rFonts w:ascii="Times New Roman" w:hAnsi="Times New Roman" w:cs="Times New Roman"/>
          <w:sz w:val="24"/>
          <w:szCs w:val="24"/>
        </w:rPr>
        <w:t>commonly identified by the IGHV leader and the IGHV FR2 assay.</w:t>
      </w:r>
    </w:p>
    <w:p w:rsidR="00336347" w:rsidRDefault="00307A15">
      <w:pPr>
        <w:pStyle w:val="PreformattedText"/>
        <w:spacing w:line="360" w:lineRule="auto"/>
        <w:jc w:val="both"/>
        <w:rPr>
          <w:rFonts w:ascii="Times New Roman" w:hAnsi="Times New Roman" w:cs="Times New Roman"/>
          <w:bCs/>
          <w:sz w:val="24"/>
          <w:szCs w:val="24"/>
        </w:rPr>
      </w:pPr>
      <w:r>
        <w:rPr>
          <w:rFonts w:ascii="Times New Roman" w:hAnsi="Times New Roman" w:cs="Times New Roman"/>
          <w:b/>
          <w:bCs/>
          <w:sz w:val="24"/>
          <w:szCs w:val="24"/>
        </w:rPr>
        <w:t xml:space="preserve">Figure S6. </w:t>
      </w:r>
      <w:proofErr w:type="gramStart"/>
      <w:r>
        <w:rPr>
          <w:rFonts w:ascii="Times New Roman" w:hAnsi="Times New Roman" w:cs="Times New Roman"/>
          <w:b/>
          <w:bCs/>
          <w:sz w:val="24"/>
          <w:szCs w:val="24"/>
        </w:rPr>
        <w:t>Schematic representation of the systematic sequencing errors (SSE) correction pip</w:t>
      </w:r>
      <w:r>
        <w:rPr>
          <w:rFonts w:ascii="Times New Roman" w:hAnsi="Times New Roman" w:cs="Times New Roman"/>
          <w:b/>
          <w:bCs/>
          <w:sz w:val="24"/>
          <w:szCs w:val="24"/>
        </w:rPr>
        <w:t>e</w:t>
      </w:r>
      <w:r>
        <w:rPr>
          <w:rFonts w:ascii="Times New Roman" w:hAnsi="Times New Roman" w:cs="Times New Roman"/>
          <w:b/>
          <w:bCs/>
          <w:sz w:val="24"/>
          <w:szCs w:val="24"/>
        </w:rPr>
        <w:t>line.</w:t>
      </w:r>
      <w:proofErr w:type="gramEnd"/>
      <w:r>
        <w:rPr>
          <w:rFonts w:ascii="Times New Roman" w:hAnsi="Times New Roman" w:cs="Times New Roman"/>
          <w:b/>
          <w:bCs/>
          <w:sz w:val="24"/>
          <w:szCs w:val="24"/>
        </w:rPr>
        <w:t xml:space="preserve"> </w:t>
      </w:r>
      <w:r>
        <w:rPr>
          <w:rFonts w:ascii="Times New Roman" w:hAnsi="Times New Roman" w:cs="Times New Roman"/>
          <w:bCs/>
          <w:sz w:val="24"/>
          <w:szCs w:val="24"/>
        </w:rPr>
        <w:t>The scheme depicts the key steps adopted for the error correction. A) Example of cumulative fr</w:t>
      </w:r>
      <w:r>
        <w:rPr>
          <w:rFonts w:ascii="Times New Roman" w:hAnsi="Times New Roman" w:cs="Times New Roman"/>
          <w:bCs/>
          <w:sz w:val="24"/>
          <w:szCs w:val="24"/>
        </w:rPr>
        <w:t>e</w:t>
      </w:r>
      <w:r>
        <w:rPr>
          <w:rFonts w:ascii="Times New Roman" w:hAnsi="Times New Roman" w:cs="Times New Roman"/>
          <w:bCs/>
          <w:sz w:val="24"/>
          <w:szCs w:val="24"/>
        </w:rPr>
        <w:t xml:space="preserve">quency distribution in a position dependent manner of each nucleotide derived from realigned </w:t>
      </w:r>
      <w:proofErr w:type="spellStart"/>
      <w:r>
        <w:rPr>
          <w:rFonts w:ascii="Times New Roman" w:hAnsi="Times New Roman" w:cs="Times New Roman"/>
          <w:bCs/>
          <w:sz w:val="24"/>
          <w:szCs w:val="24"/>
        </w:rPr>
        <w:t>fastq</w:t>
      </w:r>
      <w:proofErr w:type="spellEnd"/>
      <w:r>
        <w:rPr>
          <w:rFonts w:ascii="Times New Roman" w:hAnsi="Times New Roman" w:cs="Times New Roman"/>
          <w:bCs/>
          <w:sz w:val="24"/>
          <w:szCs w:val="24"/>
        </w:rPr>
        <w:t xml:space="preserve"> of the specific CLL clone. In the reported example, at position 40 both A and T are represented in a di</w:t>
      </w:r>
      <w:r>
        <w:rPr>
          <w:rFonts w:ascii="Times New Roman" w:hAnsi="Times New Roman" w:cs="Times New Roman"/>
          <w:bCs/>
          <w:sz w:val="24"/>
          <w:szCs w:val="24"/>
        </w:rPr>
        <w:t>s</w:t>
      </w:r>
      <w:r>
        <w:rPr>
          <w:rFonts w:ascii="Times New Roman" w:hAnsi="Times New Roman" w:cs="Times New Roman"/>
          <w:bCs/>
          <w:sz w:val="24"/>
          <w:szCs w:val="24"/>
        </w:rPr>
        <w:t xml:space="preserve">crete percentage of sequences (81% and 19%, respectively). B) Identification of possible errors. When multiple bases were called in the same position we calculated the base specific median </w:t>
      </w:r>
      <w:proofErr w:type="spellStart"/>
      <w:r>
        <w:rPr>
          <w:rFonts w:ascii="Times New Roman" w:hAnsi="Times New Roman" w:cs="Times New Roman"/>
          <w:bCs/>
          <w:sz w:val="24"/>
          <w:szCs w:val="24"/>
        </w:rPr>
        <w:t>Phred</w:t>
      </w:r>
      <w:proofErr w:type="spellEnd"/>
      <w:r>
        <w:rPr>
          <w:rFonts w:ascii="Times New Roman" w:hAnsi="Times New Roman" w:cs="Times New Roman"/>
          <w:bCs/>
          <w:sz w:val="24"/>
          <w:szCs w:val="24"/>
        </w:rPr>
        <w:t xml:space="preserve"> quality as reported by </w:t>
      </w:r>
      <w:proofErr w:type="spellStart"/>
      <w:r>
        <w:rPr>
          <w:rFonts w:ascii="Times New Roman" w:hAnsi="Times New Roman" w:cs="Times New Roman"/>
          <w:bCs/>
          <w:sz w:val="24"/>
          <w:szCs w:val="24"/>
        </w:rPr>
        <w:t>Illumina</w:t>
      </w:r>
      <w:proofErr w:type="spellEnd"/>
      <w:r>
        <w:rPr>
          <w:rFonts w:ascii="Times New Roman" w:hAnsi="Times New Roman" w:cs="Times New Roman"/>
          <w:bCs/>
          <w:sz w:val="24"/>
          <w:szCs w:val="24"/>
        </w:rPr>
        <w:t xml:space="preserve"> instrumentations. If the median quality </w:t>
      </w:r>
      <w:proofErr w:type="spellStart"/>
      <w:r>
        <w:rPr>
          <w:rFonts w:ascii="Times New Roman" w:hAnsi="Times New Roman" w:cs="Times New Roman"/>
          <w:bCs/>
          <w:sz w:val="24"/>
          <w:szCs w:val="24"/>
        </w:rPr>
        <w:t>Phred</w:t>
      </w:r>
      <w:proofErr w:type="spellEnd"/>
      <w:r>
        <w:rPr>
          <w:rFonts w:ascii="Times New Roman" w:hAnsi="Times New Roman" w:cs="Times New Roman"/>
          <w:bCs/>
          <w:sz w:val="24"/>
          <w:szCs w:val="24"/>
        </w:rPr>
        <w:t xml:space="preserve"> observed of each base is ≥21 both nucleotide were considered for analysis, otherwise the nucleotide with median quality </w:t>
      </w:r>
      <w:proofErr w:type="spellStart"/>
      <w:r>
        <w:rPr>
          <w:rFonts w:ascii="Times New Roman" w:hAnsi="Times New Roman" w:cs="Times New Roman"/>
          <w:bCs/>
          <w:sz w:val="24"/>
          <w:szCs w:val="24"/>
        </w:rPr>
        <w:t>Phred</w:t>
      </w:r>
      <w:proofErr w:type="spellEnd"/>
      <w:r>
        <w:rPr>
          <w:rFonts w:ascii="Times New Roman" w:hAnsi="Times New Roman" w:cs="Times New Roman"/>
          <w:bCs/>
          <w:sz w:val="24"/>
          <w:szCs w:val="24"/>
        </w:rPr>
        <w:t xml:space="preserve"> &lt;21 was considered as a SSE and discarded (Italian Patent n.102022000027138_15422).</w:t>
      </w:r>
    </w:p>
    <w:p w:rsidR="00336347" w:rsidRDefault="00307A15">
      <w:pPr>
        <w:pStyle w:val="PreformattedText"/>
        <w:spacing w:line="360" w:lineRule="auto"/>
        <w:jc w:val="both"/>
        <w:rPr>
          <w:rFonts w:ascii="Times New Roman" w:hAnsi="Times New Roman" w:cs="Times New Roman"/>
          <w:b/>
          <w:sz w:val="24"/>
          <w:szCs w:val="24"/>
          <w:highlight w:val="yellow"/>
        </w:rPr>
      </w:pPr>
      <w:r>
        <w:rPr>
          <w:rFonts w:ascii="Times New Roman" w:hAnsi="Times New Roman" w:cs="Times New Roman"/>
          <w:b/>
          <w:sz w:val="24"/>
          <w:szCs w:val="24"/>
        </w:rPr>
        <w:t xml:space="preserve">Figure S7. </w:t>
      </w:r>
      <w:proofErr w:type="gramStart"/>
      <w:r>
        <w:rPr>
          <w:rFonts w:ascii="Times New Roman" w:hAnsi="Times New Roman" w:cs="Times New Roman"/>
          <w:b/>
          <w:sz w:val="24"/>
          <w:szCs w:val="24"/>
        </w:rPr>
        <w:t>Evaluation of the error-correction pipeline in IGHV-Leader and FR1 and comparison between Unique Molecular Identifier (UMI) and IGHV Leader protocol.</w:t>
      </w:r>
      <w:proofErr w:type="gramEnd"/>
      <w:r>
        <w:rPr>
          <w:rFonts w:ascii="Times New Roman" w:hAnsi="Times New Roman" w:cs="Times New Roman"/>
          <w:b/>
          <w:sz w:val="24"/>
          <w:szCs w:val="24"/>
        </w:rPr>
        <w:t xml:space="preserve"> </w:t>
      </w:r>
      <w:r>
        <w:rPr>
          <w:rFonts w:ascii="Times New Roman" w:hAnsi="Times New Roman" w:cs="Times New Roman"/>
          <w:bCs/>
          <w:sz w:val="24"/>
          <w:szCs w:val="24"/>
        </w:rPr>
        <w:t>AB) Comparison b</w:t>
      </w:r>
      <w:r>
        <w:rPr>
          <w:rFonts w:ascii="Times New Roman" w:hAnsi="Times New Roman" w:cs="Times New Roman"/>
          <w:bCs/>
          <w:sz w:val="24"/>
          <w:szCs w:val="24"/>
        </w:rPr>
        <w:t>e</w:t>
      </w:r>
      <w:r>
        <w:rPr>
          <w:rFonts w:ascii="Times New Roman" w:hAnsi="Times New Roman" w:cs="Times New Roman"/>
          <w:bCs/>
          <w:sz w:val="24"/>
          <w:szCs w:val="24"/>
        </w:rPr>
        <w:t xml:space="preserve">tween </w:t>
      </w:r>
      <w:r>
        <w:rPr>
          <w:rFonts w:ascii="Times New Roman" w:hAnsi="Times New Roman" w:cs="Times New Roman"/>
          <w:sz w:val="24"/>
          <w:szCs w:val="24"/>
        </w:rPr>
        <w:t>IGHV-Leader and FR1 comparison study.</w:t>
      </w:r>
      <w:r>
        <w:rPr>
          <w:rFonts w:ascii="Times New Roman" w:hAnsi="Times New Roman" w:cs="Times New Roman"/>
          <w:bCs/>
          <w:sz w:val="24"/>
          <w:szCs w:val="24"/>
        </w:rPr>
        <w:t xml:space="preserve"> The </w:t>
      </w:r>
      <w:proofErr w:type="spellStart"/>
      <w:r>
        <w:rPr>
          <w:rFonts w:ascii="Times New Roman" w:hAnsi="Times New Roman" w:cs="Times New Roman"/>
          <w:bCs/>
          <w:sz w:val="24"/>
          <w:szCs w:val="24"/>
        </w:rPr>
        <w:t>scatterplots</w:t>
      </w:r>
      <w:proofErr w:type="spellEnd"/>
      <w:r>
        <w:rPr>
          <w:rFonts w:ascii="Times New Roman" w:hAnsi="Times New Roman" w:cs="Times New Roman"/>
          <w:bCs/>
          <w:sz w:val="24"/>
          <w:szCs w:val="24"/>
        </w:rPr>
        <w:t xml:space="preserve"> report the frequency of major (N=91, panel A) and minor (N= 1,013, panel B) </w:t>
      </w:r>
      <w:proofErr w:type="spellStart"/>
      <w:r>
        <w:rPr>
          <w:rFonts w:ascii="Times New Roman" w:hAnsi="Times New Roman" w:cs="Times New Roman"/>
          <w:bCs/>
          <w:sz w:val="24"/>
          <w:szCs w:val="24"/>
        </w:rPr>
        <w:t>subclones</w:t>
      </w:r>
      <w:proofErr w:type="spellEnd"/>
      <w:r>
        <w:rPr>
          <w:rFonts w:ascii="Times New Roman" w:hAnsi="Times New Roman" w:cs="Times New Roman"/>
          <w:bCs/>
          <w:sz w:val="24"/>
          <w:szCs w:val="24"/>
        </w:rPr>
        <w:t xml:space="preserve"> identified with both IGHV-Leader and FR1 assays with the systematic sequencing errors (SSE) correction pipeline. C) The </w:t>
      </w:r>
      <w:proofErr w:type="spellStart"/>
      <w:r>
        <w:rPr>
          <w:rFonts w:ascii="Times New Roman" w:hAnsi="Times New Roman" w:cs="Times New Roman"/>
          <w:bCs/>
          <w:sz w:val="24"/>
          <w:szCs w:val="24"/>
        </w:rPr>
        <w:t>scatterplot</w:t>
      </w:r>
      <w:proofErr w:type="spellEnd"/>
      <w:r>
        <w:rPr>
          <w:rFonts w:ascii="Times New Roman" w:hAnsi="Times New Roman" w:cs="Times New Roman"/>
          <w:bCs/>
          <w:sz w:val="24"/>
          <w:szCs w:val="24"/>
        </w:rPr>
        <w:t xml:space="preserve"> depicts the inverse Simpson index calculated for 91 samples amplified with both IGHV-Leader and FR1 assays and an</w:t>
      </w:r>
      <w:r>
        <w:rPr>
          <w:rFonts w:ascii="Times New Roman" w:hAnsi="Times New Roman" w:cs="Times New Roman"/>
          <w:bCs/>
          <w:sz w:val="24"/>
          <w:szCs w:val="24"/>
        </w:rPr>
        <w:t>a</w:t>
      </w:r>
      <w:r>
        <w:rPr>
          <w:rFonts w:ascii="Times New Roman" w:hAnsi="Times New Roman" w:cs="Times New Roman"/>
          <w:bCs/>
          <w:sz w:val="24"/>
          <w:szCs w:val="24"/>
        </w:rPr>
        <w:t xml:space="preserve">lyzed with the error-correction pipeline. Solid lines refer to the 1.2 </w:t>
      </w:r>
      <w:proofErr w:type="spellStart"/>
      <w:r>
        <w:rPr>
          <w:rFonts w:ascii="Times New Roman" w:hAnsi="Times New Roman" w:cs="Times New Roman"/>
          <w:bCs/>
          <w:sz w:val="24"/>
          <w:szCs w:val="24"/>
        </w:rPr>
        <w:t>iSi</w:t>
      </w:r>
      <w:proofErr w:type="spellEnd"/>
      <w:r>
        <w:rPr>
          <w:rFonts w:ascii="Times New Roman" w:hAnsi="Times New Roman" w:cs="Times New Roman"/>
          <w:bCs/>
          <w:sz w:val="24"/>
          <w:szCs w:val="24"/>
        </w:rPr>
        <w:t xml:space="preserve"> cut-off. </w:t>
      </w:r>
      <w:proofErr w:type="gramStart"/>
      <w:r>
        <w:rPr>
          <w:rFonts w:ascii="Times New Roman" w:hAnsi="Times New Roman" w:cs="Times New Roman"/>
          <w:bCs/>
          <w:sz w:val="24"/>
          <w:szCs w:val="24"/>
        </w:rPr>
        <w:t xml:space="preserve">DE) </w:t>
      </w:r>
      <w:r>
        <w:rPr>
          <w:rFonts w:ascii="Times New Roman" w:hAnsi="Times New Roman" w:cs="Times New Roman"/>
          <w:sz w:val="24"/>
          <w:szCs w:val="24"/>
        </w:rPr>
        <w:t>Comparison b</w:t>
      </w:r>
      <w:r>
        <w:rPr>
          <w:rFonts w:ascii="Times New Roman" w:hAnsi="Times New Roman" w:cs="Times New Roman"/>
          <w:sz w:val="24"/>
          <w:szCs w:val="24"/>
        </w:rPr>
        <w:t>e</w:t>
      </w:r>
      <w:r>
        <w:rPr>
          <w:rFonts w:ascii="Times New Roman" w:hAnsi="Times New Roman" w:cs="Times New Roman"/>
          <w:sz w:val="24"/>
          <w:szCs w:val="24"/>
        </w:rPr>
        <w:t>tween UMI and IGHV Leader protocol.</w:t>
      </w:r>
      <w:proofErr w:type="gramEnd"/>
      <w:r>
        <w:rPr>
          <w:rFonts w:ascii="Times New Roman" w:hAnsi="Times New Roman" w:cs="Times New Roman"/>
          <w:b/>
          <w:sz w:val="24"/>
          <w:szCs w:val="24"/>
        </w:rPr>
        <w:t xml:space="preserve"> </w:t>
      </w:r>
      <w:r>
        <w:rPr>
          <w:rFonts w:ascii="Times New Roman" w:hAnsi="Times New Roman" w:cs="Times New Roman"/>
          <w:bCs/>
          <w:sz w:val="24"/>
          <w:szCs w:val="24"/>
        </w:rPr>
        <w:t>The scatter plot reports the frequency of the major (N=52, pa</w:t>
      </w:r>
      <w:r>
        <w:rPr>
          <w:rFonts w:ascii="Times New Roman" w:hAnsi="Times New Roman" w:cs="Times New Roman"/>
          <w:bCs/>
          <w:sz w:val="24"/>
          <w:szCs w:val="24"/>
        </w:rPr>
        <w:t>n</w:t>
      </w:r>
      <w:r>
        <w:rPr>
          <w:rFonts w:ascii="Times New Roman" w:hAnsi="Times New Roman" w:cs="Times New Roman"/>
          <w:bCs/>
          <w:sz w:val="24"/>
          <w:szCs w:val="24"/>
        </w:rPr>
        <w:t xml:space="preserve">el D) and minor (N=968, panel E) </w:t>
      </w:r>
      <w:proofErr w:type="spellStart"/>
      <w:r>
        <w:rPr>
          <w:rFonts w:ascii="Times New Roman" w:hAnsi="Times New Roman" w:cs="Times New Roman"/>
          <w:bCs/>
          <w:sz w:val="24"/>
          <w:szCs w:val="24"/>
        </w:rPr>
        <w:t>subclones</w:t>
      </w:r>
      <w:proofErr w:type="spellEnd"/>
      <w:r>
        <w:rPr>
          <w:rFonts w:ascii="Times New Roman" w:hAnsi="Times New Roman" w:cs="Times New Roman"/>
          <w:bCs/>
          <w:sz w:val="24"/>
          <w:szCs w:val="24"/>
        </w:rPr>
        <w:t xml:space="preserve"> identified with both UMI and IGHV Leader assays with the error-correction pipeline. F) The scatter plot depicts the inverse Simpson index (</w:t>
      </w:r>
      <w:proofErr w:type="spellStart"/>
      <w:r>
        <w:rPr>
          <w:rFonts w:ascii="Times New Roman" w:hAnsi="Times New Roman" w:cs="Times New Roman"/>
          <w:bCs/>
          <w:sz w:val="24"/>
          <w:szCs w:val="24"/>
        </w:rPr>
        <w:t>iSI</w:t>
      </w:r>
      <w:proofErr w:type="spellEnd"/>
      <w:r>
        <w:rPr>
          <w:rFonts w:ascii="Times New Roman" w:hAnsi="Times New Roman" w:cs="Times New Roman"/>
          <w:bCs/>
          <w:sz w:val="24"/>
          <w:szCs w:val="24"/>
        </w:rPr>
        <w:t xml:space="preserve">) calculated for the 52 samples amplified with both UMI, and IGHV Leader and analyzed with the error-correction pipeline. Solid lines refer to the 1.2 </w:t>
      </w:r>
      <w:proofErr w:type="spellStart"/>
      <w:r>
        <w:rPr>
          <w:rFonts w:ascii="Times New Roman" w:hAnsi="Times New Roman" w:cs="Times New Roman"/>
          <w:bCs/>
          <w:sz w:val="24"/>
          <w:szCs w:val="24"/>
        </w:rPr>
        <w:t>iSi</w:t>
      </w:r>
      <w:proofErr w:type="spellEnd"/>
      <w:r>
        <w:rPr>
          <w:rFonts w:ascii="Times New Roman" w:hAnsi="Times New Roman" w:cs="Times New Roman"/>
          <w:bCs/>
          <w:sz w:val="24"/>
          <w:szCs w:val="24"/>
        </w:rPr>
        <w:t xml:space="preserve"> cut-off. Comparison between </w:t>
      </w:r>
      <w:proofErr w:type="spellStart"/>
      <w:r>
        <w:rPr>
          <w:rFonts w:ascii="Times New Roman" w:hAnsi="Times New Roman" w:cs="Times New Roman"/>
          <w:bCs/>
          <w:sz w:val="24"/>
          <w:szCs w:val="24"/>
        </w:rPr>
        <w:t>subclones</w:t>
      </w:r>
      <w:proofErr w:type="spellEnd"/>
      <w:r>
        <w:rPr>
          <w:rFonts w:ascii="Times New Roman" w:hAnsi="Times New Roman" w:cs="Times New Roman"/>
          <w:bCs/>
          <w:sz w:val="24"/>
          <w:szCs w:val="24"/>
        </w:rPr>
        <w:t xml:space="preserve"> derived from the diffe</w:t>
      </w:r>
      <w:r>
        <w:rPr>
          <w:rFonts w:ascii="Times New Roman" w:hAnsi="Times New Roman" w:cs="Times New Roman"/>
          <w:bCs/>
          <w:sz w:val="24"/>
          <w:szCs w:val="24"/>
        </w:rPr>
        <w:t>r</w:t>
      </w:r>
      <w:r>
        <w:rPr>
          <w:rFonts w:ascii="Times New Roman" w:hAnsi="Times New Roman" w:cs="Times New Roman"/>
          <w:bCs/>
          <w:sz w:val="24"/>
          <w:szCs w:val="24"/>
        </w:rPr>
        <w:t>ent protocols was made comparing clones that have the exact same nucleotide sequences.</w:t>
      </w:r>
    </w:p>
    <w:p w:rsidR="00336347" w:rsidRDefault="00307A15">
      <w:pPr>
        <w:pStyle w:val="PreformattedText"/>
        <w:spacing w:line="360" w:lineRule="auto"/>
        <w:jc w:val="both"/>
        <w:rPr>
          <w:rFonts w:ascii="Times New Roman" w:hAnsi="Times New Roman" w:cs="Times New Roman"/>
          <w:bCs/>
          <w:sz w:val="24"/>
          <w:szCs w:val="24"/>
        </w:rPr>
      </w:pPr>
      <w:r>
        <w:rPr>
          <w:rFonts w:ascii="Times New Roman" w:hAnsi="Times New Roman" w:cs="Times New Roman"/>
          <w:b/>
          <w:sz w:val="24"/>
          <w:szCs w:val="24"/>
        </w:rPr>
        <w:t xml:space="preserve">Figure S8. Schematic representation of the bioinformatic pipeline for the analysis of </w:t>
      </w:r>
      <w:proofErr w:type="spellStart"/>
      <w:r>
        <w:rPr>
          <w:rFonts w:ascii="Times New Roman" w:hAnsi="Times New Roman" w:cs="Times New Roman"/>
          <w:b/>
          <w:sz w:val="24"/>
          <w:szCs w:val="24"/>
        </w:rPr>
        <w:t>RepSeq</w:t>
      </w:r>
      <w:proofErr w:type="spellEnd"/>
      <w:r>
        <w:rPr>
          <w:rFonts w:ascii="Times New Roman" w:hAnsi="Times New Roman" w:cs="Times New Roman"/>
          <w:b/>
          <w:sz w:val="24"/>
          <w:szCs w:val="24"/>
        </w:rPr>
        <w:t xml:space="preserve"> data tagged with Unique Molecular Identifiers (UMI). </w:t>
      </w:r>
      <w:r>
        <w:rPr>
          <w:rFonts w:ascii="Times New Roman" w:hAnsi="Times New Roman" w:cs="Times New Roman"/>
          <w:bCs/>
          <w:sz w:val="24"/>
          <w:szCs w:val="24"/>
        </w:rPr>
        <w:t xml:space="preserve">The scheme reports the steps generally adopted for the analysis of </w:t>
      </w:r>
      <w:proofErr w:type="spellStart"/>
      <w:r>
        <w:rPr>
          <w:rFonts w:ascii="Times New Roman" w:hAnsi="Times New Roman" w:cs="Times New Roman"/>
          <w:bCs/>
          <w:sz w:val="24"/>
          <w:szCs w:val="24"/>
        </w:rPr>
        <w:t>RepSeq</w:t>
      </w:r>
      <w:proofErr w:type="spellEnd"/>
      <w:r>
        <w:rPr>
          <w:rFonts w:ascii="Times New Roman" w:hAnsi="Times New Roman" w:cs="Times New Roman"/>
          <w:bCs/>
          <w:sz w:val="24"/>
          <w:szCs w:val="24"/>
        </w:rPr>
        <w:t xml:space="preserve"> data with UMI. On the left side are depicted the single steps analysis, while on the right side are reported the packages used for specific steps.</w:t>
      </w:r>
    </w:p>
    <w:p w:rsidR="00336347" w:rsidRDefault="00307A15">
      <w:pPr>
        <w:pStyle w:val="PreformattedText"/>
        <w:spacing w:line="360" w:lineRule="auto"/>
        <w:jc w:val="both"/>
        <w:rPr>
          <w:rFonts w:ascii="Times New Roman" w:hAnsi="Times New Roman" w:cs="Times New Roman"/>
          <w:bCs/>
          <w:sz w:val="24"/>
          <w:szCs w:val="24"/>
        </w:rPr>
      </w:pPr>
      <w:r>
        <w:rPr>
          <w:rFonts w:ascii="Times New Roman" w:hAnsi="Times New Roman" w:cs="Times New Roman"/>
          <w:b/>
          <w:sz w:val="24"/>
          <w:szCs w:val="24"/>
        </w:rPr>
        <w:t xml:space="preserve">Figure S9. </w:t>
      </w:r>
      <w:proofErr w:type="gramStart"/>
      <w:r>
        <w:rPr>
          <w:rFonts w:ascii="Times New Roman" w:hAnsi="Times New Roman" w:cs="Times New Roman"/>
          <w:b/>
          <w:bCs/>
          <w:sz w:val="24"/>
          <w:szCs w:val="24"/>
        </w:rPr>
        <w:t>IGHV mutational status in the total cohort.</w:t>
      </w:r>
      <w:proofErr w:type="gramEnd"/>
      <w:r>
        <w:rPr>
          <w:rFonts w:ascii="Times New Roman" w:hAnsi="Times New Roman" w:cs="Times New Roman"/>
          <w:bCs/>
          <w:sz w:val="24"/>
          <w:szCs w:val="24"/>
        </w:rPr>
        <w:t xml:space="preserve"> A) Kaplan-Meier curves comparing TTFT probabilities of 396 mutated (M) IGHV cases (green line), and 363 unmutated (U) IGHV cases (black line). The number of patients in each group is reported; P value refers to log-rank test.</w:t>
      </w:r>
    </w:p>
    <w:p w:rsidR="00336347" w:rsidRDefault="00307A15">
      <w:pPr>
        <w:pStyle w:val="PreformattedText"/>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Figure S10. </w:t>
      </w:r>
      <w:proofErr w:type="spellStart"/>
      <w:proofErr w:type="gramStart"/>
      <w:r>
        <w:rPr>
          <w:rFonts w:ascii="Times New Roman" w:hAnsi="Times New Roman" w:cs="Times New Roman"/>
          <w:b/>
          <w:sz w:val="24"/>
          <w:szCs w:val="24"/>
        </w:rPr>
        <w:t>Pairwise</w:t>
      </w:r>
      <w:proofErr w:type="spellEnd"/>
      <w:r>
        <w:rPr>
          <w:rFonts w:ascii="Times New Roman" w:hAnsi="Times New Roman" w:cs="Times New Roman"/>
          <w:b/>
          <w:sz w:val="24"/>
          <w:szCs w:val="24"/>
        </w:rPr>
        <w:t xml:space="preserve"> comparisons between phylogenetic tree parameters.</w:t>
      </w:r>
      <w:proofErr w:type="gramEnd"/>
      <w:r>
        <w:rPr>
          <w:rFonts w:ascii="Times New Roman" w:hAnsi="Times New Roman" w:cs="Times New Roman"/>
          <w:b/>
          <w:sz w:val="24"/>
          <w:szCs w:val="24"/>
        </w:rPr>
        <w:t xml:space="preserve"> </w:t>
      </w:r>
      <w:r>
        <w:rPr>
          <w:rFonts w:ascii="Times New Roman" w:hAnsi="Times New Roman" w:cs="Times New Roman"/>
          <w:sz w:val="24"/>
          <w:szCs w:val="24"/>
        </w:rPr>
        <w:t>Each set of boxplots re</w:t>
      </w:r>
      <w:r>
        <w:rPr>
          <w:rFonts w:ascii="Times New Roman" w:hAnsi="Times New Roman" w:cs="Times New Roman"/>
          <w:sz w:val="24"/>
          <w:szCs w:val="24"/>
        </w:rPr>
        <w:t>p</w:t>
      </w:r>
      <w:r>
        <w:rPr>
          <w:rFonts w:ascii="Times New Roman" w:hAnsi="Times New Roman" w:cs="Times New Roman"/>
          <w:sz w:val="24"/>
          <w:szCs w:val="24"/>
        </w:rPr>
        <w:t xml:space="preserve">resents a different graph metric. The y-axis represents the value of the metric, the horizontal line in the middle of the </w:t>
      </w:r>
      <w:proofErr w:type="spellStart"/>
      <w:r>
        <w:rPr>
          <w:rFonts w:ascii="Times New Roman" w:hAnsi="Times New Roman" w:cs="Times New Roman"/>
          <w:sz w:val="24"/>
          <w:szCs w:val="24"/>
        </w:rPr>
        <w:t>boxplot</w:t>
      </w:r>
      <w:proofErr w:type="spellEnd"/>
      <w:r>
        <w:rPr>
          <w:rFonts w:ascii="Times New Roman" w:hAnsi="Times New Roman" w:cs="Times New Roman"/>
          <w:sz w:val="24"/>
          <w:szCs w:val="24"/>
        </w:rPr>
        <w:t xml:space="preserve"> representing the median. P value refers to the overall </w:t>
      </w:r>
      <w:proofErr w:type="spellStart"/>
      <w:r>
        <w:rPr>
          <w:rFonts w:ascii="Times New Roman" w:hAnsi="Times New Roman" w:cs="Times New Roman"/>
          <w:sz w:val="24"/>
          <w:szCs w:val="24"/>
        </w:rPr>
        <w:t>Kruskal</w:t>
      </w:r>
      <w:proofErr w:type="spellEnd"/>
      <w:r>
        <w:rPr>
          <w:rFonts w:ascii="Times New Roman" w:hAnsi="Times New Roman" w:cs="Times New Roman"/>
          <w:sz w:val="24"/>
          <w:szCs w:val="24"/>
        </w:rPr>
        <w:t xml:space="preserve"> Wallis comparison. ** </w:t>
      </w:r>
      <w:proofErr w:type="gramStart"/>
      <w:r>
        <w:rPr>
          <w:rFonts w:ascii="Times New Roman" w:hAnsi="Times New Roman" w:cs="Times New Roman"/>
          <w:sz w:val="24"/>
          <w:szCs w:val="24"/>
        </w:rPr>
        <w:t>p</w:t>
      </w:r>
      <w:proofErr w:type="gramEnd"/>
      <w:r>
        <w:rPr>
          <w:rFonts w:ascii="Times New Roman" w:hAnsi="Times New Roman" w:cs="Times New Roman"/>
          <w:sz w:val="24"/>
          <w:szCs w:val="24"/>
        </w:rPr>
        <w:t xml:space="preserve"> value&lt;0.01; *** p value&lt;0.001; **** p value&lt;0.0001; ns: not significant</w:t>
      </w:r>
      <w:r>
        <w:rPr>
          <w:rFonts w:ascii="Times New Roman" w:hAnsi="Times New Roman" w:cs="Times New Roman"/>
          <w:bCs/>
          <w:sz w:val="24"/>
          <w:szCs w:val="24"/>
        </w:rPr>
        <w:t xml:space="preserve">. On the right depicted an example of lineage tree and tree properties. Nodes in the tree can be either the root node (orange node), leaves (sequences of cells that had no descendants; green nodes), or internal nodes. Internal nodes can be either split nodes, those with more than one child (light blue nodes); or pass-through nodes, those with exactly one child (red nodes). </w:t>
      </w:r>
    </w:p>
    <w:p w:rsidR="00336347" w:rsidRDefault="00307A15">
      <w:pPr>
        <w:pStyle w:val="PreformattedText"/>
        <w:spacing w:line="360" w:lineRule="auto"/>
        <w:jc w:val="both"/>
        <w:rPr>
          <w:rFonts w:ascii="Times New Roman" w:hAnsi="Times New Roman" w:cs="Times New Roman"/>
          <w:bCs/>
          <w:sz w:val="24"/>
          <w:szCs w:val="24"/>
        </w:rPr>
      </w:pPr>
      <w:r>
        <w:rPr>
          <w:rFonts w:ascii="Times New Roman" w:hAnsi="Times New Roman" w:cs="Times New Roman"/>
          <w:b/>
          <w:sz w:val="24"/>
          <w:szCs w:val="24"/>
        </w:rPr>
        <w:t xml:space="preserve">Figure S11. </w:t>
      </w:r>
      <w:proofErr w:type="gramStart"/>
      <w:r>
        <w:rPr>
          <w:rFonts w:ascii="Times New Roman" w:hAnsi="Times New Roman" w:cs="Times New Roman"/>
          <w:b/>
          <w:sz w:val="24"/>
          <w:szCs w:val="24"/>
        </w:rPr>
        <w:t>Distribution of IGHV families and genes in the CLL cohort.</w:t>
      </w:r>
      <w:proofErr w:type="gramEnd"/>
      <w:r>
        <w:rPr>
          <w:rFonts w:ascii="Times New Roman" w:hAnsi="Times New Roman" w:cs="Times New Roman"/>
          <w:b/>
          <w:sz w:val="24"/>
          <w:szCs w:val="24"/>
        </w:rPr>
        <w:t xml:space="preserve"> </w:t>
      </w:r>
      <w:r>
        <w:rPr>
          <w:rFonts w:ascii="Times New Roman" w:hAnsi="Times New Roman" w:cs="Times New Roman"/>
          <w:sz w:val="24"/>
          <w:szCs w:val="24"/>
        </w:rPr>
        <w:t xml:space="preserve">A) </w:t>
      </w:r>
      <w:r>
        <w:rPr>
          <w:rFonts w:ascii="Times New Roman" w:hAnsi="Times New Roman" w:cs="Times New Roman"/>
          <w:bCs/>
          <w:sz w:val="24"/>
          <w:szCs w:val="24"/>
        </w:rPr>
        <w:t xml:space="preserve">The barchart reports the number of CLL cases in dependence of IGHV families. </w:t>
      </w:r>
      <w:r>
        <w:rPr>
          <w:rFonts w:ascii="Times New Roman" w:hAnsi="Times New Roman" w:cs="Times New Roman"/>
          <w:sz w:val="24"/>
          <w:szCs w:val="24"/>
        </w:rPr>
        <w:t xml:space="preserve">B) </w:t>
      </w:r>
      <w:r>
        <w:rPr>
          <w:rFonts w:ascii="Times New Roman" w:hAnsi="Times New Roman" w:cs="Times New Roman"/>
          <w:bCs/>
          <w:sz w:val="24"/>
          <w:szCs w:val="24"/>
        </w:rPr>
        <w:t>The barchart reports the number of CLL cases in dependence of IGHV families divided according to the IGHV mutational status (mutated: M, unmutated: U). C) The barchart reports the number of samples with specific IGHV genes divided by mutational status.</w:t>
      </w:r>
    </w:p>
    <w:p w:rsidR="00336347" w:rsidRDefault="00307A15">
      <w:pPr>
        <w:pStyle w:val="PreformattedText"/>
        <w:spacing w:line="360" w:lineRule="auto"/>
        <w:jc w:val="both"/>
        <w:rPr>
          <w:rFonts w:ascii="Times New Roman" w:hAnsi="Times New Roman" w:cs="Times New Roman"/>
          <w:bCs/>
          <w:sz w:val="24"/>
          <w:szCs w:val="24"/>
        </w:rPr>
      </w:pPr>
      <w:r>
        <w:rPr>
          <w:rFonts w:ascii="Times New Roman" w:hAnsi="Times New Roman" w:cs="Times New Roman"/>
          <w:b/>
          <w:sz w:val="24"/>
          <w:szCs w:val="24"/>
        </w:rPr>
        <w:t xml:space="preserve">Figure S12. </w:t>
      </w:r>
      <w:proofErr w:type="gramStart"/>
      <w:r>
        <w:rPr>
          <w:rFonts w:ascii="Times New Roman" w:hAnsi="Times New Roman" w:cs="Times New Roman"/>
          <w:b/>
          <w:sz w:val="24"/>
          <w:szCs w:val="24"/>
        </w:rPr>
        <w:t xml:space="preserve">Top 10 IGHV </w:t>
      </w:r>
      <w:r>
        <w:rPr>
          <w:rFonts w:ascii="Times New Roman" w:hAnsi="Times New Roman" w:cs="Times New Roman"/>
          <w:b/>
          <w:bCs/>
          <w:sz w:val="24"/>
          <w:szCs w:val="24"/>
        </w:rPr>
        <w:t xml:space="preserve">genes </w:t>
      </w:r>
      <w:r>
        <w:rPr>
          <w:rFonts w:ascii="Times New Roman" w:hAnsi="Times New Roman" w:cs="Times New Roman"/>
          <w:b/>
          <w:sz w:val="24"/>
          <w:szCs w:val="24"/>
        </w:rPr>
        <w:t xml:space="preserve">with high intraclonal diversification (ID) </w:t>
      </w:r>
      <w:r>
        <w:rPr>
          <w:rFonts w:ascii="Times New Roman" w:hAnsi="Times New Roman" w:cs="Times New Roman"/>
          <w:b/>
          <w:bCs/>
          <w:sz w:val="24"/>
          <w:szCs w:val="24"/>
        </w:rPr>
        <w:t>among U and M-CLL</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Pr>
          <w:rFonts w:ascii="Times New Roman" w:hAnsi="Times New Roman" w:cs="Times New Roman"/>
          <w:bCs/>
          <w:sz w:val="24"/>
          <w:szCs w:val="24"/>
        </w:rPr>
        <w:t>The barchart reports the number of CLL cases for the top 10 IGHV with ID</w:t>
      </w:r>
      <w:r>
        <w:rPr>
          <w:rFonts w:ascii="Times New Roman" w:hAnsi="Times New Roman" w:cs="Times New Roman"/>
          <w:bCs/>
          <w:sz w:val="24"/>
          <w:szCs w:val="24"/>
          <w:vertAlign w:val="subscript"/>
        </w:rPr>
        <w:t xml:space="preserve">high </w:t>
      </w:r>
      <w:r>
        <w:rPr>
          <w:rFonts w:ascii="Times New Roman" w:hAnsi="Times New Roman" w:cs="Times New Roman"/>
          <w:bCs/>
          <w:sz w:val="24"/>
          <w:szCs w:val="24"/>
        </w:rPr>
        <w:t>according to the IGHV mutational status (unmutated: U, mutated: M).</w:t>
      </w:r>
    </w:p>
    <w:p w:rsidR="00336347" w:rsidRDefault="00307A15">
      <w:pPr>
        <w:pStyle w:val="PreformattedText"/>
        <w:spacing w:line="360" w:lineRule="auto"/>
        <w:jc w:val="both"/>
        <w:rPr>
          <w:rFonts w:ascii="Times New Roman" w:hAnsi="Times New Roman" w:cs="Times New Roman"/>
          <w:bCs/>
          <w:sz w:val="24"/>
          <w:szCs w:val="24"/>
        </w:rPr>
      </w:pPr>
      <w:r>
        <w:rPr>
          <w:rFonts w:ascii="Times New Roman" w:hAnsi="Times New Roman" w:cs="Times New Roman"/>
          <w:b/>
          <w:sz w:val="24"/>
          <w:szCs w:val="24"/>
        </w:rPr>
        <w:t xml:space="preserve">Figure S13. </w:t>
      </w:r>
      <w:proofErr w:type="spellStart"/>
      <w:proofErr w:type="gramStart"/>
      <w:r>
        <w:rPr>
          <w:rFonts w:ascii="Times New Roman" w:hAnsi="Times New Roman" w:cs="Times New Roman"/>
          <w:b/>
          <w:sz w:val="24"/>
          <w:szCs w:val="24"/>
        </w:rPr>
        <w:t>Immunophenotypic</w:t>
      </w:r>
      <w:proofErr w:type="spellEnd"/>
      <w:r>
        <w:rPr>
          <w:rFonts w:ascii="Times New Roman" w:hAnsi="Times New Roman" w:cs="Times New Roman"/>
          <w:b/>
          <w:sz w:val="24"/>
          <w:szCs w:val="24"/>
        </w:rPr>
        <w:t xml:space="preserve"> analysis of cases with high intraclonal diversification (ID) in M-CLL.</w:t>
      </w:r>
      <w:proofErr w:type="gramEnd"/>
      <w:r>
        <w:rPr>
          <w:rFonts w:ascii="Times New Roman" w:hAnsi="Times New Roman" w:cs="Times New Roman"/>
          <w:bCs/>
          <w:sz w:val="24"/>
          <w:szCs w:val="24"/>
        </w:rPr>
        <w:t xml:space="preserve"> The violin plots report the distribution of MFI values for each specific marker based on the pre</w:t>
      </w:r>
      <w:r>
        <w:rPr>
          <w:rFonts w:ascii="Times New Roman" w:hAnsi="Times New Roman" w:cs="Times New Roman"/>
          <w:bCs/>
          <w:sz w:val="24"/>
          <w:szCs w:val="24"/>
        </w:rPr>
        <w:t>s</w:t>
      </w:r>
      <w:r>
        <w:rPr>
          <w:rFonts w:ascii="Times New Roman" w:hAnsi="Times New Roman" w:cs="Times New Roman"/>
          <w:bCs/>
          <w:sz w:val="24"/>
          <w:szCs w:val="24"/>
        </w:rPr>
        <w:t>ence or not of ID. Green plot represent mutated IGHV (M-CLL) and ID</w:t>
      </w:r>
      <w:r>
        <w:rPr>
          <w:rFonts w:ascii="Times New Roman" w:hAnsi="Times New Roman" w:cs="Times New Roman"/>
          <w:bCs/>
          <w:sz w:val="24"/>
          <w:szCs w:val="24"/>
          <w:vertAlign w:val="subscript"/>
        </w:rPr>
        <w:t>low</w:t>
      </w:r>
      <w:r>
        <w:rPr>
          <w:rFonts w:ascii="Times New Roman" w:hAnsi="Times New Roman" w:cs="Times New Roman"/>
          <w:bCs/>
          <w:sz w:val="24"/>
          <w:szCs w:val="24"/>
        </w:rPr>
        <w:t xml:space="preserve"> cases, purple plot represent M-CLL and ID</w:t>
      </w:r>
      <w:r>
        <w:rPr>
          <w:rFonts w:ascii="Times New Roman" w:hAnsi="Times New Roman" w:cs="Times New Roman"/>
          <w:bCs/>
          <w:sz w:val="24"/>
          <w:szCs w:val="24"/>
          <w:vertAlign w:val="subscript"/>
        </w:rPr>
        <w:t>high</w:t>
      </w:r>
      <w:r>
        <w:rPr>
          <w:rFonts w:ascii="Times New Roman" w:hAnsi="Times New Roman" w:cs="Times New Roman"/>
          <w:bCs/>
          <w:sz w:val="24"/>
          <w:szCs w:val="24"/>
        </w:rPr>
        <w:t xml:space="preserve"> cases.</w:t>
      </w:r>
    </w:p>
    <w:p w:rsidR="00336347" w:rsidRDefault="00307A15">
      <w:pPr>
        <w:pStyle w:val="PreformattedText"/>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Figure S14. </w:t>
      </w:r>
      <w:proofErr w:type="gramStart"/>
      <w:r>
        <w:rPr>
          <w:rFonts w:ascii="Times New Roman" w:hAnsi="Times New Roman" w:cs="Times New Roman"/>
          <w:b/>
          <w:sz w:val="24"/>
          <w:szCs w:val="24"/>
        </w:rPr>
        <w:t xml:space="preserve">Variation in the number of mutations compatible with Activation Induced </w:t>
      </w:r>
      <w:proofErr w:type="spellStart"/>
      <w:r>
        <w:rPr>
          <w:rFonts w:ascii="Times New Roman" w:hAnsi="Times New Roman" w:cs="Times New Roman"/>
          <w:b/>
          <w:sz w:val="24"/>
          <w:szCs w:val="24"/>
        </w:rPr>
        <w:t>Cytidine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Deaminase</w:t>
      </w:r>
      <w:proofErr w:type="spellEnd"/>
      <w:r>
        <w:rPr>
          <w:rFonts w:ascii="Times New Roman" w:hAnsi="Times New Roman" w:cs="Times New Roman"/>
          <w:b/>
          <w:sz w:val="24"/>
          <w:szCs w:val="24"/>
        </w:rPr>
        <w:t xml:space="preserve"> (AID) and polymerase eta.</w:t>
      </w:r>
      <w:proofErr w:type="gramEnd"/>
      <w:r>
        <w:rPr>
          <w:rFonts w:ascii="Times New Roman" w:hAnsi="Times New Roman" w:cs="Times New Roman"/>
          <w:b/>
          <w:sz w:val="24"/>
          <w:szCs w:val="24"/>
        </w:rPr>
        <w:t xml:space="preserve"> </w:t>
      </w:r>
      <w:r>
        <w:rPr>
          <w:rFonts w:ascii="Times New Roman" w:hAnsi="Times New Roman" w:cs="Times New Roman"/>
          <w:sz w:val="24"/>
          <w:szCs w:val="24"/>
        </w:rPr>
        <w:t>The boxplots report the number of mutations compatible with AID mutational activity in both forward (WRC, W=A</w:t>
      </w:r>
      <w:proofErr w:type="gramStart"/>
      <w:r>
        <w:rPr>
          <w:rFonts w:ascii="Times New Roman" w:hAnsi="Times New Roman" w:cs="Times New Roman"/>
          <w:sz w:val="24"/>
          <w:szCs w:val="24"/>
        </w:rPr>
        <w:t>,T</w:t>
      </w:r>
      <w:proofErr w:type="gramEnd"/>
      <w:r>
        <w:rPr>
          <w:rFonts w:ascii="Times New Roman" w:hAnsi="Times New Roman" w:cs="Times New Roman"/>
          <w:sz w:val="24"/>
          <w:szCs w:val="24"/>
        </w:rPr>
        <w:t xml:space="preserve"> , R=A,G), and reverse strands (GYW, Y=C,T , W=A,T). The number of mutations occurring in AID coldspots for both the forward and reverse strand are reported in the middle (SYC and GRS, S=G</w:t>
      </w:r>
      <w:proofErr w:type="gramStart"/>
      <w:r>
        <w:rPr>
          <w:rFonts w:ascii="Times New Roman" w:hAnsi="Times New Roman" w:cs="Times New Roman"/>
          <w:sz w:val="24"/>
          <w:szCs w:val="24"/>
        </w:rPr>
        <w:t>,C</w:t>
      </w:r>
      <w:proofErr w:type="gramEnd"/>
      <w:r>
        <w:rPr>
          <w:rFonts w:ascii="Times New Roman" w:hAnsi="Times New Roman" w:cs="Times New Roman"/>
          <w:sz w:val="24"/>
          <w:szCs w:val="24"/>
        </w:rPr>
        <w:t xml:space="preserve"> ). The boxplots on the bottom report the number of mutations compatible with </w:t>
      </w:r>
      <w:proofErr w:type="spellStart"/>
      <w:r>
        <w:rPr>
          <w:rFonts w:ascii="Times New Roman" w:hAnsi="Times New Roman" w:cs="Times New Roman"/>
          <w:sz w:val="24"/>
          <w:szCs w:val="24"/>
        </w:rPr>
        <w:t>pol</w:t>
      </w:r>
      <w:proofErr w:type="spellEnd"/>
      <w:r>
        <w:rPr>
          <w:rFonts w:ascii="Times New Roman" w:hAnsi="Times New Roman" w:cs="Times New Roman"/>
          <w:sz w:val="24"/>
          <w:szCs w:val="24"/>
        </w:rPr>
        <w:t xml:space="preserve"> eta (</w:t>
      </w:r>
      <w:r>
        <w:rPr>
          <w:rFonts w:ascii="Symbol" w:hAnsi="Symbol" w:cs="Times New Roman"/>
          <w:sz w:val="24"/>
          <w:szCs w:val="24"/>
        </w:rPr>
        <w:t></w:t>
      </w:r>
      <w:r>
        <w:rPr>
          <w:rFonts w:ascii="Symbol" w:hAnsi="Symbol" w:cs="Times New Roman"/>
          <w:sz w:val="24"/>
          <w:szCs w:val="24"/>
        </w:rPr>
        <w:t></w:t>
      </w:r>
      <w:r>
        <w:rPr>
          <w:rFonts w:ascii="Symbol" w:hAnsi="Symbol" w:cs="Times New Roman"/>
          <w:sz w:val="24"/>
          <w:szCs w:val="24"/>
        </w:rPr>
        <w:t></w:t>
      </w:r>
      <w:r>
        <w:rPr>
          <w:rFonts w:ascii="Times New Roman" w:hAnsi="Times New Roman" w:cs="Times New Roman"/>
          <w:sz w:val="24"/>
          <w:szCs w:val="24"/>
        </w:rPr>
        <w:t xml:space="preserve">in both forward, and reverse strands. The horizontal line in the middle of the </w:t>
      </w:r>
      <w:proofErr w:type="spellStart"/>
      <w:r>
        <w:rPr>
          <w:rFonts w:ascii="Times New Roman" w:hAnsi="Times New Roman" w:cs="Times New Roman"/>
          <w:sz w:val="24"/>
          <w:szCs w:val="24"/>
        </w:rPr>
        <w:t>boxplot</w:t>
      </w:r>
      <w:proofErr w:type="spellEnd"/>
      <w:r>
        <w:rPr>
          <w:rFonts w:ascii="Times New Roman" w:hAnsi="Times New Roman" w:cs="Times New Roman"/>
          <w:sz w:val="24"/>
          <w:szCs w:val="24"/>
        </w:rPr>
        <w:t xml:space="preserve"> represents the median. Analysis was performed by excluding all the shared mut</w:t>
      </w:r>
      <w:r>
        <w:rPr>
          <w:rFonts w:ascii="Times New Roman" w:hAnsi="Times New Roman" w:cs="Times New Roman"/>
          <w:sz w:val="24"/>
          <w:szCs w:val="24"/>
        </w:rPr>
        <w:t>a</w:t>
      </w:r>
      <w:r>
        <w:rPr>
          <w:rFonts w:ascii="Times New Roman" w:hAnsi="Times New Roman" w:cs="Times New Roman"/>
          <w:sz w:val="24"/>
          <w:szCs w:val="24"/>
        </w:rPr>
        <w:t>tions and circumscribing the analysis to the partially shared/unique mutations, i.e. the mutations alle</w:t>
      </w:r>
      <w:r>
        <w:rPr>
          <w:rFonts w:ascii="Times New Roman" w:hAnsi="Times New Roman" w:cs="Times New Roman"/>
          <w:sz w:val="24"/>
          <w:szCs w:val="24"/>
        </w:rPr>
        <w:t>g</w:t>
      </w:r>
      <w:r>
        <w:rPr>
          <w:rFonts w:ascii="Times New Roman" w:hAnsi="Times New Roman" w:cs="Times New Roman"/>
          <w:sz w:val="24"/>
          <w:szCs w:val="24"/>
        </w:rPr>
        <w:t xml:space="preserve">edly acquired after the neoplastic transformation. P value refers to the overall </w:t>
      </w:r>
      <w:proofErr w:type="spellStart"/>
      <w:r>
        <w:rPr>
          <w:rFonts w:ascii="Times New Roman" w:hAnsi="Times New Roman" w:cs="Times New Roman"/>
          <w:sz w:val="24"/>
          <w:szCs w:val="24"/>
        </w:rPr>
        <w:t>Kruskal</w:t>
      </w:r>
      <w:proofErr w:type="spellEnd"/>
      <w:r>
        <w:rPr>
          <w:rFonts w:ascii="Times New Roman" w:hAnsi="Times New Roman" w:cs="Times New Roman"/>
          <w:sz w:val="24"/>
          <w:szCs w:val="24"/>
        </w:rPr>
        <w:t xml:space="preserve"> Wallis compar</w:t>
      </w:r>
      <w:r>
        <w:rPr>
          <w:rFonts w:ascii="Times New Roman" w:hAnsi="Times New Roman" w:cs="Times New Roman"/>
          <w:sz w:val="24"/>
          <w:szCs w:val="24"/>
        </w:rPr>
        <w:t>i</w:t>
      </w:r>
      <w:r>
        <w:rPr>
          <w:rFonts w:ascii="Times New Roman" w:hAnsi="Times New Roman" w:cs="Times New Roman"/>
          <w:sz w:val="24"/>
          <w:szCs w:val="24"/>
        </w:rPr>
        <w:t>son.</w:t>
      </w:r>
    </w:p>
    <w:p w:rsidR="00336347" w:rsidRDefault="00307A15">
      <w:pPr>
        <w:pStyle w:val="PreformattedText"/>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Figure S15. </w:t>
      </w:r>
      <w:proofErr w:type="gramStart"/>
      <w:r>
        <w:rPr>
          <w:rFonts w:ascii="Times New Roman" w:hAnsi="Times New Roman" w:cs="Times New Roman"/>
          <w:b/>
          <w:sz w:val="24"/>
          <w:szCs w:val="24"/>
        </w:rPr>
        <w:t>Variation in percentage of replacement and silent mutations in the FR and CDR r</w:t>
      </w:r>
      <w:r>
        <w:rPr>
          <w:rFonts w:ascii="Times New Roman" w:hAnsi="Times New Roman" w:cs="Times New Roman"/>
          <w:b/>
          <w:sz w:val="24"/>
          <w:szCs w:val="24"/>
        </w:rPr>
        <w:t>e</w:t>
      </w:r>
      <w:r>
        <w:rPr>
          <w:rFonts w:ascii="Times New Roman" w:hAnsi="Times New Roman" w:cs="Times New Roman"/>
          <w:b/>
          <w:sz w:val="24"/>
          <w:szCs w:val="24"/>
        </w:rPr>
        <w:t>gion.</w:t>
      </w:r>
      <w:proofErr w:type="gramEnd"/>
      <w:r>
        <w:rPr>
          <w:rFonts w:ascii="Times New Roman" w:hAnsi="Times New Roman" w:cs="Times New Roman"/>
          <w:b/>
          <w:bCs/>
          <w:sz w:val="24"/>
          <w:szCs w:val="24"/>
        </w:rPr>
        <w:t xml:space="preserve"> </w:t>
      </w:r>
      <w:r>
        <w:rPr>
          <w:rFonts w:ascii="Times New Roman" w:hAnsi="Times New Roman" w:cs="Times New Roman"/>
          <w:sz w:val="24"/>
          <w:szCs w:val="24"/>
        </w:rPr>
        <w:t xml:space="preserve">The boxplots report the percentage of S and R mutations calculated on 840 CLL samples. The horizontal line in the middle of the </w:t>
      </w:r>
      <w:proofErr w:type="spellStart"/>
      <w:r>
        <w:rPr>
          <w:rFonts w:ascii="Times New Roman" w:hAnsi="Times New Roman" w:cs="Times New Roman"/>
          <w:sz w:val="24"/>
          <w:szCs w:val="24"/>
        </w:rPr>
        <w:t>boxplot</w:t>
      </w:r>
      <w:proofErr w:type="spellEnd"/>
      <w:r>
        <w:rPr>
          <w:rFonts w:ascii="Times New Roman" w:hAnsi="Times New Roman" w:cs="Times New Roman"/>
          <w:sz w:val="24"/>
          <w:szCs w:val="24"/>
        </w:rPr>
        <w:t xml:space="preserve"> represents the median. </w:t>
      </w:r>
      <w:r>
        <w:rPr>
          <w:rFonts w:ascii="Times New Roman" w:hAnsi="Times New Roman" w:cs="Times New Roman"/>
          <w:i/>
          <w:iCs/>
          <w:sz w:val="24"/>
          <w:szCs w:val="24"/>
        </w:rPr>
        <w:t>P</w:t>
      </w:r>
      <w:r>
        <w:rPr>
          <w:rFonts w:ascii="Times New Roman" w:hAnsi="Times New Roman" w:cs="Times New Roman"/>
          <w:sz w:val="24"/>
          <w:szCs w:val="24"/>
        </w:rPr>
        <w:t xml:space="preserve"> value refers to t-test.</w:t>
      </w:r>
    </w:p>
    <w:p w:rsidR="00336347" w:rsidRDefault="00307A15">
      <w:pPr>
        <w:pStyle w:val="PreformattedText"/>
        <w:spacing w:line="360" w:lineRule="auto"/>
        <w:jc w:val="both"/>
        <w:rPr>
          <w:rFonts w:ascii="Times New Roman" w:hAnsi="Times New Roman" w:cs="Times New Roman"/>
          <w:sz w:val="24"/>
          <w:szCs w:val="24"/>
        </w:rPr>
      </w:pPr>
      <w:r w:rsidRPr="004F5B9A">
        <w:rPr>
          <w:rFonts w:ascii="Times New Roman" w:hAnsi="Times New Roman" w:cs="Times New Roman"/>
          <w:b/>
          <w:sz w:val="24"/>
          <w:szCs w:val="24"/>
        </w:rPr>
        <w:t xml:space="preserve">Figure S16. </w:t>
      </w:r>
      <w:proofErr w:type="gramStart"/>
      <w:r w:rsidRPr="004F5B9A">
        <w:rPr>
          <w:rFonts w:ascii="Times New Roman" w:hAnsi="Times New Roman" w:cs="Times New Roman"/>
          <w:b/>
          <w:sz w:val="24"/>
          <w:szCs w:val="24"/>
        </w:rPr>
        <w:t>Clonal evolution of ID in longitudinal ID</w:t>
      </w:r>
      <w:r w:rsidRPr="004F5B9A">
        <w:rPr>
          <w:rFonts w:ascii="Times New Roman" w:hAnsi="Times New Roman" w:cs="Times New Roman"/>
          <w:b/>
          <w:sz w:val="24"/>
          <w:szCs w:val="24"/>
          <w:vertAlign w:val="subscript"/>
        </w:rPr>
        <w:t>high</w:t>
      </w:r>
      <w:r w:rsidRPr="004F5B9A">
        <w:rPr>
          <w:rFonts w:ascii="Times New Roman" w:hAnsi="Times New Roman" w:cs="Times New Roman"/>
          <w:b/>
          <w:sz w:val="24"/>
          <w:szCs w:val="24"/>
        </w:rPr>
        <w:t xml:space="preserve"> samples.</w:t>
      </w:r>
      <w:proofErr w:type="gramEnd"/>
      <w:r w:rsidRPr="004F5B9A">
        <w:rPr>
          <w:rFonts w:ascii="Times New Roman" w:hAnsi="Times New Roman" w:cs="Times New Roman"/>
          <w:b/>
          <w:sz w:val="24"/>
          <w:szCs w:val="24"/>
        </w:rPr>
        <w:t xml:space="preserve"> </w:t>
      </w:r>
      <w:r w:rsidRPr="004F5B9A">
        <w:rPr>
          <w:rFonts w:ascii="Times New Roman" w:hAnsi="Times New Roman" w:cs="Times New Roman"/>
          <w:sz w:val="24"/>
          <w:szCs w:val="24"/>
        </w:rPr>
        <w:t>Line chart showing the iSI score calculated in 21 ID</w:t>
      </w:r>
      <w:r w:rsidRPr="004F5B9A">
        <w:rPr>
          <w:rFonts w:ascii="Times New Roman" w:hAnsi="Times New Roman" w:cs="Times New Roman"/>
          <w:sz w:val="24"/>
          <w:szCs w:val="24"/>
          <w:vertAlign w:val="subscript"/>
        </w:rPr>
        <w:t>high</w:t>
      </w:r>
      <w:r w:rsidRPr="004F5B9A">
        <w:rPr>
          <w:rFonts w:ascii="Times New Roman" w:hAnsi="Times New Roman" w:cs="Times New Roman"/>
          <w:sz w:val="24"/>
          <w:szCs w:val="24"/>
        </w:rPr>
        <w:t xml:space="preserve"> </w:t>
      </w:r>
      <w:r w:rsidR="00E21D69" w:rsidRPr="004F5B9A">
        <w:rPr>
          <w:rFonts w:ascii="Times New Roman" w:hAnsi="Times New Roman" w:cs="Times New Roman"/>
          <w:sz w:val="24"/>
          <w:szCs w:val="24"/>
        </w:rPr>
        <w:t>and 12 ID</w:t>
      </w:r>
      <w:r w:rsidR="00E21D69" w:rsidRPr="004F5B9A">
        <w:rPr>
          <w:rFonts w:ascii="Times New Roman" w:hAnsi="Times New Roman" w:cs="Times New Roman"/>
          <w:sz w:val="24"/>
          <w:szCs w:val="24"/>
          <w:vertAlign w:val="subscript"/>
        </w:rPr>
        <w:t>low</w:t>
      </w:r>
      <w:r w:rsidR="00E21D69" w:rsidRPr="004F5B9A">
        <w:rPr>
          <w:rFonts w:ascii="Times New Roman" w:hAnsi="Times New Roman" w:cs="Times New Roman"/>
          <w:sz w:val="24"/>
          <w:szCs w:val="24"/>
        </w:rPr>
        <w:t xml:space="preserve"> </w:t>
      </w:r>
      <w:r w:rsidRPr="004F5B9A">
        <w:rPr>
          <w:rFonts w:ascii="Times New Roman" w:hAnsi="Times New Roman" w:cs="Times New Roman"/>
          <w:sz w:val="24"/>
          <w:szCs w:val="24"/>
        </w:rPr>
        <w:t>CLL patients with longitudinal samples.</w:t>
      </w:r>
    </w:p>
    <w:p w:rsidR="00336347" w:rsidRDefault="00336347">
      <w:pPr>
        <w:pStyle w:val="PreformattedText"/>
        <w:spacing w:line="360" w:lineRule="auto"/>
        <w:jc w:val="both"/>
        <w:rPr>
          <w:rFonts w:ascii="Times New Roman" w:hAnsi="Times New Roman" w:cs="Times New Roman"/>
          <w:sz w:val="24"/>
          <w:szCs w:val="24"/>
        </w:rPr>
      </w:pPr>
    </w:p>
    <w:p w:rsidR="00336347" w:rsidRDefault="00336347">
      <w:pPr>
        <w:pStyle w:val="PreformattedText"/>
        <w:spacing w:line="360" w:lineRule="auto"/>
        <w:jc w:val="both"/>
        <w:rPr>
          <w:rFonts w:ascii="Times New Roman" w:hAnsi="Times New Roman" w:cs="Times New Roman"/>
          <w:sz w:val="24"/>
          <w:szCs w:val="24"/>
        </w:rPr>
      </w:pPr>
    </w:p>
    <w:sectPr w:rsidR="00336347" w:rsidSect="00336347">
      <w:footerReference w:type="default" r:id="rId13"/>
      <w:pgSz w:w="12240" w:h="15840"/>
      <w:pgMar w:top="1134" w:right="1134" w:bottom="1134" w:left="1134"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347" w:rsidRDefault="00307A15">
      <w:pPr>
        <w:spacing w:after="0" w:line="240" w:lineRule="auto"/>
      </w:pPr>
      <w:r>
        <w:separator/>
      </w:r>
    </w:p>
  </w:endnote>
  <w:endnote w:type="continuationSeparator" w:id="0">
    <w:p w:rsidR="00336347" w:rsidRDefault="00307A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auto"/>
    <w:pitch w:val="default"/>
    <w:sig w:usb0="00000000" w:usb1="00000000" w:usb2="00000000" w:usb3="00000000" w:csb0="00000000" w:csb1="00000000"/>
  </w:font>
  <w:font w:name="Noto Sans CJK SC Regular">
    <w:charset w:val="00"/>
    <w:family w:val="auto"/>
    <w:pitch w:val="default"/>
    <w:sig w:usb0="00000000" w:usb1="00000000" w:usb2="00000000" w:usb3="00000000" w:csb0="00000000" w:csb1="00000000"/>
  </w:font>
  <w:font w:name="FreeSans">
    <w:altName w:val="Arial"/>
    <w:charset w:val="00"/>
    <w:family w:val="auto"/>
    <w:pitch w:val="default"/>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auto"/>
    <w:pitch w:val="default"/>
    <w:sig w:usb0="00000000" w:usb1="00000000" w:usb2="00000000" w:usb3="00000000" w:csb0="00000000" w:csb1="00000000"/>
  </w:font>
  <w:font w:name="Lohit Devanagari">
    <w:altName w:val="Arial"/>
    <w:charset w:val="00"/>
    <w:family w:val="auto"/>
    <w:pitch w:val="default"/>
    <w:sig w:usb0="00000000" w:usb1="00000000" w:usb2="00000000" w:usb3="00000000" w:csb0="00000000" w:csb1="00000000"/>
  </w:font>
  <w:font w:name="Liberation Mono">
    <w:altName w:val="Courier"/>
    <w:charset w:val="00"/>
    <w:family w:val="auto"/>
    <w:pitch w:val="default"/>
    <w:sig w:usb0="00000000" w:usb1="00000000" w:usb2="00000000" w:usb3="00000000" w:csb0="00000000" w:csb1="00000000"/>
  </w:font>
  <w:font w:name="Nimbus Mono L">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9499032"/>
      <w:docPartObj>
        <w:docPartGallery w:val="Page Numbers (Bottom of Page)"/>
        <w:docPartUnique/>
      </w:docPartObj>
    </w:sdtPr>
    <w:sdtContent>
      <w:p w:rsidR="00336347" w:rsidRDefault="001F5AA7">
        <w:pPr>
          <w:pStyle w:val="Pidipagina1"/>
          <w:jc w:val="center"/>
        </w:pPr>
        <w:fldSimple w:instr="PAGE \* MERGEFORMAT">
          <w:r w:rsidR="004F5B9A">
            <w:rPr>
              <w:noProof/>
            </w:rPr>
            <w:t>17</w:t>
          </w:r>
        </w:fldSimple>
      </w:p>
    </w:sdtContent>
  </w:sdt>
  <w:p w:rsidR="00336347" w:rsidRDefault="00336347">
    <w:pPr>
      <w:pStyle w:val="Pidipagina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347" w:rsidRDefault="00307A15">
      <w:pPr>
        <w:spacing w:after="0" w:line="240" w:lineRule="auto"/>
      </w:pPr>
      <w:r>
        <w:separator/>
      </w:r>
    </w:p>
  </w:footnote>
  <w:footnote w:type="continuationSeparator" w:id="0">
    <w:p w:rsidR="00336347" w:rsidRDefault="00307A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7E366C"/>
    <w:multiLevelType w:val="multilevel"/>
    <w:tmpl w:val="5290EDC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3FEC0500"/>
    <w:multiLevelType w:val="multilevel"/>
    <w:tmpl w:val="250C7F60"/>
    <w:lvl w:ilvl="0">
      <w:start w:val="1"/>
      <w:numFmt w:val="bullet"/>
      <w:lvlText w:val=""/>
      <w:lvlJc w:val="left"/>
      <w:pPr>
        <w:ind w:left="720" w:hanging="360"/>
      </w:pPr>
      <w:rPr>
        <w:rFonts w:ascii="Symbol" w:hAnsi="Symbol" w:hint="default"/>
      </w:rPr>
    </w:lvl>
    <w:lvl w:ilvl="1">
      <w:start w:val="1"/>
      <w:numFmt w:val="bullet"/>
      <w:lvlText w:val=""/>
      <w:lvlJc w:val="left"/>
      <w:pPr>
        <w:ind w:left="1785" w:hanging="705"/>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rsids>
    <w:rsidRoot w:val="00336347"/>
    <w:rsid w:val="001F5AA7"/>
    <w:rsid w:val="00307A15"/>
    <w:rsid w:val="00336347"/>
    <w:rsid w:val="004F5B9A"/>
    <w:rsid w:val="00B111E1"/>
    <w:rsid w:val="00E21D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ans CJK SC Regular" w:hAnsi="Liberation Serif" w:cs="FreeSans"/>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36347"/>
    <w:pPr>
      <w:widowControl w:val="0"/>
      <w:spacing w:after="200" w:line="276" w:lineRule="auto"/>
    </w:pPr>
    <w:rPr>
      <w:sz w:val="24"/>
      <w:szCs w:val="24"/>
      <w:lang w:val="en-US"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33634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Tabellanormale"/>
    <w:uiPriority w:val="59"/>
    <w:rsid w:val="00336347"/>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Tabellanormale"/>
    <w:uiPriority w:val="59"/>
    <w:rsid w:val="00336347"/>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Tabellanormale"/>
    <w:uiPriority w:val="59"/>
    <w:rsid w:val="00336347"/>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ellanormale"/>
    <w:uiPriority w:val="99"/>
    <w:rsid w:val="00336347"/>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Tabellanormale"/>
    <w:uiPriority w:val="99"/>
    <w:rsid w:val="00336347"/>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Tabellanormale"/>
    <w:uiPriority w:val="99"/>
    <w:rsid w:val="00336347"/>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Tabellanormale"/>
    <w:uiPriority w:val="99"/>
    <w:rsid w:val="00336347"/>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rsid w:val="00336347"/>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lanormale"/>
    <w:uiPriority w:val="99"/>
    <w:rsid w:val="00336347"/>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lanormale"/>
    <w:uiPriority w:val="99"/>
    <w:rsid w:val="00336347"/>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lanormale"/>
    <w:uiPriority w:val="99"/>
    <w:rsid w:val="00336347"/>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lanormale"/>
    <w:uiPriority w:val="99"/>
    <w:rsid w:val="00336347"/>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lanormale"/>
    <w:uiPriority w:val="99"/>
    <w:rsid w:val="00336347"/>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Tabellanormale"/>
    <w:uiPriority w:val="99"/>
    <w:rsid w:val="00336347"/>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rsid w:val="00336347"/>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lanormale"/>
    <w:uiPriority w:val="99"/>
    <w:rsid w:val="00336347"/>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lanormale"/>
    <w:uiPriority w:val="99"/>
    <w:rsid w:val="00336347"/>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lanormale"/>
    <w:uiPriority w:val="99"/>
    <w:rsid w:val="00336347"/>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lanormale"/>
    <w:uiPriority w:val="99"/>
    <w:rsid w:val="00336347"/>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lanormale"/>
    <w:uiPriority w:val="99"/>
    <w:rsid w:val="00336347"/>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Tabellanormale"/>
    <w:uiPriority w:val="99"/>
    <w:rsid w:val="00336347"/>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rsid w:val="00336347"/>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lanormale"/>
    <w:uiPriority w:val="99"/>
    <w:rsid w:val="00336347"/>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lanormale"/>
    <w:uiPriority w:val="99"/>
    <w:rsid w:val="00336347"/>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lanormale"/>
    <w:uiPriority w:val="99"/>
    <w:rsid w:val="00336347"/>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lanormale"/>
    <w:uiPriority w:val="99"/>
    <w:rsid w:val="00336347"/>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lanormale"/>
    <w:uiPriority w:val="99"/>
    <w:rsid w:val="00336347"/>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Tabellanormale"/>
    <w:uiPriority w:val="59"/>
    <w:rsid w:val="00336347"/>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rsid w:val="00336347"/>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lanormale"/>
    <w:uiPriority w:val="59"/>
    <w:rsid w:val="00336347"/>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lanormale"/>
    <w:uiPriority w:val="59"/>
    <w:rsid w:val="00336347"/>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lanormale"/>
    <w:uiPriority w:val="59"/>
    <w:rsid w:val="00336347"/>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lanormale"/>
    <w:uiPriority w:val="59"/>
    <w:rsid w:val="00336347"/>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lanormale"/>
    <w:uiPriority w:val="59"/>
    <w:rsid w:val="00336347"/>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Tabellanormale"/>
    <w:uiPriority w:val="99"/>
    <w:rsid w:val="0033634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rsid w:val="0033634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lanormale"/>
    <w:uiPriority w:val="99"/>
    <w:rsid w:val="0033634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lanormale"/>
    <w:uiPriority w:val="99"/>
    <w:rsid w:val="0033634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lanormale"/>
    <w:uiPriority w:val="99"/>
    <w:rsid w:val="0033634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lanormale"/>
    <w:uiPriority w:val="99"/>
    <w:rsid w:val="0033634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lanormale"/>
    <w:uiPriority w:val="99"/>
    <w:rsid w:val="00336347"/>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Tabellanormale"/>
    <w:uiPriority w:val="99"/>
    <w:rsid w:val="00336347"/>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rsid w:val="00336347"/>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lanormale"/>
    <w:uiPriority w:val="99"/>
    <w:rsid w:val="00336347"/>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lanormale"/>
    <w:uiPriority w:val="99"/>
    <w:rsid w:val="00336347"/>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lanormale"/>
    <w:uiPriority w:val="99"/>
    <w:rsid w:val="00336347"/>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lanormale"/>
    <w:uiPriority w:val="99"/>
    <w:rsid w:val="00336347"/>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lanormale"/>
    <w:uiPriority w:val="99"/>
    <w:rsid w:val="00336347"/>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Tabellanormale"/>
    <w:uiPriority w:val="99"/>
    <w:rsid w:val="00336347"/>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rsid w:val="00336347"/>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lanormale"/>
    <w:uiPriority w:val="99"/>
    <w:rsid w:val="00336347"/>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lanormale"/>
    <w:uiPriority w:val="99"/>
    <w:rsid w:val="00336347"/>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lanormale"/>
    <w:uiPriority w:val="99"/>
    <w:rsid w:val="00336347"/>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lanormale"/>
    <w:uiPriority w:val="99"/>
    <w:rsid w:val="00336347"/>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lanormale"/>
    <w:uiPriority w:val="99"/>
    <w:rsid w:val="00336347"/>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Tabellanormale"/>
    <w:uiPriority w:val="99"/>
    <w:rsid w:val="00336347"/>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rsid w:val="00336347"/>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lanormale"/>
    <w:uiPriority w:val="99"/>
    <w:rsid w:val="00336347"/>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lanormale"/>
    <w:uiPriority w:val="99"/>
    <w:rsid w:val="00336347"/>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lanormale"/>
    <w:uiPriority w:val="99"/>
    <w:rsid w:val="00336347"/>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lanormale"/>
    <w:uiPriority w:val="99"/>
    <w:rsid w:val="00336347"/>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lanormale"/>
    <w:uiPriority w:val="99"/>
    <w:rsid w:val="00336347"/>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Tabellanormale"/>
    <w:uiPriority w:val="99"/>
    <w:rsid w:val="00336347"/>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rsid w:val="00336347"/>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lanormale"/>
    <w:uiPriority w:val="99"/>
    <w:rsid w:val="00336347"/>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lanormale"/>
    <w:uiPriority w:val="99"/>
    <w:rsid w:val="00336347"/>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lanormale"/>
    <w:uiPriority w:val="99"/>
    <w:rsid w:val="00336347"/>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lanormale"/>
    <w:uiPriority w:val="99"/>
    <w:rsid w:val="00336347"/>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lanormale"/>
    <w:uiPriority w:val="99"/>
    <w:rsid w:val="00336347"/>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Tabellanormale"/>
    <w:uiPriority w:val="99"/>
    <w:rsid w:val="00336347"/>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rsid w:val="00336347"/>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lanormale"/>
    <w:uiPriority w:val="99"/>
    <w:rsid w:val="00336347"/>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lanormale"/>
    <w:uiPriority w:val="99"/>
    <w:rsid w:val="00336347"/>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lanormale"/>
    <w:uiPriority w:val="99"/>
    <w:rsid w:val="00336347"/>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lanormale"/>
    <w:uiPriority w:val="99"/>
    <w:rsid w:val="00336347"/>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lanormale"/>
    <w:uiPriority w:val="99"/>
    <w:rsid w:val="00336347"/>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Tabellanormale"/>
    <w:uiPriority w:val="99"/>
    <w:rsid w:val="00336347"/>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rsid w:val="00336347"/>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lanormale"/>
    <w:uiPriority w:val="99"/>
    <w:rsid w:val="00336347"/>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lanormale"/>
    <w:uiPriority w:val="99"/>
    <w:rsid w:val="00336347"/>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lanormale"/>
    <w:uiPriority w:val="99"/>
    <w:rsid w:val="00336347"/>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lanormale"/>
    <w:uiPriority w:val="99"/>
    <w:rsid w:val="00336347"/>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lanormale"/>
    <w:uiPriority w:val="99"/>
    <w:rsid w:val="00336347"/>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Tabellanormale"/>
    <w:uiPriority w:val="99"/>
    <w:rsid w:val="00336347"/>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rsid w:val="00336347"/>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lanormale"/>
    <w:uiPriority w:val="99"/>
    <w:rsid w:val="00336347"/>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lanormale"/>
    <w:uiPriority w:val="99"/>
    <w:rsid w:val="00336347"/>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lanormale"/>
    <w:uiPriority w:val="99"/>
    <w:rsid w:val="00336347"/>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lanormale"/>
    <w:uiPriority w:val="99"/>
    <w:rsid w:val="00336347"/>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lanormale"/>
    <w:uiPriority w:val="99"/>
    <w:rsid w:val="00336347"/>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Tabellanormale"/>
    <w:uiPriority w:val="99"/>
    <w:rsid w:val="00336347"/>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rsid w:val="00336347"/>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lanormale"/>
    <w:uiPriority w:val="99"/>
    <w:rsid w:val="00336347"/>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lanormale"/>
    <w:uiPriority w:val="99"/>
    <w:rsid w:val="00336347"/>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lanormale"/>
    <w:uiPriority w:val="99"/>
    <w:rsid w:val="00336347"/>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lanormale"/>
    <w:uiPriority w:val="99"/>
    <w:rsid w:val="00336347"/>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lanormale"/>
    <w:uiPriority w:val="99"/>
    <w:rsid w:val="00336347"/>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Tabellanormale"/>
    <w:uiPriority w:val="99"/>
    <w:rsid w:val="00336347"/>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rsid w:val="00336347"/>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lanormale"/>
    <w:uiPriority w:val="99"/>
    <w:rsid w:val="00336347"/>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lanormale"/>
    <w:uiPriority w:val="99"/>
    <w:rsid w:val="00336347"/>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lanormale"/>
    <w:uiPriority w:val="99"/>
    <w:rsid w:val="00336347"/>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lanormale"/>
    <w:uiPriority w:val="99"/>
    <w:rsid w:val="00336347"/>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lanormale"/>
    <w:uiPriority w:val="99"/>
    <w:rsid w:val="00336347"/>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lanormale"/>
    <w:uiPriority w:val="99"/>
    <w:rsid w:val="00336347"/>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Tabellanormale"/>
    <w:uiPriority w:val="99"/>
    <w:rsid w:val="00336347"/>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lanormale"/>
    <w:uiPriority w:val="99"/>
    <w:rsid w:val="00336347"/>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lanormale"/>
    <w:uiPriority w:val="99"/>
    <w:rsid w:val="00336347"/>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lanormale"/>
    <w:uiPriority w:val="99"/>
    <w:rsid w:val="00336347"/>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lanormale"/>
    <w:uiPriority w:val="99"/>
    <w:rsid w:val="00336347"/>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lanormale"/>
    <w:uiPriority w:val="99"/>
    <w:rsid w:val="00336347"/>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lanormale"/>
    <w:uiPriority w:val="99"/>
    <w:rsid w:val="00336347"/>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Tabellanormale"/>
    <w:uiPriority w:val="99"/>
    <w:rsid w:val="00336347"/>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lanormale"/>
    <w:uiPriority w:val="99"/>
    <w:rsid w:val="00336347"/>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lanormale"/>
    <w:uiPriority w:val="99"/>
    <w:rsid w:val="00336347"/>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lanormale"/>
    <w:uiPriority w:val="99"/>
    <w:rsid w:val="00336347"/>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lanormale"/>
    <w:uiPriority w:val="99"/>
    <w:rsid w:val="00336347"/>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lanormale"/>
    <w:uiPriority w:val="99"/>
    <w:rsid w:val="00336347"/>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lanormale"/>
    <w:uiPriority w:val="99"/>
    <w:rsid w:val="00336347"/>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rsid w:val="00336347"/>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lanormale"/>
    <w:uiPriority w:val="99"/>
    <w:rsid w:val="00336347"/>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lanormale"/>
    <w:uiPriority w:val="99"/>
    <w:rsid w:val="00336347"/>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lanormale"/>
    <w:uiPriority w:val="99"/>
    <w:rsid w:val="00336347"/>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lanormale"/>
    <w:uiPriority w:val="99"/>
    <w:rsid w:val="00336347"/>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lanormale"/>
    <w:uiPriority w:val="99"/>
    <w:rsid w:val="00336347"/>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customStyle="1" w:styleId="Heading1">
    <w:name w:val="Heading 1"/>
    <w:basedOn w:val="Normale"/>
    <w:next w:val="Normale"/>
    <w:link w:val="Heading1Char"/>
    <w:uiPriority w:val="9"/>
    <w:qFormat/>
    <w:rsid w:val="00336347"/>
    <w:pPr>
      <w:keepNext/>
      <w:keepLines/>
      <w:spacing w:before="360" w:after="80"/>
      <w:outlineLvl w:val="0"/>
    </w:pPr>
    <w:rPr>
      <w:rFonts w:ascii="Arial" w:eastAsia="Arial" w:hAnsi="Arial" w:cs="Arial"/>
      <w:color w:val="365F91" w:themeColor="accent1" w:themeShade="BF"/>
      <w:sz w:val="40"/>
      <w:szCs w:val="40"/>
    </w:rPr>
  </w:style>
  <w:style w:type="paragraph" w:customStyle="1" w:styleId="Heading2">
    <w:name w:val="Heading 2"/>
    <w:basedOn w:val="Normale"/>
    <w:next w:val="Normale"/>
    <w:link w:val="Heading2Char"/>
    <w:uiPriority w:val="9"/>
    <w:unhideWhenUsed/>
    <w:qFormat/>
    <w:rsid w:val="00336347"/>
    <w:pPr>
      <w:keepNext/>
      <w:keepLines/>
      <w:spacing w:before="160" w:after="80"/>
      <w:outlineLvl w:val="1"/>
    </w:pPr>
    <w:rPr>
      <w:rFonts w:ascii="Arial" w:eastAsia="Arial" w:hAnsi="Arial" w:cs="Arial"/>
      <w:color w:val="365F91" w:themeColor="accent1" w:themeShade="BF"/>
      <w:sz w:val="32"/>
      <w:szCs w:val="32"/>
    </w:rPr>
  </w:style>
  <w:style w:type="paragraph" w:customStyle="1" w:styleId="Heading3">
    <w:name w:val="Heading 3"/>
    <w:basedOn w:val="Normale"/>
    <w:next w:val="Normale"/>
    <w:link w:val="Heading3Char"/>
    <w:uiPriority w:val="9"/>
    <w:unhideWhenUsed/>
    <w:qFormat/>
    <w:rsid w:val="00336347"/>
    <w:pPr>
      <w:keepNext/>
      <w:keepLines/>
      <w:spacing w:before="160" w:after="80"/>
      <w:outlineLvl w:val="2"/>
    </w:pPr>
    <w:rPr>
      <w:rFonts w:ascii="Arial" w:eastAsia="Arial" w:hAnsi="Arial" w:cs="Arial"/>
      <w:color w:val="365F91" w:themeColor="accent1" w:themeShade="BF"/>
      <w:sz w:val="28"/>
      <w:szCs w:val="28"/>
    </w:rPr>
  </w:style>
  <w:style w:type="paragraph" w:customStyle="1" w:styleId="Heading4">
    <w:name w:val="Heading 4"/>
    <w:basedOn w:val="Normale"/>
    <w:next w:val="Normale"/>
    <w:link w:val="Heading4Char"/>
    <w:uiPriority w:val="9"/>
    <w:unhideWhenUsed/>
    <w:qFormat/>
    <w:rsid w:val="00336347"/>
    <w:pPr>
      <w:keepNext/>
      <w:keepLines/>
      <w:spacing w:before="80" w:after="40"/>
      <w:outlineLvl w:val="3"/>
    </w:pPr>
    <w:rPr>
      <w:rFonts w:ascii="Arial" w:eastAsia="Arial" w:hAnsi="Arial" w:cs="Arial"/>
      <w:i/>
      <w:iCs/>
      <w:color w:val="365F91" w:themeColor="accent1" w:themeShade="BF"/>
    </w:rPr>
  </w:style>
  <w:style w:type="paragraph" w:customStyle="1" w:styleId="Heading5">
    <w:name w:val="Heading 5"/>
    <w:basedOn w:val="Normale"/>
    <w:next w:val="Normale"/>
    <w:link w:val="Heading5Char"/>
    <w:uiPriority w:val="9"/>
    <w:unhideWhenUsed/>
    <w:qFormat/>
    <w:rsid w:val="00336347"/>
    <w:pPr>
      <w:keepNext/>
      <w:keepLines/>
      <w:spacing w:before="80" w:after="40"/>
      <w:outlineLvl w:val="4"/>
    </w:pPr>
    <w:rPr>
      <w:rFonts w:ascii="Arial" w:eastAsia="Arial" w:hAnsi="Arial" w:cs="Arial"/>
      <w:color w:val="365F91" w:themeColor="accent1" w:themeShade="BF"/>
    </w:rPr>
  </w:style>
  <w:style w:type="paragraph" w:customStyle="1" w:styleId="Heading6">
    <w:name w:val="Heading 6"/>
    <w:basedOn w:val="Normale"/>
    <w:next w:val="Normale"/>
    <w:link w:val="Heading6Char"/>
    <w:uiPriority w:val="9"/>
    <w:unhideWhenUsed/>
    <w:qFormat/>
    <w:rsid w:val="00336347"/>
    <w:pPr>
      <w:keepNext/>
      <w:keepLines/>
      <w:spacing w:before="40" w:after="0"/>
      <w:outlineLvl w:val="5"/>
    </w:pPr>
    <w:rPr>
      <w:rFonts w:ascii="Arial" w:eastAsia="Arial" w:hAnsi="Arial" w:cs="Arial"/>
      <w:i/>
      <w:iCs/>
      <w:color w:val="595959" w:themeColor="text1" w:themeTint="A6"/>
    </w:rPr>
  </w:style>
  <w:style w:type="paragraph" w:customStyle="1" w:styleId="Heading7">
    <w:name w:val="Heading 7"/>
    <w:basedOn w:val="Normale"/>
    <w:next w:val="Normale"/>
    <w:link w:val="Heading7Char"/>
    <w:uiPriority w:val="9"/>
    <w:unhideWhenUsed/>
    <w:qFormat/>
    <w:rsid w:val="00336347"/>
    <w:pPr>
      <w:keepNext/>
      <w:keepLines/>
      <w:spacing w:before="40" w:after="0"/>
      <w:outlineLvl w:val="6"/>
    </w:pPr>
    <w:rPr>
      <w:rFonts w:ascii="Arial" w:eastAsia="Arial" w:hAnsi="Arial" w:cs="Arial"/>
      <w:color w:val="595959" w:themeColor="text1" w:themeTint="A6"/>
    </w:rPr>
  </w:style>
  <w:style w:type="paragraph" w:customStyle="1" w:styleId="Heading8">
    <w:name w:val="Heading 8"/>
    <w:basedOn w:val="Normale"/>
    <w:next w:val="Normale"/>
    <w:link w:val="Heading8Char"/>
    <w:uiPriority w:val="9"/>
    <w:unhideWhenUsed/>
    <w:qFormat/>
    <w:rsid w:val="00336347"/>
    <w:pPr>
      <w:keepNext/>
      <w:keepLines/>
      <w:spacing w:after="0"/>
      <w:outlineLvl w:val="7"/>
    </w:pPr>
    <w:rPr>
      <w:rFonts w:ascii="Arial" w:eastAsia="Arial" w:hAnsi="Arial" w:cs="Arial"/>
      <w:i/>
      <w:iCs/>
      <w:color w:val="272727" w:themeColor="text1" w:themeTint="D8"/>
    </w:rPr>
  </w:style>
  <w:style w:type="paragraph" w:customStyle="1" w:styleId="Heading9">
    <w:name w:val="Heading 9"/>
    <w:basedOn w:val="Normale"/>
    <w:next w:val="Normale"/>
    <w:link w:val="Heading9Char"/>
    <w:uiPriority w:val="9"/>
    <w:unhideWhenUsed/>
    <w:qFormat/>
    <w:rsid w:val="00336347"/>
    <w:pPr>
      <w:keepNext/>
      <w:keepLines/>
      <w:spacing w:after="0"/>
      <w:outlineLvl w:val="8"/>
    </w:pPr>
    <w:rPr>
      <w:rFonts w:ascii="Arial" w:eastAsia="Arial" w:hAnsi="Arial" w:cs="Arial"/>
      <w:i/>
      <w:iCs/>
      <w:color w:val="272727" w:themeColor="text1" w:themeTint="D8"/>
    </w:rPr>
  </w:style>
  <w:style w:type="character" w:customStyle="1" w:styleId="Heading1Char">
    <w:name w:val="Heading 1 Char"/>
    <w:basedOn w:val="Carpredefinitoparagrafo"/>
    <w:link w:val="Heading1"/>
    <w:uiPriority w:val="9"/>
    <w:rsid w:val="00336347"/>
    <w:rPr>
      <w:rFonts w:ascii="Arial" w:eastAsia="Arial" w:hAnsi="Arial" w:cs="Arial"/>
      <w:color w:val="365F91" w:themeColor="accent1" w:themeShade="BF"/>
      <w:sz w:val="40"/>
      <w:szCs w:val="40"/>
    </w:rPr>
  </w:style>
  <w:style w:type="character" w:customStyle="1" w:styleId="Heading2Char">
    <w:name w:val="Heading 2 Char"/>
    <w:basedOn w:val="Carpredefinitoparagrafo"/>
    <w:link w:val="Heading2"/>
    <w:uiPriority w:val="9"/>
    <w:rsid w:val="00336347"/>
    <w:rPr>
      <w:rFonts w:ascii="Arial" w:eastAsia="Arial" w:hAnsi="Arial" w:cs="Arial"/>
      <w:color w:val="365F91" w:themeColor="accent1" w:themeShade="BF"/>
      <w:sz w:val="32"/>
      <w:szCs w:val="32"/>
    </w:rPr>
  </w:style>
  <w:style w:type="character" w:customStyle="1" w:styleId="Heading3Char">
    <w:name w:val="Heading 3 Char"/>
    <w:basedOn w:val="Carpredefinitoparagrafo"/>
    <w:link w:val="Heading3"/>
    <w:uiPriority w:val="9"/>
    <w:rsid w:val="00336347"/>
    <w:rPr>
      <w:rFonts w:ascii="Arial" w:eastAsia="Arial" w:hAnsi="Arial" w:cs="Arial"/>
      <w:color w:val="365F91" w:themeColor="accent1" w:themeShade="BF"/>
      <w:sz w:val="28"/>
      <w:szCs w:val="28"/>
    </w:rPr>
  </w:style>
  <w:style w:type="character" w:customStyle="1" w:styleId="Heading4Char">
    <w:name w:val="Heading 4 Char"/>
    <w:basedOn w:val="Carpredefinitoparagrafo"/>
    <w:link w:val="Heading4"/>
    <w:uiPriority w:val="9"/>
    <w:rsid w:val="00336347"/>
    <w:rPr>
      <w:rFonts w:ascii="Arial" w:eastAsia="Arial" w:hAnsi="Arial" w:cs="Arial"/>
      <w:i/>
      <w:iCs/>
      <w:color w:val="365F91" w:themeColor="accent1" w:themeShade="BF"/>
    </w:rPr>
  </w:style>
  <w:style w:type="character" w:customStyle="1" w:styleId="Heading5Char">
    <w:name w:val="Heading 5 Char"/>
    <w:basedOn w:val="Carpredefinitoparagrafo"/>
    <w:link w:val="Heading5"/>
    <w:uiPriority w:val="9"/>
    <w:rsid w:val="00336347"/>
    <w:rPr>
      <w:rFonts w:ascii="Arial" w:eastAsia="Arial" w:hAnsi="Arial" w:cs="Arial"/>
      <w:color w:val="365F91" w:themeColor="accent1" w:themeShade="BF"/>
    </w:rPr>
  </w:style>
  <w:style w:type="character" w:customStyle="1" w:styleId="Heading6Char">
    <w:name w:val="Heading 6 Char"/>
    <w:basedOn w:val="Carpredefinitoparagrafo"/>
    <w:link w:val="Heading6"/>
    <w:uiPriority w:val="9"/>
    <w:rsid w:val="00336347"/>
    <w:rPr>
      <w:rFonts w:ascii="Arial" w:eastAsia="Arial" w:hAnsi="Arial" w:cs="Arial"/>
      <w:i/>
      <w:iCs/>
      <w:color w:val="595959" w:themeColor="text1" w:themeTint="A6"/>
    </w:rPr>
  </w:style>
  <w:style w:type="character" w:customStyle="1" w:styleId="Heading7Char">
    <w:name w:val="Heading 7 Char"/>
    <w:basedOn w:val="Carpredefinitoparagrafo"/>
    <w:link w:val="Heading7"/>
    <w:uiPriority w:val="9"/>
    <w:rsid w:val="00336347"/>
    <w:rPr>
      <w:rFonts w:ascii="Arial" w:eastAsia="Arial" w:hAnsi="Arial" w:cs="Arial"/>
      <w:color w:val="595959" w:themeColor="text1" w:themeTint="A6"/>
    </w:rPr>
  </w:style>
  <w:style w:type="character" w:customStyle="1" w:styleId="Heading8Char">
    <w:name w:val="Heading 8 Char"/>
    <w:basedOn w:val="Carpredefinitoparagrafo"/>
    <w:link w:val="Heading8"/>
    <w:uiPriority w:val="9"/>
    <w:rsid w:val="00336347"/>
    <w:rPr>
      <w:rFonts w:ascii="Arial" w:eastAsia="Arial" w:hAnsi="Arial" w:cs="Arial"/>
      <w:i/>
      <w:iCs/>
      <w:color w:val="272727" w:themeColor="text1" w:themeTint="D8"/>
    </w:rPr>
  </w:style>
  <w:style w:type="character" w:customStyle="1" w:styleId="Heading9Char">
    <w:name w:val="Heading 9 Char"/>
    <w:basedOn w:val="Carpredefinitoparagrafo"/>
    <w:link w:val="Heading9"/>
    <w:uiPriority w:val="9"/>
    <w:rsid w:val="00336347"/>
    <w:rPr>
      <w:rFonts w:ascii="Arial" w:eastAsia="Arial" w:hAnsi="Arial" w:cs="Arial"/>
      <w:i/>
      <w:iCs/>
      <w:color w:val="272727" w:themeColor="text1" w:themeTint="D8"/>
    </w:rPr>
  </w:style>
  <w:style w:type="paragraph" w:styleId="Titolo">
    <w:name w:val="Title"/>
    <w:basedOn w:val="Normale"/>
    <w:next w:val="Normale"/>
    <w:link w:val="TitoloCarattere"/>
    <w:uiPriority w:val="10"/>
    <w:qFormat/>
    <w:rsid w:val="00336347"/>
    <w:pPr>
      <w:spacing w:after="80" w:line="240" w:lineRule="auto"/>
      <w:contextualSpacing/>
    </w:pPr>
    <w:rPr>
      <w:rFonts w:ascii="Arial" w:eastAsia="Arial" w:hAnsi="Arial" w:cs="Arial"/>
      <w:spacing w:val="-10"/>
      <w:sz w:val="56"/>
      <w:szCs w:val="56"/>
    </w:rPr>
  </w:style>
  <w:style w:type="character" w:customStyle="1" w:styleId="TitoloCarattere">
    <w:name w:val="Titolo Carattere"/>
    <w:basedOn w:val="Carpredefinitoparagrafo"/>
    <w:link w:val="Titolo"/>
    <w:uiPriority w:val="10"/>
    <w:rsid w:val="00336347"/>
    <w:rPr>
      <w:rFonts w:ascii="Arial" w:eastAsia="Arial" w:hAnsi="Arial" w:cs="Arial"/>
      <w:spacing w:val="-10"/>
      <w:sz w:val="56"/>
      <w:szCs w:val="56"/>
    </w:rPr>
  </w:style>
  <w:style w:type="paragraph" w:styleId="Sottotitolo">
    <w:name w:val="Subtitle"/>
    <w:basedOn w:val="Normale"/>
    <w:next w:val="Normale"/>
    <w:link w:val="SottotitoloCarattere"/>
    <w:uiPriority w:val="11"/>
    <w:qFormat/>
    <w:rsid w:val="00336347"/>
    <w:pPr>
      <w:numPr>
        <w:ilvl w:val="1"/>
      </w:numPr>
    </w:pPr>
    <w:rPr>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36347"/>
    <w:rPr>
      <w:color w:val="595959" w:themeColor="text1" w:themeTint="A6"/>
      <w:spacing w:val="15"/>
      <w:sz w:val="28"/>
      <w:szCs w:val="28"/>
    </w:rPr>
  </w:style>
  <w:style w:type="paragraph" w:styleId="Citazione">
    <w:name w:val="Quote"/>
    <w:basedOn w:val="Normale"/>
    <w:next w:val="Normale"/>
    <w:link w:val="CitazioneCarattere"/>
    <w:uiPriority w:val="29"/>
    <w:qFormat/>
    <w:rsid w:val="0033634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36347"/>
    <w:rPr>
      <w:i/>
      <w:iCs/>
      <w:color w:val="404040" w:themeColor="text1" w:themeTint="BF"/>
    </w:rPr>
  </w:style>
  <w:style w:type="paragraph" w:styleId="Paragrafoelenco">
    <w:name w:val="List Paragraph"/>
    <w:basedOn w:val="Normale"/>
    <w:uiPriority w:val="34"/>
    <w:qFormat/>
    <w:rsid w:val="00336347"/>
    <w:pPr>
      <w:ind w:left="720"/>
      <w:contextualSpacing/>
    </w:pPr>
  </w:style>
  <w:style w:type="character" w:styleId="Enfasiintensa">
    <w:name w:val="Intense Emphasis"/>
    <w:basedOn w:val="Carpredefinitoparagrafo"/>
    <w:uiPriority w:val="21"/>
    <w:qFormat/>
    <w:rsid w:val="00336347"/>
    <w:rPr>
      <w:i/>
      <w:iCs/>
      <w:color w:val="365F91" w:themeColor="accent1" w:themeShade="BF"/>
    </w:rPr>
  </w:style>
  <w:style w:type="paragraph" w:styleId="Citazioneintensa">
    <w:name w:val="Intense Quote"/>
    <w:basedOn w:val="Normale"/>
    <w:next w:val="Normale"/>
    <w:link w:val="CitazioneintensaCarattere"/>
    <w:uiPriority w:val="30"/>
    <w:qFormat/>
    <w:rsid w:val="0033634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336347"/>
    <w:rPr>
      <w:i/>
      <w:iCs/>
      <w:color w:val="365F91" w:themeColor="accent1" w:themeShade="BF"/>
    </w:rPr>
  </w:style>
  <w:style w:type="character" w:styleId="Riferimentointenso">
    <w:name w:val="Intense Reference"/>
    <w:basedOn w:val="Carpredefinitoparagrafo"/>
    <w:uiPriority w:val="32"/>
    <w:qFormat/>
    <w:rsid w:val="00336347"/>
    <w:rPr>
      <w:b/>
      <w:bCs/>
      <w:smallCaps/>
      <w:color w:val="365F91" w:themeColor="accent1" w:themeShade="BF"/>
      <w:spacing w:val="5"/>
    </w:rPr>
  </w:style>
  <w:style w:type="character" w:styleId="Enfasidelicata">
    <w:name w:val="Subtle Emphasis"/>
    <w:basedOn w:val="Carpredefinitoparagrafo"/>
    <w:uiPriority w:val="19"/>
    <w:qFormat/>
    <w:rsid w:val="00336347"/>
    <w:rPr>
      <w:i/>
      <w:iCs/>
      <w:color w:val="404040" w:themeColor="text1" w:themeTint="BF"/>
    </w:rPr>
  </w:style>
  <w:style w:type="character" w:styleId="Enfasicorsivo">
    <w:name w:val="Emphasis"/>
    <w:basedOn w:val="Carpredefinitoparagrafo"/>
    <w:uiPriority w:val="20"/>
    <w:qFormat/>
    <w:rsid w:val="00336347"/>
    <w:rPr>
      <w:i/>
      <w:iCs/>
    </w:rPr>
  </w:style>
  <w:style w:type="character" w:styleId="Enfasigrassetto">
    <w:name w:val="Strong"/>
    <w:basedOn w:val="Carpredefinitoparagrafo"/>
    <w:uiPriority w:val="22"/>
    <w:qFormat/>
    <w:rsid w:val="00336347"/>
    <w:rPr>
      <w:b/>
      <w:bCs/>
    </w:rPr>
  </w:style>
  <w:style w:type="character" w:styleId="Riferimentodelicato">
    <w:name w:val="Subtle Reference"/>
    <w:basedOn w:val="Carpredefinitoparagrafo"/>
    <w:uiPriority w:val="31"/>
    <w:qFormat/>
    <w:rsid w:val="00336347"/>
    <w:rPr>
      <w:smallCaps/>
      <w:color w:val="5A5A5A" w:themeColor="text1" w:themeTint="A5"/>
    </w:rPr>
  </w:style>
  <w:style w:type="character" w:styleId="Titolodellibro">
    <w:name w:val="Book Title"/>
    <w:basedOn w:val="Carpredefinitoparagrafo"/>
    <w:uiPriority w:val="33"/>
    <w:qFormat/>
    <w:rsid w:val="00336347"/>
    <w:rPr>
      <w:b/>
      <w:bCs/>
      <w:i/>
      <w:iCs/>
      <w:spacing w:val="5"/>
    </w:rPr>
  </w:style>
  <w:style w:type="paragraph" w:customStyle="1" w:styleId="Header">
    <w:name w:val="Header"/>
    <w:basedOn w:val="Normale"/>
    <w:link w:val="HeaderChar"/>
    <w:uiPriority w:val="99"/>
    <w:unhideWhenUsed/>
    <w:rsid w:val="00336347"/>
    <w:pPr>
      <w:tabs>
        <w:tab w:val="center" w:pos="4844"/>
        <w:tab w:val="right" w:pos="9689"/>
      </w:tabs>
      <w:spacing w:after="0" w:line="240" w:lineRule="auto"/>
    </w:pPr>
  </w:style>
  <w:style w:type="character" w:customStyle="1" w:styleId="HeaderChar">
    <w:name w:val="Header Char"/>
    <w:basedOn w:val="Carpredefinitoparagrafo"/>
    <w:link w:val="Header"/>
    <w:uiPriority w:val="99"/>
    <w:rsid w:val="00336347"/>
  </w:style>
  <w:style w:type="paragraph" w:customStyle="1" w:styleId="Footer">
    <w:name w:val="Footer"/>
    <w:basedOn w:val="Normale"/>
    <w:link w:val="FooterChar"/>
    <w:uiPriority w:val="99"/>
    <w:unhideWhenUsed/>
    <w:rsid w:val="00336347"/>
    <w:pPr>
      <w:tabs>
        <w:tab w:val="center" w:pos="4844"/>
        <w:tab w:val="right" w:pos="9689"/>
      </w:tabs>
      <w:spacing w:after="0" w:line="240" w:lineRule="auto"/>
    </w:pPr>
  </w:style>
  <w:style w:type="character" w:customStyle="1" w:styleId="FooterChar">
    <w:name w:val="Footer Char"/>
    <w:basedOn w:val="Carpredefinitoparagrafo"/>
    <w:link w:val="Footer"/>
    <w:uiPriority w:val="99"/>
    <w:rsid w:val="00336347"/>
  </w:style>
  <w:style w:type="paragraph" w:customStyle="1" w:styleId="Caption">
    <w:name w:val="Caption"/>
    <w:basedOn w:val="Normale"/>
    <w:next w:val="Normale"/>
    <w:uiPriority w:val="35"/>
    <w:unhideWhenUsed/>
    <w:qFormat/>
    <w:rsid w:val="00336347"/>
    <w:pPr>
      <w:spacing w:line="240" w:lineRule="auto"/>
    </w:pPr>
    <w:rPr>
      <w:i/>
      <w:iCs/>
      <w:color w:val="1F497D" w:themeColor="text2"/>
      <w:sz w:val="18"/>
      <w:szCs w:val="18"/>
    </w:rPr>
  </w:style>
  <w:style w:type="paragraph" w:styleId="Testonotaapidipagina">
    <w:name w:val="footnote text"/>
    <w:basedOn w:val="Normale"/>
    <w:link w:val="TestonotaapidipaginaCarattere"/>
    <w:uiPriority w:val="99"/>
    <w:semiHidden/>
    <w:unhideWhenUsed/>
    <w:rsid w:val="0033634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336347"/>
    <w:rPr>
      <w:sz w:val="20"/>
      <w:szCs w:val="20"/>
    </w:rPr>
  </w:style>
  <w:style w:type="character" w:styleId="Rimandonotaapidipagina">
    <w:name w:val="footnote reference"/>
    <w:basedOn w:val="Carpredefinitoparagrafo"/>
    <w:uiPriority w:val="99"/>
    <w:semiHidden/>
    <w:unhideWhenUsed/>
    <w:rsid w:val="00336347"/>
    <w:rPr>
      <w:vertAlign w:val="superscript"/>
    </w:rPr>
  </w:style>
  <w:style w:type="paragraph" w:styleId="Testonotadichiusura">
    <w:name w:val="endnote text"/>
    <w:basedOn w:val="Normale"/>
    <w:link w:val="TestonotadichiusuraCarattere"/>
    <w:uiPriority w:val="99"/>
    <w:semiHidden/>
    <w:unhideWhenUsed/>
    <w:rsid w:val="00336347"/>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36347"/>
    <w:rPr>
      <w:sz w:val="20"/>
      <w:szCs w:val="20"/>
    </w:rPr>
  </w:style>
  <w:style w:type="character" w:styleId="Rimandonotadichiusura">
    <w:name w:val="endnote reference"/>
    <w:basedOn w:val="Carpredefinitoparagrafo"/>
    <w:uiPriority w:val="99"/>
    <w:semiHidden/>
    <w:unhideWhenUsed/>
    <w:rsid w:val="00336347"/>
    <w:rPr>
      <w:vertAlign w:val="superscript"/>
    </w:rPr>
  </w:style>
  <w:style w:type="character" w:styleId="Collegamentovisitato">
    <w:name w:val="FollowedHyperlink"/>
    <w:basedOn w:val="Carpredefinitoparagrafo"/>
    <w:uiPriority w:val="99"/>
    <w:semiHidden/>
    <w:unhideWhenUsed/>
    <w:rsid w:val="00336347"/>
    <w:rPr>
      <w:color w:val="800080" w:themeColor="followedHyperlink"/>
      <w:u w:val="single"/>
    </w:rPr>
  </w:style>
  <w:style w:type="paragraph" w:styleId="Sommario1">
    <w:name w:val="toc 1"/>
    <w:basedOn w:val="Normale"/>
    <w:next w:val="Normale"/>
    <w:uiPriority w:val="39"/>
    <w:unhideWhenUsed/>
    <w:rsid w:val="00336347"/>
    <w:pPr>
      <w:spacing w:after="100"/>
    </w:pPr>
  </w:style>
  <w:style w:type="paragraph" w:styleId="Sommario2">
    <w:name w:val="toc 2"/>
    <w:basedOn w:val="Normale"/>
    <w:next w:val="Normale"/>
    <w:uiPriority w:val="39"/>
    <w:unhideWhenUsed/>
    <w:rsid w:val="00336347"/>
    <w:pPr>
      <w:spacing w:after="100"/>
      <w:ind w:left="220"/>
    </w:pPr>
  </w:style>
  <w:style w:type="paragraph" w:styleId="Sommario3">
    <w:name w:val="toc 3"/>
    <w:basedOn w:val="Normale"/>
    <w:next w:val="Normale"/>
    <w:uiPriority w:val="39"/>
    <w:unhideWhenUsed/>
    <w:rsid w:val="00336347"/>
    <w:pPr>
      <w:spacing w:after="100"/>
      <w:ind w:left="440"/>
    </w:pPr>
  </w:style>
  <w:style w:type="paragraph" w:styleId="Sommario4">
    <w:name w:val="toc 4"/>
    <w:basedOn w:val="Normale"/>
    <w:next w:val="Normale"/>
    <w:uiPriority w:val="39"/>
    <w:unhideWhenUsed/>
    <w:rsid w:val="00336347"/>
    <w:pPr>
      <w:spacing w:after="100"/>
      <w:ind w:left="660"/>
    </w:pPr>
  </w:style>
  <w:style w:type="paragraph" w:styleId="Sommario5">
    <w:name w:val="toc 5"/>
    <w:basedOn w:val="Normale"/>
    <w:next w:val="Normale"/>
    <w:uiPriority w:val="39"/>
    <w:unhideWhenUsed/>
    <w:rsid w:val="00336347"/>
    <w:pPr>
      <w:spacing w:after="100"/>
      <w:ind w:left="880"/>
    </w:pPr>
  </w:style>
  <w:style w:type="paragraph" w:styleId="Sommario6">
    <w:name w:val="toc 6"/>
    <w:basedOn w:val="Normale"/>
    <w:next w:val="Normale"/>
    <w:uiPriority w:val="39"/>
    <w:unhideWhenUsed/>
    <w:rsid w:val="00336347"/>
    <w:pPr>
      <w:spacing w:after="100"/>
      <w:ind w:left="1100"/>
    </w:pPr>
  </w:style>
  <w:style w:type="paragraph" w:styleId="Sommario7">
    <w:name w:val="toc 7"/>
    <w:basedOn w:val="Normale"/>
    <w:next w:val="Normale"/>
    <w:uiPriority w:val="39"/>
    <w:unhideWhenUsed/>
    <w:rsid w:val="00336347"/>
    <w:pPr>
      <w:spacing w:after="100"/>
      <w:ind w:left="1320"/>
    </w:pPr>
  </w:style>
  <w:style w:type="paragraph" w:styleId="Sommario8">
    <w:name w:val="toc 8"/>
    <w:basedOn w:val="Normale"/>
    <w:next w:val="Normale"/>
    <w:uiPriority w:val="39"/>
    <w:unhideWhenUsed/>
    <w:rsid w:val="00336347"/>
    <w:pPr>
      <w:spacing w:after="100"/>
      <w:ind w:left="1540"/>
    </w:pPr>
  </w:style>
  <w:style w:type="paragraph" w:styleId="Sommario9">
    <w:name w:val="toc 9"/>
    <w:basedOn w:val="Normale"/>
    <w:next w:val="Normale"/>
    <w:uiPriority w:val="39"/>
    <w:unhideWhenUsed/>
    <w:rsid w:val="00336347"/>
    <w:pPr>
      <w:spacing w:after="100"/>
      <w:ind w:left="1760"/>
    </w:pPr>
  </w:style>
  <w:style w:type="paragraph" w:styleId="Titolosommario">
    <w:name w:val="TOC Heading"/>
    <w:uiPriority w:val="39"/>
    <w:unhideWhenUsed/>
    <w:rsid w:val="00336347"/>
  </w:style>
  <w:style w:type="paragraph" w:styleId="Indicedellefigure">
    <w:name w:val="table of figures"/>
    <w:basedOn w:val="Normale"/>
    <w:next w:val="Normale"/>
    <w:uiPriority w:val="99"/>
    <w:unhideWhenUsed/>
    <w:rsid w:val="00336347"/>
    <w:pPr>
      <w:spacing w:after="0"/>
    </w:pPr>
  </w:style>
  <w:style w:type="character" w:styleId="Rimandocommento">
    <w:name w:val="annotation reference"/>
    <w:basedOn w:val="Carpredefinitoparagrafo"/>
    <w:uiPriority w:val="99"/>
    <w:semiHidden/>
    <w:unhideWhenUsed/>
    <w:qFormat/>
    <w:rsid w:val="00336347"/>
    <w:rPr>
      <w:sz w:val="16"/>
      <w:szCs w:val="16"/>
    </w:rPr>
  </w:style>
  <w:style w:type="character" w:styleId="Collegamentoipertestuale">
    <w:name w:val="Hyperlink"/>
    <w:basedOn w:val="Carpredefinitoparagrafo"/>
    <w:uiPriority w:val="99"/>
    <w:unhideWhenUsed/>
    <w:qFormat/>
    <w:rsid w:val="00336347"/>
    <w:rPr>
      <w:color w:val="0000FF" w:themeColor="hyperlink"/>
      <w:u w:val="single"/>
    </w:rPr>
  </w:style>
  <w:style w:type="character" w:customStyle="1" w:styleId="TestocommentoCarattere">
    <w:name w:val="Testo commento Carattere"/>
    <w:basedOn w:val="Carpredefinitoparagrafo"/>
    <w:link w:val="Testocommento"/>
    <w:uiPriority w:val="99"/>
    <w:semiHidden/>
    <w:qFormat/>
    <w:rsid w:val="00336347"/>
    <w:rPr>
      <w:rFonts w:cs="Mangal"/>
      <w:sz w:val="20"/>
      <w:szCs w:val="18"/>
    </w:rPr>
  </w:style>
  <w:style w:type="character" w:customStyle="1" w:styleId="SoggettocommentoCarattere">
    <w:name w:val="Soggetto commento Carattere"/>
    <w:basedOn w:val="TestocommentoCarattere"/>
    <w:link w:val="Soggettocommento"/>
    <w:uiPriority w:val="99"/>
    <w:semiHidden/>
    <w:qFormat/>
    <w:rsid w:val="00336347"/>
    <w:rPr>
      <w:rFonts w:cs="Mangal"/>
      <w:b/>
      <w:bCs/>
      <w:sz w:val="20"/>
      <w:szCs w:val="18"/>
    </w:rPr>
  </w:style>
  <w:style w:type="character" w:customStyle="1" w:styleId="TestofumettoCarattere">
    <w:name w:val="Testo fumetto Carattere"/>
    <w:basedOn w:val="Carpredefinitoparagrafo"/>
    <w:link w:val="Testofumetto"/>
    <w:uiPriority w:val="99"/>
    <w:semiHidden/>
    <w:qFormat/>
    <w:rsid w:val="00336347"/>
    <w:rPr>
      <w:rFonts w:ascii="Tahoma" w:hAnsi="Tahoma" w:cs="Mangal"/>
      <w:sz w:val="16"/>
      <w:szCs w:val="14"/>
    </w:rPr>
  </w:style>
  <w:style w:type="character" w:customStyle="1" w:styleId="field-content">
    <w:name w:val="field-content"/>
    <w:basedOn w:val="Carpredefinitoparagrafo"/>
    <w:qFormat/>
    <w:rsid w:val="00336347"/>
  </w:style>
  <w:style w:type="character" w:customStyle="1" w:styleId="IntestazioneCarattere">
    <w:name w:val="Intestazione Carattere"/>
    <w:basedOn w:val="Carpredefinitoparagrafo"/>
    <w:link w:val="Intestazione1"/>
    <w:uiPriority w:val="99"/>
    <w:semiHidden/>
    <w:qFormat/>
    <w:rsid w:val="00336347"/>
    <w:rPr>
      <w:rFonts w:cs="Mangal"/>
      <w:sz w:val="24"/>
      <w:szCs w:val="21"/>
      <w:lang w:val="en-US" w:eastAsia="zh-CN" w:bidi="hi-IN"/>
    </w:rPr>
  </w:style>
  <w:style w:type="character" w:customStyle="1" w:styleId="PidipaginaCarattere">
    <w:name w:val="Piè di pagina Carattere"/>
    <w:basedOn w:val="Carpredefinitoparagrafo"/>
    <w:link w:val="Pidipagina1"/>
    <w:uiPriority w:val="99"/>
    <w:qFormat/>
    <w:rsid w:val="00336347"/>
    <w:rPr>
      <w:rFonts w:cs="Mangal"/>
      <w:sz w:val="24"/>
      <w:szCs w:val="21"/>
      <w:lang w:val="en-US" w:eastAsia="zh-CN" w:bidi="hi-IN"/>
    </w:rPr>
  </w:style>
  <w:style w:type="character" w:customStyle="1" w:styleId="Numeroriga1">
    <w:name w:val="Numero riga1"/>
    <w:rsid w:val="00336347"/>
  </w:style>
  <w:style w:type="paragraph" w:customStyle="1" w:styleId="Heading">
    <w:name w:val="Heading"/>
    <w:basedOn w:val="Normale"/>
    <w:next w:val="Corpodeltesto"/>
    <w:qFormat/>
    <w:rsid w:val="00336347"/>
    <w:pPr>
      <w:keepNext/>
      <w:spacing w:before="240" w:after="120"/>
    </w:pPr>
    <w:rPr>
      <w:rFonts w:ascii="Liberation Sans" w:hAnsi="Liberation Sans"/>
      <w:sz w:val="28"/>
      <w:szCs w:val="28"/>
    </w:rPr>
  </w:style>
  <w:style w:type="paragraph" w:styleId="Corpodeltesto">
    <w:name w:val="Body Text"/>
    <w:basedOn w:val="Normale"/>
    <w:link w:val="CorpodeltestoCarattere"/>
    <w:qFormat/>
    <w:rsid w:val="00336347"/>
    <w:pPr>
      <w:spacing w:after="140" w:line="288" w:lineRule="auto"/>
    </w:pPr>
  </w:style>
  <w:style w:type="paragraph" w:styleId="Elenco">
    <w:name w:val="List"/>
    <w:basedOn w:val="Corpodeltesto"/>
    <w:qFormat/>
    <w:rsid w:val="00336347"/>
  </w:style>
  <w:style w:type="paragraph" w:customStyle="1" w:styleId="Didascalia1">
    <w:name w:val="Didascalia1"/>
    <w:basedOn w:val="Normale"/>
    <w:qFormat/>
    <w:rsid w:val="00336347"/>
    <w:pPr>
      <w:suppressLineNumbers/>
      <w:spacing w:before="120" w:after="120"/>
    </w:pPr>
    <w:rPr>
      <w:rFonts w:cs="Lohit Devanagari"/>
      <w:i/>
      <w:iCs/>
    </w:rPr>
  </w:style>
  <w:style w:type="paragraph" w:customStyle="1" w:styleId="Index">
    <w:name w:val="Index"/>
    <w:basedOn w:val="Normale"/>
    <w:qFormat/>
    <w:rsid w:val="00336347"/>
    <w:pPr>
      <w:suppressLineNumbers/>
    </w:pPr>
  </w:style>
  <w:style w:type="paragraph" w:styleId="Testofumetto">
    <w:name w:val="Balloon Text"/>
    <w:basedOn w:val="Normale"/>
    <w:link w:val="TestofumettoCarattere"/>
    <w:uiPriority w:val="99"/>
    <w:semiHidden/>
    <w:unhideWhenUsed/>
    <w:qFormat/>
    <w:rsid w:val="00336347"/>
    <w:rPr>
      <w:rFonts w:ascii="Tahoma" w:hAnsi="Tahoma" w:cs="Mangal"/>
      <w:sz w:val="16"/>
      <w:szCs w:val="14"/>
    </w:rPr>
  </w:style>
  <w:style w:type="paragraph" w:styleId="Testocommento">
    <w:name w:val="annotation text"/>
    <w:basedOn w:val="Normale"/>
    <w:link w:val="TestocommentoCarattere"/>
    <w:uiPriority w:val="99"/>
    <w:semiHidden/>
    <w:unhideWhenUsed/>
    <w:qFormat/>
    <w:rsid w:val="00336347"/>
    <w:rPr>
      <w:rFonts w:cs="Mangal"/>
      <w:sz w:val="20"/>
      <w:szCs w:val="18"/>
    </w:rPr>
  </w:style>
  <w:style w:type="paragraph" w:styleId="Soggettocommento">
    <w:name w:val="annotation subject"/>
    <w:basedOn w:val="Testocommento"/>
    <w:next w:val="Testocommento"/>
    <w:link w:val="SoggettocommentoCarattere"/>
    <w:uiPriority w:val="99"/>
    <w:semiHidden/>
    <w:unhideWhenUsed/>
    <w:qFormat/>
    <w:rsid w:val="00336347"/>
    <w:rPr>
      <w:b/>
      <w:bCs/>
    </w:rPr>
  </w:style>
  <w:style w:type="paragraph" w:customStyle="1" w:styleId="Caption1">
    <w:name w:val="Caption1"/>
    <w:basedOn w:val="Normale"/>
    <w:qFormat/>
    <w:rsid w:val="00336347"/>
    <w:pPr>
      <w:suppressLineNumbers/>
      <w:spacing w:before="120" w:after="120"/>
    </w:pPr>
    <w:rPr>
      <w:i/>
      <w:iCs/>
    </w:rPr>
  </w:style>
  <w:style w:type="paragraph" w:customStyle="1" w:styleId="PreformattedText">
    <w:name w:val="Preformatted Text"/>
    <w:basedOn w:val="Normale"/>
    <w:qFormat/>
    <w:rsid w:val="00336347"/>
    <w:rPr>
      <w:rFonts w:ascii="Liberation Mono" w:eastAsia="Nimbus Mono L" w:hAnsi="Liberation Mono" w:cs="Liberation Mono"/>
      <w:sz w:val="20"/>
      <w:szCs w:val="20"/>
    </w:rPr>
  </w:style>
  <w:style w:type="paragraph" w:styleId="Nessunaspaziatura">
    <w:name w:val="No Spacing"/>
    <w:uiPriority w:val="1"/>
    <w:qFormat/>
    <w:rsid w:val="00336347"/>
    <w:rPr>
      <w:rFonts w:ascii="Times New Roman" w:eastAsia="Calibri" w:hAnsi="Times New Roman" w:cs="Times New Roman"/>
      <w:sz w:val="24"/>
      <w:szCs w:val="22"/>
      <w:lang w:val="en-US" w:eastAsia="en-US"/>
    </w:rPr>
  </w:style>
  <w:style w:type="paragraph" w:customStyle="1" w:styleId="Revisione1">
    <w:name w:val="Revisione1"/>
    <w:uiPriority w:val="99"/>
    <w:unhideWhenUsed/>
    <w:qFormat/>
    <w:rsid w:val="00336347"/>
    <w:rPr>
      <w:rFonts w:cs="Mangal"/>
      <w:sz w:val="24"/>
      <w:szCs w:val="21"/>
      <w:lang w:val="en-US" w:eastAsia="zh-CN" w:bidi="hi-IN"/>
    </w:rPr>
  </w:style>
  <w:style w:type="paragraph" w:customStyle="1" w:styleId="HeaderandFooter">
    <w:name w:val="Header and Footer"/>
    <w:basedOn w:val="Normale"/>
    <w:qFormat/>
    <w:rsid w:val="00336347"/>
  </w:style>
  <w:style w:type="paragraph" w:customStyle="1" w:styleId="Intestazione1">
    <w:name w:val="Intestazione1"/>
    <w:basedOn w:val="Normale"/>
    <w:link w:val="IntestazioneCarattere"/>
    <w:uiPriority w:val="99"/>
    <w:semiHidden/>
    <w:unhideWhenUsed/>
    <w:rsid w:val="00336347"/>
    <w:pPr>
      <w:tabs>
        <w:tab w:val="center" w:pos="4513"/>
        <w:tab w:val="right" w:pos="9026"/>
      </w:tabs>
      <w:spacing w:after="0" w:line="240" w:lineRule="auto"/>
    </w:pPr>
    <w:rPr>
      <w:rFonts w:cs="Mangal"/>
      <w:szCs w:val="21"/>
    </w:rPr>
  </w:style>
  <w:style w:type="paragraph" w:customStyle="1" w:styleId="Pidipagina1">
    <w:name w:val="Piè di pagina1"/>
    <w:basedOn w:val="Normale"/>
    <w:link w:val="PidipaginaCarattere"/>
    <w:uiPriority w:val="99"/>
    <w:unhideWhenUsed/>
    <w:rsid w:val="00336347"/>
    <w:pPr>
      <w:tabs>
        <w:tab w:val="center" w:pos="4513"/>
        <w:tab w:val="right" w:pos="9026"/>
      </w:tabs>
      <w:spacing w:after="0" w:line="240" w:lineRule="auto"/>
    </w:pPr>
    <w:rPr>
      <w:rFonts w:cs="Mangal"/>
      <w:szCs w:val="21"/>
    </w:rPr>
  </w:style>
  <w:style w:type="paragraph" w:styleId="Revisione">
    <w:name w:val="Revision"/>
    <w:uiPriority w:val="99"/>
    <w:unhideWhenUsed/>
    <w:qFormat/>
    <w:rsid w:val="00336347"/>
    <w:rPr>
      <w:rFonts w:cs="Mangal"/>
      <w:sz w:val="24"/>
      <w:szCs w:val="21"/>
      <w:lang w:val="en-US" w:eastAsia="zh-CN" w:bidi="hi-IN"/>
    </w:rPr>
  </w:style>
  <w:style w:type="character" w:customStyle="1" w:styleId="CorpodeltestoCarattere">
    <w:name w:val="Corpo del testo Carattere"/>
    <w:basedOn w:val="Carpredefinitoparagrafo"/>
    <w:link w:val="Corpodeltesto"/>
    <w:qFormat/>
    <w:rsid w:val="00336347"/>
    <w:rPr>
      <w:sz w:val="24"/>
      <w:szCs w:val="24"/>
      <w:lang w:val="en-US" w:eastAsia="zh-CN" w:bidi="hi-IN"/>
    </w:rPr>
  </w:style>
  <w:style w:type="paragraph" w:customStyle="1" w:styleId="Paragrafoelenco1">
    <w:name w:val="Paragrafo elenco1"/>
    <w:basedOn w:val="Normale"/>
    <w:qFormat/>
    <w:rsid w:val="00336347"/>
    <w:pPr>
      <w:widowControl/>
      <w:ind w:left="720"/>
      <w:contextualSpacing/>
    </w:pPr>
    <w:rPr>
      <w:rFonts w:ascii="Calibri" w:eastAsia="Calibri" w:hAnsi="Calibri" w:cs="Times New Roman"/>
      <w:sz w:val="22"/>
      <w:szCs w:val="22"/>
      <w:lang w:val="it-IT"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imgt.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bomben@cro.i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vgattei@cro.it" TargetMode="External"/><Relationship Id="rId4" Type="http://schemas.openxmlformats.org/officeDocument/2006/relationships/styles" Target="styles.xml"/><Relationship Id="rId9" Type="http://schemas.openxmlformats.org/officeDocument/2006/relationships/hyperlink" Target="mailto:filippo.vit@cro.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B2059F-09D4-443B-8AA8-5D1C06508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27069</Words>
  <Characters>154294</Characters>
  <Application>Microsoft Office Word</Application>
  <DocSecurity>0</DocSecurity>
  <Lines>1285</Lines>
  <Paragraphs>362</Paragraphs>
  <ScaleCrop>false</ScaleCrop>
  <Company/>
  <LinksUpToDate>false</LinksUpToDate>
  <CharactersWithSpaces>181001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rbomben</dc:creator>
  <cp:lastModifiedBy>rbomben</cp:lastModifiedBy>
  <cp:revision>4</cp:revision>
  <dcterms:created xsi:type="dcterms:W3CDTF">2025-03-27T16:16:00Z</dcterms:created>
  <dcterms:modified xsi:type="dcterms:W3CDTF">2025-04-10T09:43:00Z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1033-11.1.0.10161</vt:lpwstr>
  </property>
  <property fmtid="{D5CDD505-2E9C-101B-9397-08002B2CF9AE}" pid="3" name="Mendeley Citation Style_1">
    <vt:lpwstr>http://csl.mendeley.com/styles/576654081/BJHRiki</vt:lpwstr>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Id 1_1">
    <vt:lpwstr>https://csl.mendeley.com/styles/576654081/BJHRiki</vt:lpwstr>
  </property>
  <property fmtid="{D5CDD505-2E9C-101B-9397-08002B2CF9AE}" pid="7" name="Mendeley Recent Style Id 2_1">
    <vt:lpwstr>http://www.zotero.org/styles/blood</vt:lpwstr>
  </property>
  <property fmtid="{D5CDD505-2E9C-101B-9397-08002B2CF9AE}" pid="8" name="Mendeley Recent Style Id 3_1">
    <vt:lpwstr>http://csl.mendeley.com/styles/576654081/BJHRiki</vt:lpwstr>
  </property>
  <property fmtid="{D5CDD505-2E9C-101B-9397-08002B2CF9AE}" pid="9" name="Mendeley Recent Style Id 4_1">
    <vt:lpwstr>http://www.zotero.org/styles/british-journal-of-haematology</vt:lpwstr>
  </property>
  <property fmtid="{D5CDD505-2E9C-101B-9397-08002B2CF9AE}" pid="10" name="Mendeley Recent Style Id 5_1">
    <vt:lpwstr>http://csl.mendeley.com/styles/576654081/CCR-2</vt:lpwstr>
  </property>
  <property fmtid="{D5CDD505-2E9C-101B-9397-08002B2CF9AE}" pid="11" name="Mendeley Recent Style Id 6_1">
    <vt:lpwstr>http://www.zotero.org/styles/clinical-cancer-research</vt:lpwstr>
  </property>
  <property fmtid="{D5CDD505-2E9C-101B-9397-08002B2CF9AE}" pid="12" name="Mendeley Recent Style Id 7_1">
    <vt:lpwstr>http://www.zotero.org/styles/leukemia</vt:lpwstr>
  </property>
  <property fmtid="{D5CDD505-2E9C-101B-9397-08002B2CF9AE}" pid="13" name="Mendeley Recent Style Id 8_1">
    <vt:lpwstr>http://www.zotero.org/styles/rheumatology</vt:lpwstr>
  </property>
  <property fmtid="{D5CDD505-2E9C-101B-9397-08002B2CF9AE}" pid="14" name="Mendeley Recent Style Id 9_1">
    <vt:lpwstr>http://csl.mendeley.com/styles/576654081/vancouver-brackets-only-year-no-issue-2</vt:lpwstr>
  </property>
  <property fmtid="{D5CDD505-2E9C-101B-9397-08002B2CF9AE}" pid="15" name="Mendeley Recent Style Name 0_1">
    <vt:lpwstr>American Medical Association 11th edition</vt:lpwstr>
  </property>
  <property fmtid="{D5CDD505-2E9C-101B-9397-08002B2CF9AE}" pid="16" name="Mendeley Recent Style Name 1_1">
    <vt:lpwstr>BJH_Riki</vt:lpwstr>
  </property>
  <property fmtid="{D5CDD505-2E9C-101B-9397-08002B2CF9AE}" pid="17" name="Mendeley Recent Style Name 2_1">
    <vt:lpwstr>Blood</vt:lpwstr>
  </property>
  <property fmtid="{D5CDD505-2E9C-101B-9397-08002B2CF9AE}" pid="18" name="Mendeley Recent Style Name 3_1">
    <vt:lpwstr>Blood - Riccardo Bomben</vt:lpwstr>
  </property>
  <property fmtid="{D5CDD505-2E9C-101B-9397-08002B2CF9AE}" pid="19" name="Mendeley Recent Style Name 4_1">
    <vt:lpwstr>British Journal of Haematology</vt:lpwstr>
  </property>
  <property fmtid="{D5CDD505-2E9C-101B-9397-08002B2CF9AE}" pid="20" name="Mendeley Recent Style Name 5_1">
    <vt:lpwstr>CCR_2</vt:lpwstr>
  </property>
  <property fmtid="{D5CDD505-2E9C-101B-9397-08002B2CF9AE}" pid="21" name="Mendeley Recent Style Name 6_1">
    <vt:lpwstr>Clinical Cancer Research</vt:lpwstr>
  </property>
  <property fmtid="{D5CDD505-2E9C-101B-9397-08002B2CF9AE}" pid="22" name="Mendeley Recent Style Name 7_1">
    <vt:lpwstr>Leukemia</vt:lpwstr>
  </property>
  <property fmtid="{D5CDD505-2E9C-101B-9397-08002B2CF9AE}" pid="23" name="Mendeley Recent Style Name 8_1">
    <vt:lpwstr>Rheumatology</vt:lpwstr>
  </property>
  <property fmtid="{D5CDD505-2E9C-101B-9397-08002B2CF9AE}" pid="24" name="Mendeley Recent Style Name 9_1">
    <vt:lpwstr>Vancouver (brackets, only year in date, no issue numbers) - Riccardo Bomben</vt:lpwstr>
  </property>
  <property fmtid="{D5CDD505-2E9C-101B-9397-08002B2CF9AE}" pid="25" name="Mendeley Unique User Id_1">
    <vt:lpwstr>bda90c61-47a1-31f2-b18e-d5af2041b617</vt:lpwstr>
  </property>
</Properties>
</file>