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7285" w14:textId="2C95F8E5" w:rsidR="000F3F7F" w:rsidRDefault="000F3F7F">
      <w:pPr>
        <w:rPr>
          <w:rFonts w:ascii="Arial" w:hAnsi="Arial" w:cs="Arial"/>
          <w:b/>
          <w:bCs/>
        </w:rPr>
      </w:pPr>
      <w:r w:rsidRPr="000F3F7F">
        <w:rPr>
          <w:rFonts w:ascii="Arial" w:hAnsi="Arial" w:cs="Arial"/>
          <w:b/>
          <w:bCs/>
        </w:rPr>
        <w:t>SUPPLEMENTARY FIGURES</w:t>
      </w:r>
    </w:p>
    <w:p w14:paraId="539DC269" w14:textId="77777777" w:rsidR="000F3F7F" w:rsidRDefault="000F3F7F">
      <w:pPr>
        <w:rPr>
          <w:rFonts w:ascii="Arial" w:hAnsi="Arial" w:cs="Arial"/>
          <w:b/>
          <w:bCs/>
        </w:rPr>
      </w:pPr>
    </w:p>
    <w:p w14:paraId="34E7C84C" w14:textId="20124997" w:rsidR="00AF171F" w:rsidRDefault="001F4F45">
      <w:pPr>
        <w:rPr>
          <w:rFonts w:ascii="Arial" w:hAnsi="Arial" w:cs="Arial"/>
          <w:b/>
          <w:bCs/>
        </w:rPr>
      </w:pPr>
      <w:r>
        <w:rPr>
          <w:rFonts w:ascii="Arial" w:hAnsi="Arial" w:cs="Arial"/>
          <w:b/>
          <w:bCs/>
          <w:noProof/>
        </w:rPr>
        <w:drawing>
          <wp:inline distT="0" distB="0" distL="0" distR="0" wp14:anchorId="76E64CA6" wp14:editId="0A5871A6">
            <wp:extent cx="5756275" cy="5076190"/>
            <wp:effectExtent l="0" t="0" r="0" b="0"/>
            <wp:docPr id="1242968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6275" cy="5076190"/>
                    </a:xfrm>
                    <a:prstGeom prst="rect">
                      <a:avLst/>
                    </a:prstGeom>
                    <a:noFill/>
                    <a:ln>
                      <a:noFill/>
                    </a:ln>
                  </pic:spPr>
                </pic:pic>
              </a:graphicData>
            </a:graphic>
          </wp:inline>
        </w:drawing>
      </w:r>
    </w:p>
    <w:p w14:paraId="4137D9A4" w14:textId="77777777" w:rsidR="007F2A39" w:rsidRDefault="007F2A39" w:rsidP="000F3F7F">
      <w:pPr>
        <w:spacing w:after="0" w:line="360" w:lineRule="auto"/>
        <w:jc w:val="both"/>
        <w:rPr>
          <w:rFonts w:ascii="Arial" w:hAnsi="Arial" w:cs="Arial"/>
          <w:b/>
          <w:bCs/>
          <w:sz w:val="21"/>
          <w:szCs w:val="21"/>
          <w:lang w:val="en-US"/>
        </w:rPr>
      </w:pPr>
    </w:p>
    <w:p w14:paraId="47D55AF5" w14:textId="0AA3992C" w:rsidR="00F236A5" w:rsidRPr="001D2CBC" w:rsidRDefault="000F3F7F" w:rsidP="000F3F7F">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S1</w:t>
      </w:r>
      <w:r w:rsidR="003722DF" w:rsidRPr="001D2CBC">
        <w:rPr>
          <w:rFonts w:ascii="Arial" w:hAnsi="Arial" w:cs="Arial"/>
          <w:b/>
          <w:bCs/>
          <w:sz w:val="21"/>
          <w:szCs w:val="21"/>
          <w:lang w:val="en-US"/>
        </w:rPr>
        <w:t xml:space="preserve">. </w:t>
      </w:r>
      <w:r w:rsidRPr="001D2CBC">
        <w:rPr>
          <w:rFonts w:ascii="Arial" w:hAnsi="Arial" w:cs="Arial"/>
          <w:b/>
          <w:bCs/>
          <w:sz w:val="21"/>
          <w:szCs w:val="21"/>
          <w:lang w:val="en-US"/>
        </w:rPr>
        <w:t xml:space="preserve">Immunophenotype and differentiation potential of ER-HoxB8 cell lines. </w:t>
      </w:r>
    </w:p>
    <w:p w14:paraId="1A002DCF" w14:textId="7F36572C" w:rsidR="000F3F7F" w:rsidRPr="001D2CBC" w:rsidRDefault="000F3F7F" w:rsidP="000F3F7F">
      <w:pPr>
        <w:spacing w:after="0" w:line="360" w:lineRule="auto"/>
        <w:jc w:val="both"/>
        <w:rPr>
          <w:rFonts w:ascii="Arial" w:hAnsi="Arial" w:cs="Arial"/>
          <w:sz w:val="21"/>
          <w:szCs w:val="21"/>
          <w:lang w:val="en-US"/>
        </w:rPr>
      </w:pPr>
      <w:r w:rsidRPr="001D2CBC">
        <w:rPr>
          <w:rFonts w:ascii="Arial" w:hAnsi="Arial" w:cs="Arial"/>
          <w:b/>
          <w:bCs/>
          <w:sz w:val="21"/>
          <w:szCs w:val="21"/>
          <w:lang w:val="en-US"/>
        </w:rPr>
        <w:t>A</w:t>
      </w:r>
      <w:r w:rsidRPr="001D2CBC">
        <w:rPr>
          <w:rFonts w:ascii="Arial" w:hAnsi="Arial" w:cs="Arial"/>
          <w:sz w:val="21"/>
          <w:szCs w:val="21"/>
          <w:lang w:val="en-US"/>
        </w:rPr>
        <w:t xml:space="preserve"> ER-HoxB8 cells were stained for lineage-specific markers, and analyzed via flow cytometry. Healthy primary bone marrow cells served as controls, and representative plots are shown. </w:t>
      </w:r>
      <w:r w:rsidRPr="001D2CBC">
        <w:rPr>
          <w:rFonts w:ascii="Arial" w:hAnsi="Arial" w:cs="Arial"/>
          <w:b/>
          <w:bCs/>
          <w:sz w:val="21"/>
          <w:szCs w:val="21"/>
          <w:lang w:val="en-US"/>
        </w:rPr>
        <w:t>B</w:t>
      </w:r>
      <w:r w:rsidRPr="001D2CBC">
        <w:rPr>
          <w:rFonts w:ascii="Arial" w:hAnsi="Arial" w:cs="Arial"/>
          <w:sz w:val="21"/>
          <w:szCs w:val="21"/>
          <w:lang w:val="en-US"/>
        </w:rPr>
        <w:t xml:space="preserve"> Cells were cultured for 6 days in media containing or lacking β-estradiol and supplemented with M-CSF. Cytospins were prepared, stained with May-Grünwald-Giemsa solution, and imaged using light microscopy; representative images are presented. </w:t>
      </w:r>
      <w:r w:rsidRPr="001D2CBC">
        <w:rPr>
          <w:rFonts w:ascii="Arial" w:hAnsi="Arial" w:cs="Arial"/>
          <w:b/>
          <w:bCs/>
          <w:sz w:val="21"/>
          <w:szCs w:val="21"/>
          <w:lang w:val="en-US"/>
        </w:rPr>
        <w:t>C</w:t>
      </w:r>
      <w:r w:rsidRPr="001D2CBC">
        <w:rPr>
          <w:rFonts w:ascii="Arial" w:hAnsi="Arial" w:cs="Arial"/>
          <w:sz w:val="21"/>
          <w:szCs w:val="21"/>
          <w:lang w:val="en-US"/>
        </w:rPr>
        <w:t xml:space="preserve"> Flow cytometric analysis of ER-HoxB8 cells after 6 days of culture under the indicated conditions; representative flow cytometry plots are shown.</w:t>
      </w:r>
    </w:p>
    <w:p w14:paraId="18A4D70E" w14:textId="77777777" w:rsidR="000F3F7F" w:rsidRDefault="000F3F7F">
      <w:pPr>
        <w:rPr>
          <w:rFonts w:ascii="Arial" w:hAnsi="Arial" w:cs="Arial"/>
          <w:b/>
          <w:bCs/>
          <w:lang w:val="en-US"/>
        </w:rPr>
      </w:pPr>
    </w:p>
    <w:p w14:paraId="66D4DA2C" w14:textId="77777777" w:rsidR="000F3F7F" w:rsidRDefault="000F3F7F">
      <w:pPr>
        <w:rPr>
          <w:rFonts w:ascii="Arial" w:hAnsi="Arial" w:cs="Arial"/>
          <w:b/>
          <w:bCs/>
          <w:lang w:val="en-US"/>
        </w:rPr>
      </w:pPr>
    </w:p>
    <w:p w14:paraId="5D331A64" w14:textId="4BB8A6EC" w:rsidR="000F3F7F" w:rsidRDefault="000F3F7F">
      <w:pPr>
        <w:rPr>
          <w:rFonts w:ascii="Arial" w:hAnsi="Arial" w:cs="Arial"/>
          <w:b/>
          <w:bCs/>
          <w:lang w:val="en-US"/>
        </w:rPr>
      </w:pPr>
    </w:p>
    <w:p w14:paraId="64AF9AFF" w14:textId="77777777" w:rsidR="000F3F7F" w:rsidRDefault="000F3F7F">
      <w:pPr>
        <w:rPr>
          <w:rFonts w:ascii="Arial" w:hAnsi="Arial" w:cs="Arial"/>
          <w:b/>
          <w:bCs/>
          <w:lang w:val="en-US"/>
        </w:rPr>
      </w:pPr>
    </w:p>
    <w:p w14:paraId="6E8F9147" w14:textId="12E01F7A" w:rsidR="008A57CC" w:rsidRDefault="00DE68C3" w:rsidP="008A57CC">
      <w:pPr>
        <w:rPr>
          <w:rFonts w:ascii="Arial" w:hAnsi="Arial" w:cs="Arial"/>
          <w:b/>
          <w:bCs/>
          <w:sz w:val="21"/>
          <w:szCs w:val="21"/>
          <w:lang w:val="en-US"/>
        </w:rPr>
      </w:pPr>
      <w:bookmarkStart w:id="0" w:name="_Hlk190446360"/>
      <w:bookmarkStart w:id="1" w:name="_Hlk210974411"/>
      <w:bookmarkEnd w:id="0"/>
      <w:r>
        <w:rPr>
          <w:rFonts w:ascii="Arial" w:hAnsi="Arial" w:cs="Arial"/>
          <w:b/>
          <w:bCs/>
          <w:noProof/>
        </w:rPr>
        <w:lastRenderedPageBreak/>
        <w:drawing>
          <wp:inline distT="0" distB="0" distL="0" distR="0" wp14:anchorId="57B1FC3A" wp14:editId="366E36BB">
            <wp:extent cx="5760720" cy="8929656"/>
            <wp:effectExtent l="0" t="0" r="0" b="5080"/>
            <wp:docPr id="1269920071" name="Grafik 1" descr="Ein Bild, das Text, Diagramm, Plan, technische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20071" name="Grafik 1" descr="Ein Bild, das Text, Diagramm, Plan, technische Zeichnung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929656"/>
                    </a:xfrm>
                    <a:prstGeom prst="rect">
                      <a:avLst/>
                    </a:prstGeom>
                    <a:noFill/>
                    <a:ln>
                      <a:noFill/>
                    </a:ln>
                  </pic:spPr>
                </pic:pic>
              </a:graphicData>
            </a:graphic>
          </wp:inline>
        </w:drawing>
      </w:r>
    </w:p>
    <w:bookmarkEnd w:id="1"/>
    <w:p w14:paraId="72D555FA" w14:textId="4F20BE57" w:rsidR="0065020A" w:rsidRPr="00582247" w:rsidRDefault="0065020A" w:rsidP="0065020A">
      <w:pPr>
        <w:spacing w:after="0" w:line="360" w:lineRule="auto"/>
        <w:jc w:val="both"/>
        <w:rPr>
          <w:rFonts w:ascii="Arial" w:hAnsi="Arial" w:cs="Arial"/>
          <w:lang w:val="en-US"/>
        </w:rPr>
      </w:pPr>
      <w:r w:rsidRPr="001D2CBC">
        <w:rPr>
          <w:rFonts w:ascii="Arial" w:hAnsi="Arial" w:cs="Arial"/>
          <w:b/>
          <w:bCs/>
          <w:sz w:val="21"/>
          <w:szCs w:val="21"/>
          <w:lang w:val="en-US"/>
        </w:rPr>
        <w:lastRenderedPageBreak/>
        <w:t xml:space="preserve">Figure S2. </w:t>
      </w:r>
      <w:r>
        <w:rPr>
          <w:rFonts w:ascii="Arial" w:hAnsi="Arial" w:cs="Arial"/>
          <w:b/>
          <w:bCs/>
          <w:sz w:val="21"/>
          <w:szCs w:val="21"/>
          <w:lang w:val="en-US"/>
        </w:rPr>
        <w:t xml:space="preserve">Amplicon sequencing verification of </w:t>
      </w:r>
      <w:r w:rsidRPr="003A6574">
        <w:rPr>
          <w:rFonts w:ascii="Arial" w:hAnsi="Arial" w:cs="Arial"/>
          <w:b/>
          <w:bCs/>
          <w:i/>
          <w:iCs/>
          <w:sz w:val="21"/>
          <w:szCs w:val="21"/>
          <w:lang w:val="en-US"/>
        </w:rPr>
        <w:t>Trp53</w:t>
      </w:r>
      <w:r>
        <w:rPr>
          <w:rFonts w:ascii="Arial" w:hAnsi="Arial" w:cs="Arial"/>
          <w:b/>
          <w:bCs/>
          <w:sz w:val="21"/>
          <w:szCs w:val="21"/>
          <w:lang w:val="en-US"/>
        </w:rPr>
        <w:t xml:space="preserve"> recombination status and g</w:t>
      </w:r>
      <w:r w:rsidRPr="001D2CBC">
        <w:rPr>
          <w:rFonts w:ascii="Arial" w:hAnsi="Arial" w:cs="Arial"/>
          <w:b/>
          <w:bCs/>
          <w:sz w:val="21"/>
          <w:szCs w:val="21"/>
          <w:lang w:val="en-US"/>
        </w:rPr>
        <w:t xml:space="preserve">ating strategy for identifying cell populations of interest in bone marrow and peripheral blood. </w:t>
      </w:r>
      <w:r w:rsidRPr="00880C9E">
        <w:rPr>
          <w:rFonts w:ascii="Arial" w:hAnsi="Arial" w:cs="Arial"/>
          <w:b/>
          <w:bCs/>
          <w:sz w:val="21"/>
          <w:szCs w:val="21"/>
          <w:lang w:val="en-US"/>
        </w:rPr>
        <w:t xml:space="preserve">A </w:t>
      </w:r>
      <w:bookmarkStart w:id="2" w:name="OLE_LINK2"/>
      <w:r w:rsidRPr="00880C9E">
        <w:rPr>
          <w:rFonts w:ascii="Arial" w:hAnsi="Arial" w:cs="Arial"/>
          <w:sz w:val="21"/>
          <w:szCs w:val="21"/>
          <w:lang w:val="en-US"/>
        </w:rPr>
        <w:t xml:space="preserve">Percentage of </w:t>
      </w:r>
      <w:r w:rsidR="00DE68C3" w:rsidRPr="00880C9E">
        <w:rPr>
          <w:rFonts w:ascii="Arial" w:hAnsi="Arial" w:cs="Arial"/>
          <w:sz w:val="21"/>
          <w:szCs w:val="21"/>
          <w:lang w:val="en-US"/>
        </w:rPr>
        <w:t>non-</w:t>
      </w:r>
      <w:r w:rsidRPr="00880C9E">
        <w:rPr>
          <w:rFonts w:ascii="Arial" w:hAnsi="Arial" w:cs="Arial"/>
          <w:sz w:val="21"/>
          <w:szCs w:val="21"/>
          <w:lang w:val="en-US"/>
        </w:rPr>
        <w:t>recombined (</w:t>
      </w:r>
      <w:r w:rsidRPr="00880C9E">
        <w:rPr>
          <w:rFonts w:ascii="Arial" w:hAnsi="Arial" w:cs="Arial"/>
          <w:i/>
          <w:iCs/>
          <w:sz w:val="21"/>
          <w:szCs w:val="21"/>
          <w:lang w:val="en-US"/>
        </w:rPr>
        <w:t>Trp53</w:t>
      </w:r>
      <w:r w:rsidRPr="00880C9E">
        <w:rPr>
          <w:rFonts w:ascii="Arial" w:hAnsi="Arial" w:cs="Arial"/>
          <w:sz w:val="21"/>
          <w:szCs w:val="21"/>
          <w:lang w:val="en-US"/>
        </w:rPr>
        <w:t xml:space="preserve"> wild-type) and recombined (</w:t>
      </w:r>
      <w:r w:rsidRPr="00880C9E">
        <w:rPr>
          <w:rFonts w:ascii="Arial" w:hAnsi="Arial" w:cs="Arial"/>
          <w:i/>
          <w:iCs/>
          <w:sz w:val="21"/>
          <w:szCs w:val="21"/>
          <w:lang w:val="en-US"/>
        </w:rPr>
        <w:t>Trp53</w:t>
      </w:r>
      <w:r w:rsidRPr="00880C9E">
        <w:rPr>
          <w:rFonts w:ascii="Arial" w:hAnsi="Arial" w:cs="Arial"/>
          <w:sz w:val="21"/>
          <w:szCs w:val="21"/>
          <w:lang w:val="en-US"/>
        </w:rPr>
        <w:t xml:space="preserve"> mutant) reads determined by deep amplicon sequencing of FACS-sorted </w:t>
      </w:r>
      <w:proofErr w:type="spellStart"/>
      <w:r w:rsidRPr="00880C9E">
        <w:rPr>
          <w:rFonts w:ascii="Arial" w:hAnsi="Arial" w:cs="Arial"/>
          <w:sz w:val="21"/>
          <w:szCs w:val="21"/>
          <w:lang w:val="en-US"/>
        </w:rPr>
        <w:t>GFP</w:t>
      </w:r>
      <w:r w:rsidRPr="00880C9E">
        <w:rPr>
          <w:rFonts w:ascii="Arial" w:hAnsi="Arial" w:cs="Arial"/>
          <w:sz w:val="21"/>
          <w:szCs w:val="21"/>
          <w:vertAlign w:val="superscript"/>
          <w:lang w:val="en-US"/>
        </w:rPr>
        <w:t>neg</w:t>
      </w:r>
      <w:proofErr w:type="spellEnd"/>
      <w:r w:rsidRPr="00880C9E">
        <w:rPr>
          <w:rFonts w:ascii="Arial" w:hAnsi="Arial" w:cs="Arial"/>
          <w:sz w:val="21"/>
          <w:szCs w:val="21"/>
          <w:lang w:val="en-US"/>
        </w:rPr>
        <w:t xml:space="preserve">, </w:t>
      </w:r>
      <w:proofErr w:type="spellStart"/>
      <w:r w:rsidRPr="00880C9E">
        <w:rPr>
          <w:rFonts w:ascii="Arial" w:hAnsi="Arial" w:cs="Arial"/>
          <w:sz w:val="21"/>
          <w:szCs w:val="21"/>
          <w:lang w:val="en-US"/>
        </w:rPr>
        <w:t>GFP</w:t>
      </w:r>
      <w:r w:rsidRPr="00880C9E">
        <w:rPr>
          <w:rFonts w:ascii="Arial" w:hAnsi="Arial" w:cs="Arial"/>
          <w:sz w:val="21"/>
          <w:szCs w:val="21"/>
          <w:vertAlign w:val="superscript"/>
          <w:lang w:val="en-US"/>
        </w:rPr>
        <w:t>low</w:t>
      </w:r>
      <w:proofErr w:type="spellEnd"/>
      <w:r w:rsidRPr="00880C9E">
        <w:rPr>
          <w:rFonts w:ascii="Arial" w:hAnsi="Arial" w:cs="Arial"/>
          <w:sz w:val="21"/>
          <w:szCs w:val="21"/>
          <w:lang w:val="en-US"/>
        </w:rPr>
        <w:t xml:space="preserve">, and </w:t>
      </w:r>
      <w:proofErr w:type="spellStart"/>
      <w:r w:rsidRPr="00880C9E">
        <w:rPr>
          <w:rFonts w:ascii="Arial" w:hAnsi="Arial" w:cs="Arial"/>
          <w:sz w:val="21"/>
          <w:szCs w:val="21"/>
          <w:lang w:val="en-US"/>
        </w:rPr>
        <w:t>GFP</w:t>
      </w:r>
      <w:r w:rsidRPr="00880C9E">
        <w:rPr>
          <w:rFonts w:ascii="Arial" w:hAnsi="Arial" w:cs="Arial"/>
          <w:sz w:val="21"/>
          <w:szCs w:val="21"/>
          <w:vertAlign w:val="superscript"/>
          <w:lang w:val="en-US"/>
        </w:rPr>
        <w:t>high</w:t>
      </w:r>
      <w:proofErr w:type="spellEnd"/>
      <w:r w:rsidRPr="00880C9E">
        <w:rPr>
          <w:rFonts w:ascii="Arial" w:hAnsi="Arial" w:cs="Arial"/>
          <w:sz w:val="21"/>
          <w:szCs w:val="21"/>
          <w:lang w:val="en-US"/>
        </w:rPr>
        <w:t xml:space="preserve"> LSK cells from mice harboring biallelic </w:t>
      </w:r>
      <w:r w:rsidRPr="00880C9E">
        <w:rPr>
          <w:rFonts w:ascii="Arial" w:hAnsi="Arial" w:cs="Arial"/>
          <w:i/>
          <w:iCs/>
          <w:sz w:val="21"/>
          <w:szCs w:val="21"/>
          <w:lang w:val="en-US"/>
        </w:rPr>
        <w:t>Trp53</w:t>
      </w:r>
      <w:r w:rsidRPr="00880C9E">
        <w:rPr>
          <w:rFonts w:ascii="Arial" w:hAnsi="Arial" w:cs="Arial"/>
          <w:sz w:val="21"/>
          <w:szCs w:val="21"/>
          <w:lang w:val="en-US"/>
        </w:rPr>
        <w:t xml:space="preserve">-fl-R245W-GFP alleles (n = </w:t>
      </w:r>
      <w:r w:rsidR="00DE68C3" w:rsidRPr="00880C9E">
        <w:rPr>
          <w:rFonts w:ascii="Arial" w:hAnsi="Arial" w:cs="Arial"/>
          <w:sz w:val="21"/>
          <w:szCs w:val="21"/>
          <w:lang w:val="en-US"/>
        </w:rPr>
        <w:t>2</w:t>
      </w:r>
      <w:r w:rsidRPr="00880C9E">
        <w:rPr>
          <w:rFonts w:ascii="Arial" w:hAnsi="Arial" w:cs="Arial"/>
          <w:sz w:val="21"/>
          <w:szCs w:val="21"/>
          <w:lang w:val="en-US"/>
        </w:rPr>
        <w:t>; error bars represent SEM).</w:t>
      </w:r>
      <w:r>
        <w:rPr>
          <w:rFonts w:ascii="Arial" w:hAnsi="Arial" w:cs="Arial"/>
          <w:sz w:val="21"/>
          <w:szCs w:val="21"/>
          <w:lang w:val="en-US"/>
        </w:rPr>
        <w:t xml:space="preserve"> </w:t>
      </w:r>
      <w:bookmarkEnd w:id="2"/>
      <w:r>
        <w:rPr>
          <w:rFonts w:ascii="Arial" w:hAnsi="Arial" w:cs="Arial"/>
          <w:b/>
          <w:bCs/>
          <w:sz w:val="21"/>
          <w:szCs w:val="21"/>
          <w:lang w:val="en-US"/>
        </w:rPr>
        <w:t>B</w:t>
      </w:r>
      <w:r w:rsidRPr="001D2CBC">
        <w:rPr>
          <w:rFonts w:ascii="Arial" w:hAnsi="Arial" w:cs="Arial"/>
          <w:sz w:val="21"/>
          <w:szCs w:val="21"/>
          <w:lang w:val="en-US"/>
        </w:rPr>
        <w:t xml:space="preserve"> Gating strategy for identifying specific HSPC populations, as well as distinguishing </w:t>
      </w:r>
      <w:proofErr w:type="spellStart"/>
      <w:r w:rsidRPr="001D2CBC">
        <w:rPr>
          <w:rFonts w:ascii="Arial" w:hAnsi="Arial" w:cs="Arial"/>
          <w:sz w:val="21"/>
          <w:szCs w:val="21"/>
          <w:lang w:val="en-US"/>
        </w:rPr>
        <w:t>GFP</w:t>
      </w:r>
      <w:r w:rsidRPr="001D2CBC">
        <w:rPr>
          <w:rFonts w:ascii="Arial" w:hAnsi="Arial" w:cs="Arial"/>
          <w:sz w:val="21"/>
          <w:szCs w:val="21"/>
          <w:vertAlign w:val="superscript"/>
          <w:lang w:val="en-US"/>
        </w:rPr>
        <w:t>neg</w:t>
      </w:r>
      <w:proofErr w:type="spellEnd"/>
      <w:r w:rsidRPr="001D2CBC">
        <w:rPr>
          <w:rFonts w:ascii="Arial" w:hAnsi="Arial" w:cs="Arial"/>
          <w:sz w:val="21"/>
          <w:szCs w:val="21"/>
          <w:lang w:val="en-US"/>
        </w:rPr>
        <w:t xml:space="preserve">, </w:t>
      </w:r>
      <w:proofErr w:type="spellStart"/>
      <w:r w:rsidRPr="001D2CBC">
        <w:rPr>
          <w:rFonts w:ascii="Arial" w:hAnsi="Arial" w:cs="Arial"/>
          <w:sz w:val="21"/>
          <w:szCs w:val="21"/>
          <w:lang w:val="en-US"/>
        </w:rPr>
        <w:t>GFP</w:t>
      </w:r>
      <w:r w:rsidRPr="001D2CBC">
        <w:rPr>
          <w:rFonts w:ascii="Arial" w:hAnsi="Arial" w:cs="Arial"/>
          <w:sz w:val="21"/>
          <w:szCs w:val="21"/>
          <w:vertAlign w:val="superscript"/>
          <w:lang w:val="en-US"/>
        </w:rPr>
        <w:t>low</w:t>
      </w:r>
      <w:proofErr w:type="spellEnd"/>
      <w:r w:rsidRPr="001D2CBC">
        <w:rPr>
          <w:rFonts w:ascii="Arial" w:hAnsi="Arial" w:cs="Arial"/>
          <w:sz w:val="21"/>
          <w:szCs w:val="21"/>
          <w:lang w:val="en-US"/>
        </w:rPr>
        <w:t xml:space="preserve">, and </w:t>
      </w:r>
      <w:proofErr w:type="spellStart"/>
      <w:r w:rsidRPr="001D2CBC">
        <w:rPr>
          <w:rFonts w:ascii="Arial" w:hAnsi="Arial" w:cs="Arial"/>
          <w:sz w:val="21"/>
          <w:szCs w:val="21"/>
          <w:lang w:val="en-US"/>
        </w:rPr>
        <w:t>GFP</w:t>
      </w:r>
      <w:r w:rsidRPr="001D2CBC">
        <w:rPr>
          <w:rFonts w:ascii="Arial" w:hAnsi="Arial" w:cs="Arial"/>
          <w:sz w:val="21"/>
          <w:szCs w:val="21"/>
          <w:vertAlign w:val="superscript"/>
          <w:lang w:val="en-US"/>
        </w:rPr>
        <w:t>high</w:t>
      </w:r>
      <w:proofErr w:type="spellEnd"/>
      <w:r w:rsidRPr="001D2CBC">
        <w:rPr>
          <w:rFonts w:ascii="Arial" w:hAnsi="Arial" w:cs="Arial"/>
          <w:sz w:val="21"/>
          <w:szCs w:val="21"/>
          <w:lang w:val="en-US"/>
        </w:rPr>
        <w:t xml:space="preserve"> cell subsets. Representative plots of a healthy bone marrow sample from a biallelic </w:t>
      </w:r>
      <w:r w:rsidRPr="001D2CBC">
        <w:rPr>
          <w:rFonts w:ascii="Arial" w:hAnsi="Arial" w:cs="Arial"/>
          <w:i/>
          <w:sz w:val="21"/>
          <w:szCs w:val="21"/>
          <w:lang w:val="en-US"/>
        </w:rPr>
        <w:t>Trp53</w:t>
      </w:r>
      <w:r w:rsidRPr="001D2CBC">
        <w:rPr>
          <w:rFonts w:ascii="Arial" w:hAnsi="Arial" w:cs="Arial"/>
          <w:iCs/>
          <w:sz w:val="21"/>
          <w:szCs w:val="21"/>
          <w:lang w:val="en-US"/>
        </w:rPr>
        <w:t>-</w:t>
      </w:r>
      <w:r w:rsidRPr="001D2CBC">
        <w:rPr>
          <w:rFonts w:ascii="Arial" w:hAnsi="Arial" w:cs="Arial"/>
          <w:sz w:val="21"/>
          <w:szCs w:val="21"/>
          <w:lang w:val="en-US"/>
        </w:rPr>
        <w:t xml:space="preserve">fl-R245W-GFP;SCL-CreERT mouse 9 weeks after injection with 5 x 100 mg/kg tamoxifen are shown. </w:t>
      </w:r>
      <w:r>
        <w:rPr>
          <w:rFonts w:ascii="Arial" w:hAnsi="Arial" w:cs="Arial"/>
          <w:b/>
          <w:bCs/>
          <w:sz w:val="21"/>
          <w:szCs w:val="21"/>
          <w:lang w:val="en-US"/>
        </w:rPr>
        <w:t>C</w:t>
      </w:r>
      <w:r w:rsidRPr="001D2CBC">
        <w:rPr>
          <w:rFonts w:ascii="Arial" w:hAnsi="Arial" w:cs="Arial"/>
          <w:sz w:val="21"/>
          <w:szCs w:val="21"/>
          <w:lang w:val="en-US"/>
        </w:rPr>
        <w:t xml:space="preserve"> Gating strategy used to identify cell populations in peripheral blood samples. Representative plots for a blood sample collected from a biallelic </w:t>
      </w:r>
      <w:r w:rsidRPr="001D2CBC">
        <w:rPr>
          <w:rFonts w:ascii="Arial" w:hAnsi="Arial" w:cs="Arial"/>
          <w:i/>
          <w:sz w:val="21"/>
          <w:szCs w:val="21"/>
          <w:lang w:val="en-US"/>
        </w:rPr>
        <w:t>Trp53</w:t>
      </w:r>
      <w:r w:rsidRPr="001D2CBC">
        <w:rPr>
          <w:rFonts w:ascii="Arial" w:hAnsi="Arial" w:cs="Arial"/>
          <w:iCs/>
          <w:sz w:val="21"/>
          <w:szCs w:val="21"/>
          <w:lang w:val="en-US"/>
        </w:rPr>
        <w:t>-</w:t>
      </w:r>
      <w:r w:rsidRPr="001D2CBC">
        <w:rPr>
          <w:rFonts w:ascii="Arial" w:hAnsi="Arial" w:cs="Arial"/>
          <w:sz w:val="21"/>
          <w:szCs w:val="21"/>
          <w:lang w:val="en-US"/>
        </w:rPr>
        <w:t>fl-R245W-GFP;SCL-CreERT mouse 7 weeks after five 100 mg/kg tamoxifen injections are shown.</w:t>
      </w:r>
    </w:p>
    <w:p w14:paraId="0C73DF31" w14:textId="3EF31181" w:rsidR="000F3F7F" w:rsidRPr="000F3F7F" w:rsidRDefault="001F4F45" w:rsidP="000F3F7F">
      <w:pPr>
        <w:rPr>
          <w:rFonts w:ascii="Arial" w:hAnsi="Arial" w:cs="Arial"/>
          <w:lang w:val="en-US"/>
        </w:rPr>
      </w:pPr>
      <w:r>
        <w:rPr>
          <w:rFonts w:ascii="Arial" w:hAnsi="Arial" w:cs="Arial"/>
          <w:b/>
          <w:bCs/>
          <w:noProof/>
          <w:lang w:val="en-US"/>
        </w:rPr>
        <w:lastRenderedPageBreak/>
        <w:drawing>
          <wp:inline distT="0" distB="0" distL="0" distR="0" wp14:anchorId="5CD2B0F7" wp14:editId="113842FA">
            <wp:extent cx="4321309" cy="7543800"/>
            <wp:effectExtent l="0" t="0" r="0" b="0"/>
            <wp:docPr id="458547510" name="Grafik 2" descr="Ein Bild, das Text, Diagramm, Screenshot,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47510" name="Grafik 2" descr="Ein Bild, das Text, Diagramm, Screenshot, parallel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9421" cy="7592875"/>
                    </a:xfrm>
                    <a:prstGeom prst="rect">
                      <a:avLst/>
                    </a:prstGeom>
                    <a:noFill/>
                    <a:ln>
                      <a:noFill/>
                    </a:ln>
                  </pic:spPr>
                </pic:pic>
              </a:graphicData>
            </a:graphic>
          </wp:inline>
        </w:drawing>
      </w:r>
    </w:p>
    <w:p w14:paraId="354C4634" w14:textId="77777777" w:rsidR="007F2A39" w:rsidRDefault="007F2A39" w:rsidP="000F3F7F">
      <w:pPr>
        <w:spacing w:after="0" w:line="360" w:lineRule="auto"/>
        <w:jc w:val="both"/>
        <w:rPr>
          <w:rFonts w:ascii="Arial" w:hAnsi="Arial" w:cs="Arial"/>
          <w:b/>
          <w:bCs/>
          <w:sz w:val="21"/>
          <w:szCs w:val="21"/>
          <w:lang w:val="en-US"/>
        </w:rPr>
      </w:pPr>
    </w:p>
    <w:p w14:paraId="4CFED435" w14:textId="10EC6FBB" w:rsidR="000F3F7F" w:rsidRPr="001D2CBC" w:rsidRDefault="000F3F7F" w:rsidP="000F3F7F">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S3</w:t>
      </w:r>
      <w:r w:rsidR="003722DF" w:rsidRPr="001D2CBC">
        <w:rPr>
          <w:rFonts w:ascii="Arial" w:hAnsi="Arial" w:cs="Arial"/>
          <w:b/>
          <w:bCs/>
          <w:sz w:val="21"/>
          <w:szCs w:val="21"/>
          <w:lang w:val="en-US"/>
        </w:rPr>
        <w:t xml:space="preserve">. </w:t>
      </w:r>
      <w:r w:rsidRPr="001D2CBC">
        <w:rPr>
          <w:rFonts w:ascii="Arial" w:hAnsi="Arial" w:cs="Arial"/>
          <w:b/>
          <w:bCs/>
          <w:sz w:val="21"/>
          <w:szCs w:val="21"/>
          <w:lang w:val="en-US"/>
        </w:rPr>
        <w:t>Longitudinal analysis of GFP frequencies in blood cell populations following tamoxifen treatment.</w:t>
      </w:r>
      <w:r w:rsidR="00F236A5" w:rsidRPr="001D2CBC">
        <w:rPr>
          <w:rFonts w:ascii="Arial" w:hAnsi="Arial" w:cs="Arial"/>
          <w:b/>
          <w:bCs/>
          <w:sz w:val="21"/>
          <w:szCs w:val="21"/>
          <w:lang w:val="en-US"/>
        </w:rPr>
        <w:t xml:space="preserve"> </w:t>
      </w:r>
      <w:r w:rsidRPr="001D2CBC">
        <w:rPr>
          <w:rFonts w:ascii="Arial" w:hAnsi="Arial" w:cs="Arial"/>
          <w:b/>
          <w:bCs/>
          <w:sz w:val="21"/>
          <w:szCs w:val="21"/>
          <w:lang w:val="en-US"/>
        </w:rPr>
        <w:t>A</w:t>
      </w:r>
      <w:r w:rsidRPr="001D2CBC">
        <w:rPr>
          <w:rFonts w:ascii="Arial" w:hAnsi="Arial" w:cs="Arial"/>
          <w:sz w:val="21"/>
          <w:szCs w:val="21"/>
          <w:lang w:val="en-US"/>
        </w:rPr>
        <w:t xml:space="preserve"> Mice with monoallelic or biallelic </w:t>
      </w:r>
      <w:r w:rsidRPr="001D2CBC">
        <w:rPr>
          <w:rFonts w:ascii="Arial" w:hAnsi="Arial" w:cs="Arial"/>
          <w:i/>
          <w:sz w:val="21"/>
          <w:szCs w:val="21"/>
          <w:lang w:val="en-US"/>
        </w:rPr>
        <w:t>Trp53</w:t>
      </w:r>
      <w:r w:rsidR="00652264" w:rsidRPr="001D2CBC">
        <w:rPr>
          <w:rFonts w:ascii="Arial" w:hAnsi="Arial" w:cs="Arial"/>
          <w:sz w:val="21"/>
          <w:szCs w:val="21"/>
          <w:lang w:val="en-US"/>
        </w:rPr>
        <w:t xml:space="preserve"> floxed transgenic alleles</w:t>
      </w:r>
      <w:r w:rsidRPr="001D2CBC">
        <w:rPr>
          <w:rFonts w:ascii="Arial" w:hAnsi="Arial" w:cs="Arial"/>
          <w:sz w:val="21"/>
          <w:szCs w:val="21"/>
          <w:lang w:val="en-US"/>
        </w:rPr>
        <w:t xml:space="preserve"> were treated with 0, 1, 3, or 5 injections of 100 mg/kg tamoxifen. Peripheral blood was collected at specified timepoints, and GFP frequencies within the indicated cell populations were analyzed by flow cytometry.</w:t>
      </w:r>
    </w:p>
    <w:p w14:paraId="2C243A22" w14:textId="58069CEA" w:rsidR="001D2CBC" w:rsidRDefault="001F4F45" w:rsidP="000F3F7F">
      <w:pPr>
        <w:spacing w:after="0" w:line="360" w:lineRule="auto"/>
        <w:jc w:val="both"/>
        <w:rPr>
          <w:rFonts w:ascii="Arial" w:hAnsi="Arial" w:cs="Arial"/>
          <w:b/>
          <w:bCs/>
          <w:color w:val="000000" w:themeColor="text1"/>
          <w:sz w:val="21"/>
          <w:szCs w:val="21"/>
          <w:lang w:val="en-US"/>
        </w:rPr>
      </w:pPr>
      <w:r>
        <w:rPr>
          <w:rFonts w:ascii="Arial" w:hAnsi="Arial" w:cs="Arial"/>
          <w:noProof/>
          <w:lang w:val="en-US"/>
        </w:rPr>
        <w:lastRenderedPageBreak/>
        <w:drawing>
          <wp:inline distT="0" distB="0" distL="0" distR="0" wp14:anchorId="38865354" wp14:editId="415912EF">
            <wp:extent cx="5753100" cy="6426200"/>
            <wp:effectExtent l="0" t="0" r="0" b="0"/>
            <wp:docPr id="21098192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6426200"/>
                    </a:xfrm>
                    <a:prstGeom prst="rect">
                      <a:avLst/>
                    </a:prstGeom>
                    <a:noFill/>
                    <a:ln>
                      <a:noFill/>
                    </a:ln>
                  </pic:spPr>
                </pic:pic>
              </a:graphicData>
            </a:graphic>
          </wp:inline>
        </w:drawing>
      </w:r>
    </w:p>
    <w:p w14:paraId="44984234" w14:textId="77777777" w:rsidR="001D2CBC" w:rsidRDefault="001D2CBC" w:rsidP="000F3F7F">
      <w:pPr>
        <w:spacing w:after="0" w:line="360" w:lineRule="auto"/>
        <w:jc w:val="both"/>
        <w:rPr>
          <w:rFonts w:ascii="Arial" w:hAnsi="Arial" w:cs="Arial"/>
          <w:b/>
          <w:bCs/>
          <w:color w:val="000000" w:themeColor="text1"/>
          <w:sz w:val="21"/>
          <w:szCs w:val="21"/>
          <w:lang w:val="en-US"/>
        </w:rPr>
      </w:pPr>
    </w:p>
    <w:p w14:paraId="72928BDC" w14:textId="62E9BC2E" w:rsidR="000F3F7F" w:rsidRPr="001D2CBC" w:rsidRDefault="000F3F7F" w:rsidP="000F3F7F">
      <w:pPr>
        <w:spacing w:after="0" w:line="360" w:lineRule="auto"/>
        <w:jc w:val="both"/>
        <w:rPr>
          <w:rFonts w:ascii="Arial" w:hAnsi="Arial" w:cs="Arial"/>
          <w:color w:val="000000" w:themeColor="text1"/>
          <w:sz w:val="21"/>
          <w:szCs w:val="21"/>
          <w:lang w:val="en-US"/>
        </w:rPr>
      </w:pPr>
      <w:r w:rsidRPr="001D2CBC">
        <w:rPr>
          <w:rFonts w:ascii="Arial" w:hAnsi="Arial" w:cs="Arial"/>
          <w:b/>
          <w:bCs/>
          <w:color w:val="000000" w:themeColor="text1"/>
          <w:sz w:val="21"/>
          <w:szCs w:val="21"/>
          <w:lang w:val="en-US"/>
        </w:rPr>
        <w:t>Figure S4</w:t>
      </w:r>
      <w:r w:rsidR="003722DF" w:rsidRPr="001D2CBC">
        <w:rPr>
          <w:rFonts w:ascii="Arial" w:hAnsi="Arial" w:cs="Arial"/>
          <w:b/>
          <w:bCs/>
          <w:color w:val="000000" w:themeColor="text1"/>
          <w:sz w:val="21"/>
          <w:szCs w:val="21"/>
          <w:lang w:val="en-US"/>
        </w:rPr>
        <w:t xml:space="preserve">. </w:t>
      </w:r>
      <w:r w:rsidRPr="001D2CBC">
        <w:rPr>
          <w:rFonts w:ascii="Arial" w:hAnsi="Arial" w:cs="Arial"/>
          <w:b/>
          <w:bCs/>
          <w:i/>
          <w:iCs/>
          <w:color w:val="000000" w:themeColor="text1"/>
          <w:sz w:val="21"/>
          <w:szCs w:val="21"/>
          <w:lang w:val="en-US"/>
        </w:rPr>
        <w:t>In vivo</w:t>
      </w:r>
      <w:r w:rsidRPr="001D2CBC">
        <w:rPr>
          <w:rFonts w:ascii="Arial" w:hAnsi="Arial" w:cs="Arial"/>
          <w:b/>
          <w:bCs/>
          <w:color w:val="000000" w:themeColor="text1"/>
          <w:sz w:val="21"/>
          <w:szCs w:val="21"/>
          <w:lang w:val="en-US"/>
        </w:rPr>
        <w:t xml:space="preserve"> competitive cell growth assays and </w:t>
      </w:r>
      <w:r w:rsidR="00C565E1" w:rsidRPr="001D2CBC">
        <w:rPr>
          <w:rFonts w:ascii="Arial" w:hAnsi="Arial" w:cs="Arial"/>
          <w:b/>
          <w:bCs/>
          <w:color w:val="000000" w:themeColor="text1"/>
          <w:sz w:val="21"/>
          <w:szCs w:val="21"/>
          <w:lang w:val="en-US"/>
        </w:rPr>
        <w:t>SNV numbers</w:t>
      </w:r>
      <w:r w:rsidRPr="001D2CBC">
        <w:rPr>
          <w:rFonts w:ascii="Arial" w:hAnsi="Arial" w:cs="Arial"/>
          <w:b/>
          <w:bCs/>
          <w:color w:val="000000" w:themeColor="text1"/>
          <w:sz w:val="21"/>
          <w:szCs w:val="21"/>
          <w:lang w:val="en-US"/>
        </w:rPr>
        <w:t xml:space="preserve"> in etoposide-treated </w:t>
      </w:r>
      <w:r w:rsidRPr="001D2CBC">
        <w:rPr>
          <w:rFonts w:ascii="Arial" w:hAnsi="Arial" w:cs="Arial"/>
          <w:b/>
          <w:bCs/>
          <w:sz w:val="21"/>
          <w:szCs w:val="21"/>
          <w:lang w:val="en-US"/>
        </w:rPr>
        <w:t>ER-HoxB8 cells.</w:t>
      </w:r>
      <w:r w:rsidR="00E23577" w:rsidRPr="001D2CBC">
        <w:rPr>
          <w:rFonts w:ascii="Arial" w:hAnsi="Arial" w:cs="Arial"/>
          <w:b/>
          <w:bCs/>
          <w:sz w:val="21"/>
          <w:szCs w:val="21"/>
          <w:lang w:val="en-US"/>
        </w:rPr>
        <w:t xml:space="preserve"> </w:t>
      </w:r>
      <w:r w:rsidRPr="001D2CBC">
        <w:rPr>
          <w:rFonts w:ascii="Arial" w:hAnsi="Arial" w:cs="Arial"/>
          <w:b/>
          <w:bCs/>
          <w:color w:val="000000" w:themeColor="text1"/>
          <w:sz w:val="21"/>
          <w:szCs w:val="21"/>
          <w:lang w:val="en-US"/>
        </w:rPr>
        <w:t>A</w:t>
      </w:r>
      <w:r w:rsidRPr="001D2CBC">
        <w:rPr>
          <w:rFonts w:ascii="Arial" w:hAnsi="Arial" w:cs="Arial"/>
          <w:color w:val="000000" w:themeColor="text1"/>
          <w:sz w:val="21"/>
          <w:szCs w:val="21"/>
          <w:lang w:val="en-US"/>
        </w:rPr>
        <w:t xml:space="preserve"> Hematopoietic cells from </w:t>
      </w:r>
      <w:r w:rsidRPr="001D2CBC">
        <w:rPr>
          <w:rFonts w:ascii="Arial" w:hAnsi="Arial" w:cs="Arial"/>
          <w:i/>
          <w:color w:val="000000" w:themeColor="text1"/>
          <w:sz w:val="21"/>
          <w:szCs w:val="21"/>
          <w:lang w:val="en-US"/>
        </w:rPr>
        <w:t>Trp53</w:t>
      </w:r>
      <w:r w:rsidR="00652264" w:rsidRPr="001D2CBC">
        <w:rPr>
          <w:rFonts w:ascii="Arial" w:hAnsi="Arial" w:cs="Arial"/>
          <w:iCs/>
          <w:color w:val="000000" w:themeColor="text1"/>
          <w:sz w:val="21"/>
          <w:szCs w:val="21"/>
          <w:lang w:val="en-US"/>
        </w:rPr>
        <w:t>-</w:t>
      </w:r>
      <w:r w:rsidRPr="001D2CBC">
        <w:rPr>
          <w:rFonts w:ascii="Arial" w:hAnsi="Arial" w:cs="Arial"/>
          <w:color w:val="000000" w:themeColor="text1"/>
          <w:sz w:val="21"/>
          <w:szCs w:val="21"/>
          <w:lang w:val="en-US"/>
        </w:rPr>
        <w:t xml:space="preserve">fl-R245W-GFP;SCL-CreERT mice were induced to achieve a </w:t>
      </w:r>
      <w:r w:rsidR="00652264" w:rsidRPr="001D2CBC">
        <w:rPr>
          <w:rFonts w:ascii="Arial" w:hAnsi="Arial" w:cs="Arial"/>
          <w:color w:val="000000" w:themeColor="text1"/>
          <w:sz w:val="21"/>
          <w:szCs w:val="21"/>
          <w:lang w:val="en-US"/>
        </w:rPr>
        <w:t xml:space="preserve">mosaicism </w:t>
      </w:r>
      <w:r w:rsidRPr="001D2CBC">
        <w:rPr>
          <w:rFonts w:ascii="Arial" w:hAnsi="Arial" w:cs="Arial"/>
          <w:color w:val="000000" w:themeColor="text1"/>
          <w:sz w:val="21"/>
          <w:szCs w:val="21"/>
          <w:lang w:val="en-US"/>
        </w:rPr>
        <w:t xml:space="preserve">of 10–50% </w:t>
      </w:r>
      <w:r w:rsidRPr="001D2CBC">
        <w:rPr>
          <w:rFonts w:ascii="Arial" w:hAnsi="Arial" w:cs="Arial"/>
          <w:i/>
          <w:color w:val="000000" w:themeColor="text1"/>
          <w:sz w:val="21"/>
          <w:szCs w:val="21"/>
          <w:lang w:val="en-US"/>
        </w:rPr>
        <w:t>Trp53</w:t>
      </w:r>
      <w:r w:rsidRPr="001D2CBC">
        <w:rPr>
          <w:rFonts w:ascii="Arial" w:hAnsi="Arial" w:cs="Arial"/>
          <w:color w:val="000000" w:themeColor="text1"/>
          <w:sz w:val="21"/>
          <w:szCs w:val="21"/>
          <w:lang w:val="en-US"/>
        </w:rPr>
        <w:t xml:space="preserve"> mutant cells across different cell subsets via tamoxifen administration. Mice were then separated into two groups: one received two sublethal doses of γ-irradiation (475 </w:t>
      </w:r>
      <w:proofErr w:type="spellStart"/>
      <w:r w:rsidRPr="001D2CBC">
        <w:rPr>
          <w:rFonts w:ascii="Arial" w:hAnsi="Arial" w:cs="Arial"/>
          <w:color w:val="000000" w:themeColor="text1"/>
          <w:sz w:val="21"/>
          <w:szCs w:val="21"/>
          <w:lang w:val="en-US"/>
        </w:rPr>
        <w:t>cGy</w:t>
      </w:r>
      <w:proofErr w:type="spellEnd"/>
      <w:r w:rsidRPr="001D2CBC">
        <w:rPr>
          <w:rFonts w:ascii="Arial" w:hAnsi="Arial" w:cs="Arial"/>
          <w:color w:val="000000" w:themeColor="text1"/>
          <w:sz w:val="21"/>
          <w:szCs w:val="21"/>
          <w:lang w:val="en-US"/>
        </w:rPr>
        <w:t xml:space="preserve">) administered 4 weeks apart, while the other group was not irradiated. Peripheral blood samples were collected at the indicated time points, and GFP expression within the specified cell subtypes was analyzed by flow cytometry. </w:t>
      </w:r>
      <w:r w:rsidRPr="001D2CBC">
        <w:rPr>
          <w:rFonts w:ascii="Arial" w:hAnsi="Arial" w:cs="Arial"/>
          <w:b/>
          <w:bCs/>
          <w:color w:val="000000" w:themeColor="text1"/>
          <w:sz w:val="21"/>
          <w:szCs w:val="21"/>
          <w:lang w:val="en-US"/>
        </w:rPr>
        <w:t>B</w:t>
      </w:r>
      <w:r w:rsidRPr="001D2CBC">
        <w:rPr>
          <w:rFonts w:ascii="Arial" w:hAnsi="Arial" w:cs="Arial"/>
          <w:color w:val="000000" w:themeColor="text1"/>
          <w:sz w:val="21"/>
          <w:szCs w:val="21"/>
          <w:lang w:val="en-US"/>
        </w:rPr>
        <w:t xml:space="preserve"> Single nucleotide variants (SNVs) were quantified from whole-genome sequencing of single-cell colonies derived from etoposide-treated ER-HoxB8 cells. Parental untreated bulk cells served as controls. </w:t>
      </w:r>
    </w:p>
    <w:p w14:paraId="120202DF" w14:textId="43EF8AD6" w:rsidR="000F3F7F" w:rsidRDefault="001F4F45" w:rsidP="000F3F7F">
      <w:pPr>
        <w:rPr>
          <w:rFonts w:ascii="Arial" w:hAnsi="Arial" w:cs="Arial"/>
          <w:lang w:val="en-US"/>
        </w:rPr>
      </w:pPr>
      <w:r>
        <w:rPr>
          <w:rFonts w:ascii="Arial" w:hAnsi="Arial" w:cs="Arial"/>
          <w:noProof/>
          <w:lang w:val="en-US"/>
        </w:rPr>
        <w:lastRenderedPageBreak/>
        <w:drawing>
          <wp:inline distT="0" distB="0" distL="0" distR="0" wp14:anchorId="21E2026A" wp14:editId="399636A2">
            <wp:extent cx="5753100" cy="6743700"/>
            <wp:effectExtent l="0" t="0" r="0" b="0"/>
            <wp:docPr id="103169286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6743700"/>
                    </a:xfrm>
                    <a:prstGeom prst="rect">
                      <a:avLst/>
                    </a:prstGeom>
                    <a:noFill/>
                    <a:ln>
                      <a:noFill/>
                    </a:ln>
                  </pic:spPr>
                </pic:pic>
              </a:graphicData>
            </a:graphic>
          </wp:inline>
        </w:drawing>
      </w:r>
    </w:p>
    <w:p w14:paraId="22304104" w14:textId="77777777" w:rsidR="00251813" w:rsidRDefault="00251813" w:rsidP="000F3F7F">
      <w:pPr>
        <w:rPr>
          <w:rFonts w:ascii="Arial" w:hAnsi="Arial" w:cs="Arial"/>
          <w:lang w:val="en-US"/>
        </w:rPr>
      </w:pPr>
    </w:p>
    <w:p w14:paraId="6724DDC3" w14:textId="086841C3" w:rsidR="00251813" w:rsidRPr="001D2CBC" w:rsidRDefault="00251813" w:rsidP="00251813">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S5</w:t>
      </w:r>
      <w:r w:rsidR="00E23577" w:rsidRPr="001D2CBC">
        <w:rPr>
          <w:rFonts w:ascii="Arial" w:hAnsi="Arial" w:cs="Arial"/>
          <w:b/>
          <w:bCs/>
          <w:sz w:val="21"/>
          <w:szCs w:val="21"/>
          <w:lang w:val="en-US"/>
        </w:rPr>
        <w:t xml:space="preserve">. </w:t>
      </w:r>
      <w:r w:rsidRPr="001D2CBC">
        <w:rPr>
          <w:rFonts w:ascii="Arial" w:hAnsi="Arial" w:cs="Arial"/>
          <w:b/>
          <w:bCs/>
          <w:sz w:val="21"/>
          <w:szCs w:val="21"/>
          <w:lang w:val="en-US"/>
        </w:rPr>
        <w:t xml:space="preserve">Characterization of ER-HoxB8 cells after </w:t>
      </w:r>
      <w:r w:rsidRPr="001D2CBC">
        <w:rPr>
          <w:rFonts w:ascii="Arial" w:hAnsi="Arial" w:cs="Arial"/>
          <w:b/>
          <w:bCs/>
          <w:i/>
          <w:iCs/>
          <w:sz w:val="21"/>
          <w:szCs w:val="21"/>
          <w:lang w:val="en-US"/>
        </w:rPr>
        <w:t>in vitro</w:t>
      </w:r>
      <w:r w:rsidRPr="001D2CBC">
        <w:rPr>
          <w:rFonts w:ascii="Arial" w:hAnsi="Arial" w:cs="Arial"/>
          <w:b/>
          <w:bCs/>
          <w:sz w:val="21"/>
          <w:szCs w:val="21"/>
          <w:lang w:val="en-US"/>
        </w:rPr>
        <w:t xml:space="preserve"> transformation.</w:t>
      </w:r>
      <w:r w:rsidR="00E23577" w:rsidRPr="001D2CBC">
        <w:rPr>
          <w:rFonts w:ascii="Arial" w:hAnsi="Arial" w:cs="Arial"/>
          <w:b/>
          <w:bCs/>
          <w:sz w:val="21"/>
          <w:szCs w:val="21"/>
          <w:lang w:val="en-US"/>
        </w:rPr>
        <w:t xml:space="preserve"> </w:t>
      </w:r>
      <w:r w:rsidRPr="001D2CBC">
        <w:rPr>
          <w:rFonts w:ascii="Arial" w:hAnsi="Arial" w:cs="Arial"/>
          <w:b/>
          <w:bCs/>
          <w:sz w:val="21"/>
          <w:szCs w:val="21"/>
          <w:lang w:val="en-US"/>
        </w:rPr>
        <w:t>A</w:t>
      </w:r>
      <w:r w:rsidRPr="001D2CBC">
        <w:rPr>
          <w:rFonts w:ascii="Arial" w:hAnsi="Arial" w:cs="Arial"/>
          <w:sz w:val="21"/>
          <w:szCs w:val="21"/>
          <w:lang w:val="en-US"/>
        </w:rPr>
        <w:t xml:space="preserve"> Immunophenotypic analysis of </w:t>
      </w:r>
      <w:r w:rsidRPr="001D2CBC">
        <w:rPr>
          <w:rFonts w:ascii="Arial" w:hAnsi="Arial" w:cs="Arial"/>
          <w:i/>
          <w:iCs/>
          <w:sz w:val="21"/>
          <w:szCs w:val="21"/>
          <w:lang w:val="en-US"/>
        </w:rPr>
        <w:t>in vitro</w:t>
      </w:r>
      <w:r w:rsidRPr="001D2CBC">
        <w:rPr>
          <w:rFonts w:ascii="Arial" w:hAnsi="Arial" w:cs="Arial"/>
          <w:sz w:val="21"/>
          <w:szCs w:val="21"/>
          <w:lang w:val="en-US"/>
        </w:rPr>
        <w:t xml:space="preserve"> transformed cells by flow cytometry, compared to parental </w:t>
      </w:r>
      <w:r w:rsidRPr="001D2CBC">
        <w:rPr>
          <w:rFonts w:ascii="Arial" w:hAnsi="Arial" w:cs="Arial"/>
          <w:i/>
          <w:sz w:val="21"/>
          <w:szCs w:val="21"/>
          <w:lang w:val="en-US"/>
        </w:rPr>
        <w:t>Trp53</w:t>
      </w:r>
      <w:r w:rsidRPr="001D2CBC">
        <w:rPr>
          <w:rFonts w:ascii="Arial" w:hAnsi="Arial" w:cs="Arial"/>
          <w:sz w:val="21"/>
          <w:szCs w:val="21"/>
          <w:vertAlign w:val="superscript"/>
          <w:lang w:val="en-US"/>
        </w:rPr>
        <w:t>bi</w:t>
      </w:r>
      <w:r w:rsidRPr="001D2CBC">
        <w:rPr>
          <w:rFonts w:ascii="Arial" w:hAnsi="Arial" w:cs="Arial"/>
          <w:sz w:val="21"/>
          <w:szCs w:val="21"/>
          <w:lang w:val="en-US"/>
        </w:rPr>
        <w:t xml:space="preserve"> ER-HoxB8 cells. </w:t>
      </w:r>
      <w:r w:rsidRPr="001D2CBC">
        <w:rPr>
          <w:rFonts w:ascii="Arial" w:hAnsi="Arial" w:cs="Arial"/>
          <w:b/>
          <w:bCs/>
          <w:sz w:val="21"/>
          <w:szCs w:val="21"/>
          <w:lang w:val="en-US"/>
        </w:rPr>
        <w:t>B</w:t>
      </w:r>
      <w:r w:rsidRPr="001D2CBC">
        <w:rPr>
          <w:rFonts w:ascii="Arial" w:hAnsi="Arial" w:cs="Arial"/>
          <w:sz w:val="21"/>
          <w:szCs w:val="21"/>
          <w:lang w:val="en-US"/>
        </w:rPr>
        <w:t xml:space="preserve"> Cytomorphological assessment of </w:t>
      </w:r>
      <w:r w:rsidRPr="001D2CBC">
        <w:rPr>
          <w:rFonts w:ascii="Arial" w:hAnsi="Arial" w:cs="Arial"/>
          <w:i/>
          <w:iCs/>
          <w:sz w:val="21"/>
          <w:szCs w:val="21"/>
          <w:lang w:val="en-US"/>
        </w:rPr>
        <w:t>in vitro</w:t>
      </w:r>
      <w:r w:rsidRPr="001D2CBC">
        <w:rPr>
          <w:rFonts w:ascii="Arial" w:hAnsi="Arial" w:cs="Arial"/>
          <w:sz w:val="21"/>
          <w:szCs w:val="21"/>
          <w:lang w:val="en-US"/>
        </w:rPr>
        <w:t xml:space="preserve"> transformed cells using May-Grünwald-Giemsa stained </w:t>
      </w:r>
      <w:proofErr w:type="spellStart"/>
      <w:r w:rsidRPr="001D2CBC">
        <w:rPr>
          <w:rFonts w:ascii="Arial" w:hAnsi="Arial" w:cs="Arial"/>
          <w:sz w:val="21"/>
          <w:szCs w:val="21"/>
          <w:lang w:val="en-US"/>
        </w:rPr>
        <w:t>cytospins</w:t>
      </w:r>
      <w:proofErr w:type="spellEnd"/>
      <w:r w:rsidRPr="001D2CBC">
        <w:rPr>
          <w:rFonts w:ascii="Arial" w:hAnsi="Arial" w:cs="Arial"/>
          <w:sz w:val="21"/>
          <w:szCs w:val="21"/>
          <w:lang w:val="en-US"/>
        </w:rPr>
        <w:t xml:space="preserve">. </w:t>
      </w:r>
      <w:r w:rsidRPr="001D2CBC">
        <w:rPr>
          <w:rFonts w:ascii="Arial" w:hAnsi="Arial" w:cs="Arial"/>
          <w:b/>
          <w:bCs/>
          <w:sz w:val="21"/>
          <w:szCs w:val="21"/>
          <w:lang w:val="en-US"/>
        </w:rPr>
        <w:t>C</w:t>
      </w:r>
      <w:r w:rsidRPr="001D2CBC">
        <w:rPr>
          <w:rFonts w:ascii="Arial" w:hAnsi="Arial" w:cs="Arial"/>
          <w:sz w:val="21"/>
          <w:szCs w:val="21"/>
          <w:lang w:val="en-US"/>
        </w:rPr>
        <w:t xml:space="preserve"> </w:t>
      </w:r>
      <w:bookmarkStart w:id="3" w:name="_Hlk190368586"/>
      <w:r w:rsidRPr="001D2CBC">
        <w:rPr>
          <w:rFonts w:ascii="Arial" w:hAnsi="Arial" w:cs="Arial"/>
          <w:sz w:val="21"/>
          <w:szCs w:val="21"/>
          <w:lang w:val="en-US"/>
        </w:rPr>
        <w:t xml:space="preserve">Representative metaphase spreads of </w:t>
      </w:r>
      <w:r w:rsidRPr="001D2CBC">
        <w:rPr>
          <w:rFonts w:ascii="Arial" w:hAnsi="Arial" w:cs="Arial"/>
          <w:i/>
          <w:iCs/>
          <w:sz w:val="21"/>
          <w:szCs w:val="21"/>
          <w:lang w:val="en-US"/>
        </w:rPr>
        <w:t>in vitro</w:t>
      </w:r>
      <w:r w:rsidRPr="001D2CBC">
        <w:rPr>
          <w:rFonts w:ascii="Arial" w:hAnsi="Arial" w:cs="Arial"/>
          <w:sz w:val="21"/>
          <w:szCs w:val="21"/>
          <w:lang w:val="en-US"/>
        </w:rPr>
        <w:t xml:space="preserve"> transformed cells visualized with multicolor fluorescence in situ hybridization</w:t>
      </w:r>
      <w:bookmarkEnd w:id="3"/>
      <w:r w:rsidRPr="001D2CBC">
        <w:rPr>
          <w:rFonts w:ascii="Arial" w:hAnsi="Arial" w:cs="Arial"/>
          <w:sz w:val="21"/>
          <w:szCs w:val="21"/>
          <w:lang w:val="en-US"/>
        </w:rPr>
        <w:t>. Large-scale copy number alterations are highlighted.</w:t>
      </w:r>
    </w:p>
    <w:p w14:paraId="33C1789F" w14:textId="77777777" w:rsidR="00251813" w:rsidRDefault="00251813" w:rsidP="00251813">
      <w:pPr>
        <w:spacing w:after="0" w:line="360" w:lineRule="auto"/>
        <w:jc w:val="both"/>
        <w:rPr>
          <w:rFonts w:ascii="Arial" w:hAnsi="Arial" w:cs="Arial"/>
          <w:lang w:val="en-US"/>
        </w:rPr>
      </w:pPr>
    </w:p>
    <w:p w14:paraId="208BBB1F" w14:textId="77777777" w:rsidR="00251813" w:rsidRDefault="00251813" w:rsidP="00251813">
      <w:pPr>
        <w:spacing w:after="0" w:line="360" w:lineRule="auto"/>
        <w:jc w:val="both"/>
        <w:rPr>
          <w:rFonts w:ascii="Arial" w:hAnsi="Arial" w:cs="Arial"/>
          <w:lang w:val="en-US"/>
        </w:rPr>
      </w:pPr>
    </w:p>
    <w:p w14:paraId="42F9C4EA" w14:textId="491029CB" w:rsidR="00251813" w:rsidRPr="00582247" w:rsidRDefault="00267C6C" w:rsidP="00251813">
      <w:pPr>
        <w:spacing w:after="0" w:line="360" w:lineRule="auto"/>
        <w:jc w:val="both"/>
        <w:rPr>
          <w:rFonts w:ascii="Arial" w:hAnsi="Arial" w:cs="Arial"/>
          <w:lang w:val="en-US"/>
        </w:rPr>
      </w:pPr>
      <w:r>
        <w:rPr>
          <w:rFonts w:ascii="Arial" w:hAnsi="Arial" w:cs="Arial"/>
          <w:noProof/>
          <w:lang w:val="en-US"/>
        </w:rPr>
        <w:lastRenderedPageBreak/>
        <w:drawing>
          <wp:inline distT="0" distB="0" distL="0" distR="0" wp14:anchorId="483E01C3" wp14:editId="16A54C4F">
            <wp:extent cx="4318000" cy="6472234"/>
            <wp:effectExtent l="0" t="0" r="0" b="5080"/>
            <wp:docPr id="15906577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42618" cy="6509134"/>
                    </a:xfrm>
                    <a:prstGeom prst="rect">
                      <a:avLst/>
                    </a:prstGeom>
                    <a:noFill/>
                    <a:ln>
                      <a:noFill/>
                    </a:ln>
                  </pic:spPr>
                </pic:pic>
              </a:graphicData>
            </a:graphic>
          </wp:inline>
        </w:drawing>
      </w:r>
    </w:p>
    <w:p w14:paraId="1FA34D60" w14:textId="6D2811D4" w:rsidR="00251813" w:rsidRPr="001D2CBC" w:rsidRDefault="00251813" w:rsidP="00251813">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S6</w:t>
      </w:r>
      <w:r w:rsidR="0028709E">
        <w:rPr>
          <w:rFonts w:ascii="Arial" w:hAnsi="Arial" w:cs="Arial"/>
          <w:b/>
          <w:bCs/>
          <w:sz w:val="21"/>
          <w:szCs w:val="21"/>
          <w:lang w:val="en-US"/>
        </w:rPr>
        <w:t>.</w:t>
      </w:r>
      <w:r w:rsidR="0028709E" w:rsidRPr="001D2CBC">
        <w:rPr>
          <w:rFonts w:ascii="Arial" w:hAnsi="Arial" w:cs="Arial"/>
          <w:b/>
          <w:bCs/>
          <w:sz w:val="21"/>
          <w:szCs w:val="21"/>
          <w:lang w:val="en-US"/>
        </w:rPr>
        <w:t xml:space="preserve"> </w:t>
      </w:r>
      <w:r w:rsidRPr="001D2CBC">
        <w:rPr>
          <w:rFonts w:ascii="Arial" w:hAnsi="Arial" w:cs="Arial"/>
          <w:b/>
          <w:bCs/>
          <w:sz w:val="21"/>
          <w:szCs w:val="21"/>
          <w:lang w:val="en-US"/>
        </w:rPr>
        <w:t xml:space="preserve">Characterization of hematologic malignancies in </w:t>
      </w:r>
      <w:r w:rsidRPr="001D2CBC">
        <w:rPr>
          <w:rFonts w:ascii="Arial" w:hAnsi="Arial" w:cs="Arial"/>
          <w:b/>
          <w:bCs/>
          <w:i/>
          <w:sz w:val="21"/>
          <w:szCs w:val="21"/>
          <w:lang w:val="en-US"/>
        </w:rPr>
        <w:t>Trp53</w:t>
      </w:r>
      <w:r w:rsidR="00F236A5" w:rsidRPr="001D2CBC">
        <w:rPr>
          <w:rFonts w:ascii="Arial" w:hAnsi="Arial" w:cs="Arial"/>
          <w:b/>
          <w:bCs/>
          <w:iCs/>
          <w:sz w:val="21"/>
          <w:szCs w:val="21"/>
          <w:lang w:val="en-US"/>
        </w:rPr>
        <w:t>-</w:t>
      </w:r>
      <w:r w:rsidRPr="001D2CBC">
        <w:rPr>
          <w:rFonts w:ascii="Arial" w:hAnsi="Arial" w:cs="Arial"/>
          <w:b/>
          <w:bCs/>
          <w:sz w:val="21"/>
          <w:szCs w:val="21"/>
          <w:lang w:val="en-US"/>
        </w:rPr>
        <w:t>fl-R245W-GFP;SCL-CreERT mice</w:t>
      </w:r>
      <w:r w:rsidR="00F236A5" w:rsidRPr="001D2CBC">
        <w:rPr>
          <w:rFonts w:ascii="Arial" w:hAnsi="Arial" w:cs="Arial"/>
          <w:b/>
          <w:bCs/>
          <w:sz w:val="21"/>
          <w:szCs w:val="21"/>
          <w:lang w:val="en-US"/>
        </w:rPr>
        <w:t xml:space="preserve">. </w:t>
      </w:r>
      <w:r w:rsidRPr="001D2CBC">
        <w:rPr>
          <w:rFonts w:ascii="Arial" w:hAnsi="Arial" w:cs="Arial"/>
          <w:b/>
          <w:bCs/>
          <w:sz w:val="21"/>
          <w:szCs w:val="21"/>
          <w:lang w:val="en-US"/>
        </w:rPr>
        <w:t>A</w:t>
      </w:r>
      <w:r w:rsidRPr="001D2CBC">
        <w:rPr>
          <w:rFonts w:ascii="Arial" w:hAnsi="Arial" w:cs="Arial"/>
          <w:sz w:val="21"/>
          <w:szCs w:val="21"/>
          <w:lang w:val="en-US"/>
        </w:rPr>
        <w:t xml:space="preserve"> Kaplan-Meier curves showing overall survival of </w:t>
      </w:r>
      <w:r w:rsidRPr="001D2CBC">
        <w:rPr>
          <w:rFonts w:ascii="Arial" w:hAnsi="Arial" w:cs="Arial"/>
          <w:i/>
          <w:sz w:val="21"/>
          <w:szCs w:val="21"/>
          <w:lang w:val="en-US"/>
        </w:rPr>
        <w:t>Trp53</w:t>
      </w:r>
      <w:r w:rsidR="00F236A5" w:rsidRPr="001D2CBC">
        <w:rPr>
          <w:rFonts w:ascii="Arial" w:hAnsi="Arial" w:cs="Arial"/>
          <w:iCs/>
          <w:sz w:val="21"/>
          <w:szCs w:val="21"/>
          <w:lang w:val="en-US"/>
        </w:rPr>
        <w:t>-</w:t>
      </w:r>
      <w:r w:rsidRPr="001D2CBC">
        <w:rPr>
          <w:rFonts w:ascii="Arial" w:hAnsi="Arial" w:cs="Arial"/>
          <w:sz w:val="21"/>
          <w:szCs w:val="21"/>
          <w:lang w:val="en-US"/>
        </w:rPr>
        <w:t>fl-R245W-GFP;SCL-CreERT mice (</w:t>
      </w:r>
      <w:r w:rsidRPr="001D2CBC">
        <w:rPr>
          <w:rFonts w:ascii="Arial" w:hAnsi="Arial" w:cs="Arial"/>
          <w:color w:val="000000" w:themeColor="text1"/>
          <w:sz w:val="21"/>
          <w:szCs w:val="21"/>
          <w:lang w:val="en-US"/>
        </w:rPr>
        <w:t>**p&lt;0.01, ***p&lt;0.001</w:t>
      </w:r>
      <w:r w:rsidRPr="001D2CBC">
        <w:rPr>
          <w:rFonts w:ascii="Arial" w:hAnsi="Arial" w:cs="Arial"/>
          <w:sz w:val="21"/>
          <w:szCs w:val="21"/>
          <w:lang w:val="en-US"/>
        </w:rPr>
        <w:t xml:space="preserve">****p&lt;0.0001, Mantel-Cox test). </w:t>
      </w:r>
      <w:r w:rsidRPr="001D2CBC">
        <w:rPr>
          <w:rFonts w:ascii="Arial" w:hAnsi="Arial" w:cs="Arial"/>
          <w:b/>
          <w:bCs/>
          <w:sz w:val="21"/>
          <w:szCs w:val="21"/>
          <w:lang w:val="en-US"/>
        </w:rPr>
        <w:t>B</w:t>
      </w:r>
      <w:r w:rsidRPr="001D2CBC">
        <w:rPr>
          <w:rFonts w:ascii="Arial" w:hAnsi="Arial" w:cs="Arial"/>
          <w:sz w:val="21"/>
          <w:szCs w:val="21"/>
          <w:lang w:val="en-US"/>
        </w:rPr>
        <w:t xml:space="preserve"> Spectrum of malignancies observed across the indicated experimental groups. Dashed pattern indicates the presence of both malignancies occurring simultaneously in the same mouse. </w:t>
      </w:r>
      <w:r w:rsidRPr="001D2CBC">
        <w:rPr>
          <w:rFonts w:ascii="Arial" w:hAnsi="Arial" w:cs="Arial"/>
          <w:b/>
          <w:bCs/>
          <w:sz w:val="21"/>
          <w:szCs w:val="21"/>
          <w:lang w:val="en-US"/>
        </w:rPr>
        <w:t>C</w:t>
      </w:r>
      <w:r w:rsidRPr="001D2CBC">
        <w:rPr>
          <w:rFonts w:ascii="Arial" w:hAnsi="Arial" w:cs="Arial"/>
          <w:sz w:val="21"/>
          <w:szCs w:val="21"/>
          <w:lang w:val="en-US"/>
        </w:rPr>
        <w:t xml:space="preserve"> Photograph illustrating the localization of thymic T cell lymphomas. </w:t>
      </w:r>
      <w:r w:rsidRPr="001D2CBC">
        <w:rPr>
          <w:rFonts w:ascii="Arial" w:hAnsi="Arial" w:cs="Arial"/>
          <w:b/>
          <w:bCs/>
          <w:sz w:val="21"/>
          <w:szCs w:val="21"/>
          <w:lang w:val="en-US"/>
        </w:rPr>
        <w:t>D</w:t>
      </w:r>
      <w:r w:rsidRPr="001D2CBC">
        <w:rPr>
          <w:rFonts w:ascii="Arial" w:hAnsi="Arial" w:cs="Arial"/>
          <w:sz w:val="21"/>
          <w:szCs w:val="21"/>
          <w:lang w:val="en-US"/>
        </w:rPr>
        <w:t xml:space="preserve"> Two representative immunophenotypes of T cell lymphomas, showing variable CD3 expression and robust double-positivity for CD4 and CD8a. </w:t>
      </w:r>
      <w:r w:rsidRPr="001D2CBC">
        <w:rPr>
          <w:rFonts w:ascii="Arial" w:hAnsi="Arial" w:cs="Arial"/>
          <w:b/>
          <w:bCs/>
          <w:sz w:val="21"/>
          <w:szCs w:val="21"/>
          <w:lang w:val="en-US"/>
        </w:rPr>
        <w:t>E</w:t>
      </w:r>
      <w:r w:rsidRPr="001D2CBC">
        <w:rPr>
          <w:rFonts w:ascii="Arial" w:hAnsi="Arial" w:cs="Arial"/>
          <w:sz w:val="21"/>
          <w:szCs w:val="21"/>
          <w:lang w:val="en-US"/>
        </w:rPr>
        <w:t xml:space="preserve"> Representative immunophenotype of acute erythroid leukemia, characterized by CD45 negativity and high expression of c-Kit and CD71. CD45 gating was applied to distinguish blasts from residual normal </w:t>
      </w:r>
      <w:r w:rsidR="007F2A39">
        <w:rPr>
          <w:rFonts w:ascii="Arial" w:hAnsi="Arial" w:cs="Arial"/>
          <w:sz w:val="21"/>
          <w:szCs w:val="21"/>
          <w:lang w:val="en-US"/>
        </w:rPr>
        <w:t>BM</w:t>
      </w:r>
      <w:r w:rsidRPr="001D2CBC">
        <w:rPr>
          <w:rFonts w:ascii="Arial" w:hAnsi="Arial" w:cs="Arial"/>
          <w:sz w:val="21"/>
          <w:szCs w:val="21"/>
          <w:lang w:val="en-US"/>
        </w:rPr>
        <w:t xml:space="preserve"> cells. </w:t>
      </w:r>
      <w:r w:rsidR="007F2A39">
        <w:rPr>
          <w:rFonts w:ascii="Arial" w:hAnsi="Arial" w:cs="Arial"/>
          <w:sz w:val="21"/>
          <w:szCs w:val="21"/>
          <w:lang w:val="en-US"/>
        </w:rPr>
        <w:t>BM</w:t>
      </w:r>
      <w:r w:rsidRPr="001D2CBC">
        <w:rPr>
          <w:rFonts w:ascii="Arial" w:hAnsi="Arial" w:cs="Arial"/>
          <w:sz w:val="21"/>
          <w:szCs w:val="21"/>
          <w:lang w:val="en-US"/>
        </w:rPr>
        <w:t xml:space="preserve"> from a mouse without malignancy is included for comparison. </w:t>
      </w:r>
      <w:r w:rsidRPr="001D2CBC">
        <w:rPr>
          <w:rFonts w:ascii="Arial" w:hAnsi="Arial" w:cs="Arial"/>
          <w:b/>
          <w:bCs/>
          <w:sz w:val="21"/>
          <w:szCs w:val="21"/>
          <w:lang w:val="en-US"/>
        </w:rPr>
        <w:t>F</w:t>
      </w:r>
      <w:r w:rsidRPr="001D2CBC">
        <w:rPr>
          <w:rFonts w:ascii="Arial" w:hAnsi="Arial" w:cs="Arial"/>
          <w:sz w:val="21"/>
          <w:szCs w:val="21"/>
          <w:lang w:val="en-US"/>
        </w:rPr>
        <w:t xml:space="preserve"> Photograph showing representative spleen sizes of AML-bearing and healthy control mice. </w:t>
      </w:r>
    </w:p>
    <w:p w14:paraId="64856392" w14:textId="1A1EF0C8" w:rsidR="00251813" w:rsidRDefault="00251813" w:rsidP="000F3F7F">
      <w:pPr>
        <w:rPr>
          <w:rFonts w:ascii="Arial" w:hAnsi="Arial" w:cs="Arial"/>
          <w:lang w:val="en-US"/>
        </w:rPr>
      </w:pPr>
    </w:p>
    <w:p w14:paraId="4549E618" w14:textId="1D7ED1DD" w:rsidR="00251813" w:rsidRDefault="001F4F45" w:rsidP="000F3F7F">
      <w:pPr>
        <w:rPr>
          <w:rFonts w:ascii="Arial" w:hAnsi="Arial" w:cs="Arial"/>
          <w:lang w:val="en-US"/>
        </w:rPr>
      </w:pPr>
      <w:r>
        <w:rPr>
          <w:rFonts w:ascii="Arial" w:hAnsi="Arial" w:cs="Arial"/>
          <w:noProof/>
          <w:lang w:val="en-US"/>
        </w:rPr>
        <w:drawing>
          <wp:inline distT="0" distB="0" distL="0" distR="0" wp14:anchorId="2545C090" wp14:editId="4C379032">
            <wp:extent cx="5308600" cy="5511800"/>
            <wp:effectExtent l="0" t="0" r="0" b="0"/>
            <wp:docPr id="239397180" name="Grafik 7" descr="Ein Bild, das Text,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97180" name="Grafik 7" descr="Ein Bild, das Text, Diagramm, Screenshot enthält.&#10;&#10;KI-generierte Inhalte können fehlerhaft sei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727"/>
                    <a:stretch/>
                  </pic:blipFill>
                  <pic:spPr bwMode="auto">
                    <a:xfrm>
                      <a:off x="0" y="0"/>
                      <a:ext cx="5308600" cy="5511800"/>
                    </a:xfrm>
                    <a:prstGeom prst="rect">
                      <a:avLst/>
                    </a:prstGeom>
                    <a:noFill/>
                    <a:ln>
                      <a:noFill/>
                    </a:ln>
                    <a:extLst>
                      <a:ext uri="{53640926-AAD7-44D8-BBD7-CCE9431645EC}">
                        <a14:shadowObscured xmlns:a14="http://schemas.microsoft.com/office/drawing/2010/main"/>
                      </a:ext>
                    </a:extLst>
                  </pic:spPr>
                </pic:pic>
              </a:graphicData>
            </a:graphic>
          </wp:inline>
        </w:drawing>
      </w:r>
    </w:p>
    <w:p w14:paraId="71681948" w14:textId="49784835" w:rsidR="00251813" w:rsidRDefault="00251813" w:rsidP="000F3F7F">
      <w:pPr>
        <w:rPr>
          <w:rFonts w:ascii="Arial" w:hAnsi="Arial" w:cs="Arial"/>
          <w:lang w:val="en-US"/>
        </w:rPr>
      </w:pPr>
    </w:p>
    <w:p w14:paraId="137E6C13" w14:textId="77777777" w:rsidR="00251813" w:rsidRDefault="00251813" w:rsidP="000F3F7F">
      <w:pPr>
        <w:rPr>
          <w:rFonts w:ascii="Arial" w:hAnsi="Arial" w:cs="Arial"/>
          <w:lang w:val="en-US"/>
        </w:rPr>
      </w:pPr>
    </w:p>
    <w:p w14:paraId="7825F049" w14:textId="42B9E402" w:rsidR="00251813" w:rsidRPr="001D2CBC" w:rsidRDefault="00251813" w:rsidP="001D2CBC">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S7</w:t>
      </w:r>
      <w:r w:rsidR="00F236A5" w:rsidRPr="001D2CBC">
        <w:rPr>
          <w:rFonts w:ascii="Arial" w:hAnsi="Arial" w:cs="Arial"/>
          <w:b/>
          <w:bCs/>
          <w:sz w:val="21"/>
          <w:szCs w:val="21"/>
          <w:lang w:val="en-US"/>
        </w:rPr>
        <w:t xml:space="preserve">. </w:t>
      </w:r>
      <w:r w:rsidRPr="001D2CBC">
        <w:rPr>
          <w:rFonts w:ascii="Arial" w:hAnsi="Arial" w:cs="Arial"/>
          <w:b/>
          <w:bCs/>
          <w:sz w:val="21"/>
          <w:szCs w:val="21"/>
          <w:lang w:val="en-US"/>
        </w:rPr>
        <w:t xml:space="preserve">Disease-initiating potential of transplanted AML cells derived from </w:t>
      </w:r>
      <w:r w:rsidRPr="001D2CBC">
        <w:rPr>
          <w:rFonts w:ascii="Arial" w:hAnsi="Arial" w:cs="Arial"/>
          <w:b/>
          <w:bCs/>
          <w:i/>
          <w:sz w:val="21"/>
          <w:szCs w:val="21"/>
          <w:lang w:val="en-US"/>
        </w:rPr>
        <w:t>Trp53</w:t>
      </w:r>
      <w:r w:rsidR="00F236A5" w:rsidRPr="001D2CBC">
        <w:rPr>
          <w:rFonts w:ascii="Arial" w:hAnsi="Arial" w:cs="Arial"/>
          <w:b/>
          <w:bCs/>
          <w:iCs/>
          <w:sz w:val="21"/>
          <w:szCs w:val="21"/>
          <w:lang w:val="en-US"/>
        </w:rPr>
        <w:t>-</w:t>
      </w:r>
      <w:r w:rsidRPr="001D2CBC">
        <w:rPr>
          <w:rFonts w:ascii="Arial" w:hAnsi="Arial" w:cs="Arial"/>
          <w:b/>
          <w:bCs/>
          <w:sz w:val="21"/>
          <w:szCs w:val="21"/>
          <w:lang w:val="en-US"/>
        </w:rPr>
        <w:t>fl-R245W-GFP;SCL-CreERT mice. A</w:t>
      </w:r>
      <w:r w:rsidRPr="001D2CBC">
        <w:rPr>
          <w:rFonts w:ascii="Arial" w:hAnsi="Arial" w:cs="Arial"/>
          <w:sz w:val="21"/>
          <w:szCs w:val="21"/>
          <w:lang w:val="en-US"/>
        </w:rPr>
        <w:t xml:space="preserve"> Schematic of the experimental workflow for bone marrow transplantation experiments. Whole bone marrow cells from AML-bearing mice were transplanted into myeloablative-conditioned C57BL/6 mice. Mice were terminated upon the onset of malignancy-related symptoms. </w:t>
      </w:r>
      <w:r w:rsidRPr="001D2CBC">
        <w:rPr>
          <w:rFonts w:ascii="Arial" w:hAnsi="Arial" w:cs="Arial"/>
          <w:b/>
          <w:bCs/>
          <w:sz w:val="21"/>
          <w:szCs w:val="21"/>
          <w:lang w:val="en-US"/>
        </w:rPr>
        <w:t>B</w:t>
      </w:r>
      <w:r w:rsidRPr="001D2CBC">
        <w:rPr>
          <w:rFonts w:ascii="Arial" w:hAnsi="Arial" w:cs="Arial"/>
          <w:sz w:val="21"/>
          <w:szCs w:val="21"/>
          <w:lang w:val="en-US"/>
        </w:rPr>
        <w:t xml:space="preserve"> Survival curves of recipient mice following bone marrow transplantation. </w:t>
      </w:r>
      <w:r w:rsidRPr="001D2CBC">
        <w:rPr>
          <w:rFonts w:ascii="Arial" w:hAnsi="Arial" w:cs="Arial"/>
          <w:b/>
          <w:bCs/>
          <w:sz w:val="21"/>
          <w:szCs w:val="21"/>
          <w:lang w:val="en-US"/>
        </w:rPr>
        <w:t>C</w:t>
      </w:r>
      <w:r w:rsidRPr="001D2CBC">
        <w:rPr>
          <w:rFonts w:ascii="Arial" w:hAnsi="Arial" w:cs="Arial"/>
          <w:sz w:val="21"/>
          <w:szCs w:val="21"/>
          <w:lang w:val="en-US"/>
        </w:rPr>
        <w:t xml:space="preserve"> Frequency of MEP-like cells in bone marrow of recipient mice, compared to the corresponding AML-bearing donor mice. </w:t>
      </w:r>
      <w:r w:rsidRPr="001D2CBC">
        <w:rPr>
          <w:rFonts w:ascii="Arial" w:hAnsi="Arial" w:cs="Arial"/>
          <w:b/>
          <w:bCs/>
          <w:sz w:val="21"/>
          <w:szCs w:val="21"/>
          <w:lang w:val="en-US"/>
        </w:rPr>
        <w:t>D</w:t>
      </w:r>
      <w:r w:rsidRPr="001D2CBC">
        <w:rPr>
          <w:rFonts w:ascii="Arial" w:hAnsi="Arial" w:cs="Arial"/>
          <w:sz w:val="21"/>
          <w:szCs w:val="21"/>
          <w:lang w:val="en-US"/>
        </w:rPr>
        <w:t xml:space="preserve"> Frequency of MEP-like cells in spleens of donor and recipient mice. </w:t>
      </w:r>
      <w:r w:rsidRPr="001D2CBC">
        <w:rPr>
          <w:rFonts w:ascii="Arial" w:hAnsi="Arial" w:cs="Arial"/>
          <w:b/>
          <w:bCs/>
          <w:sz w:val="21"/>
          <w:szCs w:val="21"/>
          <w:lang w:val="en-US"/>
        </w:rPr>
        <w:t>E</w:t>
      </w:r>
      <w:r w:rsidRPr="001D2CBC">
        <w:rPr>
          <w:rFonts w:ascii="Arial" w:hAnsi="Arial" w:cs="Arial"/>
          <w:sz w:val="21"/>
          <w:szCs w:val="21"/>
          <w:lang w:val="en-US"/>
        </w:rPr>
        <w:t xml:space="preserve"> Blood hemoglobin values at the termination point in both donor and recipient mice, with the normal range indicated by the green bar. </w:t>
      </w:r>
      <w:r w:rsidRPr="001D2CBC">
        <w:rPr>
          <w:rFonts w:ascii="Arial" w:hAnsi="Arial" w:cs="Arial"/>
          <w:b/>
          <w:bCs/>
          <w:sz w:val="21"/>
          <w:szCs w:val="21"/>
          <w:lang w:val="en-US"/>
        </w:rPr>
        <w:t>F</w:t>
      </w:r>
      <w:r w:rsidRPr="001D2CBC">
        <w:rPr>
          <w:rFonts w:ascii="Arial" w:hAnsi="Arial" w:cs="Arial"/>
          <w:sz w:val="21"/>
          <w:szCs w:val="21"/>
          <w:lang w:val="en-US"/>
        </w:rPr>
        <w:t xml:space="preserve"> Spleen weight of donor and recipient mice at the time of termination.</w:t>
      </w:r>
    </w:p>
    <w:p w14:paraId="4C526D28" w14:textId="77777777" w:rsidR="00251813" w:rsidRDefault="00251813" w:rsidP="00251813">
      <w:pPr>
        <w:rPr>
          <w:rFonts w:ascii="Arial" w:hAnsi="Arial" w:cs="Arial"/>
          <w:lang w:val="en-US"/>
        </w:rPr>
      </w:pPr>
    </w:p>
    <w:p w14:paraId="4731B488" w14:textId="7B81F17A" w:rsidR="00251813" w:rsidRDefault="00251813" w:rsidP="00251813">
      <w:pPr>
        <w:rPr>
          <w:rFonts w:ascii="Arial" w:hAnsi="Arial" w:cs="Arial"/>
          <w:lang w:val="en-US"/>
        </w:rPr>
      </w:pPr>
      <w:r>
        <w:rPr>
          <w:rFonts w:ascii="Arial" w:hAnsi="Arial" w:cs="Arial"/>
          <w:noProof/>
          <w:lang w:val="en-US"/>
        </w:rPr>
        <w:lastRenderedPageBreak/>
        <w:drawing>
          <wp:inline distT="0" distB="0" distL="0" distR="0" wp14:anchorId="42CB1092" wp14:editId="6A20A828">
            <wp:extent cx="5760085" cy="6662057"/>
            <wp:effectExtent l="0" t="0" r="0" b="5715"/>
            <wp:docPr id="104676796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898"/>
                    <a:stretch/>
                  </pic:blipFill>
                  <pic:spPr bwMode="auto">
                    <a:xfrm>
                      <a:off x="0" y="0"/>
                      <a:ext cx="5760085" cy="6662057"/>
                    </a:xfrm>
                    <a:prstGeom prst="rect">
                      <a:avLst/>
                    </a:prstGeom>
                    <a:noFill/>
                    <a:ln>
                      <a:noFill/>
                    </a:ln>
                    <a:extLst>
                      <a:ext uri="{53640926-AAD7-44D8-BBD7-CCE9431645EC}">
                        <a14:shadowObscured xmlns:a14="http://schemas.microsoft.com/office/drawing/2010/main"/>
                      </a:ext>
                    </a:extLst>
                  </pic:spPr>
                </pic:pic>
              </a:graphicData>
            </a:graphic>
          </wp:inline>
        </w:drawing>
      </w:r>
    </w:p>
    <w:p w14:paraId="58AE9F7A" w14:textId="77777777" w:rsidR="00251813" w:rsidRDefault="00251813" w:rsidP="00251813">
      <w:pPr>
        <w:rPr>
          <w:rFonts w:ascii="Arial" w:hAnsi="Arial" w:cs="Arial"/>
          <w:lang w:val="en-US"/>
        </w:rPr>
      </w:pPr>
    </w:p>
    <w:p w14:paraId="71142FA1" w14:textId="2DA252DE" w:rsidR="00251813" w:rsidRDefault="00251813" w:rsidP="00251813">
      <w:pPr>
        <w:spacing w:after="0" w:line="360" w:lineRule="auto"/>
        <w:jc w:val="both"/>
        <w:rPr>
          <w:rFonts w:ascii="Arial" w:hAnsi="Arial" w:cs="Arial"/>
          <w:sz w:val="21"/>
          <w:szCs w:val="21"/>
          <w:lang w:val="en-US"/>
        </w:rPr>
      </w:pPr>
      <w:r w:rsidRPr="001D2CBC">
        <w:rPr>
          <w:rFonts w:ascii="Arial" w:hAnsi="Arial" w:cs="Arial"/>
          <w:b/>
          <w:bCs/>
          <w:sz w:val="21"/>
          <w:szCs w:val="21"/>
          <w:lang w:val="en-US"/>
        </w:rPr>
        <w:t>Figure S8</w:t>
      </w:r>
      <w:r w:rsidR="0028709E">
        <w:rPr>
          <w:rFonts w:ascii="Arial" w:hAnsi="Arial" w:cs="Arial"/>
          <w:b/>
          <w:bCs/>
          <w:sz w:val="21"/>
          <w:szCs w:val="21"/>
          <w:lang w:val="en-US"/>
        </w:rPr>
        <w:t>.</w:t>
      </w:r>
      <w:r w:rsidR="0028709E" w:rsidRPr="001D2CBC">
        <w:rPr>
          <w:rFonts w:ascii="Arial" w:hAnsi="Arial" w:cs="Arial"/>
          <w:b/>
          <w:bCs/>
          <w:sz w:val="21"/>
          <w:szCs w:val="21"/>
          <w:lang w:val="en-US"/>
        </w:rPr>
        <w:t xml:space="preserve"> </w:t>
      </w:r>
      <w:r w:rsidRPr="001D2CBC">
        <w:rPr>
          <w:rFonts w:ascii="Arial" w:hAnsi="Arial" w:cs="Arial"/>
          <w:b/>
          <w:bCs/>
          <w:sz w:val="21"/>
          <w:szCs w:val="21"/>
          <w:lang w:val="en-US"/>
        </w:rPr>
        <w:t>Transcriptomic analysis of murine AMLs</w:t>
      </w:r>
      <w:r w:rsidR="0028709E" w:rsidRPr="001D2CBC">
        <w:rPr>
          <w:rFonts w:ascii="Arial" w:hAnsi="Arial" w:cs="Arial"/>
          <w:b/>
          <w:bCs/>
          <w:sz w:val="21"/>
          <w:szCs w:val="21"/>
          <w:lang w:val="en-US"/>
        </w:rPr>
        <w:t xml:space="preserve">. </w:t>
      </w:r>
      <w:r w:rsidRPr="001D2CBC">
        <w:rPr>
          <w:rFonts w:ascii="Arial" w:hAnsi="Arial" w:cs="Arial"/>
          <w:b/>
          <w:bCs/>
          <w:sz w:val="21"/>
          <w:szCs w:val="21"/>
          <w:lang w:val="en-US"/>
        </w:rPr>
        <w:t>A</w:t>
      </w:r>
      <w:r w:rsidRPr="001D2CBC">
        <w:rPr>
          <w:rFonts w:ascii="Arial" w:hAnsi="Arial" w:cs="Arial"/>
          <w:sz w:val="21"/>
          <w:szCs w:val="21"/>
          <w:lang w:val="en-US"/>
        </w:rPr>
        <w:t xml:space="preserve"> Volcano plots of gene expression in AML samples versus healthy MEPs. Genes in the “Descartes organogenesis primitive erythroid lineage” gene set are highlighted (fold change cutoff = 2; p-value cutoff = 0.05) and NES and FDR values of corresponding gene set enrichment analyses are shown. </w:t>
      </w:r>
      <w:r w:rsidRPr="001D2CBC">
        <w:rPr>
          <w:rFonts w:ascii="Arial" w:hAnsi="Arial" w:cs="Arial"/>
          <w:b/>
          <w:bCs/>
          <w:sz w:val="21"/>
          <w:szCs w:val="21"/>
          <w:lang w:val="en-US"/>
        </w:rPr>
        <w:t>B</w:t>
      </w:r>
      <w:r w:rsidRPr="001D2CBC">
        <w:rPr>
          <w:rFonts w:ascii="Arial" w:hAnsi="Arial" w:cs="Arial"/>
          <w:sz w:val="21"/>
          <w:szCs w:val="21"/>
          <w:lang w:val="en-US"/>
        </w:rPr>
        <w:t xml:space="preserve"> Volcano plots with genes in the “Yu </w:t>
      </w:r>
      <w:proofErr w:type="spellStart"/>
      <w:r w:rsidRPr="001D2CBC">
        <w:rPr>
          <w:rFonts w:ascii="Arial" w:hAnsi="Arial" w:cs="Arial"/>
          <w:sz w:val="21"/>
          <w:szCs w:val="21"/>
          <w:lang w:val="en-US"/>
        </w:rPr>
        <w:t>Myc</w:t>
      </w:r>
      <w:proofErr w:type="spellEnd"/>
      <w:r w:rsidRPr="001D2CBC">
        <w:rPr>
          <w:rFonts w:ascii="Arial" w:hAnsi="Arial" w:cs="Arial"/>
          <w:sz w:val="21"/>
          <w:szCs w:val="21"/>
          <w:lang w:val="en-US"/>
        </w:rPr>
        <w:t xml:space="preserve"> targets </w:t>
      </w:r>
      <w:proofErr w:type="spellStart"/>
      <w:r w:rsidRPr="001D2CBC">
        <w:rPr>
          <w:rFonts w:ascii="Arial" w:hAnsi="Arial" w:cs="Arial"/>
          <w:sz w:val="21"/>
          <w:szCs w:val="21"/>
          <w:lang w:val="en-US"/>
        </w:rPr>
        <w:t>dn</w:t>
      </w:r>
      <w:proofErr w:type="spellEnd"/>
      <w:r w:rsidRPr="001D2CBC">
        <w:rPr>
          <w:rFonts w:ascii="Arial" w:hAnsi="Arial" w:cs="Arial"/>
          <w:sz w:val="21"/>
          <w:szCs w:val="21"/>
          <w:lang w:val="en-US"/>
        </w:rPr>
        <w:t xml:space="preserve">” gene set highlighted (fold change cutoff = 2; p-value cutoff = 0.05). NES and FDR values of corresponding gene set enrichment analyses are shown. </w:t>
      </w:r>
    </w:p>
    <w:p w14:paraId="4666B129" w14:textId="77777777" w:rsidR="000E2C48" w:rsidRDefault="000E2C48" w:rsidP="00251813">
      <w:pPr>
        <w:spacing w:after="0" w:line="360" w:lineRule="auto"/>
        <w:jc w:val="both"/>
        <w:rPr>
          <w:rFonts w:ascii="Arial" w:hAnsi="Arial" w:cs="Arial"/>
          <w:sz w:val="21"/>
          <w:szCs w:val="21"/>
          <w:lang w:val="en-US"/>
        </w:rPr>
      </w:pPr>
    </w:p>
    <w:p w14:paraId="6A41EF42" w14:textId="77777777" w:rsidR="000E2C48" w:rsidRPr="001D2CBC" w:rsidRDefault="000E2C48" w:rsidP="00251813">
      <w:pPr>
        <w:spacing w:after="0" w:line="360" w:lineRule="auto"/>
        <w:jc w:val="both"/>
        <w:rPr>
          <w:rFonts w:ascii="Arial" w:hAnsi="Arial" w:cs="Arial"/>
          <w:color w:val="000000" w:themeColor="text1"/>
          <w:sz w:val="21"/>
          <w:szCs w:val="21"/>
          <w:lang w:val="en-US"/>
        </w:rPr>
      </w:pPr>
    </w:p>
    <w:p w14:paraId="04C8B3E1" w14:textId="151D6619" w:rsidR="00EC006A" w:rsidRDefault="00EC006A" w:rsidP="00251813">
      <w:pPr>
        <w:rPr>
          <w:rFonts w:ascii="Arial" w:hAnsi="Arial" w:cs="Arial"/>
          <w:b/>
          <w:bCs/>
          <w:lang w:val="en-US"/>
        </w:rPr>
      </w:pPr>
      <w:bookmarkStart w:id="4" w:name="OLE_LINK1"/>
      <w:r>
        <w:rPr>
          <w:rFonts w:ascii="Arial" w:hAnsi="Arial" w:cs="Arial"/>
          <w:b/>
          <w:bCs/>
          <w:noProof/>
          <w:lang w:val="en-US"/>
        </w:rPr>
        <w:lastRenderedPageBreak/>
        <w:drawing>
          <wp:anchor distT="0" distB="0" distL="114300" distR="114300" simplePos="0" relativeHeight="251658240" behindDoc="0" locked="0" layoutInCell="1" allowOverlap="1" wp14:anchorId="095954EA" wp14:editId="3040E73F">
            <wp:simplePos x="0" y="0"/>
            <wp:positionH relativeFrom="margin">
              <wp:align>right</wp:align>
            </wp:positionH>
            <wp:positionV relativeFrom="paragraph">
              <wp:posOffset>1905</wp:posOffset>
            </wp:positionV>
            <wp:extent cx="6172200" cy="7834470"/>
            <wp:effectExtent l="0" t="0" r="0" b="0"/>
            <wp:wrapNone/>
            <wp:docPr id="11733184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0" cy="7834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3BC662" w14:textId="77777777" w:rsidR="00EC006A" w:rsidRDefault="00EC006A" w:rsidP="00251813">
      <w:pPr>
        <w:rPr>
          <w:rFonts w:ascii="Arial" w:hAnsi="Arial" w:cs="Arial"/>
          <w:b/>
          <w:bCs/>
          <w:lang w:val="en-US"/>
        </w:rPr>
      </w:pPr>
    </w:p>
    <w:p w14:paraId="07771CE4" w14:textId="77777777" w:rsidR="00EC006A" w:rsidRDefault="00EC006A" w:rsidP="00251813">
      <w:pPr>
        <w:rPr>
          <w:rFonts w:ascii="Arial" w:hAnsi="Arial" w:cs="Arial"/>
          <w:b/>
          <w:bCs/>
          <w:lang w:val="en-US"/>
        </w:rPr>
      </w:pPr>
    </w:p>
    <w:p w14:paraId="200206FC" w14:textId="77777777" w:rsidR="00EC006A" w:rsidRDefault="00EC006A" w:rsidP="00251813">
      <w:pPr>
        <w:rPr>
          <w:rFonts w:ascii="Arial" w:hAnsi="Arial" w:cs="Arial"/>
          <w:b/>
          <w:bCs/>
          <w:lang w:val="en-US"/>
        </w:rPr>
      </w:pPr>
    </w:p>
    <w:p w14:paraId="16B80A55" w14:textId="77777777" w:rsidR="00EC006A" w:rsidRDefault="00EC006A" w:rsidP="00251813">
      <w:pPr>
        <w:rPr>
          <w:rFonts w:ascii="Arial" w:hAnsi="Arial" w:cs="Arial"/>
          <w:b/>
          <w:bCs/>
          <w:lang w:val="en-US"/>
        </w:rPr>
      </w:pPr>
    </w:p>
    <w:p w14:paraId="69831491" w14:textId="77777777" w:rsidR="00EC006A" w:rsidRDefault="00EC006A" w:rsidP="00251813">
      <w:pPr>
        <w:rPr>
          <w:rFonts w:ascii="Arial" w:hAnsi="Arial" w:cs="Arial"/>
          <w:b/>
          <w:bCs/>
          <w:lang w:val="en-US"/>
        </w:rPr>
      </w:pPr>
    </w:p>
    <w:p w14:paraId="27E8D17B" w14:textId="77777777" w:rsidR="00EC006A" w:rsidRDefault="00EC006A" w:rsidP="00251813">
      <w:pPr>
        <w:rPr>
          <w:rFonts w:ascii="Arial" w:hAnsi="Arial" w:cs="Arial"/>
          <w:b/>
          <w:bCs/>
          <w:lang w:val="en-US"/>
        </w:rPr>
      </w:pPr>
    </w:p>
    <w:p w14:paraId="3F97FAC0" w14:textId="77777777" w:rsidR="00EC006A" w:rsidRDefault="00EC006A" w:rsidP="00251813">
      <w:pPr>
        <w:rPr>
          <w:rFonts w:ascii="Arial" w:hAnsi="Arial" w:cs="Arial"/>
          <w:b/>
          <w:bCs/>
          <w:lang w:val="en-US"/>
        </w:rPr>
      </w:pPr>
    </w:p>
    <w:p w14:paraId="4F56F8CD" w14:textId="5975BE96" w:rsidR="00EC006A" w:rsidRDefault="00EC006A" w:rsidP="00251813">
      <w:pPr>
        <w:rPr>
          <w:rFonts w:ascii="Arial" w:hAnsi="Arial" w:cs="Arial"/>
          <w:b/>
          <w:bCs/>
          <w:lang w:val="en-US"/>
        </w:rPr>
      </w:pPr>
    </w:p>
    <w:p w14:paraId="7C49B617" w14:textId="38CE1226" w:rsidR="00EC006A" w:rsidRDefault="00EC006A" w:rsidP="00251813">
      <w:pPr>
        <w:rPr>
          <w:rFonts w:ascii="Arial" w:hAnsi="Arial" w:cs="Arial"/>
          <w:b/>
          <w:bCs/>
          <w:lang w:val="en-US"/>
        </w:rPr>
      </w:pPr>
    </w:p>
    <w:p w14:paraId="2B769902" w14:textId="3F1FFD72" w:rsidR="00EC006A" w:rsidRDefault="00EC006A" w:rsidP="00251813">
      <w:pPr>
        <w:rPr>
          <w:rFonts w:ascii="Arial" w:hAnsi="Arial" w:cs="Arial"/>
          <w:b/>
          <w:bCs/>
          <w:lang w:val="en-US"/>
        </w:rPr>
      </w:pPr>
    </w:p>
    <w:p w14:paraId="3813A1AF" w14:textId="77777777" w:rsidR="00EC006A" w:rsidRDefault="00EC006A" w:rsidP="00251813">
      <w:pPr>
        <w:rPr>
          <w:rFonts w:ascii="Arial" w:hAnsi="Arial" w:cs="Arial"/>
          <w:b/>
          <w:bCs/>
          <w:lang w:val="en-US"/>
        </w:rPr>
      </w:pPr>
    </w:p>
    <w:p w14:paraId="6ADCB35D" w14:textId="77777777" w:rsidR="00EC006A" w:rsidRDefault="00EC006A" w:rsidP="00251813">
      <w:pPr>
        <w:rPr>
          <w:rFonts w:ascii="Arial" w:hAnsi="Arial" w:cs="Arial"/>
          <w:b/>
          <w:bCs/>
          <w:lang w:val="en-US"/>
        </w:rPr>
      </w:pPr>
    </w:p>
    <w:p w14:paraId="5807981B" w14:textId="77777777" w:rsidR="00EC006A" w:rsidRDefault="00EC006A" w:rsidP="00251813">
      <w:pPr>
        <w:rPr>
          <w:rFonts w:ascii="Arial" w:hAnsi="Arial" w:cs="Arial"/>
          <w:b/>
          <w:bCs/>
          <w:lang w:val="en-US"/>
        </w:rPr>
      </w:pPr>
    </w:p>
    <w:p w14:paraId="12C5E2DE" w14:textId="77777777" w:rsidR="00EC006A" w:rsidRDefault="00EC006A" w:rsidP="00251813">
      <w:pPr>
        <w:rPr>
          <w:rFonts w:ascii="Arial" w:hAnsi="Arial" w:cs="Arial"/>
          <w:b/>
          <w:bCs/>
          <w:lang w:val="en-US"/>
        </w:rPr>
      </w:pPr>
    </w:p>
    <w:p w14:paraId="43E96379" w14:textId="77777777" w:rsidR="00EC006A" w:rsidRDefault="00EC006A" w:rsidP="00251813">
      <w:pPr>
        <w:rPr>
          <w:rFonts w:ascii="Arial" w:hAnsi="Arial" w:cs="Arial"/>
          <w:b/>
          <w:bCs/>
          <w:lang w:val="en-US"/>
        </w:rPr>
      </w:pPr>
    </w:p>
    <w:p w14:paraId="0D5A5E65" w14:textId="77777777" w:rsidR="00EC006A" w:rsidRDefault="00EC006A" w:rsidP="00251813">
      <w:pPr>
        <w:rPr>
          <w:rFonts w:ascii="Arial" w:hAnsi="Arial" w:cs="Arial"/>
          <w:b/>
          <w:bCs/>
          <w:lang w:val="en-US"/>
        </w:rPr>
      </w:pPr>
    </w:p>
    <w:p w14:paraId="6C7E8195" w14:textId="77777777" w:rsidR="00EC006A" w:rsidRDefault="00EC006A" w:rsidP="00251813">
      <w:pPr>
        <w:rPr>
          <w:rFonts w:ascii="Arial" w:hAnsi="Arial" w:cs="Arial"/>
          <w:b/>
          <w:bCs/>
          <w:lang w:val="en-US"/>
        </w:rPr>
      </w:pPr>
    </w:p>
    <w:p w14:paraId="06ACF603" w14:textId="77777777" w:rsidR="00EC006A" w:rsidRDefault="00EC006A" w:rsidP="00251813">
      <w:pPr>
        <w:rPr>
          <w:rFonts w:ascii="Arial" w:hAnsi="Arial" w:cs="Arial"/>
          <w:b/>
          <w:bCs/>
          <w:lang w:val="en-US"/>
        </w:rPr>
      </w:pPr>
    </w:p>
    <w:p w14:paraId="5C741AC9" w14:textId="77777777" w:rsidR="00EC006A" w:rsidRDefault="00EC006A" w:rsidP="00251813">
      <w:pPr>
        <w:rPr>
          <w:rFonts w:ascii="Arial" w:hAnsi="Arial" w:cs="Arial"/>
          <w:b/>
          <w:bCs/>
          <w:lang w:val="en-US"/>
        </w:rPr>
      </w:pPr>
    </w:p>
    <w:p w14:paraId="11139328" w14:textId="77777777" w:rsidR="00EC006A" w:rsidRDefault="00EC006A" w:rsidP="00251813">
      <w:pPr>
        <w:rPr>
          <w:rFonts w:ascii="Arial" w:hAnsi="Arial" w:cs="Arial"/>
          <w:b/>
          <w:bCs/>
          <w:lang w:val="en-US"/>
        </w:rPr>
      </w:pPr>
    </w:p>
    <w:p w14:paraId="3E5D4817" w14:textId="77777777" w:rsidR="00EC006A" w:rsidRDefault="00EC006A" w:rsidP="00251813">
      <w:pPr>
        <w:rPr>
          <w:rFonts w:ascii="Arial" w:hAnsi="Arial" w:cs="Arial"/>
          <w:b/>
          <w:bCs/>
          <w:lang w:val="en-US"/>
        </w:rPr>
      </w:pPr>
    </w:p>
    <w:p w14:paraId="69B02832" w14:textId="77777777" w:rsidR="00EC006A" w:rsidRDefault="00EC006A" w:rsidP="00251813">
      <w:pPr>
        <w:rPr>
          <w:rFonts w:ascii="Arial" w:hAnsi="Arial" w:cs="Arial"/>
          <w:b/>
          <w:bCs/>
          <w:lang w:val="en-US"/>
        </w:rPr>
      </w:pPr>
    </w:p>
    <w:p w14:paraId="592FC2D3" w14:textId="77777777" w:rsidR="00EC006A" w:rsidRDefault="00EC006A" w:rsidP="00251813">
      <w:pPr>
        <w:rPr>
          <w:rFonts w:ascii="Arial" w:hAnsi="Arial" w:cs="Arial"/>
          <w:b/>
          <w:bCs/>
          <w:lang w:val="en-US"/>
        </w:rPr>
      </w:pPr>
    </w:p>
    <w:p w14:paraId="1CF2C4E0" w14:textId="77777777" w:rsidR="00EC006A" w:rsidRDefault="00EC006A" w:rsidP="00251813">
      <w:pPr>
        <w:rPr>
          <w:rFonts w:ascii="Arial" w:hAnsi="Arial" w:cs="Arial"/>
          <w:b/>
          <w:bCs/>
          <w:lang w:val="en-US"/>
        </w:rPr>
      </w:pPr>
    </w:p>
    <w:p w14:paraId="0DB6EE97" w14:textId="77777777" w:rsidR="00EC006A" w:rsidRDefault="00EC006A" w:rsidP="00251813">
      <w:pPr>
        <w:rPr>
          <w:rFonts w:ascii="Arial" w:hAnsi="Arial" w:cs="Arial"/>
          <w:b/>
          <w:bCs/>
          <w:lang w:val="en-US"/>
        </w:rPr>
      </w:pPr>
    </w:p>
    <w:p w14:paraId="1AD7A3E1" w14:textId="77777777" w:rsidR="00EC006A" w:rsidRDefault="00EC006A" w:rsidP="00251813">
      <w:pPr>
        <w:rPr>
          <w:rFonts w:ascii="Arial" w:hAnsi="Arial" w:cs="Arial"/>
          <w:b/>
          <w:bCs/>
          <w:lang w:val="en-US"/>
        </w:rPr>
      </w:pPr>
    </w:p>
    <w:p w14:paraId="45204B22" w14:textId="77777777" w:rsidR="00EC006A" w:rsidRDefault="00EC006A" w:rsidP="00251813">
      <w:pPr>
        <w:rPr>
          <w:rFonts w:ascii="Arial" w:hAnsi="Arial" w:cs="Arial"/>
          <w:b/>
          <w:bCs/>
          <w:lang w:val="en-US"/>
        </w:rPr>
      </w:pPr>
    </w:p>
    <w:p w14:paraId="2B284E87" w14:textId="77777777" w:rsidR="00EC006A" w:rsidRDefault="00EC006A" w:rsidP="00251813">
      <w:pPr>
        <w:rPr>
          <w:rFonts w:ascii="Arial" w:hAnsi="Arial" w:cs="Arial"/>
          <w:b/>
          <w:bCs/>
          <w:lang w:val="en-US"/>
        </w:rPr>
      </w:pPr>
    </w:p>
    <w:p w14:paraId="1F680A78" w14:textId="77777777" w:rsidR="00EC006A" w:rsidRDefault="00EC006A" w:rsidP="00EC006A">
      <w:pPr>
        <w:spacing w:after="0" w:line="360" w:lineRule="auto"/>
        <w:jc w:val="both"/>
        <w:rPr>
          <w:rFonts w:ascii="Arial" w:hAnsi="Arial" w:cs="Arial"/>
          <w:b/>
          <w:bCs/>
          <w:lang w:val="en-US"/>
        </w:rPr>
      </w:pPr>
      <w:bookmarkStart w:id="5" w:name="_Hlk203641331"/>
    </w:p>
    <w:bookmarkEnd w:id="5"/>
    <w:p w14:paraId="3D6BE732" w14:textId="117E5634" w:rsidR="00854B80" w:rsidRPr="00F967E3" w:rsidRDefault="00854B80" w:rsidP="00854B80">
      <w:pPr>
        <w:spacing w:after="0" w:line="360" w:lineRule="auto"/>
        <w:jc w:val="both"/>
        <w:rPr>
          <w:rFonts w:ascii="Arial" w:hAnsi="Arial" w:cs="Arial"/>
          <w:lang w:val="en-US"/>
        </w:rPr>
      </w:pPr>
      <w:r w:rsidRPr="00880C9E">
        <w:rPr>
          <w:rFonts w:ascii="Arial" w:hAnsi="Arial" w:cs="Arial"/>
          <w:b/>
          <w:bCs/>
          <w:lang w:val="en-US"/>
        </w:rPr>
        <w:t xml:space="preserve">Figure S9. MDM2 overexpression in </w:t>
      </w:r>
      <w:r w:rsidRPr="00880C9E">
        <w:rPr>
          <w:rFonts w:ascii="Arial" w:hAnsi="Arial" w:cs="Arial"/>
          <w:b/>
          <w:bCs/>
          <w:i/>
          <w:iCs/>
          <w:lang w:val="en-US"/>
        </w:rPr>
        <w:t>Trp53</w:t>
      </w:r>
      <w:r w:rsidRPr="00880C9E">
        <w:rPr>
          <w:rFonts w:ascii="Arial" w:hAnsi="Arial" w:cs="Arial"/>
          <w:b/>
          <w:bCs/>
          <w:lang w:val="en-US"/>
        </w:rPr>
        <w:t xml:space="preserve"> wild-type cells mimics biallelic </w:t>
      </w:r>
      <w:r w:rsidRPr="00880C9E">
        <w:rPr>
          <w:rFonts w:ascii="Arial" w:hAnsi="Arial" w:cs="Arial"/>
          <w:b/>
          <w:bCs/>
          <w:i/>
          <w:iCs/>
          <w:lang w:val="en-US"/>
        </w:rPr>
        <w:t>Trp53</w:t>
      </w:r>
      <w:r w:rsidRPr="00880C9E">
        <w:rPr>
          <w:rFonts w:ascii="Arial" w:hAnsi="Arial" w:cs="Arial"/>
          <w:b/>
          <w:bCs/>
          <w:lang w:val="en-US"/>
        </w:rPr>
        <w:t xml:space="preserve"> mutations. A</w:t>
      </w:r>
      <w:r w:rsidRPr="00880C9E">
        <w:rPr>
          <w:rFonts w:ascii="Arial" w:hAnsi="Arial" w:cs="Arial"/>
          <w:lang w:val="en-US"/>
        </w:rPr>
        <w:t xml:space="preserve"> Workflow schematic illustrating the generation of </w:t>
      </w:r>
      <w:r w:rsidRPr="00880C9E">
        <w:rPr>
          <w:rFonts w:ascii="Arial" w:hAnsi="Arial" w:cs="Arial"/>
          <w:i/>
          <w:iCs/>
          <w:lang w:val="en-US"/>
        </w:rPr>
        <w:t>Trp53</w:t>
      </w:r>
      <w:r w:rsidRPr="00880C9E">
        <w:rPr>
          <w:rFonts w:ascii="Arial" w:hAnsi="Arial" w:cs="Arial"/>
          <w:lang w:val="en-US"/>
        </w:rPr>
        <w:t xml:space="preserve"> wild-type ER-HoxB8 cells overexpressing MDM2. </w:t>
      </w:r>
      <w:r w:rsidRPr="00880C9E">
        <w:rPr>
          <w:rFonts w:ascii="Arial" w:hAnsi="Arial" w:cs="Arial"/>
          <w:b/>
          <w:bCs/>
          <w:lang w:val="en-US"/>
        </w:rPr>
        <w:t>B</w:t>
      </w:r>
      <w:r w:rsidRPr="00880C9E">
        <w:rPr>
          <w:rFonts w:ascii="Arial" w:hAnsi="Arial" w:cs="Arial"/>
          <w:lang w:val="en-US"/>
        </w:rPr>
        <w:t xml:space="preserve"> RT-qPCR analysis of </w:t>
      </w:r>
      <w:r w:rsidRPr="00880C9E">
        <w:rPr>
          <w:rFonts w:ascii="Arial" w:hAnsi="Arial" w:cs="Arial"/>
          <w:i/>
          <w:iCs/>
          <w:lang w:val="en-US"/>
        </w:rPr>
        <w:t>Mdm2</w:t>
      </w:r>
      <w:r w:rsidRPr="00880C9E">
        <w:rPr>
          <w:rFonts w:ascii="Arial" w:hAnsi="Arial" w:cs="Arial"/>
          <w:lang w:val="en-US"/>
        </w:rPr>
        <w:t xml:space="preserve"> transcript levels in cells transduced </w:t>
      </w:r>
      <w:r w:rsidRPr="00880C9E">
        <w:rPr>
          <w:rFonts w:ascii="Arial" w:hAnsi="Arial" w:cs="Arial"/>
          <w:lang w:val="en-US"/>
        </w:rPr>
        <w:lastRenderedPageBreak/>
        <w:t>with an MDM2 overexpression vector or a “</w:t>
      </w:r>
      <w:proofErr w:type="spellStart"/>
      <w:r w:rsidRPr="00880C9E">
        <w:rPr>
          <w:rFonts w:ascii="Arial" w:hAnsi="Arial" w:cs="Arial"/>
          <w:lang w:val="en-US"/>
        </w:rPr>
        <w:t>tRFP</w:t>
      </w:r>
      <w:proofErr w:type="spellEnd"/>
      <w:r w:rsidRPr="00880C9E">
        <w:rPr>
          <w:rFonts w:ascii="Arial" w:hAnsi="Arial" w:cs="Arial"/>
          <w:lang w:val="en-US"/>
        </w:rPr>
        <w:t xml:space="preserve"> only” control vector (biological replicates n = 3; symbols represent the average of experimental replicates; error bars indicate SEM; ****p &lt; 0.0001, one-way ANOVA; Tukey multiple comparison). </w:t>
      </w:r>
      <w:r w:rsidRPr="00880C9E">
        <w:rPr>
          <w:rFonts w:ascii="Arial" w:hAnsi="Arial" w:cs="Arial"/>
          <w:b/>
          <w:bCs/>
          <w:lang w:val="en-US"/>
        </w:rPr>
        <w:t>C</w:t>
      </w:r>
      <w:r w:rsidRPr="00880C9E">
        <w:rPr>
          <w:rFonts w:ascii="Arial" w:hAnsi="Arial" w:cs="Arial"/>
          <w:lang w:val="en-US"/>
        </w:rPr>
        <w:t xml:space="preserve"> Cells were treated with 10 µM etoposide for 3 hours. Whole-cell protein lysates were resolved on a polyacrylamide gel and immunoblotted for p53, p21, and β-actin (biological replicates n = 3; representative image shown). </w:t>
      </w:r>
      <w:r w:rsidRPr="00880C9E">
        <w:rPr>
          <w:rFonts w:ascii="Arial" w:hAnsi="Arial" w:cs="Arial"/>
          <w:b/>
          <w:bCs/>
          <w:lang w:val="en-US"/>
        </w:rPr>
        <w:t>D</w:t>
      </w:r>
      <w:r w:rsidRPr="00880C9E">
        <w:rPr>
          <w:rFonts w:ascii="Arial" w:hAnsi="Arial" w:cs="Arial"/>
          <w:lang w:val="en-US"/>
        </w:rPr>
        <w:t xml:space="preserve"> Cells were treated with DMSO or 1 µM etoposide for 24 hours, stained with Annexin V, and analyzed by flow cytometry to determine the percentage of apoptotic cells (biological replicates n = 3; symbols represent the average of experimental replicates; error bars indicate SEM; ****p &lt; 0.0001, one-way ANOVA; Tukey multiple comparison). </w:t>
      </w:r>
      <w:r w:rsidRPr="00880C9E">
        <w:rPr>
          <w:rFonts w:ascii="Arial" w:hAnsi="Arial" w:cs="Arial"/>
          <w:b/>
          <w:bCs/>
          <w:lang w:val="en-US"/>
        </w:rPr>
        <w:t xml:space="preserve">E-F </w:t>
      </w:r>
      <w:r w:rsidRPr="00880C9E">
        <w:rPr>
          <w:rFonts w:ascii="Arial" w:hAnsi="Arial" w:cs="Arial"/>
          <w:lang w:val="en-US"/>
        </w:rPr>
        <w:t xml:space="preserve">Cells were treated with DMSO or 40 µM etoposide for 1 hour, followed by 24 hours in drug-free medium. Samples were collected immediately after the 1-hour treatment and after the 24-hour recovery period and γH2AX levels were assessed by flow cytometry (biological replicates n=3; symbols represent the average of experimental replicates; error bars indicate SEM, **p&lt;0.01,****p&lt;0.0001, one-way ANOVA, Tukey multiple comparison). </w:t>
      </w:r>
      <w:r w:rsidRPr="00880C9E">
        <w:rPr>
          <w:rFonts w:ascii="Arial" w:hAnsi="Arial" w:cs="Arial"/>
          <w:b/>
          <w:bCs/>
          <w:lang w:val="en-US"/>
        </w:rPr>
        <w:t>G</w:t>
      </w:r>
      <w:r w:rsidRPr="00880C9E">
        <w:rPr>
          <w:rFonts w:ascii="Arial" w:hAnsi="Arial" w:cs="Arial"/>
          <w:lang w:val="en-US"/>
        </w:rPr>
        <w:t xml:space="preserve"> Cells with (</w:t>
      </w:r>
      <w:proofErr w:type="spellStart"/>
      <w:r w:rsidRPr="00880C9E">
        <w:rPr>
          <w:rFonts w:ascii="Arial" w:hAnsi="Arial" w:cs="Arial"/>
          <w:lang w:val="en-US"/>
        </w:rPr>
        <w:t>tRFP</w:t>
      </w:r>
      <w:proofErr w:type="spellEnd"/>
      <w:r w:rsidRPr="00880C9E">
        <w:rPr>
          <w:rFonts w:ascii="Arial" w:hAnsi="Arial" w:cs="Arial"/>
          <w:lang w:val="en-US"/>
        </w:rPr>
        <w:t>-positive) and without (</w:t>
      </w:r>
      <w:proofErr w:type="spellStart"/>
      <w:r w:rsidRPr="00880C9E">
        <w:rPr>
          <w:rFonts w:ascii="Arial" w:hAnsi="Arial" w:cs="Arial"/>
          <w:lang w:val="en-US"/>
        </w:rPr>
        <w:t>tRFP</w:t>
      </w:r>
      <w:proofErr w:type="spellEnd"/>
      <w:r w:rsidRPr="00880C9E">
        <w:rPr>
          <w:rFonts w:ascii="Arial" w:hAnsi="Arial" w:cs="Arial"/>
          <w:lang w:val="en-US"/>
        </w:rPr>
        <w:t xml:space="preserve">-negative) MDM2 overexpression were mixed in a 1:9 ratio and cultured with DMSO or 100 nM etoposide for 10 days. The frequency of </w:t>
      </w:r>
      <w:proofErr w:type="spellStart"/>
      <w:r w:rsidRPr="00880C9E">
        <w:rPr>
          <w:rFonts w:ascii="Arial" w:hAnsi="Arial" w:cs="Arial"/>
          <w:lang w:val="en-US"/>
        </w:rPr>
        <w:t>tRFP</w:t>
      </w:r>
      <w:proofErr w:type="spellEnd"/>
      <w:r w:rsidRPr="00880C9E">
        <w:rPr>
          <w:rFonts w:ascii="Arial" w:hAnsi="Arial" w:cs="Arial"/>
          <w:lang w:val="en-US"/>
        </w:rPr>
        <w:t xml:space="preserve">-positive cells was quantified every 2 days via flow cytometry (biological replicates n = 3). </w:t>
      </w:r>
      <w:r w:rsidRPr="00880C9E">
        <w:rPr>
          <w:rFonts w:ascii="Arial" w:hAnsi="Arial" w:cs="Arial"/>
          <w:b/>
          <w:bCs/>
          <w:lang w:val="en-US"/>
        </w:rPr>
        <w:t>H</w:t>
      </w:r>
      <w:r w:rsidRPr="00880C9E">
        <w:rPr>
          <w:rFonts w:ascii="Arial" w:hAnsi="Arial" w:cs="Arial"/>
          <w:lang w:val="en-US"/>
        </w:rPr>
        <w:t xml:space="preserve"> Volcano plot of gene expression in etoposide-treated samples, highlighting 14 established p53 target genes (fold change cutoff = 2; p-value cutoff = 0.05). </w:t>
      </w:r>
      <w:r w:rsidRPr="00880C9E">
        <w:rPr>
          <w:rFonts w:ascii="Arial" w:hAnsi="Arial" w:cs="Arial"/>
          <w:b/>
          <w:bCs/>
          <w:lang w:val="en-US"/>
        </w:rPr>
        <w:t>I</w:t>
      </w:r>
      <w:r w:rsidRPr="00880C9E">
        <w:rPr>
          <w:rFonts w:ascii="Arial" w:hAnsi="Arial" w:cs="Arial"/>
          <w:lang w:val="en-US"/>
        </w:rPr>
        <w:t xml:space="preserve"> Heatmap of the top 50 genes most frequently upregulated by p53 in murine RNA sequencing datasets </w:t>
      </w:r>
      <w:r w:rsidRPr="00880C9E">
        <w:rPr>
          <w:rFonts w:ascii="Arial" w:hAnsi="Arial" w:cs="Arial"/>
          <w:lang w:val="en-US"/>
        </w:rPr>
        <w:fldChar w:fldCharType="begin">
          <w:fldData xml:space="preserve">PEVuZE5vdGU+PENpdGU+PEF1dGhvcj5GaXNjaGVyPC9BdXRob3I+PFllYXI+MjAxOTwvWWVhcj48
UmVjTnVtPjUyPC9SZWNOdW0+PERpc3BsYXlUZXh0PigxKTwvRGlzcGxheVRleHQ+PHJlY29yZD48
cmVjLW51bWJlcj41MjwvcmVjLW51bWJlcj48Zm9yZWlnbi1rZXlzPjxrZXkgYXBwPSJFTiIgZGIt
aWQ9ImEyMnpzZmY5NXc5djV1ZXhmMGt2ZTJlbDByZGZmcnh4YWZzciIgdGltZXN0YW1wPSIxNzM4
MjM0MjA3IiBndWlkPSIyMGI1MmYyYy1kMzEwLTRiNjctODhlMS03ZTFhNzc5MWI4OTQiPjUyPC9r
ZXk+PC9mb3JlaWduLWtleXM+PHJlZi10eXBlIG5hbWU9IkpvdXJuYWwgQXJ0aWNsZSI+MTc8L3Jl
Zi10eXBlPjxjb250cmlidXRvcnM+PGF1dGhvcnM+PGF1dGhvcj5GaXNjaGVyLCBNLjwvYXV0aG9y
PjwvYXV0aG9ycz48L2NvbnRyaWJ1dG9ycz48YXV0aC1hZGRyZXNzPkNvbXB1dGF0aW9uYWwgQmlv
bG9neSBHcm91cCwgTGVpYm5peiBJbnN0aXR1dGUgb24gQWdpbmcgLSBGcml0eiBMaXBtYW5uIElu
c3RpdHV0ZSAoRkxJKSwgMDc3NDUsIEplbmEsIEdlcm1hbnkuIE1hcnRpbi5GaXNjaGVyQGxlaWJu
aXotZmxpLmRlLiYjeEQ7TW9sZWN1bGFyIE9uY29sb2d5IEdyb3VwLCBNZWRpY2FsIFNjaG9vbCwg
VW5pdmVyc2l0eSBvZiBMZWlwemlnLCAwNDEwMywgTGVpcHppZywgR2VybWFueS4gTWFydGluLkZp
c2NoZXJAbGVpYm5pei1mbGkuZGUuPC9hdXRoLWFkZHJlc3M+PHRpdGxlcz48dGl0bGU+Q29uc2Vy
dmF0aW9uIGFuZCBkaXZlcmdlbmNlIG9mIHRoZSBwNTMgZ2VuZSByZWd1bGF0b3J5IG5ldHdvcmsg
YmV0d2VlbiBtaWNlIGFuZCBodW1hbnM8L3RpdGxlPjxzZWNvbmRhcnktdGl0bGU+T25jb2dlbmU8
L3NlY29uZGFyeS10aXRsZT48L3RpdGxlcz48cGVyaW9kaWNhbD48ZnVsbC10aXRsZT5PbmNvZ2Vu
ZTwvZnVsbC10aXRsZT48L3BlcmlvZGljYWw+PHBhZ2VzPjQwOTUtNDEwOTwvcGFnZXM+PHZvbHVt
ZT4zODwvdm9sdW1lPjxudW1iZXI+MjE8L251bWJlcj48ZWRpdGlvbj4yMDE5MDIwMTwvZWRpdGlv
bj48a2V5d29yZHM+PGtleXdvcmQ+QW5pbWFsczwva2V5d29yZD48a2V5d29yZD5CaW5kaW5nIFNp
dGVzL2dlbmV0aWNzPC9rZXl3b3JkPjxrZXl3b3JkPkNlbGwgQ3ljbGUvZ2VuZXRpY3M8L2tleXdv
cmQ+PGtleXdvcmQ+Q2VsbCBMaW5lLCBUdW1vcjwva2V5d29yZD48a2V5d29yZD5DeWNsaW4tRGVw
ZW5kZW50IEtpbmFzZSBJbmhpYml0b3IgcDIxL2dlbmV0aWNzPC9rZXl3b3JkPjxrZXl3b3JkPkRv
d24tUmVndWxhdGlvbi9nZW5ldGljczwva2V5d29yZD48a2V5d29yZD5HZW5lIEV4cHJlc3Npb24g
UmVndWxhdGlvbi9nZW5ldGljczwva2V5d29yZD48a2V5d29yZD5HZW5lIFJlZ3VsYXRvcnkgTmV0
d29ya3MvKmdlbmV0aWNzPC9rZXl3b3JkPjxrZXl3b3JkPkh1bWFuczwva2V5d29yZD48a2V5d29y
ZD5NaWNlPC9rZXl3b3JkPjxrZXl3b3JkPlByb3RlaW4gQmluZGluZy9nZW5ldGljczwva2V5d29y
ZD48a2V5d29yZD5TaWduYWwgVHJhbnNkdWN0aW9uL2dlbmV0aWNzPC9rZXl3b3JkPjxrZXl3b3Jk
PlR1bW9yIFN1cHByZXNzb3IgUHJvdGVpbiBwNTMvKmdlbmV0aWNzPC9rZXl3b3JkPjxrZXl3b3Jk
PlVwLVJlZ3VsYXRpb24vZ2VuZXRpY3M8L2tleXdvcmQ+PC9rZXl3b3Jkcz48ZGF0ZXM+PHllYXI+
MjAxOTwveWVhcj48cHViLWRhdGVzPjxkYXRlPk1heTwvZGF0ZT48L3B1Yi1kYXRlcz48L2RhdGVz
Pjxpc2JuPjE0NzYtNTU5NCAoRWxlY3Ryb25pYykmI3hEOzA5NTAtOTIzMiAoUHJpbnQpJiN4RDsw
OTUwLTkyMzIgKExpbmtpbmcpPC9pc2JuPjxhY2Nlc3Npb24tbnVtPjMwNzEwMTQ1PC9hY2Nlc3Np
b24tbnVtPjx1cmxzPjxyZWxhdGVkLXVybHM+PHVybD5odHRwczovL3d3dy5uY2JpLm5sbS5uaWgu
Z292L3B1Ym1lZC8zMDcxMDE0NTwvdXJsPjwvcmVsYXRlZC11cmxzPjwvdXJscz48Y3VzdG9tMT5U
aGUgYXV0aG9yIGRlY2xhcmVzIHRoYXQgaGUgaGFzIG5vIGNvbmZsaWN0IG9mIGludGVyZXN0Ljwv
Y3VzdG9tMT48Y3VzdG9tMj5QTUM2NzU1OTk2PC9jdXN0b20yPjxlbGVjdHJvbmljLXJlc291cmNl
LW51bT4xMC4xMDM4L3M0MTM4OC0wMTktMDcwNi05PC9lbGVjdHJvbmljLXJlc291cmNlLW51bT48
cmVtb3RlLWRhdGFiYXNlLW5hbWU+TWVkbGluZTwvcmVtb3RlLWRhdGFiYXNlLW5hbWU+PHJlbW90
ZS1kYXRhYmFzZS1wcm92aWRlcj5OTE08L3JlbW90ZS1kYXRhYmFzZS1wcm92aWRlcj48L3JlY29y
ZD48L0NpdGU+PC9FbmROb3RlPn==
</w:fldData>
        </w:fldChar>
      </w:r>
      <w:r w:rsidRPr="00880C9E">
        <w:rPr>
          <w:rFonts w:ascii="Arial" w:hAnsi="Arial" w:cs="Arial"/>
          <w:lang w:val="en-US"/>
        </w:rPr>
        <w:instrText xml:space="preserve"> ADDIN EN.JS.CITE </w:instrText>
      </w:r>
      <w:r w:rsidRPr="00880C9E">
        <w:rPr>
          <w:rFonts w:ascii="Arial" w:hAnsi="Arial" w:cs="Arial"/>
          <w:lang w:val="en-US"/>
        </w:rPr>
      </w:r>
      <w:r w:rsidRPr="00880C9E">
        <w:rPr>
          <w:rFonts w:ascii="Arial" w:hAnsi="Arial" w:cs="Arial"/>
          <w:lang w:val="en-US"/>
        </w:rPr>
        <w:fldChar w:fldCharType="separate"/>
      </w:r>
      <w:r w:rsidRPr="00880C9E">
        <w:rPr>
          <w:rFonts w:ascii="Arial" w:hAnsi="Arial" w:cs="Arial"/>
          <w:noProof/>
          <w:lang w:val="en-US"/>
        </w:rPr>
        <w:t>(1)</w:t>
      </w:r>
      <w:r w:rsidRPr="00880C9E">
        <w:rPr>
          <w:rFonts w:ascii="Arial" w:hAnsi="Arial" w:cs="Arial"/>
          <w:lang w:val="en-US"/>
        </w:rPr>
        <w:fldChar w:fldCharType="end"/>
      </w:r>
      <w:r w:rsidRPr="00880C9E">
        <w:rPr>
          <w:rFonts w:ascii="Arial" w:hAnsi="Arial" w:cs="Arial"/>
          <w:lang w:val="en-US"/>
        </w:rPr>
        <w:t xml:space="preserve"> with hierarchical clustering. 4 biological replicates per group shown. </w:t>
      </w:r>
      <w:r w:rsidRPr="00880C9E">
        <w:rPr>
          <w:rFonts w:ascii="Arial" w:hAnsi="Arial" w:cs="Arial"/>
          <w:b/>
          <w:bCs/>
          <w:lang w:val="en-US"/>
        </w:rPr>
        <w:t>J</w:t>
      </w:r>
      <w:r w:rsidRPr="00880C9E">
        <w:rPr>
          <w:rFonts w:ascii="Arial" w:hAnsi="Arial" w:cs="Arial"/>
          <w:lang w:val="en-US"/>
        </w:rPr>
        <w:t xml:space="preserve"> Table summarizing the frequency of </w:t>
      </w:r>
      <w:r w:rsidRPr="00880C9E">
        <w:rPr>
          <w:rFonts w:ascii="Arial" w:hAnsi="Arial" w:cs="Arial"/>
          <w:i/>
          <w:iCs/>
          <w:lang w:val="en-US"/>
        </w:rPr>
        <w:t>in vitro</w:t>
      </w:r>
      <w:r w:rsidRPr="00880C9E">
        <w:rPr>
          <w:rFonts w:ascii="Arial" w:hAnsi="Arial" w:cs="Arial"/>
          <w:lang w:val="en-US"/>
        </w:rPr>
        <w:t xml:space="preserve"> transformed cell line establishment in MDM2-overexpressing cells across 15 independent experiments per condition. </w:t>
      </w:r>
      <w:r w:rsidRPr="00880C9E">
        <w:rPr>
          <w:rFonts w:ascii="Arial" w:hAnsi="Arial" w:cs="Arial"/>
          <w:b/>
          <w:bCs/>
          <w:lang w:val="en-US"/>
        </w:rPr>
        <w:t>K</w:t>
      </w:r>
      <w:r w:rsidRPr="00880C9E">
        <w:rPr>
          <w:rFonts w:ascii="Arial" w:hAnsi="Arial" w:cs="Arial"/>
          <w:lang w:val="en-US"/>
        </w:rPr>
        <w:t xml:space="preserve"> Agarose gel electrophoresis showing DNA amplicons from </w:t>
      </w:r>
      <w:r w:rsidRPr="00880C9E">
        <w:rPr>
          <w:rFonts w:ascii="Arial" w:hAnsi="Arial" w:cs="Arial"/>
          <w:i/>
          <w:iCs/>
          <w:lang w:val="en-US"/>
        </w:rPr>
        <w:t>Trp53</w:t>
      </w:r>
      <w:r w:rsidRPr="00880C9E">
        <w:rPr>
          <w:rFonts w:ascii="Arial" w:hAnsi="Arial" w:cs="Arial"/>
          <w:lang w:val="en-US"/>
        </w:rPr>
        <w:t xml:space="preserve">-specific PCR. </w:t>
      </w:r>
      <w:r w:rsidRPr="00880C9E">
        <w:rPr>
          <w:rFonts w:ascii="Arial" w:hAnsi="Arial" w:cs="Arial"/>
          <w:b/>
          <w:bCs/>
          <w:lang w:val="en-US"/>
        </w:rPr>
        <w:t>L</w:t>
      </w:r>
      <w:r w:rsidRPr="00880C9E">
        <w:rPr>
          <w:rFonts w:ascii="Arial" w:hAnsi="Arial" w:cs="Arial"/>
          <w:lang w:val="en-US"/>
        </w:rPr>
        <w:t xml:space="preserve"> Cells were treated with DMSO, 1 µM etoposide or 10 µM nutlin-3a for 24 hours, stained with Annexin V, and analyzed by flow cytometry to determine the percentage of apoptotic cells (biological replicates n = 3; symbols represent the average of experimental replicates; error bars indicate SD; ***p &lt; 0.001, ****p &lt; 0.0001, one-way ANOVA; Tukey multiple comparison).</w:t>
      </w:r>
    </w:p>
    <w:p w14:paraId="35384AD9" w14:textId="77777777" w:rsidR="00EC006A" w:rsidRDefault="00EC006A" w:rsidP="00251813">
      <w:pPr>
        <w:rPr>
          <w:rFonts w:ascii="Arial" w:hAnsi="Arial" w:cs="Arial"/>
          <w:b/>
          <w:bCs/>
          <w:lang w:val="en-US"/>
        </w:rPr>
      </w:pPr>
    </w:p>
    <w:p w14:paraId="415EDB34" w14:textId="77777777" w:rsidR="00EC006A" w:rsidRDefault="00EC006A" w:rsidP="00251813">
      <w:pPr>
        <w:rPr>
          <w:rFonts w:ascii="Arial" w:hAnsi="Arial" w:cs="Arial"/>
          <w:b/>
          <w:bCs/>
          <w:lang w:val="en-US"/>
        </w:rPr>
      </w:pPr>
    </w:p>
    <w:p w14:paraId="42BBF803" w14:textId="77777777" w:rsidR="00EC006A" w:rsidRDefault="00EC006A" w:rsidP="00251813">
      <w:pPr>
        <w:rPr>
          <w:rFonts w:ascii="Arial" w:hAnsi="Arial" w:cs="Arial"/>
          <w:b/>
          <w:bCs/>
          <w:lang w:val="en-US"/>
        </w:rPr>
      </w:pPr>
    </w:p>
    <w:p w14:paraId="192C3078" w14:textId="77777777" w:rsidR="00EC006A" w:rsidRDefault="00EC006A" w:rsidP="00251813">
      <w:pPr>
        <w:rPr>
          <w:rFonts w:ascii="Arial" w:hAnsi="Arial" w:cs="Arial"/>
          <w:b/>
          <w:bCs/>
          <w:lang w:val="en-US"/>
        </w:rPr>
      </w:pPr>
    </w:p>
    <w:p w14:paraId="5C69E159" w14:textId="77777777" w:rsidR="00EC006A" w:rsidRDefault="00EC006A" w:rsidP="00251813">
      <w:pPr>
        <w:rPr>
          <w:rFonts w:ascii="Arial" w:hAnsi="Arial" w:cs="Arial"/>
          <w:b/>
          <w:bCs/>
          <w:lang w:val="en-US"/>
        </w:rPr>
      </w:pPr>
    </w:p>
    <w:p w14:paraId="6F3AAB0F" w14:textId="77777777" w:rsidR="00EC006A" w:rsidRDefault="00EC006A" w:rsidP="00251813">
      <w:pPr>
        <w:rPr>
          <w:rFonts w:ascii="Arial" w:hAnsi="Arial" w:cs="Arial"/>
          <w:b/>
          <w:bCs/>
          <w:lang w:val="en-US"/>
        </w:rPr>
      </w:pPr>
    </w:p>
    <w:p w14:paraId="6D2DE047" w14:textId="77777777" w:rsidR="00EC006A" w:rsidRDefault="00EC006A" w:rsidP="00251813">
      <w:pPr>
        <w:rPr>
          <w:rFonts w:ascii="Arial" w:hAnsi="Arial" w:cs="Arial"/>
          <w:b/>
          <w:bCs/>
          <w:lang w:val="en-US"/>
        </w:rPr>
      </w:pPr>
    </w:p>
    <w:p w14:paraId="2A12D9F9" w14:textId="77777777" w:rsidR="00EC006A" w:rsidRDefault="00EC006A" w:rsidP="00251813">
      <w:pPr>
        <w:rPr>
          <w:rFonts w:ascii="Arial" w:hAnsi="Arial" w:cs="Arial"/>
          <w:b/>
          <w:bCs/>
          <w:lang w:val="en-US"/>
        </w:rPr>
      </w:pPr>
    </w:p>
    <w:p w14:paraId="420BC625" w14:textId="1401F4A3" w:rsidR="00251813" w:rsidRDefault="000E2C48" w:rsidP="00251813">
      <w:pPr>
        <w:rPr>
          <w:rFonts w:ascii="Arial" w:hAnsi="Arial" w:cs="Arial"/>
          <w:b/>
          <w:bCs/>
          <w:lang w:val="en-US"/>
        </w:rPr>
      </w:pPr>
      <w:r w:rsidRPr="000E2C48">
        <w:rPr>
          <w:rFonts w:ascii="Arial" w:hAnsi="Arial" w:cs="Arial"/>
          <w:b/>
          <w:bCs/>
          <w:lang w:val="en-US"/>
        </w:rPr>
        <w:lastRenderedPageBreak/>
        <w:t>SUPPLEMENTARY METHODS</w:t>
      </w:r>
    </w:p>
    <w:p w14:paraId="725C077C" w14:textId="77777777" w:rsidR="000E2C48" w:rsidRDefault="000E2C48" w:rsidP="00251813">
      <w:pPr>
        <w:rPr>
          <w:rFonts w:ascii="Arial" w:hAnsi="Arial" w:cs="Arial"/>
          <w:b/>
          <w:bCs/>
          <w:lang w:val="en-US"/>
        </w:rPr>
      </w:pPr>
    </w:p>
    <w:p w14:paraId="0F0452F4" w14:textId="3739E9F5" w:rsidR="00854B80" w:rsidRPr="00880C9E" w:rsidRDefault="00854B80" w:rsidP="000E2C48">
      <w:pPr>
        <w:spacing w:line="360" w:lineRule="auto"/>
        <w:jc w:val="both"/>
        <w:rPr>
          <w:rFonts w:ascii="Arial" w:hAnsi="Arial" w:cs="Arial"/>
          <w:b/>
          <w:bCs/>
          <w:lang w:val="en-US"/>
        </w:rPr>
      </w:pPr>
      <w:r w:rsidRPr="00880C9E">
        <w:rPr>
          <w:rFonts w:ascii="Arial" w:hAnsi="Arial" w:cs="Arial"/>
          <w:b/>
          <w:bCs/>
          <w:lang w:val="en-US"/>
        </w:rPr>
        <w:t xml:space="preserve">Nomenclature for </w:t>
      </w:r>
      <w:r w:rsidRPr="00880C9E">
        <w:rPr>
          <w:rFonts w:ascii="Arial" w:hAnsi="Arial" w:cs="Arial"/>
          <w:b/>
          <w:bCs/>
          <w:i/>
          <w:iCs/>
          <w:lang w:val="en-US"/>
        </w:rPr>
        <w:t>Trp53</w:t>
      </w:r>
      <w:r w:rsidRPr="00880C9E">
        <w:rPr>
          <w:rFonts w:ascii="Arial" w:hAnsi="Arial" w:cs="Arial"/>
          <w:b/>
          <w:bCs/>
          <w:lang w:val="en-US"/>
        </w:rPr>
        <w:t xml:space="preserve"> status used in the manuscript</w:t>
      </w:r>
    </w:p>
    <w:p w14:paraId="3ADB6C2D" w14:textId="2472372D" w:rsidR="007B226B" w:rsidRPr="00880C9E" w:rsidRDefault="0024085F" w:rsidP="001B4E45">
      <w:pPr>
        <w:pStyle w:val="Body"/>
        <w:spacing w:line="360" w:lineRule="auto"/>
        <w:rPr>
          <w:rFonts w:ascii="Arial" w:hAnsi="Arial" w:cs="Arial"/>
        </w:rPr>
      </w:pPr>
      <w:r w:rsidRPr="00880C9E">
        <w:rPr>
          <w:rFonts w:ascii="Arial" w:hAnsi="Arial" w:cs="Arial"/>
        </w:rPr>
        <w:t xml:space="preserve">To minimize confusion and ensure consistency across model systems, we have adopted a simplified nomenclature that always refers to the a priori experimentally-induced </w:t>
      </w:r>
      <w:r w:rsidRPr="00880C9E">
        <w:rPr>
          <w:rFonts w:ascii="Arial" w:hAnsi="Arial" w:cs="Arial"/>
          <w:i/>
          <w:iCs/>
        </w:rPr>
        <w:t>Trp53</w:t>
      </w:r>
      <w:r w:rsidRPr="00880C9E">
        <w:rPr>
          <w:rFonts w:ascii="Arial" w:hAnsi="Arial" w:cs="Arial"/>
        </w:rPr>
        <w:t xml:space="preserve"> status:</w:t>
      </w:r>
    </w:p>
    <w:p w14:paraId="08F88DD5" w14:textId="77777777" w:rsidR="0024085F" w:rsidRPr="00880C9E" w:rsidRDefault="0024085F" w:rsidP="001B4E45">
      <w:pPr>
        <w:pStyle w:val="Body"/>
        <w:spacing w:line="360" w:lineRule="auto"/>
        <w:rPr>
          <w:rFonts w:ascii="Arial" w:hAnsi="Arial" w:cs="Arial"/>
        </w:rPr>
      </w:pPr>
    </w:p>
    <w:p w14:paraId="6F20FF16" w14:textId="5B75E999" w:rsidR="00164724" w:rsidRPr="00880C9E" w:rsidRDefault="00164724" w:rsidP="001B4E45">
      <w:pPr>
        <w:pStyle w:val="Body"/>
        <w:spacing w:line="360" w:lineRule="auto"/>
        <w:rPr>
          <w:rFonts w:ascii="Arial" w:hAnsi="Arial" w:cs="Arial"/>
        </w:rPr>
      </w:pPr>
      <w:r w:rsidRPr="00880C9E">
        <w:rPr>
          <w:rFonts w:ascii="Arial" w:hAnsi="Arial" w:cs="Arial"/>
          <w:b/>
          <w:bCs/>
        </w:rPr>
        <w:t>wt</w:t>
      </w:r>
      <w:r w:rsidRPr="00880C9E">
        <w:rPr>
          <w:rFonts w:ascii="Arial" w:hAnsi="Arial" w:cs="Arial"/>
        </w:rPr>
        <w:t xml:space="preserve">: cells carrying two functionally </w:t>
      </w:r>
      <w:r w:rsidRPr="00880C9E">
        <w:rPr>
          <w:rFonts w:ascii="Arial" w:hAnsi="Arial" w:cs="Arial"/>
          <w:i/>
          <w:iCs/>
        </w:rPr>
        <w:t>Trp53</w:t>
      </w:r>
      <w:r w:rsidRPr="00880C9E">
        <w:rPr>
          <w:rFonts w:ascii="Arial" w:hAnsi="Arial" w:cs="Arial"/>
        </w:rPr>
        <w:t xml:space="preserve"> wild-type alleles, i.e., transgenic alleles prior to Cre-mediated recombination of the </w:t>
      </w:r>
      <w:r w:rsidRPr="00880C9E">
        <w:rPr>
          <w:rFonts w:ascii="Arial" w:hAnsi="Arial" w:cs="Arial"/>
          <w:i/>
          <w:iCs/>
        </w:rPr>
        <w:t>Trp53-fl</w:t>
      </w:r>
      <w:r w:rsidRPr="00880C9E">
        <w:rPr>
          <w:rFonts w:ascii="Arial" w:hAnsi="Arial" w:cs="Arial"/>
        </w:rPr>
        <w:t>-R245W-GFP locus. wt (mono) or wt (bi) indicate whether the cells carry one (</w:t>
      </w:r>
      <w:r w:rsidRPr="00880C9E">
        <w:rPr>
          <w:rFonts w:ascii="Arial" w:hAnsi="Arial" w:cs="Arial"/>
          <w:i/>
          <w:iCs/>
        </w:rPr>
        <w:t>Trp53</w:t>
      </w:r>
      <w:r w:rsidRPr="00880C9E">
        <w:rPr>
          <w:rFonts w:ascii="Arial" w:hAnsi="Arial" w:cs="Arial"/>
        </w:rPr>
        <w:t>-fl-R245W-GFP/+) or two (</w:t>
      </w:r>
      <w:r w:rsidRPr="00880C9E">
        <w:rPr>
          <w:rFonts w:ascii="Arial" w:hAnsi="Arial" w:cs="Arial"/>
          <w:i/>
          <w:iCs/>
        </w:rPr>
        <w:t>Trp53</w:t>
      </w:r>
      <w:r w:rsidRPr="00880C9E">
        <w:rPr>
          <w:rFonts w:ascii="Arial" w:hAnsi="Arial" w:cs="Arial"/>
        </w:rPr>
        <w:t xml:space="preserve">-fl-R245W-GFP / </w:t>
      </w:r>
      <w:r w:rsidRPr="00880C9E">
        <w:rPr>
          <w:rFonts w:ascii="Arial" w:hAnsi="Arial" w:cs="Arial"/>
          <w:i/>
          <w:iCs/>
        </w:rPr>
        <w:t>Trp53</w:t>
      </w:r>
      <w:r w:rsidRPr="00880C9E">
        <w:rPr>
          <w:rFonts w:ascii="Arial" w:hAnsi="Arial" w:cs="Arial"/>
        </w:rPr>
        <w:t>-fl-R245W-GFP) non-recombined transgenic alleles, respectively.</w:t>
      </w:r>
    </w:p>
    <w:p w14:paraId="1B483C9C" w14:textId="77777777" w:rsidR="00164724" w:rsidRPr="00880C9E" w:rsidRDefault="00164724" w:rsidP="001B4E45">
      <w:pPr>
        <w:pStyle w:val="Body"/>
        <w:spacing w:line="360" w:lineRule="auto"/>
        <w:rPr>
          <w:rFonts w:ascii="Arial" w:hAnsi="Arial" w:cs="Arial"/>
        </w:rPr>
      </w:pPr>
    </w:p>
    <w:p w14:paraId="413FC7A9" w14:textId="089AFA93" w:rsidR="00164724" w:rsidRPr="00880C9E" w:rsidRDefault="00164724" w:rsidP="001B4E45">
      <w:pPr>
        <w:pStyle w:val="Body"/>
        <w:spacing w:line="360" w:lineRule="auto"/>
        <w:rPr>
          <w:rFonts w:ascii="Arial" w:hAnsi="Arial" w:cs="Arial"/>
        </w:rPr>
      </w:pPr>
      <w:r w:rsidRPr="00880C9E">
        <w:rPr>
          <w:rFonts w:ascii="Arial" w:hAnsi="Arial" w:cs="Arial"/>
          <w:b/>
          <w:bCs/>
        </w:rPr>
        <w:t>mono</w:t>
      </w:r>
      <w:r w:rsidRPr="00880C9E">
        <w:rPr>
          <w:rFonts w:ascii="Arial" w:hAnsi="Arial" w:cs="Arial"/>
        </w:rPr>
        <w:t xml:space="preserve">: cells carrying one experimentally-induced Trp53-R245W mutation and one functional wild-type allele. The functional wild-type allele can either be a normal wild-type allele (as in Hoxb8 cells or mice with </w:t>
      </w:r>
      <w:r w:rsidRPr="00880C9E">
        <w:rPr>
          <w:rFonts w:ascii="Arial" w:hAnsi="Arial" w:cs="Arial"/>
          <w:i/>
          <w:iCs/>
        </w:rPr>
        <w:t>Trp53</w:t>
      </w:r>
      <w:r w:rsidRPr="00880C9E">
        <w:rPr>
          <w:rFonts w:ascii="Arial" w:hAnsi="Arial" w:cs="Arial"/>
        </w:rPr>
        <w:t>-fl-R245W-GFP/+) or a non-recombined transgenic allele (corresponding to the GFP</w:t>
      </w:r>
      <w:r w:rsidRPr="00880C9E">
        <w:rPr>
          <w:rFonts w:ascii="Arial" w:hAnsi="Arial" w:cs="Arial"/>
          <w:vertAlign w:val="superscript"/>
        </w:rPr>
        <w:t>low</w:t>
      </w:r>
      <w:r w:rsidRPr="00880C9E">
        <w:rPr>
          <w:rFonts w:ascii="Arial" w:hAnsi="Arial" w:cs="Arial"/>
        </w:rPr>
        <w:t xml:space="preserve"> population in mice with </w:t>
      </w:r>
      <w:r w:rsidRPr="00880C9E">
        <w:rPr>
          <w:rFonts w:ascii="Arial" w:hAnsi="Arial" w:cs="Arial"/>
          <w:i/>
          <w:iCs/>
        </w:rPr>
        <w:t>Trp53</w:t>
      </w:r>
      <w:r w:rsidRPr="00880C9E">
        <w:rPr>
          <w:rFonts w:ascii="Arial" w:hAnsi="Arial" w:cs="Arial"/>
        </w:rPr>
        <w:t xml:space="preserve">-fl-R245W-GFP / </w:t>
      </w:r>
      <w:r w:rsidRPr="00880C9E">
        <w:rPr>
          <w:rFonts w:ascii="Arial" w:hAnsi="Arial" w:cs="Arial"/>
          <w:i/>
          <w:iCs/>
        </w:rPr>
        <w:t>Trp53</w:t>
      </w:r>
      <w:r w:rsidRPr="00880C9E">
        <w:rPr>
          <w:rFonts w:ascii="Arial" w:hAnsi="Arial" w:cs="Arial"/>
        </w:rPr>
        <w:t>-fl-R245W-GFP).</w:t>
      </w:r>
    </w:p>
    <w:p w14:paraId="4430468A" w14:textId="77777777" w:rsidR="00164724" w:rsidRPr="00880C9E" w:rsidRDefault="00164724" w:rsidP="001B4E45">
      <w:pPr>
        <w:pStyle w:val="Body"/>
        <w:spacing w:line="360" w:lineRule="auto"/>
        <w:rPr>
          <w:rFonts w:ascii="Arial" w:hAnsi="Arial" w:cs="Arial"/>
        </w:rPr>
      </w:pPr>
    </w:p>
    <w:p w14:paraId="52B0E406" w14:textId="77777777" w:rsidR="00164724" w:rsidRDefault="00164724" w:rsidP="001B4E45">
      <w:pPr>
        <w:spacing w:line="360" w:lineRule="auto"/>
        <w:jc w:val="both"/>
        <w:rPr>
          <w:rFonts w:ascii="Arial" w:hAnsi="Arial" w:cs="Arial"/>
          <w:lang w:val="en-US"/>
        </w:rPr>
      </w:pPr>
      <w:proofErr w:type="spellStart"/>
      <w:r w:rsidRPr="00880C9E">
        <w:rPr>
          <w:rFonts w:ascii="Arial" w:hAnsi="Arial" w:cs="Arial"/>
          <w:b/>
          <w:bCs/>
          <w:lang w:val="en-US"/>
        </w:rPr>
        <w:t>bi</w:t>
      </w:r>
      <w:proofErr w:type="spellEnd"/>
      <w:r w:rsidRPr="00880C9E">
        <w:rPr>
          <w:rFonts w:ascii="Arial" w:hAnsi="Arial" w:cs="Arial"/>
          <w:lang w:val="en-US"/>
        </w:rPr>
        <w:t xml:space="preserve">: cells carrying two experimentally-induced biallelic </w:t>
      </w:r>
      <w:r w:rsidRPr="00880C9E">
        <w:rPr>
          <w:rFonts w:ascii="Arial" w:hAnsi="Arial" w:cs="Arial"/>
          <w:i/>
          <w:iCs/>
          <w:lang w:val="en-US"/>
        </w:rPr>
        <w:t>Trp53</w:t>
      </w:r>
      <w:r w:rsidRPr="00880C9E">
        <w:rPr>
          <w:rFonts w:ascii="Arial" w:hAnsi="Arial" w:cs="Arial"/>
          <w:lang w:val="en-US"/>
        </w:rPr>
        <w:t>-R245W mutations (</w:t>
      </w:r>
      <w:r w:rsidRPr="00880C9E">
        <w:rPr>
          <w:rFonts w:ascii="Arial" w:hAnsi="Arial" w:cs="Arial"/>
          <w:i/>
          <w:iCs/>
          <w:lang w:val="en-US"/>
        </w:rPr>
        <w:t>Trp53</w:t>
      </w:r>
      <w:r w:rsidRPr="00880C9E">
        <w:rPr>
          <w:rFonts w:ascii="Arial" w:hAnsi="Arial" w:cs="Arial"/>
          <w:lang w:val="en-US"/>
        </w:rPr>
        <w:t xml:space="preserve">-fl-R245W-GFP / </w:t>
      </w:r>
      <w:r w:rsidRPr="00880C9E">
        <w:rPr>
          <w:rFonts w:ascii="Arial" w:hAnsi="Arial" w:cs="Arial"/>
          <w:i/>
          <w:iCs/>
          <w:lang w:val="en-US"/>
        </w:rPr>
        <w:t>Trp53</w:t>
      </w:r>
      <w:r w:rsidRPr="00880C9E">
        <w:rPr>
          <w:rFonts w:ascii="Arial" w:hAnsi="Arial" w:cs="Arial"/>
          <w:lang w:val="en-US"/>
        </w:rPr>
        <w:t>-fl-R245W-GFP), resulting in complete loss of functional wild-type p53.</w:t>
      </w:r>
    </w:p>
    <w:p w14:paraId="585D2A9B" w14:textId="77777777" w:rsidR="00164724" w:rsidRDefault="00164724" w:rsidP="00164724">
      <w:pPr>
        <w:spacing w:line="360" w:lineRule="auto"/>
        <w:jc w:val="both"/>
        <w:rPr>
          <w:rFonts w:ascii="Arial" w:hAnsi="Arial" w:cs="Arial"/>
          <w:lang w:val="en-US"/>
        </w:rPr>
      </w:pPr>
    </w:p>
    <w:p w14:paraId="7E8C055C" w14:textId="73888B84" w:rsidR="000E2C48" w:rsidRPr="00164724" w:rsidRDefault="000E2C48" w:rsidP="00164724">
      <w:pPr>
        <w:spacing w:line="360" w:lineRule="auto"/>
        <w:jc w:val="both"/>
        <w:rPr>
          <w:rFonts w:ascii="Arial" w:hAnsi="Arial" w:cs="Arial"/>
          <w:lang w:val="en-US"/>
        </w:rPr>
      </w:pPr>
      <w:r w:rsidRPr="00524E03">
        <w:rPr>
          <w:rFonts w:ascii="Arial" w:hAnsi="Arial" w:cs="Arial"/>
          <w:b/>
          <w:bCs/>
          <w:lang w:val="en-US"/>
        </w:rPr>
        <w:t>Generation and handling of ER-HoxB8-tetCre-</w:t>
      </w:r>
      <w:r w:rsidRPr="00524E03">
        <w:rPr>
          <w:rFonts w:ascii="Arial" w:hAnsi="Arial" w:cs="Arial"/>
          <w:b/>
          <w:bCs/>
          <w:i/>
          <w:iCs/>
          <w:lang w:val="en-US"/>
        </w:rPr>
        <w:t>Trp53</w:t>
      </w:r>
      <w:r w:rsidRPr="00524E03">
        <w:rPr>
          <w:rFonts w:ascii="Arial" w:hAnsi="Arial" w:cs="Arial"/>
          <w:b/>
          <w:bCs/>
          <w:lang w:val="en-US"/>
        </w:rPr>
        <w:t>-fl-R245W-GFP cell lines</w:t>
      </w:r>
    </w:p>
    <w:p w14:paraId="5CB6A543" w14:textId="6DC51314" w:rsidR="000E2C48" w:rsidRPr="00524E03" w:rsidRDefault="000E2C48" w:rsidP="000E2C48">
      <w:pPr>
        <w:spacing w:line="360" w:lineRule="auto"/>
        <w:jc w:val="both"/>
        <w:rPr>
          <w:rFonts w:ascii="Arial" w:hAnsi="Arial" w:cs="Arial"/>
          <w:lang w:val="en-US"/>
        </w:rPr>
      </w:pPr>
      <w:r w:rsidRPr="00524E03">
        <w:rPr>
          <w:rFonts w:ascii="Arial" w:hAnsi="Arial" w:cs="Arial"/>
          <w:lang w:val="en-US"/>
        </w:rPr>
        <w:t xml:space="preserve">Conditionally immortalized murine Hoxb8 cell lines were generated as previously described </w:t>
      </w:r>
      <w:r>
        <w:rPr>
          <w:rFonts w:ascii="Arial" w:hAnsi="Arial" w:cs="Arial"/>
          <w:lang w:val="en-US"/>
        </w:rPr>
        <w:fldChar w:fldCharType="begin">
          <w:fldData xml:space="preserve">PEVuZE5vdGU+PENpdGU+PEF1dGhvcj5XYW5nPC9BdXRob3I+PFllYXI+MjAwNjwvWWVhcj48UmVj
TnVtPjc1PC9SZWNOdW0+PERpc3BsYXlUZXh0PigyKTwvRGlzcGxheVRleHQ+PHJlY29yZD48cmVj
LW51bWJlcj43NTwvcmVjLW51bWJlcj48Zm9yZWlnbi1rZXlzPjxrZXkgYXBwPSJFTiIgZGItaWQ9
ImEyMnpzZmY5NXc5djV1ZXhmMGt2ZTJlbDByZGZmcnh4YWZzciIgdGltZXN0YW1wPSIxNzM4MjM0
MzAyIiBndWlkPSI2ZWQ5NmY3Ni02N2IzLTQxZTUtYWEyNC05NGVkYWI3MjgyZmUiPjc1PC9rZXk+
PC9mb3JlaWduLWtleXM+PHJlZi10eXBlIG5hbWU9IkpvdXJuYWwgQXJ0aWNsZSI+MTc8L3JlZi10
eXBlPjxjb250cmlidXRvcnM+PGF1dGhvcnM+PGF1dGhvcj5XYW5nLCBHLiBHLjwvYXV0aG9yPjxh
dXRob3I+Q2Fsdm8sIEsuIFIuPC9hdXRob3I+PGF1dGhvcj5QYXNpbGxhcywgTS4gUC48L2F1dGhv
cj48YXV0aG9yPlN5a2VzLCBELiBCLjwvYXV0aG9yPjxhdXRob3I+SGFja2VyLCBILjwvYXV0aG9y
PjxhdXRob3I+S2FtcHMsIE0uIFAuPC9hdXRob3I+PC9hdXRob3JzPjwvY29udHJpYnV0b3JzPjxh
dXRoLWFkZHJlc3M+RGVwYXJ0bWVudCBvZiBQYXRob2xvZ3kgJmFtcDsgTW9sZWN1bGFyIFBhdGhv
bG9neSBHcmFkdWF0ZSBQcm9ncmFtLCBTY2hvb2wgb2YgTWVkaWNpbmUsIFVuaXZlcnNpdHkgb2Yg
Q2FsaWZvcm5pYSBhdCBTYW4gRGllZ28sIDk1MDAgR2lsbWFuIERyaXZlLCBMYSBKb2xsYSwgQ0Eg
OTIwOTMsIFVTQS48L2F1dGgtYWRkcmVzcz48dGl0bGVzPjx0aXRsZT5RdWFudGl0YXRpdmUgcHJv
ZHVjdGlvbiBvZiBtYWNyb3BoYWdlcyBvciBuZXV0cm9waGlscyBleCB2aXZvIHVzaW5nIGNvbmRp
dGlvbmFsIEhveGI4PC90aXRsZT48c2Vjb25kYXJ5LXRpdGxlPk5hdCBNZXRob2RzPC9zZWNvbmRh
cnktdGl0bGU+PC90aXRsZXM+PHBlcmlvZGljYWw+PGZ1bGwtdGl0bGU+TmF0IE1ldGhvZHM8L2Z1
bGwtdGl0bGU+PC9wZXJpb2RpY2FsPjxwYWdlcz4yODctOTM8L3BhZ2VzPjx2b2x1bWU+Mzwvdm9s
dW1lPjxudW1iZXI+NDwvbnVtYmVyPjxrZXl3b3Jkcz48a2V5d29yZD5BbmltYWxzPC9rZXl3b3Jk
PjxrZXl3b3JkPkJpb3NlbnNpbmcgVGVjaG5pcXVlczwva2V5d29yZD48a2V5d29yZD5DZWxsIERp
ZmZlcmVudGlhdGlvbi8qZHJ1ZyBlZmZlY3RzPC9rZXl3b3JkPjxrZXl3b3JkPkNlbGwgTnVjbGV1
cy9tZXRhYm9saXNtL3VsdHJhc3RydWN0dXJlPC9rZXl3b3JkPjxrZXl3b3JkPkNlbGxzLCBDdWx0
dXJlZDwva2V5d29yZD48a2V5d29yZD5DeXRva2luZXMvcGhhcm1hY29sb2d5PC9rZXl3b3JkPjxr
ZXl3b3JkPkRpc2Vhc2UgTW9kZWxzLCBBbmltYWw8L2tleXdvcmQ+PGtleXdvcmQ+RXN0cm9nZW5z
LypwaGFybWFjb2xvZ3k8L2tleXdvcmQ+PGtleXdvcmQ+SG9tZW9kb21haW4gUHJvdGVpbnMvKnBo
YXJtYWNvbG9neTwva2V5d29yZD48a2V5d29yZD5JbmZsYW1tYXRpb24vbWV0YWJvbGlzbS9wYXRo
b2xvZ3k8L2tleXdvcmQ+PGtleXdvcmQ+TGl2ZXIvZW1icnlvbG9neS9wYXRob2xvZ3k8L2tleXdv
cmQ+PGtleXdvcmQ+TWFjcm9waGFnZXMvKmRydWcgZWZmZWN0cy9tZXRhYm9saXNtL3VsdHJhc3Ry
dWN0dXJlPC9rZXl3b3JkPjxrZXl3b3JkPk1pY2U8L2tleXdvcmQ+PGtleXdvcmQ+TWljZSwgSW5i
cmVkIEJBTEIgQzwva2V5d29yZD48a2V5d29yZD5NaWNlLCBLbm9ja291dC9nZW5ldGljczwva2V5
d29yZD48a2V5d29yZD5NeWVsb2lkIFByb2dlbml0b3IgQ2VsbHMvbWV0YWJvbGlzbTwva2V5d29y
ZD48a2V5d29yZD5OZXV0cm9waGlscy8qZHJ1ZyBlZmZlY3RzL21ldGFib2xpc20vdWx0cmFzdHJ1
Y3R1cmU8L2tleXdvcmQ+PGtleXdvcmQ+UGhlbm90eXBlPC9rZXl3b3JkPjxrZXl3b3JkPlJOQSwg
U21hbGwgSW50ZXJmZXJpbmcvZ2VuZXRpY3M8L2tleXdvcmQ+PC9rZXl3b3Jkcz48ZGF0ZXM+PHll
YXI+MjAwNjwveWVhcj48cHViLWRhdGVzPjxkYXRlPkFwcjwvZGF0ZT48L3B1Yi1kYXRlcz48L2Rh
dGVzPjxpc2JuPjE1NDgtNzA5MSAoUHJpbnQpJiN4RDsxNTQ4LTcwOTEgKExpbmtpbmcpPC9pc2Ju
PjxhY2Nlc3Npb24tbnVtPjE2NTU0ODM0PC9hY2Nlc3Npb24tbnVtPjx1cmxzPjxyZWxhdGVkLXVy
bHM+PHVybD5odHRwczovL3d3dy5uY2JpLm5sbS5uaWguZ292L3B1Ym1lZC8xNjU1NDgzNDwvdXJs
PjwvcmVsYXRlZC11cmxzPjwvdXJscz48ZWxlY3Ryb25pYy1yZXNvdXJjZS1udW0+MTAuMTAzOC9u
bWV0aDg2NTwvZWxlY3Ryb25pYy1yZXNvdXJjZS1udW0+PHJlbW90ZS1kYXRhYmFzZS1uYW1lPk1l
ZGxpbmU8L3JlbW90ZS1kYXRhYmFzZS1uYW1lPjxyZW1vdGUtZGF0YWJhc2UtcHJvdmlkZXI+TkxN
PC9yZW1vdGUtZGF0YWJhc2UtcHJvdmlkZXI+PC9yZWNvcmQ+PC9DaXRlPjwvRW5kTm90ZT5=
</w:fldData>
        </w:fldChar>
      </w:r>
      <w:r>
        <w:rPr>
          <w:rFonts w:ascii="Arial" w:hAnsi="Arial" w:cs="Arial"/>
          <w:lang w:val="en-US"/>
        </w:rPr>
        <w:instrText xml:space="preserve"> ADDIN EN.JS.CITE </w:instrText>
      </w:r>
      <w:r>
        <w:rPr>
          <w:rFonts w:ascii="Arial" w:hAnsi="Arial" w:cs="Arial"/>
          <w:lang w:val="en-US"/>
        </w:rPr>
      </w:r>
      <w:r>
        <w:rPr>
          <w:rFonts w:ascii="Arial" w:hAnsi="Arial" w:cs="Arial"/>
          <w:lang w:val="en-US"/>
        </w:rPr>
        <w:fldChar w:fldCharType="separate"/>
      </w:r>
      <w:r w:rsidR="00854B80">
        <w:rPr>
          <w:rFonts w:ascii="Arial" w:hAnsi="Arial" w:cs="Arial"/>
          <w:noProof/>
          <w:lang w:val="en-US"/>
        </w:rPr>
        <w:t>(2)</w:t>
      </w:r>
      <w:r>
        <w:rPr>
          <w:rFonts w:ascii="Arial" w:hAnsi="Arial" w:cs="Arial"/>
          <w:lang w:val="en-US"/>
        </w:rPr>
        <w:fldChar w:fldCharType="end"/>
      </w:r>
      <w:r w:rsidRPr="00524E03">
        <w:rPr>
          <w:rFonts w:ascii="Arial" w:hAnsi="Arial" w:cs="Arial"/>
          <w:lang w:val="en-US"/>
        </w:rPr>
        <w:t>. Whole bone marrow cells were isolated from 14-week-old female littermates carrying the</w:t>
      </w:r>
      <w:r w:rsidRPr="00524E03">
        <w:rPr>
          <w:rFonts w:ascii="Arial" w:hAnsi="Arial" w:cs="Arial"/>
          <w:i/>
          <w:iCs/>
          <w:lang w:val="en-US"/>
        </w:rPr>
        <w:t xml:space="preserve"> Trp53</w:t>
      </w:r>
      <w:r w:rsidRPr="00524E03">
        <w:rPr>
          <w:rFonts w:ascii="Arial" w:hAnsi="Arial" w:cs="Arial"/>
          <w:lang w:val="en-US"/>
        </w:rPr>
        <w:t xml:space="preserve">-fl-R245W-GFP/+ and </w:t>
      </w:r>
      <w:r w:rsidRPr="00524E03">
        <w:rPr>
          <w:rFonts w:ascii="Arial" w:hAnsi="Arial" w:cs="Arial"/>
          <w:i/>
          <w:iCs/>
          <w:lang w:val="en-US"/>
        </w:rPr>
        <w:t>Trp53</w:t>
      </w:r>
      <w:r w:rsidRPr="00524E03">
        <w:rPr>
          <w:rFonts w:ascii="Arial" w:hAnsi="Arial" w:cs="Arial"/>
          <w:lang w:val="en-US"/>
        </w:rPr>
        <w:t>-fl-R245W-GFP/</w:t>
      </w:r>
      <w:r w:rsidRPr="00524E03">
        <w:rPr>
          <w:rFonts w:ascii="Arial" w:hAnsi="Arial" w:cs="Arial"/>
          <w:i/>
          <w:iCs/>
          <w:lang w:val="en-US"/>
        </w:rPr>
        <w:t>Trp53</w:t>
      </w:r>
      <w:r w:rsidRPr="00524E03">
        <w:rPr>
          <w:rFonts w:ascii="Arial" w:hAnsi="Arial" w:cs="Arial"/>
          <w:lang w:val="en-US"/>
        </w:rPr>
        <w:t>-fl-R245W-GFP transgenes. Cells were cultured in pre-stimulation medium (RPMI supplemented with 10% fetal bovine serum (FBS), 1% penicillin-streptomycin, 4% SCF-conditioned medium, 10 ng/mL recombinant murine IL-3 Protein (</w:t>
      </w:r>
      <w:proofErr w:type="spellStart"/>
      <w:r w:rsidRPr="00524E03">
        <w:rPr>
          <w:rFonts w:ascii="Arial" w:hAnsi="Arial" w:cs="Arial"/>
          <w:lang w:val="en-US"/>
        </w:rPr>
        <w:t>Peprotech</w:t>
      </w:r>
      <w:proofErr w:type="spellEnd"/>
      <w:r w:rsidRPr="00524E03">
        <w:rPr>
          <w:rFonts w:ascii="Arial" w:hAnsi="Arial" w:cs="Arial"/>
          <w:lang w:val="en-US"/>
        </w:rPr>
        <w:t>, Cat. No. 213-13), and 10 ng/mL recombinant murine IL-6 Protein (Cat. No. 406-ML) for 48 hours. Subsequently, cells were transduced with a retrovirus containing the MSCVneo-HA-ER-Hoxb8 plasmid (a gift from Mark Kamps &amp; David Sykes; RRID:Addgene_222291). Transduced cells were selected with 1 mg/mL geneticin (G-418, Sigma Aldrich, Cat. No. 4727878001) for one week.</w:t>
      </w:r>
    </w:p>
    <w:p w14:paraId="65EEEB81" w14:textId="77777777" w:rsidR="000E2C48" w:rsidRPr="00524E03" w:rsidRDefault="000E2C48" w:rsidP="000E2C48">
      <w:pPr>
        <w:spacing w:line="360" w:lineRule="auto"/>
        <w:jc w:val="both"/>
        <w:rPr>
          <w:rFonts w:ascii="Arial" w:hAnsi="Arial" w:cs="Arial"/>
          <w:lang w:val="en-US"/>
        </w:rPr>
      </w:pPr>
      <w:r w:rsidRPr="00524E03">
        <w:rPr>
          <w:rFonts w:ascii="Arial" w:hAnsi="Arial" w:cs="Arial"/>
          <w:lang w:val="en-US"/>
        </w:rPr>
        <w:t>In a next step, the TRE-Cre-</w:t>
      </w:r>
      <w:proofErr w:type="spellStart"/>
      <w:r w:rsidRPr="00524E03">
        <w:rPr>
          <w:rFonts w:ascii="Arial" w:hAnsi="Arial" w:cs="Arial"/>
          <w:lang w:val="en-US"/>
        </w:rPr>
        <w:t>PuroR</w:t>
      </w:r>
      <w:proofErr w:type="spellEnd"/>
      <w:r w:rsidRPr="00524E03">
        <w:rPr>
          <w:rFonts w:ascii="Arial" w:hAnsi="Arial" w:cs="Arial"/>
          <w:lang w:val="en-US"/>
        </w:rPr>
        <w:t>-</w:t>
      </w:r>
      <w:proofErr w:type="spellStart"/>
      <w:r w:rsidRPr="00524E03">
        <w:rPr>
          <w:rFonts w:ascii="Arial" w:hAnsi="Arial" w:cs="Arial"/>
          <w:lang w:val="en-US"/>
        </w:rPr>
        <w:t>rtTA</w:t>
      </w:r>
      <w:proofErr w:type="spellEnd"/>
      <w:r w:rsidRPr="00524E03">
        <w:rPr>
          <w:rFonts w:ascii="Arial" w:hAnsi="Arial" w:cs="Arial"/>
          <w:lang w:val="en-US"/>
        </w:rPr>
        <w:t xml:space="preserve"> plasmid, containing a doxycycline-inducible Cre recombinase (derived by cloning Cre recombinase from </w:t>
      </w:r>
      <w:proofErr w:type="spellStart"/>
      <w:r w:rsidRPr="00524E03">
        <w:rPr>
          <w:rFonts w:ascii="Arial" w:hAnsi="Arial" w:cs="Arial"/>
          <w:lang w:val="en-US"/>
        </w:rPr>
        <w:t>pENTR</w:t>
      </w:r>
      <w:proofErr w:type="spellEnd"/>
      <w:r w:rsidRPr="00524E03">
        <w:rPr>
          <w:rFonts w:ascii="Arial" w:hAnsi="Arial" w:cs="Arial"/>
          <w:lang w:val="en-US"/>
        </w:rPr>
        <w:t xml:space="preserve">-Cre (a gift from Minoru Ko; RRID:Addgene_139545), into pCW57.1 (a gift from David Root; RRID:Addgene_41393)), was </w:t>
      </w:r>
      <w:r w:rsidRPr="00524E03">
        <w:rPr>
          <w:rFonts w:ascii="Arial" w:hAnsi="Arial" w:cs="Arial"/>
          <w:lang w:val="en-US"/>
        </w:rPr>
        <w:lastRenderedPageBreak/>
        <w:t>introduced via lentiviral transduction. Transduced cells were selected with 2 mg/mL puromycin (</w:t>
      </w:r>
      <w:proofErr w:type="spellStart"/>
      <w:r w:rsidRPr="00524E03">
        <w:rPr>
          <w:rFonts w:ascii="Arial" w:hAnsi="Arial" w:cs="Arial"/>
          <w:lang w:val="en-US"/>
        </w:rPr>
        <w:t>InvivoGen</w:t>
      </w:r>
      <w:proofErr w:type="spellEnd"/>
      <w:r w:rsidRPr="00524E03">
        <w:rPr>
          <w:rFonts w:ascii="Arial" w:hAnsi="Arial" w:cs="Arial"/>
          <w:lang w:val="en-US"/>
        </w:rPr>
        <w:t xml:space="preserve">, Cat. No. ant-pr-1) for two weeks. To eliminate the small fraction of cells undergoing Cre-mediated </w:t>
      </w:r>
      <w:r w:rsidRPr="00524E03">
        <w:rPr>
          <w:rFonts w:ascii="Arial" w:hAnsi="Arial" w:cs="Arial"/>
          <w:i/>
          <w:iCs/>
          <w:lang w:val="en-US"/>
        </w:rPr>
        <w:t>Trp53</w:t>
      </w:r>
      <w:r w:rsidRPr="00524E03">
        <w:rPr>
          <w:rFonts w:ascii="Arial" w:hAnsi="Arial" w:cs="Arial"/>
          <w:lang w:val="en-US"/>
        </w:rPr>
        <w:t xml:space="preserve">-fl-R245W-GFP recombination in the absence of doxycycline, GFP negative cells were sorted using a FACS Aria III 4L (Becton Dickinson, Franklin Lakes, NJ, USA). </w:t>
      </w:r>
    </w:p>
    <w:p w14:paraId="19CDB0D9" w14:textId="77777777" w:rsidR="000E2C48" w:rsidRPr="00524E03" w:rsidRDefault="000E2C48" w:rsidP="000E2C48">
      <w:pPr>
        <w:spacing w:line="360" w:lineRule="auto"/>
        <w:jc w:val="both"/>
        <w:rPr>
          <w:rFonts w:ascii="Arial" w:hAnsi="Arial" w:cs="Arial"/>
          <w:lang w:val="en-US"/>
        </w:rPr>
      </w:pPr>
      <w:r w:rsidRPr="00524E03">
        <w:rPr>
          <w:rFonts w:ascii="Arial" w:hAnsi="Arial" w:cs="Arial"/>
          <w:lang w:val="en-US"/>
        </w:rPr>
        <w:t xml:space="preserve">For experimental induction of the </w:t>
      </w:r>
      <w:r w:rsidRPr="00524E03">
        <w:rPr>
          <w:rFonts w:ascii="Arial" w:hAnsi="Arial" w:cs="Arial"/>
          <w:i/>
          <w:iCs/>
          <w:lang w:val="en-US"/>
        </w:rPr>
        <w:t>Trp53</w:t>
      </w:r>
      <w:r w:rsidRPr="00524E03">
        <w:rPr>
          <w:rFonts w:ascii="Arial" w:hAnsi="Arial" w:cs="Arial"/>
          <w:lang w:val="en-US"/>
        </w:rPr>
        <w:t xml:space="preserve">-R245W mutation, cells were treated with up to 2.5 </w:t>
      </w:r>
      <w:r w:rsidRPr="00524E03">
        <w:rPr>
          <w:rFonts w:ascii="Arial" w:hAnsi="Arial" w:cs="Arial"/>
        </w:rPr>
        <w:t>μ</w:t>
      </w:r>
      <w:r w:rsidRPr="00524E03">
        <w:rPr>
          <w:rFonts w:ascii="Arial" w:hAnsi="Arial" w:cs="Arial"/>
          <w:lang w:val="en-US"/>
        </w:rPr>
        <w:t>g/mL Doxycycline-</w:t>
      </w:r>
      <w:proofErr w:type="spellStart"/>
      <w:r w:rsidRPr="00524E03">
        <w:rPr>
          <w:rFonts w:ascii="Arial" w:hAnsi="Arial" w:cs="Arial"/>
          <w:lang w:val="en-US"/>
        </w:rPr>
        <w:t>hyclat</w:t>
      </w:r>
      <w:proofErr w:type="spellEnd"/>
      <w:r w:rsidRPr="00524E03">
        <w:rPr>
          <w:rFonts w:ascii="Arial" w:hAnsi="Arial" w:cs="Arial"/>
          <w:lang w:val="en-US"/>
        </w:rPr>
        <w:t xml:space="preserve"> (Sigma Aldrich, Cat. No. D9891) for 48 hours. When pure populations of wild-type or mutant cells were required, cells were sorted by FACS into GFP-negative and GFP-positive fractions, respectively.</w:t>
      </w:r>
    </w:p>
    <w:p w14:paraId="0306276A" w14:textId="7A856597" w:rsidR="000E2C48" w:rsidRPr="00524E03" w:rsidRDefault="000E2C48" w:rsidP="009D1187">
      <w:pPr>
        <w:spacing w:after="0" w:line="360" w:lineRule="auto"/>
        <w:jc w:val="both"/>
        <w:rPr>
          <w:rFonts w:ascii="Arial" w:hAnsi="Arial" w:cs="Arial"/>
          <w:lang w:val="en-US"/>
        </w:rPr>
      </w:pPr>
      <w:r w:rsidRPr="00524E03">
        <w:rPr>
          <w:rFonts w:ascii="Arial" w:hAnsi="Arial" w:cs="Arial"/>
          <w:lang w:val="en-US"/>
        </w:rPr>
        <w:t xml:space="preserve">Cells were cultured in RPMI supplemented with 10% FBS, 1% penicillin-streptomycin, 2% SCF-conditioned medium (produced by Chinese hamster ovary cells stably secreting SCF), and 0.5 </w:t>
      </w:r>
      <w:r w:rsidRPr="00524E03">
        <w:rPr>
          <w:rFonts w:ascii="Arial" w:hAnsi="Arial" w:cs="Arial"/>
        </w:rPr>
        <w:t>μ</w:t>
      </w:r>
      <w:r w:rsidRPr="00524E03">
        <w:rPr>
          <w:rFonts w:ascii="Arial" w:hAnsi="Arial" w:cs="Arial"/>
          <w:lang w:val="en-US"/>
        </w:rPr>
        <w:t xml:space="preserve">M </w:t>
      </w:r>
      <w:r w:rsidRPr="00524E03">
        <w:rPr>
          <w:rFonts w:ascii="Arial" w:hAnsi="Arial" w:cs="Arial"/>
        </w:rPr>
        <w:t>β</w:t>
      </w:r>
      <w:r w:rsidRPr="00524E03">
        <w:rPr>
          <w:rFonts w:ascii="Arial" w:hAnsi="Arial" w:cs="Arial"/>
          <w:lang w:val="en-US"/>
        </w:rPr>
        <w:t>-estradiol (Sigma Aldrich, Cat. No. E2758). All cultures were maintained at 37°C in a humidified atmosphere of 95% air and 5% CO</w:t>
      </w:r>
      <w:r w:rsidRPr="00524E03">
        <w:rPr>
          <w:rFonts w:ascii="Cambria Math" w:hAnsi="Cambria Math" w:cs="Cambria Math"/>
          <w:lang w:val="en-US"/>
        </w:rPr>
        <w:t>₂</w:t>
      </w:r>
      <w:r w:rsidRPr="00524E03">
        <w:rPr>
          <w:rFonts w:ascii="Arial" w:hAnsi="Arial" w:cs="Arial"/>
          <w:lang w:val="en-US"/>
        </w:rPr>
        <w:t xml:space="preserve"> and were passaged every 2–3 days. Early-passage cells (P3–P4) were cryopreserved and fresh cells were thawed every 6–8 weeks to ensure low passage numbers during experiments. </w:t>
      </w:r>
      <w:r w:rsidR="004B5A32" w:rsidRPr="00880C9E">
        <w:rPr>
          <w:rFonts w:ascii="Arial" w:hAnsi="Arial" w:cs="Arial"/>
          <w:lang w:val="en-US"/>
        </w:rPr>
        <w:t>Cultures were tested for mycoplasma contamination and confirmed negative.</w:t>
      </w:r>
    </w:p>
    <w:p w14:paraId="5F3934B7" w14:textId="77777777" w:rsidR="00164724" w:rsidRDefault="00164724" w:rsidP="000E2C48">
      <w:pPr>
        <w:spacing w:line="360" w:lineRule="auto"/>
        <w:jc w:val="both"/>
        <w:rPr>
          <w:rFonts w:ascii="Arial" w:hAnsi="Arial" w:cs="Arial"/>
          <w:b/>
          <w:bCs/>
          <w:lang w:val="en-US"/>
        </w:rPr>
      </w:pPr>
    </w:p>
    <w:p w14:paraId="1E22B1ED" w14:textId="5EEA57DA"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Retroviral transduction</w:t>
      </w:r>
    </w:p>
    <w:p w14:paraId="34108F37" w14:textId="77777777" w:rsidR="000E2C48" w:rsidRPr="00524E03" w:rsidRDefault="000E2C48" w:rsidP="000E2C48">
      <w:pPr>
        <w:spacing w:line="360" w:lineRule="auto"/>
        <w:jc w:val="both"/>
        <w:rPr>
          <w:rFonts w:ascii="Arial" w:hAnsi="Arial" w:cs="Arial"/>
          <w:lang w:val="en-US"/>
        </w:rPr>
      </w:pPr>
      <w:r w:rsidRPr="00524E03">
        <w:rPr>
          <w:rFonts w:ascii="Arial" w:hAnsi="Arial" w:cs="Arial"/>
          <w:lang w:val="en-US"/>
        </w:rPr>
        <w:t xml:space="preserve">HEK293T cells (RRID:CVCL_0063) were transfected with transfer plasmids encoding the DNA sequence of interest along with the </w:t>
      </w:r>
      <w:proofErr w:type="spellStart"/>
      <w:r w:rsidRPr="00524E03">
        <w:rPr>
          <w:rFonts w:ascii="Arial" w:hAnsi="Arial" w:cs="Arial"/>
          <w:lang w:val="en-US"/>
        </w:rPr>
        <w:t>pCL</w:t>
      </w:r>
      <w:proofErr w:type="spellEnd"/>
      <w:r w:rsidRPr="00524E03">
        <w:rPr>
          <w:rFonts w:ascii="Arial" w:hAnsi="Arial" w:cs="Arial"/>
          <w:lang w:val="en-US"/>
        </w:rPr>
        <w:t xml:space="preserve">-eco retroviral packaging vector (a gift from Inder Verma; RRID:Addgene_12371). Transfections were performed using </w:t>
      </w:r>
      <w:proofErr w:type="spellStart"/>
      <w:r w:rsidRPr="00524E03">
        <w:rPr>
          <w:rFonts w:ascii="Arial" w:hAnsi="Arial" w:cs="Arial"/>
          <w:lang w:val="en-US"/>
        </w:rPr>
        <w:t>JetPRIME</w:t>
      </w:r>
      <w:proofErr w:type="spellEnd"/>
      <w:r w:rsidRPr="00524E03">
        <w:rPr>
          <w:rFonts w:ascii="Arial" w:hAnsi="Arial" w:cs="Arial"/>
          <w:lang w:val="en-US"/>
        </w:rPr>
        <w:t>® transfection reagent (</w:t>
      </w:r>
      <w:proofErr w:type="spellStart"/>
      <w:r w:rsidRPr="00524E03">
        <w:rPr>
          <w:rFonts w:ascii="Arial" w:hAnsi="Arial" w:cs="Arial"/>
          <w:lang w:val="en-US"/>
        </w:rPr>
        <w:t>Polyplus</w:t>
      </w:r>
      <w:proofErr w:type="spellEnd"/>
      <w:r w:rsidRPr="00524E03">
        <w:rPr>
          <w:rFonts w:ascii="Arial" w:hAnsi="Arial" w:cs="Arial"/>
          <w:lang w:val="en-US"/>
        </w:rPr>
        <w:t xml:space="preserve"> Transfection, </w:t>
      </w:r>
      <w:proofErr w:type="spellStart"/>
      <w:r w:rsidRPr="00524E03">
        <w:rPr>
          <w:rFonts w:ascii="Arial" w:hAnsi="Arial" w:cs="Arial"/>
          <w:lang w:val="en-US"/>
        </w:rPr>
        <w:t>Illkirch</w:t>
      </w:r>
      <w:proofErr w:type="spellEnd"/>
      <w:r w:rsidRPr="00524E03">
        <w:rPr>
          <w:rFonts w:ascii="Arial" w:hAnsi="Arial" w:cs="Arial"/>
          <w:lang w:val="en-US"/>
        </w:rPr>
        <w:t>, France) to enhance efficiency. The medium was replaced 24 hours post-transfection, and viral particles were collected 24 hours later.</w:t>
      </w:r>
    </w:p>
    <w:p w14:paraId="7A5311B6"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For transduction, 1 x 10</w:t>
      </w:r>
      <w:r w:rsidRPr="00524E03">
        <w:rPr>
          <w:rFonts w:ascii="Arial" w:hAnsi="Arial" w:cs="Arial"/>
          <w:vertAlign w:val="superscript"/>
          <w:lang w:val="en-US"/>
        </w:rPr>
        <w:t>6</w:t>
      </w:r>
      <w:r w:rsidRPr="00524E03">
        <w:rPr>
          <w:rFonts w:ascii="Arial" w:hAnsi="Arial" w:cs="Arial"/>
          <w:lang w:val="en-US"/>
        </w:rPr>
        <w:t xml:space="preserve"> target cells were exposed to 1–2 mL of freshly harvested viral particles in 12-well plates pre-coated with </w:t>
      </w:r>
      <w:proofErr w:type="spellStart"/>
      <w:r w:rsidRPr="00524E03">
        <w:rPr>
          <w:rFonts w:ascii="Arial" w:hAnsi="Arial" w:cs="Arial"/>
          <w:lang w:val="en-US"/>
        </w:rPr>
        <w:t>retronectin</w:t>
      </w:r>
      <w:proofErr w:type="spellEnd"/>
      <w:r w:rsidRPr="00524E03">
        <w:rPr>
          <w:rFonts w:ascii="Arial" w:hAnsi="Arial" w:cs="Arial"/>
          <w:lang w:val="en-US"/>
        </w:rPr>
        <w:t xml:space="preserve"> (</w:t>
      </w:r>
      <w:proofErr w:type="spellStart"/>
      <w:r w:rsidRPr="00524E03">
        <w:rPr>
          <w:rFonts w:ascii="Arial" w:hAnsi="Arial" w:cs="Arial"/>
          <w:lang w:val="en-US"/>
        </w:rPr>
        <w:t>Takarabio</w:t>
      </w:r>
      <w:proofErr w:type="spellEnd"/>
      <w:r w:rsidRPr="00524E03">
        <w:rPr>
          <w:rFonts w:ascii="Arial" w:hAnsi="Arial" w:cs="Arial"/>
          <w:lang w:val="en-US"/>
        </w:rPr>
        <w:t xml:space="preserve">, Cat. No. T100). Transductions were conducted in the presence of 8 </w:t>
      </w:r>
      <w:r w:rsidRPr="00524E03">
        <w:rPr>
          <w:rFonts w:ascii="Arial" w:hAnsi="Arial" w:cs="Arial"/>
        </w:rPr>
        <w:t>μ</w:t>
      </w:r>
      <w:r w:rsidRPr="00524E03">
        <w:rPr>
          <w:rFonts w:ascii="Arial" w:hAnsi="Arial" w:cs="Arial"/>
          <w:lang w:val="en-US"/>
        </w:rPr>
        <w:t>g/mL polybrene (Sigma Aldrich®, Cat. No. TR-1003-G)  using spinoculation at 1,000 x g and 32°C for 90 minutes.</w:t>
      </w:r>
    </w:p>
    <w:p w14:paraId="5FDB6010" w14:textId="77777777" w:rsidR="000E2C48" w:rsidRPr="00524E03" w:rsidRDefault="000E2C48" w:rsidP="000E2C48">
      <w:pPr>
        <w:spacing w:line="360" w:lineRule="auto"/>
        <w:jc w:val="both"/>
        <w:rPr>
          <w:rFonts w:ascii="Arial" w:hAnsi="Arial" w:cs="Arial"/>
          <w:lang w:val="en-US"/>
        </w:rPr>
      </w:pPr>
    </w:p>
    <w:p w14:paraId="7E0123D8"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Lentiviral transduction</w:t>
      </w:r>
    </w:p>
    <w:p w14:paraId="0CC9141A" w14:textId="77777777" w:rsidR="000E2C48" w:rsidRPr="00524E03" w:rsidRDefault="000E2C48" w:rsidP="000E2C48">
      <w:pPr>
        <w:spacing w:line="360" w:lineRule="auto"/>
        <w:jc w:val="both"/>
        <w:rPr>
          <w:rFonts w:ascii="Arial" w:hAnsi="Arial" w:cs="Arial"/>
          <w:lang w:val="en-US"/>
        </w:rPr>
      </w:pPr>
      <w:r w:rsidRPr="00524E03">
        <w:rPr>
          <w:rFonts w:ascii="Arial" w:hAnsi="Arial" w:cs="Arial"/>
          <w:lang w:val="en-US"/>
        </w:rPr>
        <w:t xml:space="preserve">Replication-defective, third-generation lentiviral vectors were generated by transfecting HEK293T cells with the transfer plasmid encoding the DNA sequence of interest, along with the psPAX2 (RRID:Addgene_12260) packaging plasmid and the </w:t>
      </w:r>
      <w:proofErr w:type="spellStart"/>
      <w:r w:rsidRPr="00524E03">
        <w:rPr>
          <w:rFonts w:ascii="Arial" w:hAnsi="Arial" w:cs="Arial"/>
          <w:lang w:val="en-US"/>
        </w:rPr>
        <w:t>pCAG</w:t>
      </w:r>
      <w:proofErr w:type="spellEnd"/>
      <w:r w:rsidRPr="00524E03">
        <w:rPr>
          <w:rFonts w:ascii="Arial" w:hAnsi="Arial" w:cs="Arial"/>
          <w:lang w:val="en-US"/>
        </w:rPr>
        <w:t xml:space="preserve">-VSVG (RRID:Addgene_64084) envelope plasmid (both kindly provided by Dr. Patrick Salmon, University of Geneva, Switzerland). Transfections were performed using </w:t>
      </w:r>
      <w:proofErr w:type="spellStart"/>
      <w:r w:rsidRPr="00524E03">
        <w:rPr>
          <w:rFonts w:ascii="Arial" w:hAnsi="Arial" w:cs="Arial"/>
          <w:lang w:val="en-US"/>
        </w:rPr>
        <w:t>JetPRIME</w:t>
      </w:r>
      <w:proofErr w:type="spellEnd"/>
      <w:r w:rsidRPr="00524E03">
        <w:rPr>
          <w:rFonts w:ascii="Arial" w:hAnsi="Arial" w:cs="Arial"/>
          <w:lang w:val="en-US"/>
        </w:rPr>
        <w:t xml:space="preserve">® </w:t>
      </w:r>
      <w:r w:rsidRPr="00524E03">
        <w:rPr>
          <w:rFonts w:ascii="Arial" w:hAnsi="Arial" w:cs="Arial"/>
          <w:lang w:val="en-US"/>
        </w:rPr>
        <w:lastRenderedPageBreak/>
        <w:t>transfection reagent (</w:t>
      </w:r>
      <w:proofErr w:type="spellStart"/>
      <w:r w:rsidRPr="00524E03">
        <w:rPr>
          <w:rFonts w:ascii="Arial" w:hAnsi="Arial" w:cs="Arial"/>
          <w:lang w:val="en-US"/>
        </w:rPr>
        <w:t>Polyplus</w:t>
      </w:r>
      <w:proofErr w:type="spellEnd"/>
      <w:r w:rsidRPr="00524E03">
        <w:rPr>
          <w:rFonts w:ascii="Arial" w:hAnsi="Arial" w:cs="Arial"/>
          <w:lang w:val="en-US"/>
        </w:rPr>
        <w:t xml:space="preserve"> Transfection, </w:t>
      </w:r>
      <w:proofErr w:type="spellStart"/>
      <w:r w:rsidRPr="00524E03">
        <w:rPr>
          <w:rFonts w:ascii="Arial" w:hAnsi="Arial" w:cs="Arial"/>
          <w:lang w:val="en-US"/>
        </w:rPr>
        <w:t>Illkirch</w:t>
      </w:r>
      <w:proofErr w:type="spellEnd"/>
      <w:r w:rsidRPr="00524E03">
        <w:rPr>
          <w:rFonts w:ascii="Arial" w:hAnsi="Arial" w:cs="Arial"/>
          <w:lang w:val="en-US"/>
        </w:rPr>
        <w:t>, France) to enhance efficiency. The culture medium was replaced 24 hours after transfection, and viral particles were harvested 24 hours later.</w:t>
      </w:r>
    </w:p>
    <w:p w14:paraId="1914DC06"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For transduction, 1 x 10</w:t>
      </w:r>
      <w:r w:rsidRPr="00524E03">
        <w:rPr>
          <w:rFonts w:ascii="Arial" w:hAnsi="Arial" w:cs="Arial"/>
          <w:vertAlign w:val="superscript"/>
          <w:lang w:val="en-US"/>
        </w:rPr>
        <w:t>6</w:t>
      </w:r>
      <w:r w:rsidRPr="00524E03">
        <w:rPr>
          <w:rFonts w:ascii="Arial" w:hAnsi="Arial" w:cs="Arial"/>
          <w:lang w:val="en-US"/>
        </w:rPr>
        <w:t xml:space="preserve"> target cells were incubated with 1–2 mL of freshly collected viral particles in the presence of 8 </w:t>
      </w:r>
      <w:r w:rsidRPr="00524E03">
        <w:rPr>
          <w:rFonts w:ascii="Arial" w:hAnsi="Arial" w:cs="Arial"/>
        </w:rPr>
        <w:t>μ</w:t>
      </w:r>
      <w:r w:rsidRPr="00524E03">
        <w:rPr>
          <w:rFonts w:ascii="Arial" w:hAnsi="Arial" w:cs="Arial"/>
          <w:lang w:val="en-US"/>
        </w:rPr>
        <w:t>g/mL polybrene (Sigma Aldrich®, Cat. No. TR-1003-G). Transductions were carried out via spinoculation at 1,000 × g and 32°C for 90 minutes.</w:t>
      </w:r>
    </w:p>
    <w:p w14:paraId="50499CF5" w14:textId="77777777" w:rsidR="000E2C48" w:rsidRPr="00524E03" w:rsidRDefault="000E2C48" w:rsidP="000E2C48">
      <w:pPr>
        <w:spacing w:line="360" w:lineRule="auto"/>
        <w:jc w:val="both"/>
        <w:rPr>
          <w:rFonts w:ascii="Arial" w:hAnsi="Arial" w:cs="Arial"/>
          <w:lang w:val="en-US"/>
        </w:rPr>
      </w:pPr>
    </w:p>
    <w:p w14:paraId="3317477C"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Overexpression of MDM2</w:t>
      </w:r>
    </w:p>
    <w:p w14:paraId="1F1E29C7" w14:textId="77777777" w:rsidR="000E2C48" w:rsidRDefault="000E2C48" w:rsidP="000E2C48">
      <w:pPr>
        <w:spacing w:after="0" w:line="360" w:lineRule="auto"/>
        <w:jc w:val="both"/>
        <w:rPr>
          <w:rFonts w:ascii="Arial" w:hAnsi="Arial" w:cs="Arial"/>
          <w:lang w:val="en-US"/>
        </w:rPr>
      </w:pPr>
      <w:r w:rsidRPr="00524E03">
        <w:rPr>
          <w:rFonts w:ascii="Arial" w:hAnsi="Arial" w:cs="Arial"/>
          <w:lang w:val="en-US"/>
        </w:rPr>
        <w:t>A lentiviral SFFV-</w:t>
      </w:r>
      <w:r w:rsidRPr="00524E03">
        <w:rPr>
          <w:rFonts w:ascii="Arial" w:hAnsi="Arial" w:cs="Arial"/>
          <w:i/>
          <w:iCs/>
          <w:lang w:val="en-US"/>
        </w:rPr>
        <w:t>Mdm2</w:t>
      </w:r>
      <w:r w:rsidRPr="00524E03">
        <w:rPr>
          <w:rFonts w:ascii="Arial" w:hAnsi="Arial" w:cs="Arial"/>
          <w:lang w:val="en-US"/>
        </w:rPr>
        <w:t xml:space="preserve">-IRES-tRFP transfer plasmid was constructed by PCR amplification of the Mdm2-IRES sequence derived from MSCV-Mouse </w:t>
      </w:r>
      <w:r w:rsidRPr="00524E03">
        <w:rPr>
          <w:rFonts w:ascii="Arial" w:hAnsi="Arial" w:cs="Arial"/>
          <w:i/>
          <w:iCs/>
          <w:lang w:val="en-US"/>
        </w:rPr>
        <w:t>Mdm2</w:t>
      </w:r>
      <w:r w:rsidRPr="00524E03">
        <w:rPr>
          <w:rFonts w:ascii="Arial" w:hAnsi="Arial" w:cs="Arial"/>
          <w:lang w:val="en-US"/>
        </w:rPr>
        <w:t xml:space="preserve"> wt-IRES-CFP (a gift from Martine Roussel; RRID:Addgene_180493) with ClaI and </w:t>
      </w:r>
      <w:proofErr w:type="spellStart"/>
      <w:r w:rsidRPr="00524E03">
        <w:rPr>
          <w:rFonts w:ascii="Arial" w:hAnsi="Arial" w:cs="Arial"/>
          <w:lang w:val="en-US"/>
        </w:rPr>
        <w:t>NcoI</w:t>
      </w:r>
      <w:proofErr w:type="spellEnd"/>
      <w:r w:rsidRPr="00524E03">
        <w:rPr>
          <w:rFonts w:ascii="Arial" w:hAnsi="Arial" w:cs="Arial"/>
          <w:lang w:val="en-US"/>
        </w:rPr>
        <w:t xml:space="preserve"> restriction site overhangs. The amplified fragment was cloned into the </w:t>
      </w:r>
      <w:proofErr w:type="spellStart"/>
      <w:r w:rsidRPr="00524E03">
        <w:rPr>
          <w:rFonts w:ascii="Arial" w:hAnsi="Arial" w:cs="Arial"/>
          <w:lang w:val="en-US"/>
        </w:rPr>
        <w:t>sgRNA.SFFV.tRFP</w:t>
      </w:r>
      <w:proofErr w:type="spellEnd"/>
      <w:r w:rsidRPr="00524E03">
        <w:rPr>
          <w:rFonts w:ascii="Arial" w:hAnsi="Arial" w:cs="Arial"/>
          <w:lang w:val="en-US"/>
        </w:rPr>
        <w:t xml:space="preserve"> backbone (a gift from Benjamin Ebert; RRID:Addgene_169941). ER-HoxB8-tetCre-</w:t>
      </w:r>
      <w:r w:rsidRPr="00524E03">
        <w:rPr>
          <w:rFonts w:ascii="Arial" w:hAnsi="Arial" w:cs="Arial"/>
          <w:i/>
          <w:iCs/>
          <w:lang w:val="en-US"/>
        </w:rPr>
        <w:t>Trp53</w:t>
      </w:r>
      <w:r w:rsidRPr="00524E03">
        <w:rPr>
          <w:rFonts w:ascii="Arial" w:hAnsi="Arial" w:cs="Arial"/>
          <w:lang w:val="en-US"/>
        </w:rPr>
        <w:t xml:space="preserve">-fl-R245W-GFP cells were transduced with the resulting lentiviral plasmid. Successfully transduced cells were enriched by FACS based on </w:t>
      </w:r>
      <w:proofErr w:type="spellStart"/>
      <w:r w:rsidRPr="00524E03">
        <w:rPr>
          <w:rFonts w:ascii="Arial" w:hAnsi="Arial" w:cs="Arial"/>
          <w:lang w:val="en-US"/>
        </w:rPr>
        <w:t>tRFP</w:t>
      </w:r>
      <w:proofErr w:type="spellEnd"/>
      <w:r w:rsidRPr="00524E03">
        <w:rPr>
          <w:rFonts w:ascii="Arial" w:hAnsi="Arial" w:cs="Arial"/>
          <w:lang w:val="en-US"/>
        </w:rPr>
        <w:t xml:space="preserve"> expression.</w:t>
      </w:r>
    </w:p>
    <w:p w14:paraId="633586F1" w14:textId="77777777" w:rsidR="000E2C48" w:rsidRPr="00524E03" w:rsidRDefault="000E2C48" w:rsidP="000E2C48">
      <w:pPr>
        <w:spacing w:line="360" w:lineRule="auto"/>
        <w:jc w:val="both"/>
        <w:rPr>
          <w:rFonts w:ascii="Arial" w:hAnsi="Arial" w:cs="Arial"/>
          <w:lang w:val="en-US"/>
        </w:rPr>
      </w:pPr>
    </w:p>
    <w:p w14:paraId="1786A89D"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Flow cytometry</w:t>
      </w:r>
    </w:p>
    <w:p w14:paraId="23FF5971"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 xml:space="preserve">For surface staining, the FACS antibodies listed in table 1 were used at the indicated dilutions and incubated for 30-60 minutes at 4°C. DAPI (4’,6-diamidino-2-phenylindole dilactate; BioLegend, Cat. No. 422801) or Fixable Viability Dye (FVD) </w:t>
      </w:r>
      <w:proofErr w:type="spellStart"/>
      <w:r w:rsidRPr="00524E03">
        <w:rPr>
          <w:rFonts w:ascii="Arial" w:hAnsi="Arial" w:cs="Arial"/>
          <w:lang w:val="en-US"/>
        </w:rPr>
        <w:t>eFluor</w:t>
      </w:r>
      <w:proofErr w:type="spellEnd"/>
      <w:r w:rsidRPr="00524E03">
        <w:rPr>
          <w:rFonts w:ascii="Arial" w:hAnsi="Arial" w:cs="Arial"/>
          <w:lang w:val="en-US"/>
        </w:rPr>
        <w:t>™ 780 (</w:t>
      </w:r>
      <w:proofErr w:type="spellStart"/>
      <w:r w:rsidRPr="00524E03">
        <w:rPr>
          <w:rFonts w:ascii="Arial" w:hAnsi="Arial" w:cs="Arial"/>
          <w:lang w:val="en-US"/>
        </w:rPr>
        <w:t>eBioscience</w:t>
      </w:r>
      <w:proofErr w:type="spellEnd"/>
      <w:r w:rsidRPr="00524E03">
        <w:rPr>
          <w:rFonts w:ascii="Arial" w:hAnsi="Arial" w:cs="Arial"/>
          <w:lang w:val="en-US"/>
        </w:rPr>
        <w:t xml:space="preserve">™, San Diego, CA, USA) were used for live/dead cell discrimination. Data acquisition was carried out using an </w:t>
      </w:r>
      <w:proofErr w:type="spellStart"/>
      <w:r w:rsidRPr="00524E03">
        <w:rPr>
          <w:rFonts w:ascii="Arial" w:hAnsi="Arial" w:cs="Arial"/>
          <w:lang w:val="en-US"/>
        </w:rPr>
        <w:t>LSRFortessa</w:t>
      </w:r>
      <w:proofErr w:type="spellEnd"/>
      <w:r w:rsidRPr="00524E03">
        <w:rPr>
          <w:rFonts w:ascii="Arial" w:hAnsi="Arial" w:cs="Arial"/>
          <w:lang w:val="en-US"/>
        </w:rPr>
        <w:t xml:space="preserve">™ 4L flow cytometer equipped with a high-throughput sampler (HTS) (Becton Dickinson, Franklin Lakes, NJ, USA). Analysis and quantification of data were performed using </w:t>
      </w:r>
      <w:proofErr w:type="spellStart"/>
      <w:r w:rsidRPr="00524E03">
        <w:rPr>
          <w:rFonts w:ascii="Arial" w:hAnsi="Arial" w:cs="Arial"/>
          <w:lang w:val="en-US"/>
        </w:rPr>
        <w:t>FlowJo</w:t>
      </w:r>
      <w:proofErr w:type="spellEnd"/>
      <w:r w:rsidRPr="00524E03">
        <w:rPr>
          <w:rFonts w:ascii="Arial" w:hAnsi="Arial" w:cs="Arial"/>
          <w:lang w:val="en-US"/>
        </w:rPr>
        <w:t>® v9x software (RRID:SCR_008520, Becton Dickinson, Franklin Lakes, NJ, USA). FACS was conducted on an Aria III 4L (Becton Dickinson, Franklin Lakes, NJ, USA).</w:t>
      </w:r>
    </w:p>
    <w:p w14:paraId="161705B1" w14:textId="77777777" w:rsidR="000E2C48" w:rsidRPr="00524E03" w:rsidRDefault="000E2C48" w:rsidP="000E2C48">
      <w:pPr>
        <w:spacing w:line="360" w:lineRule="auto"/>
        <w:jc w:val="both"/>
        <w:rPr>
          <w:rFonts w:ascii="Arial" w:hAnsi="Arial" w:cs="Arial"/>
          <w:b/>
          <w:bCs/>
          <w:lang w:val="en-US"/>
        </w:rPr>
      </w:pPr>
    </w:p>
    <w:p w14:paraId="0C420F47"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Differentiation assay</w:t>
      </w:r>
    </w:p>
    <w:p w14:paraId="5D50BE34"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A total of 3 x 10⁶ ER-HoxB8-tetCre-</w:t>
      </w:r>
      <w:r w:rsidRPr="00524E03">
        <w:rPr>
          <w:rFonts w:ascii="Arial" w:hAnsi="Arial" w:cs="Arial"/>
          <w:i/>
          <w:iCs/>
          <w:lang w:val="en-US"/>
        </w:rPr>
        <w:t>Trp53</w:t>
      </w:r>
      <w:r w:rsidRPr="00524E03">
        <w:rPr>
          <w:rFonts w:ascii="Arial" w:hAnsi="Arial" w:cs="Arial"/>
          <w:lang w:val="en-US"/>
        </w:rPr>
        <w:t>-fl-R245W-GFP cells with the indicated genotypes were washed twice with PBS and resuspended in one of three conditions: (I) normal culture media (+</w:t>
      </w:r>
      <w:r w:rsidRPr="00524E03">
        <w:rPr>
          <w:rFonts w:ascii="Arial" w:hAnsi="Arial" w:cs="Arial"/>
        </w:rPr>
        <w:t>β</w:t>
      </w:r>
      <w:r w:rsidRPr="00524E03">
        <w:rPr>
          <w:rFonts w:ascii="Arial" w:hAnsi="Arial" w:cs="Arial"/>
          <w:lang w:val="en-US"/>
        </w:rPr>
        <w:t xml:space="preserve">-estradiol, + SCF), (II) culture media without </w:t>
      </w:r>
      <w:r w:rsidRPr="00524E03">
        <w:rPr>
          <w:rFonts w:ascii="Arial" w:hAnsi="Arial" w:cs="Arial"/>
        </w:rPr>
        <w:t>β</w:t>
      </w:r>
      <w:r w:rsidRPr="00524E03">
        <w:rPr>
          <w:rFonts w:ascii="Arial" w:hAnsi="Arial" w:cs="Arial"/>
          <w:lang w:val="en-US"/>
        </w:rPr>
        <w:t xml:space="preserve">-estradiol, but with SCF, or (III) culture media without </w:t>
      </w:r>
      <w:r w:rsidRPr="00524E03">
        <w:rPr>
          <w:rFonts w:ascii="Arial" w:hAnsi="Arial" w:cs="Arial"/>
        </w:rPr>
        <w:t>β</w:t>
      </w:r>
      <w:r w:rsidRPr="00524E03">
        <w:rPr>
          <w:rFonts w:ascii="Arial" w:hAnsi="Arial" w:cs="Arial"/>
          <w:lang w:val="en-US"/>
        </w:rPr>
        <w:t>-estradiol, without SCF, but supplemented with 10 ng/mL murine M-CSF (</w:t>
      </w:r>
      <w:proofErr w:type="spellStart"/>
      <w:r w:rsidRPr="00524E03">
        <w:rPr>
          <w:rFonts w:ascii="Arial" w:hAnsi="Arial" w:cs="Arial"/>
          <w:lang w:val="en-US"/>
        </w:rPr>
        <w:t>Biolegend</w:t>
      </w:r>
      <w:proofErr w:type="spellEnd"/>
      <w:r w:rsidRPr="00524E03">
        <w:rPr>
          <w:rFonts w:ascii="Arial" w:hAnsi="Arial" w:cs="Arial"/>
          <w:lang w:val="en-US"/>
        </w:rPr>
        <w:t xml:space="preserve">, Cat. No. 576402). Cells were then plated in non-tissue culture-treated 10 cm dishes and cultured for 6 days. Cells in the normal culture media condition were split 1:8 every </w:t>
      </w:r>
      <w:r w:rsidRPr="00524E03">
        <w:rPr>
          <w:rFonts w:ascii="Arial" w:hAnsi="Arial" w:cs="Arial"/>
          <w:lang w:val="en-US"/>
        </w:rPr>
        <w:lastRenderedPageBreak/>
        <w:t>two days to maintain optimal cell density. After 6 days, non-adherent cells were collected by pipetting, and adherent cells were harvested via trypsinization. Cells were subsequently stained for lineage-defining surface markers and analyzed by flow cytometry, as well as subjected to cytomorphological analysis.</w:t>
      </w:r>
    </w:p>
    <w:p w14:paraId="7D9DBF8E" w14:textId="77777777" w:rsidR="000E2C48" w:rsidRPr="00524E03" w:rsidRDefault="000E2C48" w:rsidP="000E2C48">
      <w:pPr>
        <w:spacing w:line="360" w:lineRule="auto"/>
        <w:jc w:val="both"/>
        <w:rPr>
          <w:rFonts w:ascii="Arial" w:hAnsi="Arial" w:cs="Arial"/>
          <w:lang w:val="en-US"/>
        </w:rPr>
      </w:pPr>
    </w:p>
    <w:p w14:paraId="27CAB5A8"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 xml:space="preserve">Chemical compounds </w:t>
      </w:r>
    </w:p>
    <w:p w14:paraId="26A7A64E"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Etoposide (Selleckchem, S1225), nutlin-3a (Selleckchem, S8059), daunorubicin (Selleckchem, S3035), and cytarabine (Selleckchem, S1648) were procured as lyophilized formulation, dissolved in Dimethyl Sulfoxide (DMSO, Sigma-Aldrich®, D4540), aliquoted, and stored at -80°C. For all experiments, the drugs were freshly thawed and diluted in cell culture medium to achieve the required concentrations.</w:t>
      </w:r>
    </w:p>
    <w:p w14:paraId="08A3C1A0" w14:textId="77777777" w:rsidR="000E2C48" w:rsidRPr="00524E03" w:rsidRDefault="000E2C48" w:rsidP="000E2C48">
      <w:pPr>
        <w:spacing w:line="360" w:lineRule="auto"/>
        <w:jc w:val="both"/>
        <w:rPr>
          <w:rFonts w:ascii="Arial" w:hAnsi="Arial" w:cs="Arial"/>
          <w:lang w:val="en-US"/>
        </w:rPr>
      </w:pPr>
    </w:p>
    <w:p w14:paraId="0D47CEF3"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Cell cycle analysis</w:t>
      </w:r>
    </w:p>
    <w:p w14:paraId="16DB001E"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Asynchronous cultures of ER-HoxB8-tetCre-</w:t>
      </w:r>
      <w:r w:rsidRPr="00524E03">
        <w:rPr>
          <w:rFonts w:ascii="Arial" w:hAnsi="Arial" w:cs="Arial"/>
          <w:i/>
          <w:iCs/>
          <w:lang w:val="en-US"/>
        </w:rPr>
        <w:t>Trp53</w:t>
      </w:r>
      <w:r w:rsidRPr="00524E03">
        <w:rPr>
          <w:rFonts w:ascii="Arial" w:hAnsi="Arial" w:cs="Arial"/>
          <w:lang w:val="en-US"/>
        </w:rPr>
        <w:t>-fl-R245W-GFP cells were seeded in 6-well plates at a density of 1.5 x 10</w:t>
      </w:r>
      <w:r w:rsidRPr="00524E03">
        <w:rPr>
          <w:rFonts w:ascii="Arial" w:hAnsi="Arial" w:cs="Arial"/>
          <w:vertAlign w:val="superscript"/>
          <w:lang w:val="en-US"/>
        </w:rPr>
        <w:t>6</w:t>
      </w:r>
      <w:r w:rsidRPr="00524E03">
        <w:rPr>
          <w:rFonts w:ascii="Arial" w:hAnsi="Arial" w:cs="Arial"/>
          <w:lang w:val="en-US"/>
        </w:rPr>
        <w:t xml:space="preserve"> cells per well and treated with 40 </w:t>
      </w:r>
      <w:r w:rsidRPr="00524E03">
        <w:rPr>
          <w:rFonts w:ascii="Arial" w:hAnsi="Arial" w:cs="Arial"/>
        </w:rPr>
        <w:t>μ</w:t>
      </w:r>
      <w:r w:rsidRPr="00524E03">
        <w:rPr>
          <w:rFonts w:ascii="Arial" w:hAnsi="Arial" w:cs="Arial"/>
          <w:lang w:val="en-US"/>
        </w:rPr>
        <w:t>M etoposide for 1 hour. Following treatment, the drug was removed by washing the cells twice and cells were cultured in fresh media for 24 hours. A total of 1.5 x 10</w:t>
      </w:r>
      <w:r w:rsidRPr="00524E03">
        <w:rPr>
          <w:rFonts w:ascii="Arial" w:hAnsi="Arial" w:cs="Arial"/>
          <w:vertAlign w:val="superscript"/>
          <w:lang w:val="en-US"/>
        </w:rPr>
        <w:t>5</w:t>
      </w:r>
      <w:r w:rsidRPr="00524E03">
        <w:rPr>
          <w:rFonts w:ascii="Arial" w:hAnsi="Arial" w:cs="Arial"/>
          <w:lang w:val="en-US"/>
        </w:rPr>
        <w:t xml:space="preserve"> viable cells were collected, transferred to 96-well plates, and stained with 1:200 </w:t>
      </w:r>
      <w:proofErr w:type="spellStart"/>
      <w:r w:rsidRPr="00524E03">
        <w:rPr>
          <w:rFonts w:ascii="Arial" w:hAnsi="Arial" w:cs="Arial"/>
          <w:lang w:val="en-US"/>
        </w:rPr>
        <w:t>CytoPhase</w:t>
      </w:r>
      <w:proofErr w:type="spellEnd"/>
      <w:r w:rsidRPr="00524E03">
        <w:rPr>
          <w:rFonts w:ascii="Arial" w:hAnsi="Arial" w:cs="Arial"/>
          <w:lang w:val="en-US"/>
        </w:rPr>
        <w:t>™ Violet (</w:t>
      </w:r>
      <w:proofErr w:type="spellStart"/>
      <w:r w:rsidRPr="00524E03">
        <w:rPr>
          <w:rFonts w:ascii="Arial" w:hAnsi="Arial" w:cs="Arial"/>
          <w:lang w:val="en-US"/>
        </w:rPr>
        <w:t>BioLegend</w:t>
      </w:r>
      <w:proofErr w:type="spellEnd"/>
      <w:r w:rsidRPr="00524E03">
        <w:rPr>
          <w:rFonts w:ascii="Arial" w:hAnsi="Arial" w:cs="Arial"/>
          <w:lang w:val="en-US"/>
        </w:rPr>
        <w:t xml:space="preserve">, Cat. No. 425701) in culture media for 90 minutes at 37°C. Cell cycle distribution was assessed using flow cytometry on a BD </w:t>
      </w:r>
      <w:proofErr w:type="spellStart"/>
      <w:r w:rsidRPr="00524E03">
        <w:rPr>
          <w:rFonts w:ascii="Arial" w:hAnsi="Arial" w:cs="Arial"/>
          <w:lang w:val="en-US"/>
        </w:rPr>
        <w:t>LSRFortessa</w:t>
      </w:r>
      <w:proofErr w:type="spellEnd"/>
      <w:r w:rsidRPr="00524E03">
        <w:rPr>
          <w:rFonts w:ascii="Arial" w:hAnsi="Arial" w:cs="Arial"/>
          <w:lang w:val="en-US"/>
        </w:rPr>
        <w:t xml:space="preserve">™ system (BD Biosciences). Data analysis was performed with </w:t>
      </w:r>
      <w:proofErr w:type="spellStart"/>
      <w:r w:rsidRPr="00524E03">
        <w:rPr>
          <w:rFonts w:ascii="Arial" w:hAnsi="Arial" w:cs="Arial"/>
          <w:lang w:val="en-US"/>
        </w:rPr>
        <w:t>FlowJo</w:t>
      </w:r>
      <w:proofErr w:type="spellEnd"/>
      <w:r w:rsidRPr="00524E03">
        <w:rPr>
          <w:rFonts w:ascii="Arial" w:hAnsi="Arial" w:cs="Arial"/>
          <w:lang w:val="en-US"/>
        </w:rPr>
        <w:t xml:space="preserve"> software (v10.0.7, </w:t>
      </w:r>
      <w:proofErr w:type="spellStart"/>
      <w:r w:rsidRPr="00524E03">
        <w:rPr>
          <w:rFonts w:ascii="Arial" w:hAnsi="Arial" w:cs="Arial"/>
          <w:lang w:val="en-US"/>
        </w:rPr>
        <w:t>FlowJo</w:t>
      </w:r>
      <w:proofErr w:type="spellEnd"/>
      <w:r w:rsidRPr="00524E03">
        <w:rPr>
          <w:rFonts w:ascii="Arial" w:hAnsi="Arial" w:cs="Arial"/>
          <w:lang w:val="en-US"/>
        </w:rPr>
        <w:t xml:space="preserve">, LLC, Ashland, Oregon, USA). </w:t>
      </w:r>
    </w:p>
    <w:p w14:paraId="6AA04F72" w14:textId="77777777" w:rsidR="000E2C48" w:rsidRPr="00524E03" w:rsidRDefault="000E2C48" w:rsidP="000E2C48">
      <w:pPr>
        <w:spacing w:line="360" w:lineRule="auto"/>
        <w:jc w:val="both"/>
        <w:rPr>
          <w:rFonts w:ascii="Arial" w:hAnsi="Arial" w:cs="Arial"/>
          <w:b/>
          <w:bCs/>
          <w:lang w:val="en-US"/>
        </w:rPr>
      </w:pPr>
    </w:p>
    <w:p w14:paraId="2314AC5F"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Apoptosis assay</w:t>
      </w:r>
    </w:p>
    <w:p w14:paraId="6B2577D3"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ER-HoxB8-tetCre-</w:t>
      </w:r>
      <w:r w:rsidRPr="00524E03">
        <w:rPr>
          <w:rFonts w:ascii="Arial" w:hAnsi="Arial" w:cs="Arial"/>
          <w:i/>
          <w:iCs/>
          <w:lang w:val="en-US"/>
        </w:rPr>
        <w:t>Trp53</w:t>
      </w:r>
      <w:r w:rsidRPr="00524E03">
        <w:rPr>
          <w:rFonts w:ascii="Arial" w:hAnsi="Arial" w:cs="Arial"/>
          <w:lang w:val="en-US"/>
        </w:rPr>
        <w:t>-fl-R245W-GFP cells were seeded at a density of 1.5 x 10</w:t>
      </w:r>
      <w:r w:rsidRPr="00524E03">
        <w:rPr>
          <w:rFonts w:ascii="Arial" w:hAnsi="Arial" w:cs="Arial"/>
          <w:vertAlign w:val="superscript"/>
          <w:lang w:val="en-US"/>
        </w:rPr>
        <w:t>5</w:t>
      </w:r>
      <w:r w:rsidRPr="00524E03">
        <w:rPr>
          <w:rFonts w:ascii="Arial" w:hAnsi="Arial" w:cs="Arial"/>
          <w:lang w:val="en-US"/>
        </w:rPr>
        <w:t xml:space="preserve"> cells per well in 12-well plates and treated with 10 </w:t>
      </w:r>
      <w:r w:rsidRPr="00524E03">
        <w:rPr>
          <w:rFonts w:ascii="Arial" w:hAnsi="Arial" w:cs="Arial"/>
        </w:rPr>
        <w:t>μ</w:t>
      </w:r>
      <w:r w:rsidRPr="00524E03">
        <w:rPr>
          <w:rFonts w:ascii="Arial" w:hAnsi="Arial" w:cs="Arial"/>
          <w:lang w:val="en-US"/>
        </w:rPr>
        <w:t>M etoposide or vehicle. After 24 and 48 hours, 200</w:t>
      </w:r>
      <w:r w:rsidRPr="00524E03">
        <w:rPr>
          <w:rFonts w:ascii="Arial" w:hAnsi="Arial" w:cs="Arial"/>
        </w:rPr>
        <w:t>μ</w:t>
      </w:r>
      <w:r w:rsidRPr="00524E03">
        <w:rPr>
          <w:rFonts w:ascii="Arial" w:hAnsi="Arial" w:cs="Arial"/>
          <w:lang w:val="en-US"/>
        </w:rPr>
        <w:t>l of cell suspension were removed and transferred to a 96-well plate for analysis. Cells were stained in Annexin V Binding Buffer (</w:t>
      </w:r>
      <w:proofErr w:type="spellStart"/>
      <w:r w:rsidRPr="00524E03">
        <w:rPr>
          <w:rFonts w:ascii="Arial" w:hAnsi="Arial" w:cs="Arial"/>
          <w:lang w:val="en-US"/>
        </w:rPr>
        <w:t>Biolegend</w:t>
      </w:r>
      <w:proofErr w:type="spellEnd"/>
      <w:r w:rsidRPr="00524E03">
        <w:rPr>
          <w:rFonts w:ascii="Arial" w:hAnsi="Arial" w:cs="Arial"/>
          <w:lang w:val="en-US"/>
        </w:rPr>
        <w:t>, Cat. No. 422201) with 1:20 APC Annexin V (</w:t>
      </w:r>
      <w:proofErr w:type="spellStart"/>
      <w:r w:rsidRPr="00524E03">
        <w:rPr>
          <w:rFonts w:ascii="Arial" w:hAnsi="Arial" w:cs="Arial"/>
          <w:lang w:val="en-US"/>
        </w:rPr>
        <w:t>Biolegend</w:t>
      </w:r>
      <w:proofErr w:type="spellEnd"/>
      <w:r w:rsidRPr="00524E03">
        <w:rPr>
          <w:rFonts w:ascii="Arial" w:hAnsi="Arial" w:cs="Arial"/>
          <w:lang w:val="en-US"/>
        </w:rPr>
        <w:t>, Cat. No. 640920) in combination with 1:2500 DAPI (4’,6-15 Diamidino-2-Phenylindole Dilactate; Invitrogen, Cat. No. D1306) or 1:1000 Fixable Viability Dye eFluor780 (</w:t>
      </w:r>
      <w:proofErr w:type="spellStart"/>
      <w:r w:rsidRPr="00524E03">
        <w:rPr>
          <w:rFonts w:ascii="Arial" w:hAnsi="Arial" w:cs="Arial"/>
          <w:lang w:val="en-US"/>
        </w:rPr>
        <w:t>eBioscience</w:t>
      </w:r>
      <w:proofErr w:type="spellEnd"/>
      <w:r w:rsidRPr="00524E03">
        <w:rPr>
          <w:rFonts w:ascii="Arial" w:hAnsi="Arial" w:cs="Arial"/>
          <w:lang w:val="en-US"/>
        </w:rPr>
        <w:t xml:space="preserve">, Cat. No. 65-0865-14) for 15min at RT. Data was acquired by flow cytometry (BD </w:t>
      </w:r>
      <w:proofErr w:type="spellStart"/>
      <w:r w:rsidRPr="00524E03">
        <w:rPr>
          <w:rFonts w:ascii="Arial" w:hAnsi="Arial" w:cs="Arial"/>
          <w:lang w:val="en-US"/>
        </w:rPr>
        <w:t>LSRFortessa</w:t>
      </w:r>
      <w:proofErr w:type="spellEnd"/>
      <w:r w:rsidRPr="00524E03">
        <w:rPr>
          <w:rFonts w:ascii="Arial" w:hAnsi="Arial" w:cs="Arial"/>
          <w:lang w:val="en-US"/>
        </w:rPr>
        <w:t xml:space="preserve">) and analyzed with </w:t>
      </w:r>
      <w:proofErr w:type="spellStart"/>
      <w:r w:rsidRPr="00524E03">
        <w:rPr>
          <w:rFonts w:ascii="Arial" w:hAnsi="Arial" w:cs="Arial"/>
          <w:lang w:val="en-US"/>
        </w:rPr>
        <w:t>FlowJo</w:t>
      </w:r>
      <w:proofErr w:type="spellEnd"/>
      <w:r w:rsidRPr="00524E03">
        <w:rPr>
          <w:rFonts w:ascii="Arial" w:hAnsi="Arial" w:cs="Arial"/>
          <w:lang w:val="en-US"/>
        </w:rPr>
        <w:t xml:space="preserve"> software (v10.0.7, </w:t>
      </w:r>
      <w:proofErr w:type="spellStart"/>
      <w:r w:rsidRPr="00524E03">
        <w:rPr>
          <w:rFonts w:ascii="Arial" w:hAnsi="Arial" w:cs="Arial"/>
          <w:lang w:val="en-US"/>
        </w:rPr>
        <w:t>FlowJo</w:t>
      </w:r>
      <w:proofErr w:type="spellEnd"/>
      <w:r w:rsidRPr="00524E03">
        <w:rPr>
          <w:rFonts w:ascii="Arial" w:hAnsi="Arial" w:cs="Arial"/>
          <w:lang w:val="en-US"/>
        </w:rPr>
        <w:t>, LLC, Ashland, OR, USA)</w:t>
      </w:r>
    </w:p>
    <w:p w14:paraId="1772C627" w14:textId="77777777" w:rsidR="000E2C48" w:rsidRPr="00524E03" w:rsidRDefault="000E2C48" w:rsidP="000E2C48">
      <w:pPr>
        <w:spacing w:line="360" w:lineRule="auto"/>
        <w:jc w:val="both"/>
        <w:rPr>
          <w:rFonts w:ascii="Arial" w:hAnsi="Arial" w:cs="Arial"/>
          <w:lang w:val="en-US"/>
        </w:rPr>
      </w:pPr>
    </w:p>
    <w:p w14:paraId="29287A3F"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Immunoblots</w:t>
      </w:r>
    </w:p>
    <w:p w14:paraId="10E67F95"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lastRenderedPageBreak/>
        <w:t>Whole-cell extracts were prepared using Pierce™ RIPA lysis buffer (</w:t>
      </w:r>
      <w:proofErr w:type="spellStart"/>
      <w:r w:rsidRPr="00524E03">
        <w:rPr>
          <w:rFonts w:ascii="Arial" w:hAnsi="Arial" w:cs="Arial"/>
          <w:lang w:val="en-US"/>
        </w:rPr>
        <w:t>Thermo</w:t>
      </w:r>
      <w:proofErr w:type="spellEnd"/>
      <w:r w:rsidRPr="00524E03">
        <w:rPr>
          <w:rFonts w:ascii="Arial" w:hAnsi="Arial" w:cs="Arial"/>
          <w:lang w:val="en-US"/>
        </w:rPr>
        <w:t xml:space="preserve"> Scientific, Cat. No. 89900), freshly supplemented with </w:t>
      </w:r>
      <w:proofErr w:type="spellStart"/>
      <w:r w:rsidRPr="00524E03">
        <w:rPr>
          <w:rFonts w:ascii="Arial" w:hAnsi="Arial" w:cs="Arial"/>
          <w:lang w:val="en-US"/>
        </w:rPr>
        <w:t>cOmplete</w:t>
      </w:r>
      <w:proofErr w:type="spellEnd"/>
      <w:r w:rsidRPr="00524E03">
        <w:rPr>
          <w:rFonts w:ascii="Arial" w:hAnsi="Arial" w:cs="Arial"/>
          <w:lang w:val="en-US"/>
        </w:rPr>
        <w:t>™ protease inhibitor cocktail (Sigma Aldrich, Cat. No. 5892791001). Protein concentrations were determined using the Pierce™ BCA Protein Assay Kit (</w:t>
      </w:r>
      <w:proofErr w:type="spellStart"/>
      <w:r w:rsidRPr="00524E03">
        <w:rPr>
          <w:rFonts w:ascii="Arial" w:hAnsi="Arial" w:cs="Arial"/>
          <w:lang w:val="en-US"/>
        </w:rPr>
        <w:t>Thermo</w:t>
      </w:r>
      <w:proofErr w:type="spellEnd"/>
      <w:r w:rsidRPr="00524E03">
        <w:rPr>
          <w:rFonts w:ascii="Arial" w:hAnsi="Arial" w:cs="Arial"/>
          <w:lang w:val="en-US"/>
        </w:rPr>
        <w:t xml:space="preserve"> Scientific, Cat. No. 23225), with absorbance measured at 562 nm. Equal amounts of protein were loaded onto either </w:t>
      </w:r>
      <w:proofErr w:type="spellStart"/>
      <w:r w:rsidRPr="00524E03">
        <w:rPr>
          <w:rFonts w:ascii="Arial" w:hAnsi="Arial" w:cs="Arial"/>
          <w:lang w:val="en-US"/>
        </w:rPr>
        <w:t>NuPAGE</w:t>
      </w:r>
      <w:proofErr w:type="spellEnd"/>
      <w:r w:rsidRPr="00524E03">
        <w:rPr>
          <w:rFonts w:ascii="Arial" w:hAnsi="Arial" w:cs="Arial"/>
          <w:lang w:val="en-US"/>
        </w:rPr>
        <w:t xml:space="preserve">™ 4–12% Bis-Tris Midi gels (Invitrogen, Cat. No. WG1403BOX, 1.0 mm) or Bolt™ 4–12% Bis-Tris Plus Mini gels (Invitrogen, Cat. No. NW04125BOX, 1.0 mm, </w:t>
      </w:r>
      <w:proofErr w:type="spellStart"/>
      <w:r w:rsidRPr="00524E03">
        <w:rPr>
          <w:rFonts w:ascii="Arial" w:hAnsi="Arial" w:cs="Arial"/>
          <w:lang w:val="en-US"/>
        </w:rPr>
        <w:t>WedgeWell</w:t>
      </w:r>
      <w:proofErr w:type="spellEnd"/>
      <w:r w:rsidRPr="00524E03">
        <w:rPr>
          <w:rFonts w:ascii="Arial" w:hAnsi="Arial" w:cs="Arial"/>
          <w:lang w:val="en-US"/>
        </w:rPr>
        <w:t xml:space="preserve">™ format). Proteins were transferred to Amersham™ </w:t>
      </w:r>
      <w:proofErr w:type="spellStart"/>
      <w:r w:rsidRPr="00524E03">
        <w:rPr>
          <w:rFonts w:ascii="Arial" w:hAnsi="Arial" w:cs="Arial"/>
          <w:lang w:val="en-US"/>
        </w:rPr>
        <w:t>Hybond</w:t>
      </w:r>
      <w:proofErr w:type="spellEnd"/>
      <w:r w:rsidRPr="00524E03">
        <w:rPr>
          <w:rFonts w:ascii="Arial" w:hAnsi="Arial" w:cs="Arial"/>
          <w:lang w:val="en-US"/>
        </w:rPr>
        <w:t>® P PVDF membranes (Merck, Cat. No. GE10600023) and subjected to immunoblotting with primary antibodies, followed by HRP-conjugated secondary antibodies. The antibodies used were anti-p21 (EPR18021, RRID:AB_2734729, dilution 1:1000), anti-p53 (1C12, RRID:AB_331743, dilution 1:1000), anti-</w:t>
      </w:r>
      <w:r w:rsidRPr="00524E03">
        <w:rPr>
          <w:rFonts w:ascii="Arial" w:hAnsi="Arial" w:cs="Arial"/>
        </w:rPr>
        <w:t>β</w:t>
      </w:r>
      <w:r w:rsidRPr="00524E03">
        <w:rPr>
          <w:rFonts w:ascii="Arial" w:hAnsi="Arial" w:cs="Arial"/>
          <w:lang w:val="en-US"/>
        </w:rPr>
        <w:t>-actin (Abcam, RRID:AB_306371, dilution 1:5000), goat anti-mouse-HRP (Genesee Scientific, Cat. No. 20-304, dilution 1:5000) and goat anti-rabbit-HRP (Genesee Scientific, Cat. No. 20-303, dilution 1:5000). Blots were visualized using Immobilon Forte HRP substrate (Merck, Cat. No. WBLUF0100) and imaged using the Fusion Solo S Western Blot imager (</w:t>
      </w:r>
      <w:proofErr w:type="spellStart"/>
      <w:r w:rsidRPr="00524E03">
        <w:rPr>
          <w:rFonts w:ascii="Arial" w:hAnsi="Arial" w:cs="Arial"/>
          <w:lang w:val="en-US"/>
        </w:rPr>
        <w:t>Vilber</w:t>
      </w:r>
      <w:proofErr w:type="spellEnd"/>
      <w:r w:rsidRPr="00524E03">
        <w:rPr>
          <w:rFonts w:ascii="Arial" w:hAnsi="Arial" w:cs="Arial"/>
          <w:lang w:val="en-US"/>
        </w:rPr>
        <w:t>).</w:t>
      </w:r>
    </w:p>
    <w:p w14:paraId="75B92F8C" w14:textId="77777777" w:rsidR="000E2C48" w:rsidRPr="00524E03" w:rsidRDefault="000E2C48" w:rsidP="000E2C48">
      <w:pPr>
        <w:spacing w:line="360" w:lineRule="auto"/>
        <w:jc w:val="both"/>
        <w:rPr>
          <w:rFonts w:ascii="Arial" w:hAnsi="Arial" w:cs="Arial"/>
          <w:lang w:val="en-US"/>
        </w:rPr>
      </w:pPr>
    </w:p>
    <w:p w14:paraId="5C620572"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Quantitative reverse transcription PCR</w:t>
      </w:r>
    </w:p>
    <w:p w14:paraId="3777BC5C"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Total RNA was extracted using the RNeasy Kit (QIAGEN, Cat. No. 74104) following the manufacturer’s protocol. Reverse transcription was performed with High-Capacity cDNA Reverse Transcription Kit (Applied Biosystems</w:t>
      </w:r>
      <w:r w:rsidRPr="00524E03">
        <w:rPr>
          <w:rFonts w:ascii="Arial" w:hAnsi="Arial" w:cs="Arial"/>
        </w:rPr>
        <w:t></w:t>
      </w:r>
      <w:r w:rsidRPr="00524E03">
        <w:rPr>
          <w:rFonts w:ascii="Arial" w:hAnsi="Arial" w:cs="Arial"/>
          <w:lang w:val="en-US"/>
        </w:rPr>
        <w:t xml:space="preserve">, Cat. No. 4368814). qPCR was conducted using the TaqMan® Gene Expression Master Mix (ThermoFisher, Cat. No. 4369016) and TaqMan® Gene Expression Assays (Cdkn1a, Mm00432448_m1; Mdm2, Mm01233136_m1, </w:t>
      </w:r>
      <w:proofErr w:type="spellStart"/>
      <w:r w:rsidRPr="00524E03">
        <w:rPr>
          <w:rFonts w:ascii="Arial" w:hAnsi="Arial" w:cs="Arial"/>
          <w:lang w:val="en-US"/>
        </w:rPr>
        <w:t>Actb</w:t>
      </w:r>
      <w:proofErr w:type="spellEnd"/>
      <w:r w:rsidRPr="00524E03">
        <w:rPr>
          <w:rFonts w:ascii="Arial" w:hAnsi="Arial" w:cs="Arial"/>
          <w:lang w:val="en-US"/>
        </w:rPr>
        <w:t xml:space="preserve">, Mm00607939_s1) on a </w:t>
      </w:r>
      <w:proofErr w:type="spellStart"/>
      <w:r w:rsidRPr="00524E03">
        <w:rPr>
          <w:rFonts w:ascii="Arial" w:hAnsi="Arial" w:cs="Arial"/>
          <w:lang w:val="en-US"/>
        </w:rPr>
        <w:t>ViiA</w:t>
      </w:r>
      <w:proofErr w:type="spellEnd"/>
      <w:r w:rsidRPr="00524E03">
        <w:rPr>
          <w:rFonts w:ascii="Arial" w:hAnsi="Arial" w:cs="Arial"/>
          <w:lang w:val="en-US"/>
        </w:rPr>
        <w:t xml:space="preserve"> 7 Real-Time PCR System (Applied Biosystems) or 7500 Fast Real-Time PCR System (Applied Biosystems). The relative mRNA expression of each target gene was normalized to the expression of </w:t>
      </w:r>
      <w:r w:rsidRPr="00524E03">
        <w:rPr>
          <w:rFonts w:ascii="Arial" w:hAnsi="Arial" w:cs="Arial"/>
        </w:rPr>
        <w:t>β</w:t>
      </w:r>
      <w:r w:rsidRPr="00524E03">
        <w:rPr>
          <w:rFonts w:ascii="Arial" w:hAnsi="Arial" w:cs="Arial"/>
          <w:lang w:val="en-US"/>
        </w:rPr>
        <w:t>-actin.</w:t>
      </w:r>
    </w:p>
    <w:p w14:paraId="0781D604" w14:textId="77777777" w:rsidR="000E2C48" w:rsidRPr="00524E03" w:rsidRDefault="000E2C48" w:rsidP="000E2C48">
      <w:pPr>
        <w:spacing w:line="360" w:lineRule="auto"/>
        <w:jc w:val="both"/>
        <w:rPr>
          <w:rFonts w:ascii="Arial" w:hAnsi="Arial" w:cs="Arial"/>
          <w:lang w:val="en-US"/>
        </w:rPr>
      </w:pPr>
    </w:p>
    <w:p w14:paraId="1AFBFA99"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Drug sensitivity assays</w:t>
      </w:r>
    </w:p>
    <w:p w14:paraId="4FC97A53"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 xml:space="preserve">For dose-response curve generation, cells were seeded in opaque 96-well flat-bottom culture plates at a density of 0.8 x 10⁴ cells per well. Serial concentrations of etoposide, nutlin-3a, daunorubicin, and cytarabine were dispensed using an HP® D300e Digital Dispenser (HP Inc., Tecan Life Sciences). Plates were sealed with breathable foil (ThermoFisher Scientific, Nunc sealing tape, white Rayon, breathable, sterile, Cat. No. 241205) to minimize evaporation. Following 48 hours of drug exposure, cell viability was measured using the </w:t>
      </w:r>
      <w:proofErr w:type="spellStart"/>
      <w:r w:rsidRPr="00524E03">
        <w:rPr>
          <w:rFonts w:ascii="Arial" w:hAnsi="Arial" w:cs="Arial"/>
          <w:lang w:val="en-US"/>
        </w:rPr>
        <w:t>CellTiter</w:t>
      </w:r>
      <w:proofErr w:type="spellEnd"/>
      <w:r w:rsidRPr="00524E03">
        <w:rPr>
          <w:rFonts w:ascii="Arial" w:hAnsi="Arial" w:cs="Arial"/>
          <w:lang w:val="en-US"/>
        </w:rPr>
        <w:t xml:space="preserve">-Glo luminescent assay (Promega, Cat. No. G7572) and luminescence was recorded with a </w:t>
      </w:r>
      <w:proofErr w:type="spellStart"/>
      <w:r w:rsidRPr="00524E03">
        <w:rPr>
          <w:rFonts w:ascii="Arial" w:hAnsi="Arial" w:cs="Arial"/>
          <w:lang w:val="en-US"/>
        </w:rPr>
        <w:t>Biotek</w:t>
      </w:r>
      <w:proofErr w:type="spellEnd"/>
      <w:r w:rsidRPr="00524E03">
        <w:rPr>
          <w:rFonts w:ascii="Arial" w:hAnsi="Arial" w:cs="Arial"/>
          <w:lang w:val="en-US"/>
        </w:rPr>
        <w:t xml:space="preserve"> Synergy LX (SLXFTS) luminometer (Agilent technologies). Dose-response curves were generated by normalizing cell viability to vehicle-treated controls and fitting the data using </w:t>
      </w:r>
      <w:r w:rsidRPr="00524E03">
        <w:rPr>
          <w:rFonts w:ascii="Arial" w:hAnsi="Arial" w:cs="Arial"/>
          <w:lang w:val="en-US"/>
        </w:rPr>
        <w:lastRenderedPageBreak/>
        <w:t>nonlinear regression analysis. For statistical analysis, the areas under the dose-response curves between cells with different genotypes were compared using GraphPad Prism software (RRID:SCR_002798, version 10.2.1, Boston, MA, USA).</w:t>
      </w:r>
    </w:p>
    <w:p w14:paraId="7F66AB93" w14:textId="77777777" w:rsidR="000E2C48" w:rsidRPr="00524E03" w:rsidRDefault="000E2C48" w:rsidP="000E2C48">
      <w:pPr>
        <w:spacing w:line="360" w:lineRule="auto"/>
        <w:jc w:val="both"/>
        <w:rPr>
          <w:rFonts w:ascii="Arial" w:hAnsi="Arial" w:cs="Arial"/>
          <w:lang w:val="en-US"/>
        </w:rPr>
      </w:pPr>
    </w:p>
    <w:p w14:paraId="20D1160C"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Competitive cell growth assay</w:t>
      </w:r>
    </w:p>
    <w:p w14:paraId="104796B7"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ER-HoxB8-tetCre-</w:t>
      </w:r>
      <w:r w:rsidRPr="00524E03">
        <w:rPr>
          <w:rFonts w:ascii="Arial" w:hAnsi="Arial" w:cs="Arial"/>
          <w:i/>
          <w:iCs/>
          <w:lang w:val="en-US"/>
        </w:rPr>
        <w:t>Trp53</w:t>
      </w:r>
      <w:r w:rsidRPr="00524E03">
        <w:rPr>
          <w:rFonts w:ascii="Arial" w:hAnsi="Arial" w:cs="Arial"/>
          <w:lang w:val="en-US"/>
        </w:rPr>
        <w:t xml:space="preserve">-fl-R245W-GFP cells were seeded at a density of 1.5 x 10⁴ cells per well in flat-bottom 96-well plates with a genotype chimerism of 10%. To compare the effects of different </w:t>
      </w:r>
      <w:r w:rsidRPr="00524E03">
        <w:rPr>
          <w:rFonts w:ascii="Arial" w:hAnsi="Arial" w:cs="Arial"/>
          <w:i/>
          <w:iCs/>
          <w:lang w:val="en-US"/>
        </w:rPr>
        <w:t>Trp53</w:t>
      </w:r>
      <w:r w:rsidRPr="00524E03">
        <w:rPr>
          <w:rFonts w:ascii="Arial" w:hAnsi="Arial" w:cs="Arial"/>
          <w:lang w:val="en-US"/>
        </w:rPr>
        <w:t xml:space="preserve"> allelic states, cells were pre-treated with doxycycline (80–320 ng/mL) for 72 hours to establish a 10% chimerism. For experiments evaluating the impact of MDM2 overexpression, induced cells were sorted by FACS to isolate pure </w:t>
      </w:r>
      <w:proofErr w:type="spellStart"/>
      <w:r w:rsidRPr="00524E03">
        <w:rPr>
          <w:rFonts w:ascii="Arial" w:hAnsi="Arial" w:cs="Arial"/>
          <w:lang w:val="en-US"/>
        </w:rPr>
        <w:t>tRFP</w:t>
      </w:r>
      <w:proofErr w:type="spellEnd"/>
      <w:r w:rsidRPr="00524E03">
        <w:rPr>
          <w:rFonts w:ascii="Arial" w:hAnsi="Arial" w:cs="Arial"/>
          <w:lang w:val="en-US"/>
        </w:rPr>
        <w:t xml:space="preserve">/GFP-positive populations, which were then mixed at a 1:9 ratio. Drugs or DMSO were added to a final volume of 200 </w:t>
      </w:r>
      <w:r w:rsidRPr="00524E03">
        <w:rPr>
          <w:rFonts w:ascii="Arial" w:hAnsi="Arial" w:cs="Arial"/>
        </w:rPr>
        <w:t>μ</w:t>
      </w:r>
      <w:r w:rsidRPr="00524E03">
        <w:rPr>
          <w:rFonts w:ascii="Arial" w:hAnsi="Arial" w:cs="Arial"/>
          <w:lang w:val="en-US"/>
        </w:rPr>
        <w:t xml:space="preserve">L per well. Every 48 hours, 100 </w:t>
      </w:r>
      <w:r w:rsidRPr="00524E03">
        <w:rPr>
          <w:rFonts w:ascii="Arial" w:hAnsi="Arial" w:cs="Arial"/>
        </w:rPr>
        <w:t>μ</w:t>
      </w:r>
      <w:r w:rsidRPr="00524E03">
        <w:rPr>
          <w:rFonts w:ascii="Arial" w:hAnsi="Arial" w:cs="Arial"/>
          <w:lang w:val="en-US"/>
        </w:rPr>
        <w:t xml:space="preserve">L of the cell suspension was transferred to a V-bottom 96-well plate for analysis on a BD </w:t>
      </w:r>
      <w:proofErr w:type="spellStart"/>
      <w:r w:rsidRPr="00524E03">
        <w:rPr>
          <w:rFonts w:ascii="Arial" w:hAnsi="Arial" w:cs="Arial"/>
          <w:lang w:val="en-US"/>
        </w:rPr>
        <w:t>LSRFortessa</w:t>
      </w:r>
      <w:proofErr w:type="spellEnd"/>
      <w:r w:rsidRPr="00524E03">
        <w:rPr>
          <w:rFonts w:ascii="Arial" w:hAnsi="Arial" w:cs="Arial"/>
          <w:lang w:val="en-US"/>
        </w:rPr>
        <w:t xml:space="preserve">™ Flow Cytometer with a High Throughput Sampler (HTS; Becton Dickinson, Franklin Lakes, NJ, USA). Wells with high cell density were diluted up to 1:4, and fresh culture medium containing the appropriate drug concentrations was replenished to maintain consistent exposure. </w:t>
      </w:r>
    </w:p>
    <w:p w14:paraId="256DA17B" w14:textId="77777777" w:rsidR="000E2C48" w:rsidRPr="00524E03" w:rsidRDefault="000E2C48" w:rsidP="000E2C48">
      <w:pPr>
        <w:spacing w:line="360" w:lineRule="auto"/>
        <w:jc w:val="both"/>
        <w:rPr>
          <w:rFonts w:ascii="Arial" w:hAnsi="Arial" w:cs="Arial"/>
          <w:lang w:val="en-US"/>
        </w:rPr>
      </w:pPr>
    </w:p>
    <w:p w14:paraId="79D8AB98"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rPr>
        <w:t>γ</w:t>
      </w:r>
      <w:r w:rsidRPr="00524E03">
        <w:rPr>
          <w:rFonts w:ascii="Arial" w:hAnsi="Arial" w:cs="Arial"/>
          <w:b/>
          <w:bCs/>
          <w:lang w:val="en-US"/>
        </w:rPr>
        <w:t>H2AX staining</w:t>
      </w:r>
    </w:p>
    <w:p w14:paraId="083BE41A"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 xml:space="preserve">For flow cytometric </w:t>
      </w:r>
      <w:r w:rsidRPr="00524E03">
        <w:rPr>
          <w:rFonts w:ascii="Arial" w:hAnsi="Arial" w:cs="Arial"/>
        </w:rPr>
        <w:t>γ</w:t>
      </w:r>
      <w:r w:rsidRPr="00524E03">
        <w:rPr>
          <w:rFonts w:ascii="Arial" w:hAnsi="Arial" w:cs="Arial"/>
          <w:lang w:val="en-US"/>
        </w:rPr>
        <w:t>H2AX analysis, ER-HoxB8-tetCre-</w:t>
      </w:r>
      <w:r w:rsidRPr="00524E03">
        <w:rPr>
          <w:rFonts w:ascii="Arial" w:hAnsi="Arial" w:cs="Arial"/>
          <w:i/>
          <w:iCs/>
          <w:lang w:val="en-US"/>
        </w:rPr>
        <w:t>Trp53</w:t>
      </w:r>
      <w:r w:rsidRPr="00524E03">
        <w:rPr>
          <w:rFonts w:ascii="Arial" w:hAnsi="Arial" w:cs="Arial"/>
          <w:lang w:val="en-US"/>
        </w:rPr>
        <w:t xml:space="preserve">-fl-R245W-GFP cells were pre-treated with doxycycline (1,000–2,500 ng/mL) for 72 hours to achieve a genotype chimerism of 30–50%. Cells were then seeded at a density of 1 x 10⁶ cells per well in 12-well plates and exposed to etoposide (10–40 </w:t>
      </w:r>
      <w:r w:rsidRPr="00524E03">
        <w:rPr>
          <w:rFonts w:ascii="Arial" w:hAnsi="Arial" w:cs="Arial"/>
        </w:rPr>
        <w:t>μ</w:t>
      </w:r>
      <w:r w:rsidRPr="00524E03">
        <w:rPr>
          <w:rFonts w:ascii="Arial" w:hAnsi="Arial" w:cs="Arial"/>
          <w:lang w:val="en-US"/>
        </w:rPr>
        <w:t xml:space="preserve">M) or DMSO for 1 hour at 37°C. After treatment, 150 </w:t>
      </w:r>
      <w:r w:rsidRPr="00524E03">
        <w:rPr>
          <w:rFonts w:ascii="Arial" w:hAnsi="Arial" w:cs="Arial"/>
        </w:rPr>
        <w:t>μ</w:t>
      </w:r>
      <w:r w:rsidRPr="00524E03">
        <w:rPr>
          <w:rFonts w:ascii="Arial" w:hAnsi="Arial" w:cs="Arial"/>
          <w:lang w:val="en-US"/>
        </w:rPr>
        <w:t xml:space="preserve">L of the cell suspension was used for staining and flow cytometric analysis. The remaining cells were washed twice with PBS and incubated for 24 hours in fresh, drug-free culture medium in 12-well plates, after which up to 1.5 x 10⁵ live cells were collected for </w:t>
      </w:r>
      <w:r w:rsidRPr="00524E03">
        <w:rPr>
          <w:rFonts w:ascii="Arial" w:hAnsi="Arial" w:cs="Arial"/>
        </w:rPr>
        <w:t>γ</w:t>
      </w:r>
      <w:r w:rsidRPr="00524E03">
        <w:rPr>
          <w:rFonts w:ascii="Arial" w:hAnsi="Arial" w:cs="Arial"/>
          <w:lang w:val="en-US"/>
        </w:rPr>
        <w:t xml:space="preserve">H2AX staining and analysis. For intracellular staining, cells were fixed and permeabilized with </w:t>
      </w:r>
      <w:proofErr w:type="spellStart"/>
      <w:r w:rsidRPr="00524E03">
        <w:rPr>
          <w:rFonts w:ascii="Arial" w:hAnsi="Arial" w:cs="Arial"/>
          <w:lang w:val="en-US"/>
        </w:rPr>
        <w:t>Cytofix</w:t>
      </w:r>
      <w:proofErr w:type="spellEnd"/>
      <w:r w:rsidRPr="00524E03">
        <w:rPr>
          <w:rFonts w:ascii="Arial" w:hAnsi="Arial" w:cs="Arial"/>
          <w:lang w:val="en-US"/>
        </w:rPr>
        <w:t>/</w:t>
      </w:r>
      <w:proofErr w:type="spellStart"/>
      <w:r w:rsidRPr="00524E03">
        <w:rPr>
          <w:rFonts w:ascii="Arial" w:hAnsi="Arial" w:cs="Arial"/>
          <w:lang w:val="en-US"/>
        </w:rPr>
        <w:t>Cytoperm</w:t>
      </w:r>
      <w:proofErr w:type="spellEnd"/>
      <w:r w:rsidRPr="00524E03">
        <w:rPr>
          <w:rFonts w:ascii="Arial" w:hAnsi="Arial" w:cs="Arial"/>
          <w:lang w:val="en-US"/>
        </w:rPr>
        <w:t xml:space="preserve"> Fixation/Permeabilization Kit (BD Biosciences, Cat. No. 554714) and incubated with a biotin conjugated anti-Phospho-Histone H2A.X (ser139) antibody (Clone JBW301, RRID:AB_310795, 1:250 dilution) for 45 minutes, followed by staining with Streptavidin-APC (</w:t>
      </w:r>
      <w:proofErr w:type="spellStart"/>
      <w:r w:rsidRPr="00524E03">
        <w:rPr>
          <w:rFonts w:ascii="Arial" w:hAnsi="Arial" w:cs="Arial"/>
          <w:lang w:val="en-US"/>
        </w:rPr>
        <w:t>Biolegend</w:t>
      </w:r>
      <w:proofErr w:type="spellEnd"/>
      <w:r w:rsidRPr="00524E03">
        <w:rPr>
          <w:rFonts w:ascii="Arial" w:hAnsi="Arial" w:cs="Arial"/>
          <w:lang w:val="en-US"/>
        </w:rPr>
        <w:t xml:space="preserve">, Cat. No. 405207, 1:133 dilution) for 30 minutes. Cells were then resuspended in FACS buffer containing DAPI (BioLegend, Cat. No. 422801,1:2500 dilution) and analyzed using a BD </w:t>
      </w:r>
      <w:proofErr w:type="spellStart"/>
      <w:r w:rsidRPr="00524E03">
        <w:rPr>
          <w:rFonts w:ascii="Arial" w:hAnsi="Arial" w:cs="Arial"/>
          <w:lang w:val="en-US"/>
        </w:rPr>
        <w:t>LSRFortessa</w:t>
      </w:r>
      <w:proofErr w:type="spellEnd"/>
      <w:r w:rsidRPr="00524E03">
        <w:rPr>
          <w:rFonts w:ascii="Arial" w:hAnsi="Arial" w:cs="Arial"/>
          <w:lang w:val="en-US"/>
        </w:rPr>
        <w:t>™ Flow Cytometer equipped with a High Throughput Sampler (HTS; Becton Dickinson, Franklin Lakes, NJ, USA).</w:t>
      </w:r>
    </w:p>
    <w:p w14:paraId="7CAA72E9" w14:textId="77777777" w:rsidR="000E2C48" w:rsidRPr="00524E03" w:rsidRDefault="000E2C48" w:rsidP="000E2C48">
      <w:pPr>
        <w:spacing w:line="360" w:lineRule="auto"/>
        <w:jc w:val="both"/>
        <w:rPr>
          <w:rFonts w:ascii="Arial" w:hAnsi="Arial" w:cs="Arial"/>
          <w:lang w:val="en-US"/>
        </w:rPr>
      </w:pPr>
    </w:p>
    <w:p w14:paraId="32076110"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 xml:space="preserve">In </w:t>
      </w:r>
      <w:r w:rsidRPr="00524E03">
        <w:rPr>
          <w:rFonts w:ascii="Arial" w:hAnsi="Arial" w:cs="Arial"/>
          <w:b/>
          <w:bCs/>
          <w:i/>
          <w:iCs/>
          <w:lang w:val="en-US"/>
        </w:rPr>
        <w:t>vitro</w:t>
      </w:r>
      <w:r w:rsidRPr="00524E03">
        <w:rPr>
          <w:rFonts w:ascii="Arial" w:hAnsi="Arial" w:cs="Arial"/>
          <w:b/>
          <w:bCs/>
          <w:lang w:val="en-US"/>
        </w:rPr>
        <w:t xml:space="preserve"> transformation assay</w:t>
      </w:r>
    </w:p>
    <w:p w14:paraId="60236592"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lastRenderedPageBreak/>
        <w:t>A total of 1.5 x 10⁶ ER-HoxB8-tetCre-</w:t>
      </w:r>
      <w:r w:rsidRPr="00524E03">
        <w:rPr>
          <w:rFonts w:ascii="Arial" w:hAnsi="Arial" w:cs="Arial"/>
          <w:i/>
          <w:iCs/>
          <w:lang w:val="en-US"/>
        </w:rPr>
        <w:t>Trp53</w:t>
      </w:r>
      <w:r w:rsidRPr="00524E03">
        <w:rPr>
          <w:rFonts w:ascii="Arial" w:hAnsi="Arial" w:cs="Arial"/>
          <w:lang w:val="en-US"/>
        </w:rPr>
        <w:t xml:space="preserve">-fl-R245W-GFP cells of the specified genotypes were treated with 40 </w:t>
      </w:r>
      <w:r w:rsidRPr="00524E03">
        <w:rPr>
          <w:rFonts w:ascii="Arial" w:hAnsi="Arial" w:cs="Arial"/>
        </w:rPr>
        <w:t>μ</w:t>
      </w:r>
      <w:r w:rsidRPr="00524E03">
        <w:rPr>
          <w:rFonts w:ascii="Arial" w:hAnsi="Arial" w:cs="Arial"/>
          <w:lang w:val="en-US"/>
        </w:rPr>
        <w:t xml:space="preserve">M etoposide or DMSO for 1 hour. Following treatment, cells were washed twice with PBS and cultured in fresh, drug-free culture medium until the recovery of at least 1.5 x 10⁶ viable cells was achieved, typically within 4–5 days. This treatment cycle was then repeated twice more for a total of three chemotherapy cycles. After completing the chemotherapy regimen, </w:t>
      </w:r>
      <w:r w:rsidRPr="00524E03">
        <w:rPr>
          <w:rFonts w:ascii="Arial" w:hAnsi="Arial" w:cs="Arial"/>
        </w:rPr>
        <w:t>β</w:t>
      </w:r>
      <w:r w:rsidRPr="00524E03">
        <w:rPr>
          <w:rFonts w:ascii="Arial" w:hAnsi="Arial" w:cs="Arial"/>
          <w:lang w:val="en-US"/>
        </w:rPr>
        <w:t xml:space="preserve">-estradiol was progressively removed from the culture medium by reducing its concentration by half every two days. After a total of 12 days, cells were cultured in </w:t>
      </w:r>
      <w:r w:rsidRPr="00524E03">
        <w:rPr>
          <w:rFonts w:ascii="Arial" w:hAnsi="Arial" w:cs="Arial"/>
        </w:rPr>
        <w:t>β</w:t>
      </w:r>
      <w:r w:rsidRPr="00524E03">
        <w:rPr>
          <w:rFonts w:ascii="Arial" w:hAnsi="Arial" w:cs="Arial"/>
          <w:lang w:val="en-US"/>
        </w:rPr>
        <w:t xml:space="preserve">-estradiol-free medium. Subsequently, cells were monitored for their ability to grow independently of </w:t>
      </w:r>
      <w:r w:rsidRPr="00524E03">
        <w:rPr>
          <w:rFonts w:ascii="Arial" w:hAnsi="Arial" w:cs="Arial"/>
        </w:rPr>
        <w:t>β</w:t>
      </w:r>
      <w:r w:rsidRPr="00524E03">
        <w:rPr>
          <w:rFonts w:ascii="Arial" w:hAnsi="Arial" w:cs="Arial"/>
          <w:lang w:val="en-US"/>
        </w:rPr>
        <w:t>-estradiol.</w:t>
      </w:r>
    </w:p>
    <w:p w14:paraId="48FC8C2C" w14:textId="77777777" w:rsidR="000E2C48" w:rsidRPr="00524E03" w:rsidRDefault="000E2C48" w:rsidP="000E2C48">
      <w:pPr>
        <w:spacing w:line="360" w:lineRule="auto"/>
        <w:jc w:val="both"/>
        <w:rPr>
          <w:rFonts w:ascii="Arial" w:hAnsi="Arial" w:cs="Arial"/>
          <w:lang w:val="en-US"/>
        </w:rPr>
      </w:pPr>
    </w:p>
    <w:p w14:paraId="1B9A50AC"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Cytomorphology</w:t>
      </w:r>
    </w:p>
    <w:p w14:paraId="0A15A46A" w14:textId="77777777" w:rsidR="000E2C48" w:rsidRPr="00524E03" w:rsidRDefault="000E2C48" w:rsidP="009D1187">
      <w:pPr>
        <w:spacing w:before="240" w:line="360" w:lineRule="auto"/>
        <w:jc w:val="both"/>
        <w:rPr>
          <w:rFonts w:ascii="Arial" w:hAnsi="Arial" w:cs="Arial"/>
          <w:lang w:val="en-US"/>
        </w:rPr>
      </w:pPr>
      <w:r w:rsidRPr="00524E03">
        <w:rPr>
          <w:rFonts w:ascii="Arial" w:hAnsi="Arial" w:cs="Arial"/>
          <w:lang w:val="en-US"/>
        </w:rPr>
        <w:t xml:space="preserve">For cytological analysis, 100 </w:t>
      </w:r>
      <w:r w:rsidRPr="00524E03">
        <w:rPr>
          <w:rFonts w:ascii="Arial" w:hAnsi="Arial" w:cs="Arial"/>
        </w:rPr>
        <w:t>μ</w:t>
      </w:r>
      <w:r w:rsidRPr="00524E03">
        <w:rPr>
          <w:rFonts w:ascii="Arial" w:hAnsi="Arial" w:cs="Arial"/>
          <w:lang w:val="en-US"/>
        </w:rPr>
        <w:t xml:space="preserve">L of cell suspension (2 x 10⁶ cells/mL) were applied onto </w:t>
      </w:r>
      <w:proofErr w:type="spellStart"/>
      <w:r w:rsidRPr="00524E03">
        <w:rPr>
          <w:rFonts w:ascii="Arial" w:hAnsi="Arial" w:cs="Arial"/>
          <w:lang w:val="en-US"/>
        </w:rPr>
        <w:t>Cytofunnel</w:t>
      </w:r>
      <w:proofErr w:type="spellEnd"/>
      <w:r w:rsidRPr="00524E03">
        <w:rPr>
          <w:rFonts w:ascii="Arial" w:hAnsi="Arial" w:cs="Arial"/>
          <w:lang w:val="en-US"/>
        </w:rPr>
        <w:t xml:space="preserve"> slides via centrifugation at 600 × g for 5 minutes. The cells were subsequently stained with May-Grünwald-Giemsa solution according to the manufacturer’s protocol, followed by examination and imaging using light microscopy on a Zeiss Axio Imager A2.</w:t>
      </w:r>
    </w:p>
    <w:p w14:paraId="7B512662" w14:textId="77777777" w:rsidR="000E2C48" w:rsidRPr="00524E03" w:rsidRDefault="000E2C48" w:rsidP="000E2C48">
      <w:pPr>
        <w:spacing w:after="0" w:line="360" w:lineRule="auto"/>
        <w:jc w:val="both"/>
        <w:rPr>
          <w:rFonts w:ascii="Arial" w:hAnsi="Arial" w:cs="Arial"/>
          <w:lang w:val="en-US"/>
        </w:rPr>
      </w:pPr>
    </w:p>
    <w:p w14:paraId="733A806C"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Histology</w:t>
      </w:r>
    </w:p>
    <w:p w14:paraId="265DB522"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Murine femora were fixed in 4% paraformaldehyde and subsequently embedded in paraffin. Tissue sections were prepared at a thickness of 2 µm using a rotatory microtome (</w:t>
      </w:r>
      <w:proofErr w:type="spellStart"/>
      <w:r w:rsidRPr="00524E03">
        <w:rPr>
          <w:rFonts w:ascii="Arial" w:hAnsi="Arial" w:cs="Arial"/>
          <w:lang w:val="en-US"/>
        </w:rPr>
        <w:t>Microm</w:t>
      </w:r>
      <w:proofErr w:type="spellEnd"/>
      <w:r w:rsidRPr="00524E03">
        <w:rPr>
          <w:rFonts w:ascii="Arial" w:hAnsi="Arial" w:cs="Arial"/>
          <w:lang w:val="en-US"/>
        </w:rPr>
        <w:t xml:space="preserve"> HM355S, </w:t>
      </w:r>
      <w:proofErr w:type="spellStart"/>
      <w:r w:rsidRPr="00524E03">
        <w:rPr>
          <w:rFonts w:ascii="Arial" w:hAnsi="Arial" w:cs="Arial"/>
          <w:lang w:val="en-US"/>
        </w:rPr>
        <w:t>Thermo</w:t>
      </w:r>
      <w:proofErr w:type="spellEnd"/>
      <w:r w:rsidRPr="00524E03">
        <w:rPr>
          <w:rFonts w:ascii="Arial" w:hAnsi="Arial" w:cs="Arial"/>
          <w:lang w:val="en-US"/>
        </w:rPr>
        <w:t xml:space="preserve"> Fisher Scientific) and hematoxylin/eosin staining was performed at the Department of Pathology and Molecular Pathology, University Hospital of Zurich. Images of the stained slides were captured using a Zeiss Axio Imager A2 microscope.</w:t>
      </w:r>
    </w:p>
    <w:p w14:paraId="52695324" w14:textId="77777777" w:rsidR="009D1187" w:rsidRDefault="009D1187" w:rsidP="000E2C48">
      <w:pPr>
        <w:spacing w:line="360" w:lineRule="auto"/>
        <w:jc w:val="both"/>
        <w:rPr>
          <w:rFonts w:ascii="Arial" w:hAnsi="Arial" w:cs="Arial"/>
          <w:b/>
          <w:bCs/>
          <w:lang w:val="en-US"/>
        </w:rPr>
      </w:pPr>
    </w:p>
    <w:p w14:paraId="73FAA39A" w14:textId="7B64504B"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Karyotyping</w:t>
      </w:r>
    </w:p>
    <w:p w14:paraId="71634B5F"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Metaphase preparation was performed following standard protocols. Multicolor fluorescence in situ hybridization (</w:t>
      </w:r>
      <w:proofErr w:type="spellStart"/>
      <w:r w:rsidRPr="00524E03">
        <w:rPr>
          <w:rFonts w:ascii="Arial" w:hAnsi="Arial" w:cs="Arial"/>
          <w:lang w:val="en-US"/>
        </w:rPr>
        <w:t>mFISH</w:t>
      </w:r>
      <w:proofErr w:type="spellEnd"/>
      <w:r w:rsidRPr="00524E03">
        <w:rPr>
          <w:rFonts w:ascii="Arial" w:hAnsi="Arial" w:cs="Arial"/>
          <w:lang w:val="en-US"/>
        </w:rPr>
        <w:t xml:space="preserve">) was carried out according to the manufacturer’s instructions for the 21XMouse </w:t>
      </w:r>
      <w:proofErr w:type="spellStart"/>
      <w:r w:rsidRPr="00524E03">
        <w:rPr>
          <w:rFonts w:ascii="Arial" w:hAnsi="Arial" w:cs="Arial"/>
          <w:lang w:val="en-US"/>
        </w:rPr>
        <w:t>mFISH</w:t>
      </w:r>
      <w:proofErr w:type="spellEnd"/>
      <w:r w:rsidRPr="00524E03">
        <w:rPr>
          <w:rFonts w:ascii="Arial" w:hAnsi="Arial" w:cs="Arial"/>
          <w:lang w:val="en-US"/>
        </w:rPr>
        <w:t xml:space="preserve"> probe (</w:t>
      </w:r>
      <w:proofErr w:type="spellStart"/>
      <w:r w:rsidRPr="00524E03">
        <w:rPr>
          <w:rFonts w:ascii="Arial" w:hAnsi="Arial" w:cs="Arial"/>
          <w:lang w:val="en-US"/>
        </w:rPr>
        <w:t>MetaSystems</w:t>
      </w:r>
      <w:proofErr w:type="spellEnd"/>
      <w:r w:rsidRPr="00524E03">
        <w:rPr>
          <w:rFonts w:ascii="Arial" w:hAnsi="Arial" w:cs="Arial"/>
          <w:lang w:val="en-US"/>
        </w:rPr>
        <w:t xml:space="preserve"> GmbH, </w:t>
      </w:r>
      <w:proofErr w:type="spellStart"/>
      <w:r w:rsidRPr="00524E03">
        <w:rPr>
          <w:rFonts w:ascii="Arial" w:hAnsi="Arial" w:cs="Arial"/>
          <w:lang w:val="en-US"/>
        </w:rPr>
        <w:t>Altlussheim</w:t>
      </w:r>
      <w:proofErr w:type="spellEnd"/>
      <w:r w:rsidRPr="00524E03">
        <w:rPr>
          <w:rFonts w:ascii="Arial" w:hAnsi="Arial" w:cs="Arial"/>
          <w:lang w:val="en-US"/>
        </w:rPr>
        <w:t xml:space="preserve">, Germany; Cat. No. D-0425-060-DI), which targets all chromosomes. Briefly, metaphases were dropped onto slides and denatured in a salt solution. Separately, 6 µL of the </w:t>
      </w:r>
      <w:proofErr w:type="spellStart"/>
      <w:r w:rsidRPr="00524E03">
        <w:rPr>
          <w:rFonts w:ascii="Arial" w:hAnsi="Arial" w:cs="Arial"/>
          <w:lang w:val="en-US"/>
        </w:rPr>
        <w:t>mFISH</w:t>
      </w:r>
      <w:proofErr w:type="spellEnd"/>
      <w:r w:rsidRPr="00524E03">
        <w:rPr>
          <w:rFonts w:ascii="Arial" w:hAnsi="Arial" w:cs="Arial"/>
          <w:lang w:val="en-US"/>
        </w:rPr>
        <w:t xml:space="preserve"> probe were denatured and applied to the metaphase spreads. The hybridization area was covered with an 18 x 18 mm coverslip and sealed with </w:t>
      </w:r>
      <w:proofErr w:type="spellStart"/>
      <w:r w:rsidRPr="00524E03">
        <w:rPr>
          <w:rFonts w:ascii="Arial" w:hAnsi="Arial" w:cs="Arial"/>
          <w:lang w:val="en-US"/>
        </w:rPr>
        <w:t>Fixogum</w:t>
      </w:r>
      <w:proofErr w:type="spellEnd"/>
      <w:r w:rsidRPr="00524E03">
        <w:rPr>
          <w:rFonts w:ascii="Arial" w:hAnsi="Arial" w:cs="Arial"/>
          <w:lang w:val="en-US"/>
        </w:rPr>
        <w:t xml:space="preserve"> Rubber Cement (</w:t>
      </w:r>
      <w:proofErr w:type="spellStart"/>
      <w:r w:rsidRPr="00524E03">
        <w:rPr>
          <w:rFonts w:ascii="Arial" w:hAnsi="Arial" w:cs="Arial"/>
          <w:lang w:val="en-US"/>
        </w:rPr>
        <w:t>Lucerna</w:t>
      </w:r>
      <w:proofErr w:type="spellEnd"/>
      <w:r w:rsidRPr="00524E03">
        <w:rPr>
          <w:rFonts w:ascii="Arial" w:hAnsi="Arial" w:cs="Arial"/>
          <w:lang w:val="en-US"/>
        </w:rPr>
        <w:t xml:space="preserve"> Chem AG, Luzern, Switzerland). Hybridization was conducted overnight at 37°C under humid conditions using a </w:t>
      </w:r>
      <w:proofErr w:type="spellStart"/>
      <w:r w:rsidRPr="00524E03">
        <w:rPr>
          <w:rFonts w:ascii="Arial" w:hAnsi="Arial" w:cs="Arial"/>
          <w:lang w:val="en-US"/>
        </w:rPr>
        <w:t>HYBrite</w:t>
      </w:r>
      <w:proofErr w:type="spellEnd"/>
      <w:r w:rsidRPr="00524E03">
        <w:rPr>
          <w:rFonts w:ascii="Arial" w:hAnsi="Arial" w:cs="Arial"/>
          <w:lang w:val="en-US"/>
        </w:rPr>
        <w:t xml:space="preserve"> system (Abbott Molecular/</w:t>
      </w:r>
      <w:proofErr w:type="spellStart"/>
      <w:r w:rsidRPr="00524E03">
        <w:rPr>
          <w:rFonts w:ascii="Arial" w:hAnsi="Arial" w:cs="Arial"/>
          <w:lang w:val="en-US"/>
        </w:rPr>
        <w:t>Vysis</w:t>
      </w:r>
      <w:proofErr w:type="spellEnd"/>
      <w:r w:rsidRPr="00524E03">
        <w:rPr>
          <w:rFonts w:ascii="Arial" w:hAnsi="Arial" w:cs="Arial"/>
          <w:lang w:val="en-US"/>
        </w:rPr>
        <w:t xml:space="preserve">, Baar, Switzerland). Non-hybridized probe was removed by washing the slides in 0.4x saline-sodium citrate (SSC) buffer with 0.3% (vol/vol) IGEPAL (Sigma Aldrich) </w:t>
      </w:r>
      <w:r w:rsidRPr="00524E03">
        <w:rPr>
          <w:rFonts w:ascii="Arial" w:hAnsi="Arial" w:cs="Arial"/>
          <w:lang w:val="en-US"/>
        </w:rPr>
        <w:lastRenderedPageBreak/>
        <w:t xml:space="preserve">for 120 seconds at 72°C ± 2, followed by a wash in 2x SSC buffer with 0.1% (vol/vol) IGEPAL for 60 seconds at room temperature. Slides were air-dried, and metaphase spreads were visualized using </w:t>
      </w:r>
      <w:proofErr w:type="spellStart"/>
      <w:r w:rsidRPr="00524E03">
        <w:rPr>
          <w:rFonts w:ascii="Arial" w:hAnsi="Arial" w:cs="Arial"/>
          <w:lang w:val="en-US"/>
        </w:rPr>
        <w:t>Vectashield</w:t>
      </w:r>
      <w:proofErr w:type="spellEnd"/>
      <w:r w:rsidRPr="00524E03">
        <w:rPr>
          <w:rFonts w:ascii="Arial" w:hAnsi="Arial" w:cs="Arial"/>
          <w:lang w:val="en-US"/>
        </w:rPr>
        <w:t xml:space="preserve"> Mounting Medium containing DAPI (REACTOLAB S.A., </w:t>
      </w:r>
      <w:proofErr w:type="spellStart"/>
      <w:r w:rsidRPr="00524E03">
        <w:rPr>
          <w:rFonts w:ascii="Arial" w:hAnsi="Arial" w:cs="Arial"/>
          <w:lang w:val="en-US"/>
        </w:rPr>
        <w:t>Servion</w:t>
      </w:r>
      <w:proofErr w:type="spellEnd"/>
      <w:r w:rsidRPr="00524E03">
        <w:rPr>
          <w:rFonts w:ascii="Arial" w:hAnsi="Arial" w:cs="Arial"/>
          <w:lang w:val="en-US"/>
        </w:rPr>
        <w:t>, Switzerland). Microscopic images were acquired using an Axio Imager.Z2 microscope (Carl Zeiss AG, Feldbach, Switzerland) and analyzed with Isis software (</w:t>
      </w:r>
      <w:proofErr w:type="spellStart"/>
      <w:r w:rsidRPr="00524E03">
        <w:rPr>
          <w:rFonts w:ascii="Arial" w:hAnsi="Arial" w:cs="Arial"/>
          <w:lang w:val="en-US"/>
        </w:rPr>
        <w:t>MetaSystems</w:t>
      </w:r>
      <w:proofErr w:type="spellEnd"/>
      <w:r w:rsidRPr="00524E03">
        <w:rPr>
          <w:rFonts w:ascii="Arial" w:hAnsi="Arial" w:cs="Arial"/>
          <w:lang w:val="en-US"/>
        </w:rPr>
        <w:t xml:space="preserve"> Hard &amp; Software GmbH, </w:t>
      </w:r>
      <w:proofErr w:type="spellStart"/>
      <w:r w:rsidRPr="00524E03">
        <w:rPr>
          <w:rFonts w:ascii="Arial" w:hAnsi="Arial" w:cs="Arial"/>
          <w:lang w:val="en-US"/>
        </w:rPr>
        <w:t>Altlussheim</w:t>
      </w:r>
      <w:proofErr w:type="spellEnd"/>
      <w:r w:rsidRPr="00524E03">
        <w:rPr>
          <w:rFonts w:ascii="Arial" w:hAnsi="Arial" w:cs="Arial"/>
          <w:lang w:val="en-US"/>
        </w:rPr>
        <w:t>, Germany).</w:t>
      </w:r>
    </w:p>
    <w:p w14:paraId="094F623E" w14:textId="77777777" w:rsidR="000E2C48" w:rsidRPr="00524E03" w:rsidRDefault="000E2C48" w:rsidP="000E2C48">
      <w:pPr>
        <w:spacing w:line="360" w:lineRule="auto"/>
        <w:jc w:val="both"/>
        <w:rPr>
          <w:rFonts w:ascii="Arial" w:hAnsi="Arial" w:cs="Arial"/>
          <w:lang w:val="en-US"/>
        </w:rPr>
      </w:pPr>
    </w:p>
    <w:p w14:paraId="45789933"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Bulk RNA sequencing</w:t>
      </w:r>
    </w:p>
    <w:p w14:paraId="3E9A079A" w14:textId="77777777"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 xml:space="preserve">Total RNA was extracted using the RNeasy Kit (QIAGEN, Cat. No. 74104), or Arcturus </w:t>
      </w:r>
      <w:proofErr w:type="spellStart"/>
      <w:r w:rsidRPr="00524E03">
        <w:rPr>
          <w:rFonts w:ascii="Arial" w:hAnsi="Arial" w:cs="Arial"/>
          <w:lang w:val="en-US"/>
        </w:rPr>
        <w:t>PicoPure</w:t>
      </w:r>
      <w:proofErr w:type="spellEnd"/>
      <w:r w:rsidRPr="00524E03">
        <w:rPr>
          <w:rFonts w:ascii="Arial" w:hAnsi="Arial" w:cs="Arial"/>
          <w:lang w:val="en-US"/>
        </w:rPr>
        <w:t xml:space="preserve"> RNA Isolation Kit (Applied Biosystems, Cat. No. KIT0204) following the manufacturer’s protocols. High-throughput next-generation sequencing was performed at the Functional Genomics Center Zurich on a </w:t>
      </w:r>
      <w:proofErr w:type="spellStart"/>
      <w:r w:rsidRPr="00524E03">
        <w:rPr>
          <w:rFonts w:ascii="Arial" w:hAnsi="Arial" w:cs="Arial"/>
          <w:lang w:val="en-US"/>
        </w:rPr>
        <w:t>NovaSeq</w:t>
      </w:r>
      <w:proofErr w:type="spellEnd"/>
      <w:r w:rsidRPr="00524E03">
        <w:rPr>
          <w:rFonts w:ascii="Arial" w:hAnsi="Arial" w:cs="Arial"/>
          <w:lang w:val="en-US"/>
        </w:rPr>
        <w:t xml:space="preserve"> 6000 Sequencing System (Illumina®, San Diego, CA, USA) for sequencing of ER-HoxB8-tetCre-</w:t>
      </w:r>
      <w:r w:rsidRPr="00524E03">
        <w:rPr>
          <w:rFonts w:ascii="Arial" w:hAnsi="Arial" w:cs="Arial"/>
          <w:i/>
          <w:iCs/>
          <w:lang w:val="en-US"/>
        </w:rPr>
        <w:t>Trp53</w:t>
      </w:r>
      <w:r w:rsidRPr="00524E03">
        <w:rPr>
          <w:rFonts w:ascii="Arial" w:hAnsi="Arial" w:cs="Arial"/>
          <w:lang w:val="en-US"/>
        </w:rPr>
        <w:t xml:space="preserve">-R245W-GFP cells after etoposide challenge or an Illumina </w:t>
      </w:r>
      <w:proofErr w:type="spellStart"/>
      <w:r w:rsidRPr="00524E03">
        <w:rPr>
          <w:rFonts w:ascii="Arial" w:hAnsi="Arial" w:cs="Arial"/>
          <w:lang w:val="en-US"/>
        </w:rPr>
        <w:t>NovaSeq</w:t>
      </w:r>
      <w:proofErr w:type="spellEnd"/>
      <w:r w:rsidRPr="00524E03">
        <w:rPr>
          <w:rFonts w:ascii="Arial" w:hAnsi="Arial" w:cs="Arial"/>
          <w:lang w:val="en-US"/>
        </w:rPr>
        <w:t xml:space="preserve"> X Plus (Illumina®, San Diego, CA, USA) for sequencing of   ER-HoxB8-tetCre-</w:t>
      </w:r>
      <w:r w:rsidRPr="00524E03">
        <w:rPr>
          <w:rFonts w:ascii="Arial" w:hAnsi="Arial" w:cs="Arial"/>
          <w:i/>
          <w:iCs/>
          <w:lang w:val="en-US"/>
        </w:rPr>
        <w:t>Trp53</w:t>
      </w:r>
      <w:r w:rsidRPr="00524E03">
        <w:rPr>
          <w:rFonts w:ascii="Arial" w:hAnsi="Arial" w:cs="Arial"/>
          <w:lang w:val="en-US"/>
        </w:rPr>
        <w:t>-R245W-GFP cells with MDM2 overexpression, as well as for sequencing of primary murine LSK cells and leukemias. Quality control, mapping and differential gene expression analysis was performed using the SUSHI bioinformatics pipeline. Gene set enrichment analysis (GSEA) was performed using the GSEA software jointly developed by UC San Diego and the Broad Institute (RRID:SCR_003199, Subramanian et al, 2005). Volcano plots and heatmaps were visualized using RStudio (RRID:SCR_000432) packages “</w:t>
      </w:r>
      <w:proofErr w:type="spellStart"/>
      <w:r w:rsidRPr="00524E03">
        <w:rPr>
          <w:rFonts w:ascii="Arial" w:hAnsi="Arial" w:cs="Arial"/>
          <w:lang w:val="en-US"/>
        </w:rPr>
        <w:t>EnhancedVolcano</w:t>
      </w:r>
      <w:proofErr w:type="spellEnd"/>
      <w:r w:rsidRPr="00524E03">
        <w:rPr>
          <w:rFonts w:ascii="Arial" w:hAnsi="Arial" w:cs="Arial"/>
          <w:lang w:val="en-US"/>
        </w:rPr>
        <w:t>” (RRID:SCR_018931) and “</w:t>
      </w:r>
      <w:proofErr w:type="spellStart"/>
      <w:r w:rsidRPr="00524E03">
        <w:rPr>
          <w:rFonts w:ascii="Arial" w:hAnsi="Arial" w:cs="Arial"/>
          <w:lang w:val="en-US"/>
        </w:rPr>
        <w:t>pheatmap</w:t>
      </w:r>
      <w:proofErr w:type="spellEnd"/>
      <w:r w:rsidRPr="00524E03">
        <w:rPr>
          <w:rFonts w:ascii="Arial" w:hAnsi="Arial" w:cs="Arial"/>
          <w:lang w:val="en-US"/>
        </w:rPr>
        <w:t xml:space="preserve">” (RRID:SCR_016418) running R (RRID:SCR_001905, version 4.3.1). </w:t>
      </w:r>
    </w:p>
    <w:p w14:paraId="36228320" w14:textId="77777777" w:rsidR="000E2C48" w:rsidRPr="00524E03" w:rsidRDefault="000E2C48" w:rsidP="000E2C48">
      <w:pPr>
        <w:spacing w:line="360" w:lineRule="auto"/>
        <w:jc w:val="both"/>
        <w:rPr>
          <w:rFonts w:ascii="Arial" w:hAnsi="Arial" w:cs="Arial"/>
          <w:lang w:val="en-US"/>
        </w:rPr>
      </w:pPr>
    </w:p>
    <w:p w14:paraId="650D36D8"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Whole genome sequencing of ER-HoxB8-tetCre-</w:t>
      </w:r>
      <w:r w:rsidRPr="00524E03">
        <w:rPr>
          <w:rFonts w:ascii="Arial" w:hAnsi="Arial" w:cs="Arial"/>
          <w:b/>
          <w:bCs/>
          <w:i/>
          <w:iCs/>
          <w:lang w:val="en-US"/>
        </w:rPr>
        <w:t>Trp53</w:t>
      </w:r>
      <w:r w:rsidRPr="00524E03">
        <w:rPr>
          <w:rFonts w:ascii="Arial" w:hAnsi="Arial" w:cs="Arial"/>
          <w:b/>
          <w:bCs/>
          <w:lang w:val="en-US"/>
        </w:rPr>
        <w:t>-fl-R245W-GFP single cell colonies</w:t>
      </w:r>
    </w:p>
    <w:p w14:paraId="46FDDC9A" w14:textId="5BAC9031" w:rsidR="000E2C48" w:rsidRPr="00854B80" w:rsidRDefault="000E2C48" w:rsidP="000E2C48">
      <w:pPr>
        <w:spacing w:after="0" w:line="360" w:lineRule="auto"/>
        <w:jc w:val="both"/>
        <w:rPr>
          <w:rFonts w:ascii="Arial" w:hAnsi="Arial" w:cs="Arial"/>
          <w:lang w:val="en-US"/>
        </w:rPr>
      </w:pPr>
      <w:r w:rsidRPr="00524E03">
        <w:rPr>
          <w:rFonts w:ascii="Arial" w:hAnsi="Arial" w:cs="Arial"/>
          <w:lang w:val="en-US"/>
        </w:rPr>
        <w:t>For whole genome sequencing of ER-HoxB8-tetCre-</w:t>
      </w:r>
      <w:r w:rsidRPr="00524E03">
        <w:rPr>
          <w:rFonts w:ascii="Arial" w:hAnsi="Arial" w:cs="Arial"/>
          <w:i/>
          <w:iCs/>
          <w:lang w:val="en-US"/>
        </w:rPr>
        <w:t>Trp53</w:t>
      </w:r>
      <w:r w:rsidRPr="00524E03">
        <w:rPr>
          <w:rFonts w:ascii="Arial" w:hAnsi="Arial" w:cs="Arial"/>
          <w:lang w:val="en-US"/>
        </w:rPr>
        <w:t xml:space="preserve">-fl-R245W-GFP single cell colonies, 1.5 x 10⁶ cells of the indicated genotypes were treated with 40 </w:t>
      </w:r>
      <w:r w:rsidRPr="00524E03">
        <w:rPr>
          <w:rFonts w:ascii="Arial" w:hAnsi="Arial" w:cs="Arial"/>
        </w:rPr>
        <w:t>μ</w:t>
      </w:r>
      <w:r w:rsidRPr="00524E03">
        <w:rPr>
          <w:rFonts w:ascii="Arial" w:hAnsi="Arial" w:cs="Arial"/>
          <w:lang w:val="en-US"/>
        </w:rPr>
        <w:t xml:space="preserve">M etoposide for 1h. Cells were washed twice with PBS and incubated in fresh, drug-free culture medium until recovery of at least 1.5 x 10⁶ viable cells. Subsequently, treatment was repeated for two additional cycles. After that, single cell sorting into 96-well plates was performed using an Aria III 4L (Becton Dickinson, Franklin Lakes, NJ, USA). Colonies were allowed to grow until they reached 1 x 10⁶ viable cells, after which DNA was isolated using the </w:t>
      </w:r>
      <w:proofErr w:type="spellStart"/>
      <w:r w:rsidRPr="00524E03">
        <w:rPr>
          <w:rFonts w:ascii="Arial" w:hAnsi="Arial" w:cs="Arial"/>
          <w:lang w:val="en-US"/>
        </w:rPr>
        <w:t>QIAamp</w:t>
      </w:r>
      <w:proofErr w:type="spellEnd"/>
      <w:r w:rsidRPr="00524E03">
        <w:rPr>
          <w:rFonts w:ascii="Arial" w:hAnsi="Arial" w:cs="Arial"/>
          <w:lang w:val="en-US"/>
        </w:rPr>
        <w:t xml:space="preserve"> DNA Mini Kit (Qiagen).  High-throughput next-generation sequencing was performed at the Functional Genomics Center Zurich on a </w:t>
      </w:r>
      <w:proofErr w:type="spellStart"/>
      <w:r w:rsidRPr="00524E03">
        <w:rPr>
          <w:rFonts w:ascii="Arial" w:hAnsi="Arial" w:cs="Arial"/>
          <w:lang w:val="en-US"/>
        </w:rPr>
        <w:t>NovaSeq</w:t>
      </w:r>
      <w:proofErr w:type="spellEnd"/>
      <w:r w:rsidRPr="00524E03">
        <w:rPr>
          <w:rFonts w:ascii="Arial" w:hAnsi="Arial" w:cs="Arial"/>
          <w:lang w:val="en-US"/>
        </w:rPr>
        <w:t xml:space="preserve"> 6000 Sequencing System (coverage &gt; 10x; paired end 150 bp; library protocol: Illumina </w:t>
      </w:r>
      <w:proofErr w:type="spellStart"/>
      <w:r w:rsidRPr="00524E03">
        <w:rPr>
          <w:rFonts w:ascii="Arial" w:hAnsi="Arial" w:cs="Arial"/>
          <w:lang w:val="en-US"/>
        </w:rPr>
        <w:t>Truseq</w:t>
      </w:r>
      <w:proofErr w:type="spellEnd"/>
      <w:r w:rsidRPr="00524E03">
        <w:rPr>
          <w:rFonts w:ascii="Arial" w:hAnsi="Arial" w:cs="Arial"/>
          <w:lang w:val="en-US"/>
        </w:rPr>
        <w:t xml:space="preserve"> Nano (Illumina®, San Diego, CA, USA)). Mapping was done using the Burrows-Wheeler Aligner (BWA, RRID:SCR_010910) with the mm39 reference. For SNV </w:t>
      </w:r>
      <w:r w:rsidRPr="00524E03">
        <w:rPr>
          <w:rFonts w:ascii="Arial" w:hAnsi="Arial" w:cs="Arial"/>
          <w:lang w:val="en-US"/>
        </w:rPr>
        <w:lastRenderedPageBreak/>
        <w:t xml:space="preserve">analysis, the Octopus basic model with default settings was used, looking at germline variants. </w:t>
      </w:r>
      <w:r w:rsidR="00854B80" w:rsidRPr="00854B80">
        <w:rPr>
          <w:rFonts w:ascii="Arial" w:hAnsi="Arial" w:cs="Arial"/>
          <w:lang w:val="en-US"/>
        </w:rPr>
        <w:t xml:space="preserve">CNV analysis was performed using the control </w:t>
      </w:r>
      <w:proofErr w:type="spellStart"/>
      <w:r w:rsidR="00854B80" w:rsidRPr="00854B80">
        <w:rPr>
          <w:rFonts w:ascii="Arial" w:hAnsi="Arial" w:cs="Arial"/>
          <w:lang w:val="en-US"/>
        </w:rPr>
        <w:t>freec</w:t>
      </w:r>
      <w:proofErr w:type="spellEnd"/>
      <w:r w:rsidR="00854B80" w:rsidRPr="00854B80">
        <w:rPr>
          <w:rFonts w:ascii="Arial" w:hAnsi="Arial" w:cs="Arial"/>
          <w:lang w:val="en-US"/>
        </w:rPr>
        <w:t xml:space="preserve"> C++ tool </w:t>
      </w:r>
      <w:r w:rsidR="00854B80" w:rsidRPr="00524E03">
        <w:rPr>
          <w:rFonts w:ascii="Arial" w:hAnsi="Arial" w:cs="Arial"/>
          <w:lang w:val="en-US"/>
        </w:rPr>
        <w:t xml:space="preserve">(RRID:SCR_010822) </w:t>
      </w:r>
      <w:r w:rsidR="00854B80" w:rsidRPr="00854B80">
        <w:rPr>
          <w:rFonts w:ascii="Arial" w:hAnsi="Arial" w:cs="Arial"/>
          <w:lang w:val="en-US"/>
        </w:rPr>
        <w:t>(</w:t>
      </w:r>
      <w:r w:rsidR="00854B80" w:rsidRPr="00524E03">
        <w:rPr>
          <w:rFonts w:ascii="Arial" w:hAnsi="Arial" w:cs="Arial"/>
          <w:lang w:val="en-US"/>
        </w:rPr>
        <w:t>window = 50000</w:t>
      </w:r>
      <w:r w:rsidR="00854B80">
        <w:rPr>
          <w:rFonts w:ascii="Arial" w:hAnsi="Arial" w:cs="Arial"/>
          <w:lang w:val="en-US"/>
        </w:rPr>
        <w:t xml:space="preserve">; reference = </w:t>
      </w:r>
      <w:r w:rsidR="00854B80" w:rsidRPr="00524E03">
        <w:rPr>
          <w:rFonts w:ascii="Arial" w:hAnsi="Arial" w:cs="Arial"/>
          <w:lang w:val="en-US"/>
        </w:rPr>
        <w:t>mm39</w:t>
      </w:r>
      <w:r w:rsidR="00854B80" w:rsidRPr="00854B80">
        <w:rPr>
          <w:rFonts w:ascii="Arial" w:hAnsi="Arial" w:cs="Arial"/>
          <w:lang w:val="en-US"/>
        </w:rPr>
        <w:t>), without looking at allelic content.</w:t>
      </w:r>
    </w:p>
    <w:p w14:paraId="1404DB83" w14:textId="77777777" w:rsidR="000E2C48" w:rsidRPr="00524E03" w:rsidRDefault="000E2C48" w:rsidP="000E2C48">
      <w:pPr>
        <w:spacing w:line="360" w:lineRule="auto"/>
        <w:jc w:val="both"/>
        <w:rPr>
          <w:rFonts w:ascii="Arial" w:hAnsi="Arial" w:cs="Arial"/>
          <w:lang w:val="en-US"/>
        </w:rPr>
      </w:pPr>
    </w:p>
    <w:p w14:paraId="1965E2B8"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lang w:val="en-US"/>
        </w:rPr>
        <w:t>Whole genome sequencing of murine AMLs</w:t>
      </w:r>
    </w:p>
    <w:p w14:paraId="74B7742C" w14:textId="083F6ED0" w:rsidR="000E2C48" w:rsidRPr="00524E03" w:rsidRDefault="000E2C48" w:rsidP="000E2C48">
      <w:pPr>
        <w:spacing w:after="0" w:line="360" w:lineRule="auto"/>
        <w:jc w:val="both"/>
        <w:rPr>
          <w:rFonts w:ascii="Arial" w:hAnsi="Arial" w:cs="Arial"/>
          <w:lang w:val="en-US"/>
        </w:rPr>
      </w:pPr>
      <w:r w:rsidRPr="00524E03">
        <w:rPr>
          <w:rFonts w:ascii="Arial" w:hAnsi="Arial" w:cs="Arial"/>
          <w:lang w:val="en-US"/>
        </w:rPr>
        <w:t xml:space="preserve">Whole bone marrow cells of AML-bearing mice frozen at -80°C were thawed, stained and sorted by FACS for live/CD45-/GFP+/lineage-/c-Kit+ cells, identifying AML blasts. DNA was isolated using the </w:t>
      </w:r>
      <w:proofErr w:type="spellStart"/>
      <w:r w:rsidRPr="00524E03">
        <w:rPr>
          <w:rFonts w:ascii="Arial" w:hAnsi="Arial" w:cs="Arial"/>
          <w:lang w:val="en-US"/>
        </w:rPr>
        <w:t>QIAamp</w:t>
      </w:r>
      <w:proofErr w:type="spellEnd"/>
      <w:r w:rsidRPr="00524E03">
        <w:rPr>
          <w:rFonts w:ascii="Arial" w:hAnsi="Arial" w:cs="Arial"/>
          <w:lang w:val="en-US"/>
        </w:rPr>
        <w:t xml:space="preserve"> DNA Mini Kit (Qiagen). High-throughput next-generation sequencing was performed at the Functional Genomics Center Zurich on a </w:t>
      </w:r>
      <w:proofErr w:type="spellStart"/>
      <w:r w:rsidRPr="00524E03">
        <w:rPr>
          <w:rFonts w:ascii="Arial" w:hAnsi="Arial" w:cs="Arial"/>
          <w:lang w:val="en-US"/>
        </w:rPr>
        <w:t>NovaSeq</w:t>
      </w:r>
      <w:proofErr w:type="spellEnd"/>
      <w:r w:rsidRPr="00524E03">
        <w:rPr>
          <w:rFonts w:ascii="Arial" w:hAnsi="Arial" w:cs="Arial"/>
          <w:lang w:val="en-US"/>
        </w:rPr>
        <w:t xml:space="preserve"> X Plus (coverage 30x; paired end 150 bp; library protocol: Illumina </w:t>
      </w:r>
      <w:proofErr w:type="spellStart"/>
      <w:r w:rsidRPr="00524E03">
        <w:rPr>
          <w:rFonts w:ascii="Arial" w:hAnsi="Arial" w:cs="Arial"/>
          <w:lang w:val="en-US"/>
        </w:rPr>
        <w:t>Truseq</w:t>
      </w:r>
      <w:proofErr w:type="spellEnd"/>
      <w:r w:rsidRPr="00524E03">
        <w:rPr>
          <w:rFonts w:ascii="Arial" w:hAnsi="Arial" w:cs="Arial"/>
          <w:lang w:val="en-US"/>
        </w:rPr>
        <w:t xml:space="preserve"> Nano (Illumina®, San Diego, CA, USA)). Mapping was done using the Burrows-Wheeler Aligner (BWA) using sequencing data from bone marrow cells of healthy </w:t>
      </w:r>
      <w:r w:rsidRPr="00524E03">
        <w:rPr>
          <w:rFonts w:ascii="Arial" w:hAnsi="Arial" w:cs="Arial"/>
          <w:i/>
          <w:iCs/>
          <w:lang w:val="en-US"/>
        </w:rPr>
        <w:t>Trp53</w:t>
      </w:r>
      <w:r w:rsidRPr="00524E03">
        <w:rPr>
          <w:rFonts w:ascii="Arial" w:hAnsi="Arial" w:cs="Arial"/>
          <w:lang w:val="en-US"/>
        </w:rPr>
        <w:t xml:space="preserve">-fl-R245W-GFP;SCL-CreERT mice as reference. </w:t>
      </w:r>
      <w:r w:rsidR="00854B80" w:rsidRPr="00880C9E">
        <w:rPr>
          <w:rFonts w:ascii="Arial" w:hAnsi="Arial" w:cs="Arial"/>
          <w:lang w:val="en-US"/>
        </w:rPr>
        <w:t xml:space="preserve">CNV analysis was performed according the </w:t>
      </w:r>
      <w:proofErr w:type="spellStart"/>
      <w:r w:rsidR="00854B80" w:rsidRPr="00880C9E">
        <w:rPr>
          <w:rFonts w:ascii="Arial" w:hAnsi="Arial" w:cs="Arial"/>
          <w:lang w:val="en-US"/>
        </w:rPr>
        <w:t>MoCaSeq</w:t>
      </w:r>
      <w:proofErr w:type="spellEnd"/>
      <w:r w:rsidR="00854B80" w:rsidRPr="00880C9E">
        <w:rPr>
          <w:rFonts w:ascii="Arial" w:hAnsi="Arial" w:cs="Arial"/>
          <w:lang w:val="en-US"/>
        </w:rPr>
        <w:t xml:space="preserve"> CNV workflow for WGS </w:t>
      </w:r>
      <w:r w:rsidR="00854B80" w:rsidRPr="00880C9E">
        <w:rPr>
          <w:rFonts w:ascii="Arial" w:hAnsi="Arial" w:cs="Arial"/>
          <w:lang w:val="en-US"/>
        </w:rPr>
        <w:fldChar w:fldCharType="begin">
          <w:fldData xml:space="preserve">PEVuZE5vdGU+PENpdGU+PEF1dGhvcj5MYW5nZTwvQXV0aG9yPjxZZWFyPjIwMjA8L1llYXI+PFJl
Y051bT4zNzU8L1JlY051bT48RGlzcGxheVRleHQ+KDMpPC9EaXNwbGF5VGV4dD48cmVjb3JkPjxy
ZWMtbnVtYmVyPjM3NTwvcmVjLW51bWJlcj48Zm9yZWlnbi1rZXlzPjxrZXkgYXBwPSJFTiIgZGIt
aWQ9ImEyMnpzZmY5NXc5djV1ZXhmMGt2ZTJlbDByZGZmcnh4YWZzciIgdGltZXN0YW1wPSIxNzU5
NDkyMDA4IiBndWlkPSIyZGM0YTRkMC1kNTUwLTRiZTctYTc4ZS1iNjIyZDk4Zjc0Y2MiPjM3NTwv
a2V5PjwvZm9yZWlnbi1rZXlzPjxyZWYtdHlwZSBuYW1lPSJKb3VybmFsIEFydGljbGUiPjE3PC9y
ZWYtdHlwZT48Y29udHJpYnV0b3JzPjxhdXRob3JzPjxhdXRob3I+TGFuZ2UsIFMuPC9hdXRob3I+
PGF1dGhvcj5FbmdsZWl0bmVyLCBULjwvYXV0aG9yPjxhdXRob3I+TXVlbGxlciwgUy48L2F1dGhv
cj48YXV0aG9yPk1hcmVzY2gsIFIuPC9hdXRob3I+PGF1dGhvcj5ad2llYmVsLCBNLjwvYXV0aG9y
PjxhdXRob3I+R29uemFsZXotU2lsdmEsIEwuPC9hdXRob3I+PGF1dGhvcj5TY2huZWlkZXIsIEcu
PC9hdXRob3I+PGF1dGhvcj5CYW5lcmplZSwgUi48L2F1dGhvcj48YXV0aG9yPllhbmcsIEYuPC9h
dXRob3I+PGF1dGhvcj5WYXNzaWxpb3UsIEcuIFMuPC9hdXRob3I+PGF1dGhvcj5GcmllZHJpY2gs
IE0uIEouPC9hdXRob3I+PGF1dGhvcj5TYXVyLCBELjwvYXV0aG9yPjxhdXRob3I+VmFyZWxhLCBJ
LjwvYXV0aG9yPjxhdXRob3I+UmFkLCBSLjwvYXV0aG9yPjwvYXV0aG9ycz48L2NvbnRyaWJ1dG9y
cz48YXV0aC1hZGRyZXNzPkluc3RpdHV0ZSBvZiBNb2xlY3VsYXIgT25jb2xvZ3kgYW5kIEZ1bmN0
aW9uYWwgR2Vub21pY3MsIFNjaG9vbCBvZiBNZWRpY2luZSwgVGVjaG5pc2NoZSBVbml2ZXJzaXRh
dCBNdW5jaGVuLCBNdW5pY2gsIEdlcm1hbnkuJiN4RDtEZXBhcnRtZW50IG9mIE1lZGljaW5lIElJ
LCBLbGluaWt1bSByZWNodHMgZGVyIElzYXIsIFNjaG9vbCBvZiBNZWRpY2luZSwgVGVjaG5pc2No
ZSBVbml2ZXJzaXRhdCBNdW5jaGVuLCBNdW5pY2gsIEdlcm1hbnkuJiN4RDtDZW50ZXIgZm9yIFRy
YW5zbGF0aW9uYWwgQ2FuY2VyIFJlc2VhcmNoIChUcmFuc2xhVFVNKSwgU2Nob29sIG9mIE1lZGlj
aW5lLCBUZWNobmlzY2hlIFVuaXZlcnNpdGF0IE11bmNoZW4sIE11bmljaCwgR2VybWFueS4mI3hE
O0luc3RpdHV0byBkZSBCaW9tZWRpY2luYSB5IEJpb3RlY25vbG9naWEgZGUgQ2FudGFicmlhLCBV
bml2ZXJzaWRhZCBkZSBDYW50YWJyaWEtQ1NJQywgU2FudGFuZGVyLCBTcGFpbi4mI3hEO1RoZSBX
ZWxsY29tZSBUcnVzdCBTYW5nZXIgSW5zdGl0dXRlLCBDYW1icmlkZ2UsIFVLLiYjeEQ7V2VsbGNv
bWUgVHJ1c3QtTVJDIFN0ZW0gQ2VsbCBJbnN0aXR1dGUsIEJpb21lZGljYWwgQ2FtcHVzLCBVbml2
ZXJzaXR5IG9mIENhbWJyaWRnZSwgQ2FtYnJpZGdlLCBVSy4mI3hEO0RlcGFydG1lbnQgb2YgSGFl
bWF0b2xvZ3ksIENhbWJyaWRnZSBVbml2ZXJzaXR5IEhvc3BpdGFscyBOSFMgVHJ1c3QsIENhbSBi
cmlkZ2UsIFVLLiYjeEQ7R2VybWFuIENhbmNlciBDb25zb3J0aXVtIChES1RLKSwgR2VybWFuIENh
bmNlciBSZXNlYXJjaCBDZW50ZXIgKERLRlopLCBIZWlkZWxiZXJnLCBHZXJtYW55LiYjeEQ7SW5z
dGl0dXRlIGZvciBFeHBlcmltZW50YWwgQ2FuY2VyIFRoZXJhcHksIFNjaG9vbCBvZiBNZWRpY2lu
ZSwgVGVjaG5pc2NoZSBVbml2ZXJzaXRhdCBNdW5jaGVuLCBNdW5pY2gsIEdlcm1hbnkuJiN4RDtJ
bnN0aXR1dGUgb2YgTW9sZWN1bGFyIE9uY29sb2d5IGFuZCBGdW5jdGlvbmFsIEdlbm9taWNzLCBT
Y2hvb2wgb2YgTWVkaWNpbmUsIFRlY2huaXNjaGUgVW5pdmVyc2l0YXQgTXVuY2hlbiwgTXVuaWNo
LCBHZXJtYW55LiByb2xhbmQucmFkQHR1bS5kZS4mI3hEO0RlcGFydG1lbnQgb2YgTWVkaWNpbmUg
SUksIEtsaW5pa3VtIHJlY2h0cyBkZXIgSXNhciwgU2Nob29sIG9mIE1lZGljaW5lLCBUZWNobmlz
Y2hlIFVuaXZlcnNpdGF0IE11bmNoZW4sIE11bmljaCwgR2VybWFueS4gcm9sYW5kLnJhZEB0dW0u
ZGUuJiN4RDtDZW50ZXIgZm9yIFRyYW5zbGF0aW9uYWwgQ2FuY2VyIFJlc2VhcmNoIChUcmFuc2xh
VFVNKSwgU2Nob29sIG9mIE1lZGljaW5lLCBUZWNobmlzY2hlIFVuaXZlcnNpdGF0IE11bmNoZW4s
IE11bmljaCwgR2VybWFueS4gcm9sYW5kLnJhZEB0dW0uZGUuJiN4RDtHZXJtYW4gQ2FuY2VyIENv
bnNvcnRpdW0gKERLVEspLCBHZXJtYW4gQ2FuY2VyIFJlc2VhcmNoIENlbnRlciAoREtGWiksIEhl
aWRlbGJlcmcsIEdlcm1hbnkuIHJvbGFuZC5yYWRAdHVtLmRlLjwvYXV0aC1hZGRyZXNzPjx0aXRs
ZXM+PHRpdGxlPkFuYWx5c2lzIHBpcGVsaW5lcyBmb3IgY2FuY2VyIGdlbm9tZSBzZXF1ZW5jaW5n
IGluIG1pY2U8L3RpdGxlPjxzZWNvbmRhcnktdGl0bGU+TmF0IFByb3RvYzwvc2Vjb25kYXJ5LXRp
dGxlPjwvdGl0bGVzPjxwZXJpb2RpY2FsPjxmdWxsLXRpdGxlPk5hdCBQcm90b2M8L2Z1bGwtdGl0
bGU+PC9wZXJpb2RpY2FsPjxwYWdlcz4yNjYtMzE1PC9wYWdlcz48dm9sdW1lPjE1PC92b2x1bWU+
PG51bWJlcj4yPC9udW1iZXI+PGVkaXRpb24+MjAyMDAxMDY8L2VkaXRpb24+PGtleXdvcmRzPjxr
ZXl3b3JkPkFuaW1hbHM8L2tleXdvcmQ+PGtleXdvcmQ+R2Vub21pY3MvKm1ldGhvZHM8L2tleXdv
cmQ+PGtleXdvcmQ+SU5ERUwgTXV0YXRpb248L2tleXdvcmQ+PGtleXdvcmQ+TG9zcyBvZiBIZXRl
cm96eWdvc2l0eTwva2V5d29yZD48a2V5d29yZD5NaWNlPC9rZXl3b3JkPjxrZXl3b3JkPk5lb3Bs
YXNtcy8qZ2VuZXRpY3M8L2tleXdvcmQ+PGtleXdvcmQ+UG9seW1vcnBoaXNtLCBTaW5nbGUgTnVj
bGVvdGlkZTwva2V5d29yZD48a2V5d29yZD5TZXF1ZW5jZSBBbmFseXNpcywgRE5BLyptZXRob2Rz
PC9rZXl3b3JkPjxrZXl3b3JkPldvcmtmbG93PC9rZXl3b3JkPjwva2V5d29yZHM+PGRhdGVzPjx5
ZWFyPjIwMjA8L3llYXI+PHB1Yi1kYXRlcz48ZGF0ZT5GZWI8L2RhdGU+PC9wdWItZGF0ZXM+PC9k
YXRlcz48aXNibj4xNzUwLTI3OTkgKEVsZWN0cm9uaWMpJiN4RDsxNzUwLTI3OTkgKExpbmtpbmcp
PC9pc2JuPjxhY2Nlc3Npb24tbnVtPjMxOTA3NDUzPC9hY2Nlc3Npb24tbnVtPjx1cmxzPjxyZWxh
dGVkLXVybHM+PHVybD5odHRwczovL3d3dy5uY2JpLm5sbS5uaWguZ292L3B1Ym1lZC8zMTkwNzQ1
MzwvdXJsPjwvcmVsYXRlZC11cmxzPjwvdXJscz48ZWxlY3Ryb25pYy1yZXNvdXJjZS1udW0+MTAu
MTAzOC9zNDE1OTYtMDE5LTAyMzQtNzwvZWxlY3Ryb25pYy1yZXNvdXJjZS1udW0+PHJlbW90ZS1k
YXRhYmFzZS1uYW1lPk1lZGxpbmU8L3JlbW90ZS1kYXRhYmFzZS1uYW1lPjxyZW1vdGUtZGF0YWJh
c2UtcHJvdmlkZXI+TkxNPC9yZW1vdGUtZGF0YWJhc2UtcHJvdmlkZXI+PC9yZWNvcmQ+PC9DaXRl
PjwvRW5kTm90ZT4A
</w:fldData>
        </w:fldChar>
      </w:r>
      <w:r w:rsidR="00854B80" w:rsidRPr="00880C9E">
        <w:rPr>
          <w:rFonts w:ascii="Arial" w:hAnsi="Arial" w:cs="Arial"/>
          <w:lang w:val="en-US"/>
        </w:rPr>
        <w:instrText xml:space="preserve"> ADDIN EN.JS.CITE </w:instrText>
      </w:r>
      <w:r w:rsidR="00854B80" w:rsidRPr="00880C9E">
        <w:rPr>
          <w:rFonts w:ascii="Arial" w:hAnsi="Arial" w:cs="Arial"/>
          <w:lang w:val="en-US"/>
        </w:rPr>
      </w:r>
      <w:r w:rsidR="00854B80" w:rsidRPr="00880C9E">
        <w:rPr>
          <w:rFonts w:ascii="Arial" w:hAnsi="Arial" w:cs="Arial"/>
          <w:lang w:val="en-US"/>
        </w:rPr>
        <w:fldChar w:fldCharType="separate"/>
      </w:r>
      <w:r w:rsidR="00854B80" w:rsidRPr="00880C9E">
        <w:rPr>
          <w:rFonts w:ascii="Arial" w:hAnsi="Arial" w:cs="Arial"/>
          <w:noProof/>
          <w:lang w:val="en-US"/>
        </w:rPr>
        <w:t>(3)</w:t>
      </w:r>
      <w:r w:rsidR="00854B80" w:rsidRPr="00880C9E">
        <w:rPr>
          <w:rFonts w:ascii="Arial" w:hAnsi="Arial" w:cs="Arial"/>
          <w:lang w:val="en-US"/>
        </w:rPr>
        <w:fldChar w:fldCharType="end"/>
      </w:r>
      <w:r w:rsidR="00854B80" w:rsidRPr="00880C9E">
        <w:rPr>
          <w:rFonts w:ascii="Arial" w:hAnsi="Arial" w:cs="Arial"/>
          <w:lang w:val="en-US"/>
        </w:rPr>
        <w:t xml:space="preserve">. First, bam files from control and AML mice were subjected to the </w:t>
      </w:r>
      <w:proofErr w:type="spellStart"/>
      <w:r w:rsidR="00854B80" w:rsidRPr="00880C9E">
        <w:rPr>
          <w:rFonts w:ascii="Arial" w:hAnsi="Arial" w:cs="Arial"/>
          <w:lang w:val="en-US"/>
        </w:rPr>
        <w:t>readCounter</w:t>
      </w:r>
      <w:proofErr w:type="spellEnd"/>
      <w:r w:rsidR="00854B80" w:rsidRPr="00880C9E">
        <w:rPr>
          <w:rFonts w:ascii="Arial" w:hAnsi="Arial" w:cs="Arial"/>
          <w:lang w:val="en-US"/>
        </w:rPr>
        <w:t xml:space="preserve"> program from the </w:t>
      </w:r>
      <w:proofErr w:type="spellStart"/>
      <w:r w:rsidR="00854B80" w:rsidRPr="00880C9E">
        <w:rPr>
          <w:rFonts w:ascii="Arial" w:hAnsi="Arial" w:cs="Arial"/>
          <w:lang w:val="en-US"/>
        </w:rPr>
        <w:t>HMMcopy</w:t>
      </w:r>
      <w:proofErr w:type="spellEnd"/>
      <w:r w:rsidR="00854B80" w:rsidRPr="00880C9E">
        <w:rPr>
          <w:rFonts w:ascii="Arial" w:hAnsi="Arial" w:cs="Arial"/>
          <w:lang w:val="en-US"/>
        </w:rPr>
        <w:t xml:space="preserve"> Utils repository to generate the read counts in windows non-overlapping windows of fixed width across the genome. Subsequently, these counts were corrected for </w:t>
      </w:r>
      <w:proofErr w:type="spellStart"/>
      <w:r w:rsidR="00854B80" w:rsidRPr="00880C9E">
        <w:rPr>
          <w:rFonts w:ascii="Arial" w:hAnsi="Arial" w:cs="Arial"/>
          <w:lang w:val="en-US"/>
        </w:rPr>
        <w:t>mappability</w:t>
      </w:r>
      <w:proofErr w:type="spellEnd"/>
      <w:r w:rsidR="00854B80" w:rsidRPr="00880C9E">
        <w:rPr>
          <w:rFonts w:ascii="Arial" w:hAnsi="Arial" w:cs="Arial"/>
          <w:lang w:val="en-US"/>
        </w:rPr>
        <w:t xml:space="preserve"> and GC content. Regions with increased variability obtained from public resources were excluded from the analysis. Next, log2ratio of counts between AML and control was calculated per sample. Segmentation was performed using the </w:t>
      </w:r>
      <w:proofErr w:type="spellStart"/>
      <w:r w:rsidR="00854B80" w:rsidRPr="00880C9E">
        <w:rPr>
          <w:rFonts w:ascii="Arial" w:hAnsi="Arial" w:cs="Arial"/>
          <w:lang w:val="en-US"/>
        </w:rPr>
        <w:t>DNAcopy</w:t>
      </w:r>
      <w:proofErr w:type="spellEnd"/>
      <w:r w:rsidR="00854B80" w:rsidRPr="00880C9E">
        <w:rPr>
          <w:rFonts w:ascii="Arial" w:hAnsi="Arial" w:cs="Arial"/>
          <w:lang w:val="en-US"/>
        </w:rPr>
        <w:t xml:space="preserve"> R package. Log2ratio was converted to absolute copy number and used for generating the heat map of CNVs across the AML cohort. All the technical details and the code to run the analysis are included in </w:t>
      </w:r>
      <w:r w:rsidR="00854B80" w:rsidRPr="00880C9E">
        <w:rPr>
          <w:rFonts w:ascii="Arial" w:hAnsi="Arial" w:cs="Arial"/>
          <w:lang w:val="en-US"/>
        </w:rPr>
        <w:fldChar w:fldCharType="begin">
          <w:fldData xml:space="preserve">PEVuZE5vdGU+PENpdGU+PEF1dGhvcj5MYW5nZTwvQXV0aG9yPjxZZWFyPjIwMjA8L1llYXI+PFJl
Y051bT4zNzU8L1JlY051bT48RGlzcGxheVRleHQ+KDMpPC9EaXNwbGF5VGV4dD48cmVjb3JkPjxy
ZWMtbnVtYmVyPjM3NTwvcmVjLW51bWJlcj48Zm9yZWlnbi1rZXlzPjxrZXkgYXBwPSJFTiIgZGIt
aWQ9ImEyMnpzZmY5NXc5djV1ZXhmMGt2ZTJlbDByZGZmcnh4YWZzciIgdGltZXN0YW1wPSIxNzU5
NDkyMDA4IiBndWlkPSIyZGM0YTRkMC1kNTUwLTRiZTctYTc4ZS1iNjIyZDk4Zjc0Y2MiPjM3NTwv
a2V5PjwvZm9yZWlnbi1rZXlzPjxyZWYtdHlwZSBuYW1lPSJKb3VybmFsIEFydGljbGUiPjE3PC9y
ZWYtdHlwZT48Y29udHJpYnV0b3JzPjxhdXRob3JzPjxhdXRob3I+TGFuZ2UsIFMuPC9hdXRob3I+
PGF1dGhvcj5FbmdsZWl0bmVyLCBULjwvYXV0aG9yPjxhdXRob3I+TXVlbGxlciwgUy48L2F1dGhv
cj48YXV0aG9yPk1hcmVzY2gsIFIuPC9hdXRob3I+PGF1dGhvcj5ad2llYmVsLCBNLjwvYXV0aG9y
PjxhdXRob3I+R29uemFsZXotU2lsdmEsIEwuPC9hdXRob3I+PGF1dGhvcj5TY2huZWlkZXIsIEcu
PC9hdXRob3I+PGF1dGhvcj5CYW5lcmplZSwgUi48L2F1dGhvcj48YXV0aG9yPllhbmcsIEYuPC9h
dXRob3I+PGF1dGhvcj5WYXNzaWxpb3UsIEcuIFMuPC9hdXRob3I+PGF1dGhvcj5GcmllZHJpY2gs
IE0uIEouPC9hdXRob3I+PGF1dGhvcj5TYXVyLCBELjwvYXV0aG9yPjxhdXRob3I+VmFyZWxhLCBJ
LjwvYXV0aG9yPjxhdXRob3I+UmFkLCBSLjwvYXV0aG9yPjwvYXV0aG9ycz48L2NvbnRyaWJ1dG9y
cz48YXV0aC1hZGRyZXNzPkluc3RpdHV0ZSBvZiBNb2xlY3VsYXIgT25jb2xvZ3kgYW5kIEZ1bmN0
aW9uYWwgR2Vub21pY3MsIFNjaG9vbCBvZiBNZWRpY2luZSwgVGVjaG5pc2NoZSBVbml2ZXJzaXRh
dCBNdW5jaGVuLCBNdW5pY2gsIEdlcm1hbnkuJiN4RDtEZXBhcnRtZW50IG9mIE1lZGljaW5lIElJ
LCBLbGluaWt1bSByZWNodHMgZGVyIElzYXIsIFNjaG9vbCBvZiBNZWRpY2luZSwgVGVjaG5pc2No
ZSBVbml2ZXJzaXRhdCBNdW5jaGVuLCBNdW5pY2gsIEdlcm1hbnkuJiN4RDtDZW50ZXIgZm9yIFRy
YW5zbGF0aW9uYWwgQ2FuY2VyIFJlc2VhcmNoIChUcmFuc2xhVFVNKSwgU2Nob29sIG9mIE1lZGlj
aW5lLCBUZWNobmlzY2hlIFVuaXZlcnNpdGF0IE11bmNoZW4sIE11bmljaCwgR2VybWFueS4mI3hE
O0luc3RpdHV0byBkZSBCaW9tZWRpY2luYSB5IEJpb3RlY25vbG9naWEgZGUgQ2FudGFicmlhLCBV
bml2ZXJzaWRhZCBkZSBDYW50YWJyaWEtQ1NJQywgU2FudGFuZGVyLCBTcGFpbi4mI3hEO1RoZSBX
ZWxsY29tZSBUcnVzdCBTYW5nZXIgSW5zdGl0dXRlLCBDYW1icmlkZ2UsIFVLLiYjeEQ7V2VsbGNv
bWUgVHJ1c3QtTVJDIFN0ZW0gQ2VsbCBJbnN0aXR1dGUsIEJpb21lZGljYWwgQ2FtcHVzLCBVbml2
ZXJzaXR5IG9mIENhbWJyaWRnZSwgQ2FtYnJpZGdlLCBVSy4mI3hEO0RlcGFydG1lbnQgb2YgSGFl
bWF0b2xvZ3ksIENhbWJyaWRnZSBVbml2ZXJzaXR5IEhvc3BpdGFscyBOSFMgVHJ1c3QsIENhbSBi
cmlkZ2UsIFVLLiYjeEQ7R2VybWFuIENhbmNlciBDb25zb3J0aXVtIChES1RLKSwgR2VybWFuIENh
bmNlciBSZXNlYXJjaCBDZW50ZXIgKERLRlopLCBIZWlkZWxiZXJnLCBHZXJtYW55LiYjeEQ7SW5z
dGl0dXRlIGZvciBFeHBlcmltZW50YWwgQ2FuY2VyIFRoZXJhcHksIFNjaG9vbCBvZiBNZWRpY2lu
ZSwgVGVjaG5pc2NoZSBVbml2ZXJzaXRhdCBNdW5jaGVuLCBNdW5pY2gsIEdlcm1hbnkuJiN4RDtJ
bnN0aXR1dGUgb2YgTW9sZWN1bGFyIE9uY29sb2d5IGFuZCBGdW5jdGlvbmFsIEdlbm9taWNzLCBT
Y2hvb2wgb2YgTWVkaWNpbmUsIFRlY2huaXNjaGUgVW5pdmVyc2l0YXQgTXVuY2hlbiwgTXVuaWNo
LCBHZXJtYW55LiByb2xhbmQucmFkQHR1bS5kZS4mI3hEO0RlcGFydG1lbnQgb2YgTWVkaWNpbmUg
SUksIEtsaW5pa3VtIHJlY2h0cyBkZXIgSXNhciwgU2Nob29sIG9mIE1lZGljaW5lLCBUZWNobmlz
Y2hlIFVuaXZlcnNpdGF0IE11bmNoZW4sIE11bmljaCwgR2VybWFueS4gcm9sYW5kLnJhZEB0dW0u
ZGUuJiN4RDtDZW50ZXIgZm9yIFRyYW5zbGF0aW9uYWwgQ2FuY2VyIFJlc2VhcmNoIChUcmFuc2xh
VFVNKSwgU2Nob29sIG9mIE1lZGljaW5lLCBUZWNobmlzY2hlIFVuaXZlcnNpdGF0IE11bmNoZW4s
IE11bmljaCwgR2VybWFueS4gcm9sYW5kLnJhZEB0dW0uZGUuJiN4RDtHZXJtYW4gQ2FuY2VyIENv
bnNvcnRpdW0gKERLVEspLCBHZXJtYW4gQ2FuY2VyIFJlc2VhcmNoIENlbnRlciAoREtGWiksIEhl
aWRlbGJlcmcsIEdlcm1hbnkuIHJvbGFuZC5yYWRAdHVtLmRlLjwvYXV0aC1hZGRyZXNzPjx0aXRs
ZXM+PHRpdGxlPkFuYWx5c2lzIHBpcGVsaW5lcyBmb3IgY2FuY2VyIGdlbm9tZSBzZXF1ZW5jaW5n
IGluIG1pY2U8L3RpdGxlPjxzZWNvbmRhcnktdGl0bGU+TmF0IFByb3RvYzwvc2Vjb25kYXJ5LXRp
dGxlPjwvdGl0bGVzPjxwZXJpb2RpY2FsPjxmdWxsLXRpdGxlPk5hdCBQcm90b2M8L2Z1bGwtdGl0
bGU+PC9wZXJpb2RpY2FsPjxwYWdlcz4yNjYtMzE1PC9wYWdlcz48dm9sdW1lPjE1PC92b2x1bWU+
PG51bWJlcj4yPC9udW1iZXI+PGVkaXRpb24+MjAyMDAxMDY8L2VkaXRpb24+PGtleXdvcmRzPjxr
ZXl3b3JkPkFuaW1hbHM8L2tleXdvcmQ+PGtleXdvcmQ+R2Vub21pY3MvKm1ldGhvZHM8L2tleXdv
cmQ+PGtleXdvcmQ+SU5ERUwgTXV0YXRpb248L2tleXdvcmQ+PGtleXdvcmQ+TG9zcyBvZiBIZXRl
cm96eWdvc2l0eTwva2V5d29yZD48a2V5d29yZD5NaWNlPC9rZXl3b3JkPjxrZXl3b3JkPk5lb3Bs
YXNtcy8qZ2VuZXRpY3M8L2tleXdvcmQ+PGtleXdvcmQ+UG9seW1vcnBoaXNtLCBTaW5nbGUgTnVj
bGVvdGlkZTwva2V5d29yZD48a2V5d29yZD5TZXF1ZW5jZSBBbmFseXNpcywgRE5BLyptZXRob2Rz
PC9rZXl3b3JkPjxrZXl3b3JkPldvcmtmbG93PC9rZXl3b3JkPjwva2V5d29yZHM+PGRhdGVzPjx5
ZWFyPjIwMjA8L3llYXI+PHB1Yi1kYXRlcz48ZGF0ZT5GZWI8L2RhdGU+PC9wdWItZGF0ZXM+PC9k
YXRlcz48aXNibj4xNzUwLTI3OTkgKEVsZWN0cm9uaWMpJiN4RDsxNzUwLTI3OTkgKExpbmtpbmcp
PC9pc2JuPjxhY2Nlc3Npb24tbnVtPjMxOTA3NDUzPC9hY2Nlc3Npb24tbnVtPjx1cmxzPjxyZWxh
dGVkLXVybHM+PHVybD5odHRwczovL3d3dy5uY2JpLm5sbS5uaWguZ292L3B1Ym1lZC8zMTkwNzQ1
MzwvdXJsPjwvcmVsYXRlZC11cmxzPjwvdXJscz48ZWxlY3Ryb25pYy1yZXNvdXJjZS1udW0+MTAu
MTAzOC9zNDE1OTYtMDE5LTAyMzQtNzwvZWxlY3Ryb25pYy1yZXNvdXJjZS1udW0+PHJlbW90ZS1k
YXRhYmFzZS1uYW1lPk1lZGxpbmU8L3JlbW90ZS1kYXRhYmFzZS1uYW1lPjxyZW1vdGUtZGF0YWJh
c2UtcHJvdmlkZXI+TkxNPC9yZW1vdGUtZGF0YWJhc2UtcHJvdmlkZXI+PC9yZWNvcmQ+PC9DaXRl
PjwvRW5kTm90ZT4A
</w:fldData>
        </w:fldChar>
      </w:r>
      <w:r w:rsidR="00854B80" w:rsidRPr="00880C9E">
        <w:rPr>
          <w:rFonts w:ascii="Arial" w:hAnsi="Arial" w:cs="Arial"/>
          <w:lang w:val="en-US"/>
        </w:rPr>
        <w:instrText xml:space="preserve"> ADDIN EN.JS.CITE </w:instrText>
      </w:r>
      <w:r w:rsidR="00880C9E" w:rsidRPr="00880C9E">
        <w:rPr>
          <w:rFonts w:ascii="Arial" w:hAnsi="Arial" w:cs="Arial"/>
          <w:lang w:val="en-US"/>
        </w:rPr>
      </w:r>
      <w:r w:rsidR="00854B80" w:rsidRPr="00880C9E">
        <w:rPr>
          <w:rFonts w:ascii="Arial" w:hAnsi="Arial" w:cs="Arial"/>
          <w:lang w:val="en-US"/>
        </w:rPr>
        <w:fldChar w:fldCharType="separate"/>
      </w:r>
      <w:r w:rsidR="00854B80" w:rsidRPr="00880C9E">
        <w:rPr>
          <w:rFonts w:ascii="Arial" w:hAnsi="Arial" w:cs="Arial"/>
          <w:noProof/>
          <w:lang w:val="en-US"/>
        </w:rPr>
        <w:t>(3)</w:t>
      </w:r>
      <w:r w:rsidR="00854B80" w:rsidRPr="00880C9E">
        <w:rPr>
          <w:rFonts w:ascii="Arial" w:hAnsi="Arial" w:cs="Arial"/>
          <w:lang w:val="en-US"/>
        </w:rPr>
        <w:fldChar w:fldCharType="end"/>
      </w:r>
      <w:r w:rsidR="00854B80" w:rsidRPr="00880C9E">
        <w:rPr>
          <w:rFonts w:ascii="Arial" w:hAnsi="Arial" w:cs="Arial"/>
          <w:lang w:val="en-US"/>
        </w:rPr>
        <w:t xml:space="preserve"> and the GitHub repository https://github.com/roland-rad-lab/MoCaSeq.</w:t>
      </w:r>
    </w:p>
    <w:p w14:paraId="3CF0B931" w14:textId="77777777" w:rsidR="000E2C48" w:rsidRPr="00524E03" w:rsidRDefault="000E2C48" w:rsidP="000E2C48">
      <w:pPr>
        <w:spacing w:line="360" w:lineRule="auto"/>
        <w:jc w:val="both"/>
        <w:rPr>
          <w:rFonts w:ascii="Arial" w:hAnsi="Arial" w:cs="Arial"/>
          <w:lang w:val="en-US"/>
        </w:rPr>
      </w:pPr>
    </w:p>
    <w:p w14:paraId="79FD545B"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i/>
          <w:iCs/>
          <w:lang w:val="en-US"/>
        </w:rPr>
        <w:t>Trp53</w:t>
      </w:r>
      <w:r w:rsidRPr="00524E03">
        <w:rPr>
          <w:rFonts w:ascii="Arial" w:hAnsi="Arial" w:cs="Arial"/>
          <w:b/>
          <w:bCs/>
          <w:lang w:val="en-US"/>
        </w:rPr>
        <w:t>-fl-R245W-GFP genotyping/recombination PCR</w:t>
      </w:r>
    </w:p>
    <w:p w14:paraId="069A12CF" w14:textId="77777777" w:rsidR="000E2C48" w:rsidRPr="00524E03" w:rsidRDefault="000E2C48" w:rsidP="00DE68C3">
      <w:pPr>
        <w:spacing w:after="0" w:line="360" w:lineRule="auto"/>
        <w:jc w:val="both"/>
        <w:rPr>
          <w:rFonts w:ascii="Arial" w:hAnsi="Arial" w:cs="Arial"/>
          <w:lang w:val="en-US"/>
        </w:rPr>
      </w:pPr>
      <w:r w:rsidRPr="00524E03">
        <w:rPr>
          <w:rFonts w:ascii="Arial" w:hAnsi="Arial" w:cs="Arial"/>
          <w:lang w:val="en-US"/>
        </w:rPr>
        <w:t>Bone marrow cells from AML-bearing mice were subjected to FACS to isolate a pure population of AML blasts for assessing loss of heterozygosity at the</w:t>
      </w:r>
      <w:r w:rsidRPr="00524E03">
        <w:rPr>
          <w:rFonts w:ascii="Arial" w:hAnsi="Arial" w:cs="Arial"/>
          <w:i/>
          <w:iCs/>
          <w:lang w:val="en-US"/>
        </w:rPr>
        <w:t xml:space="preserve"> Trp53</w:t>
      </w:r>
      <w:r w:rsidRPr="00524E03">
        <w:rPr>
          <w:rFonts w:ascii="Arial" w:hAnsi="Arial" w:cs="Arial"/>
          <w:lang w:val="en-US"/>
        </w:rPr>
        <w:t xml:space="preserve"> locus. Similarly, bone marrow cells from healthy, tamoxifen-induced mice were sorted into GFP-negative, GFP-low, and GFP-high populations to evaluate Cre-mediated recombination of transgenic alleles. DNA was subsequently extracted using the </w:t>
      </w:r>
      <w:proofErr w:type="spellStart"/>
      <w:r w:rsidRPr="00524E03">
        <w:rPr>
          <w:rFonts w:ascii="Arial" w:hAnsi="Arial" w:cs="Arial"/>
          <w:lang w:val="en-US"/>
        </w:rPr>
        <w:t>QIAamp</w:t>
      </w:r>
      <w:proofErr w:type="spellEnd"/>
      <w:r w:rsidRPr="00524E03">
        <w:rPr>
          <w:rFonts w:ascii="Arial" w:hAnsi="Arial" w:cs="Arial"/>
          <w:lang w:val="en-US"/>
        </w:rPr>
        <w:t xml:space="preserve"> DNA Mini Kit (Qiagen). </w:t>
      </w:r>
      <w:bookmarkStart w:id="6" w:name="_Hlk211017342"/>
      <w:r w:rsidRPr="00524E03">
        <w:rPr>
          <w:rFonts w:ascii="Arial" w:hAnsi="Arial" w:cs="Arial"/>
          <w:lang w:val="en-US"/>
        </w:rPr>
        <w:t xml:space="preserve">PCR amplification was conducted with the KAPA Taq </w:t>
      </w:r>
      <w:proofErr w:type="spellStart"/>
      <w:r w:rsidRPr="00524E03">
        <w:rPr>
          <w:rFonts w:ascii="Arial" w:hAnsi="Arial" w:cs="Arial"/>
          <w:lang w:val="en-US"/>
        </w:rPr>
        <w:t>ReadyMix</w:t>
      </w:r>
      <w:proofErr w:type="spellEnd"/>
      <w:r w:rsidRPr="00524E03">
        <w:rPr>
          <w:rFonts w:ascii="Arial" w:hAnsi="Arial" w:cs="Arial"/>
          <w:lang w:val="en-US"/>
        </w:rPr>
        <w:t xml:space="preserve"> (Roche, Cat. No. KK1006) using 10 ng of DNA input and specific primers (5`-CCAGCTGCTAGAGACAGTTGAGG-3`; 5`-AGCCAGCAAAGAGAGGACTGG-3`).</w:t>
      </w:r>
      <w:bookmarkEnd w:id="6"/>
      <w:r w:rsidRPr="00524E03">
        <w:rPr>
          <w:rFonts w:ascii="Arial" w:hAnsi="Arial" w:cs="Arial"/>
          <w:lang w:val="en-US"/>
        </w:rPr>
        <w:t xml:space="preserve"> PCR products were resolved on a 1.5% agarose gel containing 1:10,000 </w:t>
      </w:r>
      <w:proofErr w:type="spellStart"/>
      <w:r w:rsidRPr="00524E03">
        <w:rPr>
          <w:rFonts w:ascii="Arial" w:hAnsi="Arial" w:cs="Arial"/>
          <w:lang w:val="en-US"/>
        </w:rPr>
        <w:t>GelRed</w:t>
      </w:r>
      <w:proofErr w:type="spellEnd"/>
      <w:r w:rsidRPr="00524E03">
        <w:rPr>
          <w:rFonts w:ascii="Arial" w:hAnsi="Arial" w:cs="Arial"/>
          <w:lang w:val="en-US"/>
        </w:rPr>
        <w:t xml:space="preserve"> and electrophoresed at 120V for 1 hour. Gels were visualized using </w:t>
      </w:r>
      <w:proofErr w:type="spellStart"/>
      <w:r w:rsidRPr="00524E03">
        <w:rPr>
          <w:rFonts w:ascii="Arial" w:hAnsi="Arial" w:cs="Arial"/>
          <w:lang w:val="en-US"/>
        </w:rPr>
        <w:t>GelStick</w:t>
      </w:r>
      <w:proofErr w:type="spellEnd"/>
      <w:r w:rsidRPr="00524E03">
        <w:rPr>
          <w:rFonts w:ascii="Arial" w:hAnsi="Arial" w:cs="Arial"/>
          <w:lang w:val="en-US"/>
        </w:rPr>
        <w:t xml:space="preserve"> Imager (</w:t>
      </w:r>
      <w:proofErr w:type="spellStart"/>
      <w:r w:rsidRPr="00524E03">
        <w:rPr>
          <w:rFonts w:ascii="Arial" w:hAnsi="Arial" w:cs="Arial"/>
          <w:lang w:val="en-US"/>
        </w:rPr>
        <w:t>Intas</w:t>
      </w:r>
      <w:proofErr w:type="spellEnd"/>
      <w:r w:rsidRPr="00524E03">
        <w:rPr>
          <w:rFonts w:ascii="Arial" w:hAnsi="Arial" w:cs="Arial"/>
          <w:lang w:val="en-US"/>
        </w:rPr>
        <w:t>).</w:t>
      </w:r>
    </w:p>
    <w:p w14:paraId="5FD04A77" w14:textId="77777777" w:rsidR="000E2C48" w:rsidRPr="00524E03" w:rsidRDefault="000E2C48" w:rsidP="000E2C48">
      <w:pPr>
        <w:spacing w:line="360" w:lineRule="auto"/>
        <w:jc w:val="both"/>
        <w:rPr>
          <w:rFonts w:ascii="Arial" w:hAnsi="Arial" w:cs="Arial"/>
          <w:lang w:val="en-US"/>
        </w:rPr>
      </w:pPr>
    </w:p>
    <w:p w14:paraId="59D69039" w14:textId="107D8B26" w:rsidR="00DE68C3" w:rsidRPr="00880C9E" w:rsidRDefault="00DE68C3" w:rsidP="00DA4A0B">
      <w:pPr>
        <w:spacing w:before="240" w:line="360" w:lineRule="auto"/>
        <w:jc w:val="both"/>
        <w:rPr>
          <w:rFonts w:ascii="Arial" w:hAnsi="Arial" w:cs="Arial"/>
          <w:b/>
          <w:bCs/>
          <w:lang w:val="en-US"/>
        </w:rPr>
      </w:pPr>
      <w:r w:rsidRPr="00880C9E">
        <w:rPr>
          <w:rFonts w:ascii="Arial" w:hAnsi="Arial" w:cs="Arial"/>
          <w:b/>
          <w:bCs/>
          <w:lang w:val="en-US"/>
        </w:rPr>
        <w:lastRenderedPageBreak/>
        <w:t>Amplicon sequencing</w:t>
      </w:r>
    </w:p>
    <w:p w14:paraId="79F7BAE3" w14:textId="77777777" w:rsidR="00234C08" w:rsidRPr="00004AA7" w:rsidRDefault="00234C08" w:rsidP="00D91EFE">
      <w:pPr>
        <w:spacing w:after="0" w:line="360" w:lineRule="auto"/>
        <w:jc w:val="both"/>
        <w:rPr>
          <w:rFonts w:ascii="Arial" w:hAnsi="Arial" w:cs="Arial"/>
          <w:lang w:val="en-US"/>
        </w:rPr>
      </w:pPr>
      <w:r w:rsidRPr="00880C9E">
        <w:rPr>
          <w:rFonts w:ascii="Arial" w:hAnsi="Arial" w:cs="Arial"/>
          <w:lang w:val="en-US"/>
        </w:rPr>
        <w:t xml:space="preserve">Genomic DNA was extracted from FACS-sorted </w:t>
      </w:r>
      <w:proofErr w:type="spellStart"/>
      <w:r w:rsidRPr="00880C9E">
        <w:rPr>
          <w:rFonts w:ascii="Arial" w:hAnsi="Arial" w:cs="Arial"/>
          <w:lang w:val="en-US"/>
        </w:rPr>
        <w:t>GFP</w:t>
      </w:r>
      <w:r w:rsidRPr="00880C9E">
        <w:rPr>
          <w:rFonts w:ascii="Arial" w:hAnsi="Arial" w:cs="Arial"/>
          <w:vertAlign w:val="superscript"/>
          <w:lang w:val="en-US"/>
        </w:rPr>
        <w:t>neg</w:t>
      </w:r>
      <w:proofErr w:type="spellEnd"/>
      <w:r w:rsidRPr="00880C9E">
        <w:rPr>
          <w:rFonts w:ascii="Arial" w:hAnsi="Arial" w:cs="Arial"/>
          <w:lang w:val="en-US"/>
        </w:rPr>
        <w:t xml:space="preserve">, </w:t>
      </w:r>
      <w:proofErr w:type="spellStart"/>
      <w:r w:rsidRPr="00880C9E">
        <w:rPr>
          <w:rFonts w:ascii="Arial" w:hAnsi="Arial" w:cs="Arial"/>
          <w:lang w:val="en-US"/>
        </w:rPr>
        <w:t>GFP</w:t>
      </w:r>
      <w:r w:rsidRPr="00880C9E">
        <w:rPr>
          <w:rFonts w:ascii="Arial" w:hAnsi="Arial" w:cs="Arial"/>
          <w:vertAlign w:val="superscript"/>
          <w:lang w:val="en-US"/>
        </w:rPr>
        <w:t>low</w:t>
      </w:r>
      <w:proofErr w:type="spellEnd"/>
      <w:r w:rsidRPr="00880C9E">
        <w:rPr>
          <w:rFonts w:ascii="Arial" w:hAnsi="Arial" w:cs="Arial"/>
          <w:lang w:val="en-US"/>
        </w:rPr>
        <w:t xml:space="preserve">, and </w:t>
      </w:r>
      <w:proofErr w:type="spellStart"/>
      <w:r w:rsidRPr="00880C9E">
        <w:rPr>
          <w:rFonts w:ascii="Arial" w:hAnsi="Arial" w:cs="Arial"/>
          <w:lang w:val="en-US"/>
        </w:rPr>
        <w:t>GFP</w:t>
      </w:r>
      <w:r w:rsidRPr="00880C9E">
        <w:rPr>
          <w:rFonts w:ascii="Arial" w:hAnsi="Arial" w:cs="Arial"/>
          <w:vertAlign w:val="superscript"/>
          <w:lang w:val="en-US"/>
        </w:rPr>
        <w:t>high</w:t>
      </w:r>
      <w:proofErr w:type="spellEnd"/>
      <w:r w:rsidRPr="00880C9E">
        <w:rPr>
          <w:rFonts w:ascii="Arial" w:hAnsi="Arial" w:cs="Arial"/>
          <w:lang w:val="en-US"/>
        </w:rPr>
        <w:t xml:space="preserve"> LSK cells isolated from mice with biallelic </w:t>
      </w:r>
      <w:r w:rsidRPr="00880C9E">
        <w:rPr>
          <w:rFonts w:ascii="Arial" w:hAnsi="Arial" w:cs="Arial"/>
          <w:i/>
          <w:iCs/>
          <w:lang w:val="en-US"/>
        </w:rPr>
        <w:t>Trp53</w:t>
      </w:r>
      <w:r w:rsidRPr="00880C9E">
        <w:rPr>
          <w:rFonts w:ascii="Arial" w:hAnsi="Arial" w:cs="Arial"/>
          <w:lang w:val="en-US"/>
        </w:rPr>
        <w:t xml:space="preserve">-fl-R245W-GFP alleles. Target regions were amplified using Q5 High-Fidelity 2X Master Mix (New England Biolabs, Cat. No. M0492L) and specific primers (forward: 5′-CCAGCTGCTAGAGACAGTTGAGG-3′; reverse: 5′-AGCCAGCAAAGAGAGGACTGG-3′). Amplicon sequencing was performed by the MGH CCIB DNA Core Facility (Cambridge, MA) using their Complete Amplicon Sequencing workflow. PCR amplicons (&gt;400 bp) were enzymatically fragmented, processed through standard next-generation sequencing library preparation, and subjected to massively parallel sequencing followed by automated </w:t>
      </w:r>
      <w:r w:rsidRPr="00880C9E">
        <w:rPr>
          <w:rFonts w:ascii="Arial" w:hAnsi="Arial" w:cs="Arial"/>
          <w:i/>
          <w:iCs/>
          <w:lang w:val="en-US"/>
        </w:rPr>
        <w:t>de novo</w:t>
      </w:r>
      <w:r w:rsidRPr="00880C9E">
        <w:rPr>
          <w:rFonts w:ascii="Arial" w:hAnsi="Arial" w:cs="Arial"/>
          <w:lang w:val="en-US"/>
        </w:rPr>
        <w:t xml:space="preserve"> assembly. Relative frequencies of wild-type (non-recombined, FRT-containing) and mutant (recombined, FRT-excised) reads were quantified and plotted.</w:t>
      </w:r>
      <w:r>
        <w:rPr>
          <w:rFonts w:ascii="Arial" w:hAnsi="Arial" w:cs="Arial"/>
          <w:lang w:val="en-US"/>
        </w:rPr>
        <w:t xml:space="preserve"> </w:t>
      </w:r>
    </w:p>
    <w:p w14:paraId="016E816C" w14:textId="77777777" w:rsidR="00DE68C3" w:rsidRDefault="00DE68C3" w:rsidP="00234C08">
      <w:pPr>
        <w:spacing w:line="360" w:lineRule="auto"/>
        <w:jc w:val="both"/>
        <w:rPr>
          <w:rFonts w:ascii="Arial" w:hAnsi="Arial" w:cs="Arial"/>
          <w:b/>
          <w:bCs/>
          <w:lang w:val="en-US"/>
        </w:rPr>
      </w:pPr>
    </w:p>
    <w:p w14:paraId="54C5AB12" w14:textId="3632E70C" w:rsidR="000E2C48" w:rsidRPr="00524E03" w:rsidRDefault="000E2C48" w:rsidP="00DA4A0B">
      <w:pPr>
        <w:spacing w:before="240" w:line="360" w:lineRule="auto"/>
        <w:jc w:val="both"/>
        <w:rPr>
          <w:rFonts w:ascii="Arial" w:hAnsi="Arial" w:cs="Arial"/>
          <w:b/>
          <w:bCs/>
          <w:lang w:val="en-US"/>
        </w:rPr>
      </w:pPr>
      <w:r w:rsidRPr="00524E03">
        <w:rPr>
          <w:rFonts w:ascii="Arial" w:hAnsi="Arial" w:cs="Arial"/>
          <w:b/>
          <w:bCs/>
          <w:lang w:val="en-US"/>
        </w:rPr>
        <w:t>Mouse experiments</w:t>
      </w:r>
    </w:p>
    <w:p w14:paraId="3E40A456" w14:textId="75AE7D77" w:rsidR="000E2C48" w:rsidRPr="00524E03" w:rsidRDefault="000E2C48" w:rsidP="000E2C48">
      <w:pPr>
        <w:spacing w:line="360" w:lineRule="auto"/>
        <w:jc w:val="both"/>
        <w:rPr>
          <w:rFonts w:ascii="Arial" w:hAnsi="Arial" w:cs="Arial"/>
          <w:lang w:val="en-US"/>
        </w:rPr>
      </w:pPr>
      <w:r w:rsidRPr="00524E03">
        <w:rPr>
          <w:rFonts w:ascii="Arial" w:hAnsi="Arial" w:cs="Arial"/>
          <w:i/>
          <w:iCs/>
          <w:lang w:val="en-US"/>
        </w:rPr>
        <w:t>Trp53</w:t>
      </w:r>
      <w:r w:rsidRPr="00524E03">
        <w:rPr>
          <w:rFonts w:ascii="Arial" w:hAnsi="Arial" w:cs="Arial"/>
          <w:lang w:val="en-US"/>
        </w:rPr>
        <w:t xml:space="preserve">-fl-R245W-GFP mice </w:t>
      </w:r>
      <w:r>
        <w:rPr>
          <w:rFonts w:ascii="Arial" w:hAnsi="Arial" w:cs="Arial"/>
          <w:lang w:val="en-US"/>
        </w:rPr>
        <w:fldChar w:fldCharType="begin">
          <w:fldData xml:space="preserve">PEVuZE5vdGU+PENpdGU+PEF1dGhvcj5NdXJhaTwvQXV0aG9yPjxZZWFyPjIwMTg8L1llYXI+PFJl
Y051bT4xMjc8L1JlY051bT48RGlzcGxheVRleHQ+KDQpPC9EaXNwbGF5VGV4dD48cmVjb3JkPjxy
ZWMtbnVtYmVyPjEyNzwvcmVjLW51bWJlcj48Zm9yZWlnbi1rZXlzPjxrZXkgYXBwPSJFTiIgZGIt
aWQ9ImEyMnpzZmY5NXc5djV1ZXhmMGt2ZTJlbDByZGZmcnh4YWZzciIgdGltZXN0YW1wPSIxNzM5
NDM4ODY3IiBndWlkPSJjMTYwOGUyOS00MDEzLTRlZDYtODA1Ny00ZTZmNDQxNzFiYjciPjEyNzwv
a2V5PjwvZm9yZWlnbi1rZXlzPjxyZWYtdHlwZSBuYW1lPSJKb3VybmFsIEFydGljbGUiPjE3PC9y
ZWYtdHlwZT48Y29udHJpYnV0b3JzPjxhdXRob3JzPjxhdXRob3I+TXVyYWksIEsuPC9hdXRob3I+
PGF1dGhvcj5Ta3J1cHNrZWx5dGUsIEcuPC9hdXRob3I+PGF1dGhvcj5QaWVkcmFmaXRhLCBHLjwv
YXV0aG9yPjxhdXRob3I+SGFsbCwgTS48L2F1dGhvcj48YXV0aG9yPktvc3Rpb3UsIFYuPC9hdXRo
b3I+PGF1dGhvcj5PbmcsIFMuIEguPC9hdXRob3I+PGF1dGhvcj5OYWd5LCBULjwvYXV0aG9yPjxh
dXRob3I+Q2FnYW4sIEEuPC9hdXRob3I+PGF1dGhvcj5Hb3VsZGluZywgRC48L2F1dGhvcj48YXV0
aG9yPktsZWluLCBBLiBNLjwvYXV0aG9yPjxhdXRob3I+SGFsbCwgQi4gQS48L2F1dGhvcj48YXV0
aG9yPkpvbmVzLCBQLiBILjwvYXV0aG9yPjwvYXV0aG9ycz48L2NvbnRyaWJ1dG9ycz48YXV0aC1h
ZGRyZXNzPldlbGxjb21lIFNhbmdlciBJbnN0aXR1dGUsIEhpbnh0b24gQ0IxMCAxU0EsIFVLLiYj
eEQ7V2VsbGNvbWUgU2FuZ2VyIEluc3RpdHV0ZSwgSGlueHRvbiBDQjEwIDFTQSwgVUs7IE1SQyBD
YW5jZXIgVW5pdCwgVW5pdmVyc2l0eSBvZiBDYW1icmlkZ2UsIEh1dGNoaXNvbi1NUkMgUmVzZWFy
Y2ggQ2VudHJlLCBDYW1icmlkZ2UgQmlvbWVkaWNhbCBDYW1wdXMsIENhbWJyaWRnZSBDQjIgMFha
LCBVSy4mI3hEO01SQyBDYW5jZXIgVW5pdCwgVW5pdmVyc2l0eSBvZiBDYW1icmlkZ2UsIEh1dGNo
aXNvbi1NUkMgUmVzZWFyY2ggQ2VudHJlLCBDYW1icmlkZ2UgQmlvbWVkaWNhbCBDYW1wdXMsIENh
bWJyaWRnZSBDQjIgMFhaLCBVSy4mI3hEO0RlcGFydG1lbnQgb2YgU3lzdGVtcyBCaW9sb2d5LCBI
YXJ2YXJkIE1lZGljYWwgU2Nob29sLCBIYXJ2YXJkIE1lZGljYWwgU2Nob29sLCBCb3N0b24sIE1B
IDAyMTE1LCBVU0EuJiN4RDtXZWxsY29tZSBTYW5nZXIgSW5zdGl0dXRlLCBIaW54dG9uIENCMTAg
MVNBLCBVSzsgTVJDIENhbmNlciBVbml0LCBVbml2ZXJzaXR5IG9mIENhbWJyaWRnZSwgSHV0Y2hp
c29uLU1SQyBSZXNlYXJjaCBDZW50cmUsIENhbWJyaWRnZSBCaW9tZWRpY2FsIENhbXB1cywgQ2Ft
YnJpZGdlIENCMiAwWFosIFVLLiBFbGVjdHJvbmljIGFkZHJlc3M6IHBqM0BzYW5nZXIuYWMudWsu
PC9hdXRoLWFkZHJlc3M+PHRpdGxlcz48dGl0bGU+RXBpZGVybWFsIFRpc3N1ZSBBZGFwdHMgdG8g
UmVzdHJhaW4gUHJvZ2VuaXRvcnMgQ2FycnlpbmcgQ2xvbmFsIHA1MyBNdXRhdGlvbnM8L3RpdGxl
PjxzZWNvbmRhcnktdGl0bGU+Q2VsbCBTdGVtIENlbGw8L3NlY29uZGFyeS10aXRsZT48L3RpdGxl
cz48cGVyaW9kaWNhbD48ZnVsbC10aXRsZT5DZWxsIFN0ZW0gQ2VsbDwvZnVsbC10aXRsZT48L3Bl
cmlvZGljYWw+PHBhZ2VzPjY4Ny02OTkgZTg8L3BhZ2VzPjx2b2x1bWU+MjM8L3ZvbHVtZT48bnVt
YmVyPjU8L251bWJlcj48ZWRpdGlvbj4yMDE4MDkyNzwvZWRpdGlvbj48a2V5d29yZHM+PGtleXdv
cmQ+QW5pbWFsczwva2V5d29yZD48a2V5d29yZD5DZWxscywgQ3VsdHVyZWQ8L2tleXdvcmQ+PGtl
eXdvcmQ+Q2xvbmUgQ2VsbHMvKm1ldGFib2xpc20vcGF0aG9sb2d5PC9rZXl3b3JkPjxrZXl3b3Jk
PkVwaWRlcm1hbCBDZWxscy8qbWV0YWJvbGlzbS9wYXRob2xvZ3k8L2tleXdvcmQ+PGtleXdvcmQ+
RXBpZGVybWlzLyptZXRhYm9saXNtL3BhdGhvbG9neTwva2V5d29yZD48a2V5d29yZD5GZW1hbGU8
L2tleXdvcmQ+PGtleXdvcmQ+TWFsZTwva2V5d29yZD48a2V5d29yZD5NaWNlPC9rZXl3b3JkPjxr
ZXl3b3JkPk1pY2UsIEluYnJlZCBDNTdCTDwva2V5d29yZD48a2V5d29yZD4qTXV0YXRpb248L2tl
eXdvcmQ+PGtleXdvcmQ+U3RlbSBDZWxscy8qbWV0YWJvbGlzbS9wYXRob2xvZ3k8L2tleXdvcmQ+
PGtleXdvcmQ+VHVtb3IgU3VwcHJlc3NvciBQcm90ZWluIHA1My8qZ2VuZXRpY3MvbWV0YWJvbGlz
bTwva2V5d29yZD48a2V5d29yZD5VbHRyYXZpb2xldCBSYXlzPC9rZXl3b3JkPjxrZXl3b3JkPkNk
aDE8L2tleXdvcmQ+PGtleXdvcmQ+VHJwNTM8L2tleXdvcmQ+PGtleXdvcmQ+Y2FyY2lub2dlbmVz
aXM8L2tleXdvcmQ+PGtleXdvcmQ+Y2VsbCBhZGhlc2lvbjwva2V5d29yZD48a2V5d29yZD5jZWxs
IGNvbXBldGl0aW9uPC9rZXl3b3JkPjxrZXl3b3JkPmRlc21vc29tZTwva2V5d29yZD48a2V5d29y
ZD5kaWZmZXJlbnRpYXRpb248L2tleXdvcmQ+PGtleXdvcmQ+c3RlbSBjZWxsPC9rZXl3b3JkPjxr
ZXl3b3JkPnRyYW5zZ2VuaWMgbWljZTwva2V5d29yZD48a2V5d29yZD51bHRyYXZpb2xldCBsaWdo
dDwva2V5d29yZD48L2tleXdvcmRzPjxkYXRlcz48eWVhcj4yMDE4PC95ZWFyPjxwdWItZGF0ZXM+
PGRhdGU+Tm92IDE8L2RhdGU+PC9wdWItZGF0ZXM+PC9kYXRlcz48aXNibj4xODc1LTk3NzcgKEVs
ZWN0cm9uaWMpJiN4RDsxOTM0LTU5MDkgKFByaW50KSYjeEQ7MTg3NS05Nzc3IChMaW5raW5nKTwv
aXNibj48YWNjZXNzaW9uLW51bT4zMDI2OTkwNDwvYWNjZXNzaW9uLW51bT48dXJscz48cmVsYXRl
ZC11cmxzPjx1cmw+aHR0cHM6Ly93d3cubmNiaS5ubG0ubmloLmdvdi9wdWJtZWQvMzAyNjk5MDQ8
L3VybD48L3JlbGF0ZWQtdXJscz48L3VybHM+PGN1c3RvbTI+UE1DNjIyNDYwNzwvY3VzdG9tMj48
ZWxlY3Ryb25pYy1yZXNvdXJjZS1udW0+MTAuMTAxNi9qLnN0ZW0uMjAxOC4wOC4wMTc8L2VsZWN0
cm9uaWMtcmVzb3VyY2UtbnVtPjxyZW1vdGUtZGF0YWJhc2UtbmFtZT5NZWRsaW5lPC9yZW1vdGUt
ZGF0YWJhc2UtbmFtZT48cmVtb3RlLWRhdGFiYXNlLXByb3ZpZGVyPk5MTTwvcmVtb3RlLWRhdGFi
YXNlLXByb3ZpZGVyPjwvcmVjb3JkPjwvQ2l0ZT48L0VuZE5vdGU+AG==
</w:fldData>
        </w:fldChar>
      </w:r>
      <w:r>
        <w:rPr>
          <w:rFonts w:ascii="Arial" w:hAnsi="Arial" w:cs="Arial"/>
          <w:lang w:val="en-US"/>
        </w:rPr>
        <w:instrText xml:space="preserve"> ADDIN EN.JS.CITE </w:instrText>
      </w:r>
      <w:r>
        <w:rPr>
          <w:rFonts w:ascii="Arial" w:hAnsi="Arial" w:cs="Arial"/>
          <w:lang w:val="en-US"/>
        </w:rPr>
      </w:r>
      <w:r>
        <w:rPr>
          <w:rFonts w:ascii="Arial" w:hAnsi="Arial" w:cs="Arial"/>
          <w:lang w:val="en-US"/>
        </w:rPr>
        <w:fldChar w:fldCharType="separate"/>
      </w:r>
      <w:r w:rsidR="00854B80">
        <w:rPr>
          <w:rFonts w:ascii="Arial" w:hAnsi="Arial" w:cs="Arial"/>
          <w:noProof/>
          <w:lang w:val="en-US"/>
        </w:rPr>
        <w:t>(4)</w:t>
      </w:r>
      <w:r>
        <w:rPr>
          <w:rFonts w:ascii="Arial" w:hAnsi="Arial" w:cs="Arial"/>
          <w:lang w:val="en-US"/>
        </w:rPr>
        <w:fldChar w:fldCharType="end"/>
      </w:r>
      <w:r w:rsidRPr="00524E03">
        <w:rPr>
          <w:rFonts w:ascii="Arial" w:hAnsi="Arial" w:cs="Arial"/>
          <w:lang w:val="en-US"/>
        </w:rPr>
        <w:t xml:space="preserve"> and SCL-</w:t>
      </w:r>
      <w:proofErr w:type="spellStart"/>
      <w:r w:rsidRPr="00524E03">
        <w:rPr>
          <w:rFonts w:ascii="Arial" w:hAnsi="Arial" w:cs="Arial"/>
          <w:lang w:val="en-US"/>
        </w:rPr>
        <w:t>CreERTmice</w:t>
      </w:r>
      <w:proofErr w:type="spellEnd"/>
      <w:r w:rsidRPr="00524E03">
        <w:rPr>
          <w:rFonts w:ascii="Arial" w:hAnsi="Arial" w:cs="Arial"/>
          <w:lang w:val="en-US"/>
        </w:rPr>
        <w:t xml:space="preserve"> </w:t>
      </w:r>
      <w:r>
        <w:rPr>
          <w:rFonts w:ascii="Arial" w:hAnsi="Arial" w:cs="Arial"/>
          <w:lang w:val="en-US"/>
        </w:rPr>
        <w:fldChar w:fldCharType="begin">
          <w:fldData xml:space="preserve">PEVuZE5vdGU+PENpdGU+PEF1dGhvcj5Hb3RoZXJ0PC9BdXRob3I+PFllYXI+MjAwNTwvWWVhcj48
UmVjTnVtPjEzMzwvUmVjTnVtPjxEaXNwbGF5VGV4dD4oNSk8L0Rpc3BsYXlUZXh0PjxyZWNvcmQ+
PHJlYy1udW1iZXI+MTMzPC9yZWMtbnVtYmVyPjxmb3JlaWduLWtleXM+PGtleSBhcHA9IkVOIiBk
Yi1pZD0iYTIyenNmZjk1dzl2NXVleGYwa3ZlMmVsMHJkZmZyeHhhZnNyIiB0aW1lc3RhbXA9IjE3
Mzk0NDA4OTIiIGd1aWQ9IjdhMmNiMTk0LWE5Y2QtNGUxZi05N2MyLWIyZDBlMTVhNDMyNyI+MTMz
PC9rZXk+PC9mb3JlaWduLWtleXM+PHJlZi10eXBlIG5hbWU9IkpvdXJuYWwgQXJ0aWNsZSI+MTc8
L3JlZi10eXBlPjxjb250cmlidXRvcnM+PGF1dGhvcnM+PGF1dGhvcj5Hb3RoZXJ0LCBKLiBSLjwv
YXV0aG9yPjxhdXRob3I+R3VzdGluLCBTLiBFLjwvYXV0aG9yPjxhdXRob3I+SGFsbCwgTS4gQS48
L2F1dGhvcj48YXV0aG9yPkdyZWVuLCBBLiBSLjwvYXV0aG9yPjxhdXRob3I+R290dGdlbnMsIEIu
PC9hdXRob3I+PGF1dGhvcj5Jem9uLCBELiBKLjwvYXV0aG9yPjxhdXRob3I+QmVnbGV5LCBDLiBH
LjwvYXV0aG9yPjwvYXV0aG9ycz48L2NvbnRyaWJ1dG9ycz48YXV0aC1hZGRyZXNzPkRpdmlzaW9u
IG9mIENhbmNlciBCaW9sb2d5LCBUZWxldGhvbiBJbnN0aXR1dGUgZm9yIENoaWxkIEhlYWx0aCBS
ZXNlYXJjaCwgQ2VudGVyIGZvciBDaGlsZCBIZWFsdGggUmVzZWFyY2gsIFVuaXZlcnNpdHkgb2Yg
V2VzdGVybiBBdXN0cmFsaWEsIFdlc3QgUGVydGgsIEF1c3RyYWxpYS4gam9hY2hpbS5nb2V0aGVy
dEB1bmktZXNzZW4uZGU8L2F1dGgtYWRkcmVzcz48dGl0bGVzPjx0aXRsZT5JbiB2aXZvIGZhdGUt
dHJhY2luZyBzdHVkaWVzIHVzaW5nIHRoZSBTY2wgc3RlbSBjZWxsIGVuaGFuY2VyOiBlbWJyeW9u
aWMgaGVtYXRvcG9pZXRpYyBzdGVtIGNlbGxzIHNpZ25pZmljYW50bHkgY29udHJpYnV0ZSB0byBh
ZHVsdCBoZW1hdG9wb2llc2lzPC90aXRsZT48c2Vjb25kYXJ5LXRpdGxlPkJsb29kPC9zZWNvbmRh
cnktdGl0bGU+PC90aXRsZXM+PHBlcmlvZGljYWw+PGZ1bGwtdGl0bGU+Qmxvb2Q8L2Z1bGwtdGl0
bGU+PC9wZXJpb2RpY2FsPjxwYWdlcz4yNzI0LTMyPC9wYWdlcz48dm9sdW1lPjEwNTwvdm9sdW1l
PjxudW1iZXI+NzwvbnVtYmVyPjxlZGl0aW9uPjIwMDQxMjE0PC9lZGl0aW9uPjxrZXl3b3Jkcz48
a2V5d29yZD5BZ2UgRmFjdG9yczwva2V5d29yZD48a2V5d29yZD5BbmltYWxzPC9rZXl3b3JkPjxr
ZXl3b3JkPkFudGluZW9wbGFzdGljIEFnZW50cywgSG9ybW9uYWwvcGhhcm1hY29sb2d5PC9rZXl3
b3JkPjxrZXl3b3JkPkJpb21hcmtlcnM8L2tleXdvcmQ+PGtleXdvcmQ+Q2VsbCBMaW5lYWdlPC9r
ZXl3b3JkPjxrZXl3b3JkPipFbmhhbmNlciBFbGVtZW50cywgR2VuZXRpYzwva2V5d29yZD48a2V5
d29yZD5HZW5lIEV4cHJlc3Npb24vZHJ1ZyBlZmZlY3RzPC9rZXl3b3JkPjxrZXl3b3JkPkhlbWF0
b3BvaWVzaXMvKnBoeXNpb2xvZ3k8L2tleXdvcmQ+PGtleXdvcmQ+SGVtYXRvcG9pZXRpYyBTdGVt
IENlbGwgVHJhbnNwbGFudGF0aW9uPC9rZXl3b3JkPjxrZXl3b3JkPkhlbWF0b3BvaWV0aWMgU3Rl
bSBDZWxscy8qY3l0b2xvZ3kvKnBoeXNpb2xvZ3k8L2tleXdvcmQ+PGtleXdvcmQ+SW50ZWdyYXNl
cy8qZ2VuZXRpY3M8L2tleXdvcmQ+PGtleXdvcmQ+TGFjIE9wZXJvbjwva2V5d29yZD48a2V5d29y
ZD5NaWNlPC9rZXl3b3JkPjxrZXl3b3JkPk1pY2UsIEluYnJlZCBDNTdCTDwva2V5d29yZD48a2V5
d29yZD5NaWNlLCBUcmFuc2dlbmljPC9rZXl3b3JkPjxrZXl3b3JkPlJlY29tYmluYXRpb24sIEdl
bmV0aWM8L2tleXdvcmQ+PGtleXdvcmQ+VGFtb3hpZmVuL3BoYXJtYWNvbG9neTwva2V5d29yZD48
a2V5d29yZD5UcmFuc2dlbmVzL3BoeXNpb2xvZ3k8L2tleXdvcmQ+PC9rZXl3b3Jkcz48ZGF0ZXM+
PHllYXI+MjAwNTwveWVhcj48cHViLWRhdGVzPjxkYXRlPkFwciAxPC9kYXRlPjwvcHViLWRhdGVz
PjwvZGF0ZXM+PGlzYm4+MDAwNi00OTcxIChQcmludCkmI3hEOzAwMDYtNDk3MSAoTGlua2luZyk8
L2lzYm4+PGFjY2Vzc2lvbi1udW0+MTU1OTg4MDk8L2FjY2Vzc2lvbi1udW0+PHVybHM+PHJlbGF0
ZWQtdXJscz48dXJsPmh0dHBzOi8vd3d3Lm5jYmkubmxtLm5paC5nb3YvcHVibWVkLzE1NTk4ODA5
PC91cmw+PC9yZWxhdGVkLXVybHM+PC91cmxzPjxlbGVjdHJvbmljLXJlc291cmNlLW51bT4xMC4x
MTgyL2Jsb29kLTIwMDQtMDgtMzAzNzwvZWxlY3Ryb25pYy1yZXNvdXJjZS1udW0+PHJlbW90ZS1k
YXRhYmFzZS1uYW1lPk1lZGxpbmU8L3JlbW90ZS1kYXRhYmFzZS1uYW1lPjxyZW1vdGUtZGF0YWJh
c2UtcHJvdmlkZXI+TkxNPC9yZW1vdGUtZGF0YWJhc2UtcHJvdmlkZXI+PC9yZWNvcmQ+PC9DaXRl
PjwvRW5kTm90ZT4A
</w:fldData>
        </w:fldChar>
      </w:r>
      <w:r>
        <w:rPr>
          <w:rFonts w:ascii="Arial" w:hAnsi="Arial" w:cs="Arial"/>
          <w:lang w:val="en-US"/>
        </w:rPr>
        <w:instrText xml:space="preserve"> ADDIN EN.JS.CITE </w:instrText>
      </w:r>
      <w:r>
        <w:rPr>
          <w:rFonts w:ascii="Arial" w:hAnsi="Arial" w:cs="Arial"/>
          <w:lang w:val="en-US"/>
        </w:rPr>
      </w:r>
      <w:r>
        <w:rPr>
          <w:rFonts w:ascii="Arial" w:hAnsi="Arial" w:cs="Arial"/>
          <w:lang w:val="en-US"/>
        </w:rPr>
        <w:fldChar w:fldCharType="separate"/>
      </w:r>
      <w:r w:rsidR="00854B80">
        <w:rPr>
          <w:rFonts w:ascii="Arial" w:hAnsi="Arial" w:cs="Arial"/>
          <w:noProof/>
          <w:lang w:val="en-US"/>
        </w:rPr>
        <w:t>(5)</w:t>
      </w:r>
      <w:r>
        <w:rPr>
          <w:rFonts w:ascii="Arial" w:hAnsi="Arial" w:cs="Arial"/>
          <w:lang w:val="en-US"/>
        </w:rPr>
        <w:fldChar w:fldCharType="end"/>
      </w:r>
      <w:r w:rsidRPr="00524E03">
        <w:rPr>
          <w:rFonts w:ascii="Arial" w:hAnsi="Arial" w:cs="Arial"/>
          <w:lang w:val="en-US"/>
        </w:rPr>
        <w:t xml:space="preserve"> were used in this study, along with C57BL/6 (RRID:IMSR_JAX:000664) and C57BL/6-Ly5.1 (RRID:IMSR_JAX:002014) wild-type mice obtained from Charles River. </w:t>
      </w:r>
      <w:r w:rsidRPr="00524E03">
        <w:rPr>
          <w:rFonts w:ascii="Arial" w:hAnsi="Arial" w:cs="Arial"/>
          <w:i/>
          <w:iCs/>
          <w:lang w:val="en-US"/>
        </w:rPr>
        <w:t>Trp53</w:t>
      </w:r>
      <w:r w:rsidRPr="00524E03">
        <w:rPr>
          <w:rFonts w:ascii="Arial" w:hAnsi="Arial" w:cs="Arial"/>
          <w:lang w:val="en-US"/>
        </w:rPr>
        <w:t xml:space="preserve">-fl-R245W-GFP;SCL-CreERT mice were bred to generate animals homozygous or heterozygous for the </w:t>
      </w:r>
      <w:r w:rsidRPr="00524E03">
        <w:rPr>
          <w:rFonts w:ascii="Arial" w:hAnsi="Arial" w:cs="Arial"/>
          <w:i/>
          <w:iCs/>
          <w:lang w:val="en-US"/>
        </w:rPr>
        <w:t>Trp53</w:t>
      </w:r>
      <w:r w:rsidRPr="00524E03">
        <w:rPr>
          <w:rFonts w:ascii="Arial" w:hAnsi="Arial" w:cs="Arial"/>
          <w:lang w:val="en-US"/>
        </w:rPr>
        <w:t>-fl-R245W-GFP allele and hemizygous for the SCL-CreERT allele. All mice were maintained under specific pathogen-free conditions in accordance with the guidelines of the Swiss Federal Veterinary Office. Experiments were approved by the Veterinary Office of the Canton of Zurich (License ZH181/2021).</w:t>
      </w:r>
    </w:p>
    <w:p w14:paraId="50ED4611" w14:textId="524EF5C5" w:rsidR="000E2C48" w:rsidRPr="00524E03" w:rsidRDefault="000E2C48" w:rsidP="000E2C48">
      <w:pPr>
        <w:spacing w:line="360" w:lineRule="auto"/>
        <w:jc w:val="both"/>
        <w:rPr>
          <w:rFonts w:ascii="Arial" w:hAnsi="Arial" w:cs="Arial"/>
          <w:lang w:val="en-US"/>
        </w:rPr>
      </w:pPr>
      <w:r w:rsidRPr="00524E03">
        <w:rPr>
          <w:rFonts w:ascii="Arial" w:hAnsi="Arial" w:cs="Arial"/>
          <w:lang w:val="en-US"/>
        </w:rPr>
        <w:t xml:space="preserve">To induce Cre-mediated recombination of the </w:t>
      </w:r>
      <w:r w:rsidRPr="00524E03">
        <w:rPr>
          <w:rFonts w:ascii="Arial" w:hAnsi="Arial" w:cs="Arial"/>
          <w:i/>
          <w:iCs/>
          <w:lang w:val="en-US"/>
        </w:rPr>
        <w:t>Trp53</w:t>
      </w:r>
      <w:r w:rsidRPr="00524E03">
        <w:rPr>
          <w:rFonts w:ascii="Arial" w:hAnsi="Arial" w:cs="Arial"/>
          <w:lang w:val="en-US"/>
        </w:rPr>
        <w:t xml:space="preserve"> locus, 6-12-week-old </w:t>
      </w:r>
      <w:r w:rsidR="001B4E45">
        <w:rPr>
          <w:rFonts w:ascii="Arial" w:hAnsi="Arial" w:cs="Arial"/>
          <w:lang w:val="en-US"/>
        </w:rPr>
        <w:t xml:space="preserve">female </w:t>
      </w:r>
      <w:r w:rsidRPr="00524E03">
        <w:rPr>
          <w:rFonts w:ascii="Arial" w:hAnsi="Arial" w:cs="Arial"/>
          <w:i/>
          <w:iCs/>
          <w:lang w:val="en-US"/>
        </w:rPr>
        <w:t>Trp53</w:t>
      </w:r>
      <w:r w:rsidRPr="00524E03">
        <w:rPr>
          <w:rFonts w:ascii="Arial" w:hAnsi="Arial" w:cs="Arial"/>
          <w:lang w:val="en-US"/>
        </w:rPr>
        <w:t xml:space="preserve">-fl-R245W-GFP;SCL-CreERT mice were injected intraperitoneally with 100 mg/kg tamoxifen (Sigma Aldrich, Cat. No. T5648), dissolved in ethanol and diluted in corn oil (Sigma Aldrich, Cat. No. C8267) for 1-5 consecutive days. Peripheral blood was collected via tail vein puncture at specified time points, with at least two weeks between collections. For studies investigating clonal expansion and malignant transformation of </w:t>
      </w:r>
      <w:r w:rsidRPr="00524E03">
        <w:rPr>
          <w:rFonts w:ascii="Arial" w:hAnsi="Arial" w:cs="Arial"/>
          <w:i/>
          <w:iCs/>
          <w:lang w:val="en-US"/>
        </w:rPr>
        <w:t>Trp53</w:t>
      </w:r>
      <w:r w:rsidRPr="00524E03">
        <w:rPr>
          <w:rFonts w:ascii="Arial" w:hAnsi="Arial" w:cs="Arial"/>
          <w:lang w:val="en-US"/>
        </w:rPr>
        <w:t xml:space="preserve"> mutant cells, mice were randomly divided into two groups five weeks post tamoxifen induction. One group was subjected to two doses of sublethal </w:t>
      </w:r>
      <w:r w:rsidRPr="00524E03">
        <w:rPr>
          <w:rFonts w:ascii="Arial" w:hAnsi="Arial" w:cs="Arial"/>
        </w:rPr>
        <w:t>γ</w:t>
      </w:r>
      <w:r w:rsidRPr="00524E03">
        <w:rPr>
          <w:rFonts w:ascii="Arial" w:hAnsi="Arial" w:cs="Arial"/>
          <w:lang w:val="en-US"/>
        </w:rPr>
        <w:t xml:space="preserve">-irradiation (475 </w:t>
      </w:r>
      <w:proofErr w:type="spellStart"/>
      <w:r w:rsidRPr="00524E03">
        <w:rPr>
          <w:rFonts w:ascii="Arial" w:hAnsi="Arial" w:cs="Arial"/>
          <w:lang w:val="en-US"/>
        </w:rPr>
        <w:t>cGy</w:t>
      </w:r>
      <w:proofErr w:type="spellEnd"/>
      <w:r w:rsidRPr="00524E03">
        <w:rPr>
          <w:rFonts w:ascii="Arial" w:hAnsi="Arial" w:cs="Arial"/>
          <w:lang w:val="en-US"/>
        </w:rPr>
        <w:t xml:space="preserve">, RS-2000 irradiator (Rad Source, Buford, GA, USA)) with a four week interval, while the other remained non-irradiated. Mice were sacrificed either at predetermined endpoints or upon reaching humane endpoint criteria. Termination criteria were scored by an experimenter blinded to the experimental cohort. </w:t>
      </w:r>
    </w:p>
    <w:p w14:paraId="2A41E970" w14:textId="12467692" w:rsidR="000E2C48" w:rsidRDefault="000E2C48" w:rsidP="00214AC1">
      <w:pPr>
        <w:spacing w:line="360" w:lineRule="auto"/>
        <w:jc w:val="both"/>
        <w:rPr>
          <w:rFonts w:ascii="Arial" w:hAnsi="Arial" w:cs="Arial"/>
          <w:lang w:val="en-US"/>
        </w:rPr>
      </w:pPr>
      <w:r w:rsidRPr="00524E03">
        <w:rPr>
          <w:rFonts w:ascii="Arial" w:hAnsi="Arial" w:cs="Arial"/>
          <w:lang w:val="en-US"/>
        </w:rPr>
        <w:t>In transplantation experiments, 12-week-old</w:t>
      </w:r>
      <w:r w:rsidR="001B4E45">
        <w:rPr>
          <w:rFonts w:ascii="Arial" w:hAnsi="Arial" w:cs="Arial"/>
          <w:lang w:val="en-US"/>
        </w:rPr>
        <w:t xml:space="preserve"> female</w:t>
      </w:r>
      <w:r w:rsidRPr="00524E03">
        <w:rPr>
          <w:rFonts w:ascii="Arial" w:hAnsi="Arial" w:cs="Arial"/>
          <w:lang w:val="en-US"/>
        </w:rPr>
        <w:t xml:space="preserve"> C57BL/6 recipient mice received myeloablative irradiation (2 × 475 </w:t>
      </w:r>
      <w:proofErr w:type="spellStart"/>
      <w:r w:rsidRPr="00524E03">
        <w:rPr>
          <w:rFonts w:ascii="Arial" w:hAnsi="Arial" w:cs="Arial"/>
          <w:lang w:val="en-US"/>
        </w:rPr>
        <w:t>cGy</w:t>
      </w:r>
      <w:proofErr w:type="spellEnd"/>
      <w:r w:rsidRPr="00524E03">
        <w:rPr>
          <w:rFonts w:ascii="Arial" w:hAnsi="Arial" w:cs="Arial"/>
          <w:lang w:val="en-US"/>
        </w:rPr>
        <w:t xml:space="preserve"> with a 4-hour interval) before tail vein injection of 2 x 10⁶ thawed whole bone marrow cells from AML-bearing donor mice, combined with 0.5 x 10⁶ </w:t>
      </w:r>
      <w:r w:rsidRPr="00524E03">
        <w:rPr>
          <w:rFonts w:ascii="Arial" w:hAnsi="Arial" w:cs="Arial"/>
          <w:lang w:val="en-US"/>
        </w:rPr>
        <w:lastRenderedPageBreak/>
        <w:t>whole bone marrow cells from C57BL/6-Ly5.1 mice. Recipient mice were sacrificed upon meeting humane endpoint criteria.</w:t>
      </w:r>
    </w:p>
    <w:p w14:paraId="713D30A6" w14:textId="77777777" w:rsidR="001B4E45" w:rsidRDefault="001B4E45" w:rsidP="00234C08">
      <w:pPr>
        <w:spacing w:line="360" w:lineRule="auto"/>
        <w:jc w:val="both"/>
        <w:rPr>
          <w:rFonts w:ascii="Arial" w:hAnsi="Arial" w:cs="Arial"/>
          <w:lang w:val="en-US"/>
        </w:rPr>
      </w:pPr>
      <w:r w:rsidRPr="00880C9E">
        <w:rPr>
          <w:rFonts w:ascii="Arial" w:hAnsi="Arial" w:cs="Arial"/>
          <w:lang w:val="en-US"/>
        </w:rPr>
        <w:t xml:space="preserve">Random allocation of mice to experimental groups was performed by an independent individual, taking into account balanced age distribution across groups; however, no formal randomization method was applied. Sample size was determined empirically based on prior experience with comparable </w:t>
      </w:r>
      <w:r w:rsidRPr="00880C9E">
        <w:rPr>
          <w:rFonts w:ascii="Arial" w:hAnsi="Arial" w:cs="Arial"/>
          <w:i/>
          <w:iCs/>
          <w:lang w:val="en-US"/>
        </w:rPr>
        <w:t>in vivo</w:t>
      </w:r>
      <w:r w:rsidRPr="00880C9E">
        <w:rPr>
          <w:rFonts w:ascii="Arial" w:hAnsi="Arial" w:cs="Arial"/>
          <w:lang w:val="en-US"/>
        </w:rPr>
        <w:t xml:space="preserve"> experiments aiming to provide sufficient power for statistical analyses. The exact number of animals used in each experiment is specified in the corresponding figure legends. Mice that died within the first 14 days following γ-irradiation were excluded from analysis, as these cases reflected acute irradiation toxicity rather than experimental outcome. Blinding could not be implemented during the γ-irradiation procedures due to the technical nature of the interventions. Following irradiation, mice were assigned randomized identification codes to ensure unbiased assessment of endpoint criteria during subsequent monitoring and analysis.</w:t>
      </w:r>
    </w:p>
    <w:p w14:paraId="4FFA4D5E" w14:textId="77777777" w:rsidR="00234C08" w:rsidRPr="00524E03" w:rsidRDefault="00234C08" w:rsidP="001B4E45">
      <w:pPr>
        <w:spacing w:after="0" w:line="360" w:lineRule="auto"/>
        <w:jc w:val="both"/>
        <w:rPr>
          <w:rFonts w:ascii="Arial" w:hAnsi="Arial" w:cs="Arial"/>
          <w:lang w:val="en-US"/>
        </w:rPr>
      </w:pPr>
    </w:p>
    <w:p w14:paraId="3DA52B34" w14:textId="77777777" w:rsidR="000E2C48" w:rsidRPr="00524E03" w:rsidRDefault="000E2C48" w:rsidP="000E2C48">
      <w:pPr>
        <w:spacing w:line="360" w:lineRule="auto"/>
        <w:jc w:val="both"/>
        <w:rPr>
          <w:rFonts w:ascii="Arial" w:hAnsi="Arial" w:cs="Arial"/>
          <w:b/>
          <w:bCs/>
          <w:lang w:val="en-US"/>
        </w:rPr>
      </w:pPr>
      <w:r w:rsidRPr="00524E03">
        <w:rPr>
          <w:rFonts w:ascii="Arial" w:hAnsi="Arial" w:cs="Arial"/>
          <w:b/>
          <w:bCs/>
          <w:i/>
          <w:iCs/>
          <w:lang w:val="en-US"/>
        </w:rPr>
        <w:t>Ex vivo</w:t>
      </w:r>
      <w:r w:rsidRPr="00524E03">
        <w:rPr>
          <w:rFonts w:ascii="Arial" w:hAnsi="Arial" w:cs="Arial"/>
          <w:b/>
          <w:bCs/>
          <w:lang w:val="en-US"/>
        </w:rPr>
        <w:t xml:space="preserve"> processing of murine samples</w:t>
      </w:r>
    </w:p>
    <w:p w14:paraId="0477489B" w14:textId="77777777" w:rsidR="000E2C48" w:rsidRDefault="000E2C48" w:rsidP="00B843F1">
      <w:pPr>
        <w:spacing w:after="0" w:line="360" w:lineRule="auto"/>
        <w:jc w:val="both"/>
        <w:rPr>
          <w:rFonts w:ascii="Arial" w:hAnsi="Arial" w:cs="Arial"/>
          <w:lang w:val="en-US"/>
        </w:rPr>
      </w:pPr>
      <w:r w:rsidRPr="00524E03">
        <w:rPr>
          <w:rFonts w:ascii="Arial" w:hAnsi="Arial" w:cs="Arial"/>
          <w:lang w:val="en-US"/>
        </w:rPr>
        <w:t>At the termination time point, spleens and tumors were excised, blood was collected via heart puncture, and bone marrow was harvested by flushing femora, tibiae, and pelvic bones with FACS buffer. Single-cell suspensions from the organs were prepared by passing them sequentially through 0.7 µm and 0.45 µm filters into FACS buffer. Red blood cells were lysed by incubating the cells with RBC lysis buffer (</w:t>
      </w:r>
      <w:proofErr w:type="spellStart"/>
      <w:r w:rsidRPr="00524E03">
        <w:rPr>
          <w:rFonts w:ascii="Arial" w:hAnsi="Arial" w:cs="Arial"/>
          <w:lang w:val="en-US"/>
        </w:rPr>
        <w:t>Biolegend</w:t>
      </w:r>
      <w:proofErr w:type="spellEnd"/>
      <w:r w:rsidRPr="00524E03">
        <w:rPr>
          <w:rFonts w:ascii="Arial" w:hAnsi="Arial" w:cs="Arial"/>
          <w:lang w:val="en-US"/>
        </w:rPr>
        <w:t>, Cat. No. 420301) for 10 minutes. Cells were either frozen at -80°C in FACS buffer containing 50% FBS and 10% DMSO or directly processed for flow cytometric analysis. Spleen weights were recorded using a AE163 precision scale (Mettler Toledo). Femora were fixed in 4% PFA (Paraformaldehyde solution 4% in PBS, Santa Cruz Biotechnology, Cat. No. sc-281692) for subsequent histological analysis. Blood samples were analyzed for complete blood counts using the ADVIA 2120i Hematology system.</w:t>
      </w:r>
    </w:p>
    <w:p w14:paraId="1790EACD" w14:textId="77777777" w:rsidR="009D1187" w:rsidRDefault="009D1187" w:rsidP="000E2C48">
      <w:pPr>
        <w:spacing w:line="360" w:lineRule="auto"/>
        <w:jc w:val="both"/>
        <w:rPr>
          <w:rFonts w:ascii="Arial" w:hAnsi="Arial" w:cs="Arial"/>
          <w:lang w:val="en-US"/>
        </w:rPr>
      </w:pPr>
    </w:p>
    <w:p w14:paraId="5C2A4DF9" w14:textId="24FDD3C6" w:rsidR="009D1187" w:rsidRPr="00880C9E" w:rsidRDefault="009D1187" w:rsidP="009D1187">
      <w:pPr>
        <w:spacing w:line="360" w:lineRule="auto"/>
        <w:jc w:val="both"/>
        <w:rPr>
          <w:rFonts w:ascii="Arial" w:hAnsi="Arial" w:cs="Arial"/>
          <w:b/>
          <w:bCs/>
          <w:lang w:val="en-US"/>
        </w:rPr>
      </w:pPr>
      <w:r w:rsidRPr="00880C9E">
        <w:rPr>
          <w:rFonts w:ascii="Arial" w:hAnsi="Arial" w:cs="Arial"/>
          <w:b/>
          <w:bCs/>
          <w:lang w:val="en-US"/>
        </w:rPr>
        <w:t>Statistical analyses</w:t>
      </w:r>
    </w:p>
    <w:p w14:paraId="1456D3EB" w14:textId="040282A3" w:rsidR="00DA4A0B" w:rsidRPr="00880C9E" w:rsidRDefault="00DA4A0B" w:rsidP="00DA4A0B">
      <w:pPr>
        <w:spacing w:line="360" w:lineRule="auto"/>
        <w:jc w:val="both"/>
        <w:rPr>
          <w:rFonts w:ascii="Arial" w:hAnsi="Arial" w:cs="Arial"/>
          <w:lang w:val="en-US"/>
        </w:rPr>
      </w:pPr>
      <w:r w:rsidRPr="00880C9E">
        <w:rPr>
          <w:rFonts w:ascii="Arial" w:hAnsi="Arial" w:cs="Arial"/>
          <w:lang w:val="en-US"/>
        </w:rPr>
        <w:t>Statistical significance was assessed using one-way ANOVA followed by Tukey’s multiple comparisons post hoc test, unpaired two-tailed t-test, or log-rank (Mantel–Cox) test, as indicated in the figure legends. Analyses were performed using GraphPad Prism software (version 10.2.1; RRID:SCR_002798; GraphPad Software, Boston, MA, USA). Data distribution and variance were assessed to confirm that test assumptions were met. Variation within each group is shown as standard error of the mean (SEM).</w:t>
      </w:r>
    </w:p>
    <w:p w14:paraId="6F1480B3" w14:textId="77777777" w:rsidR="009D1187" w:rsidRDefault="009D1187" w:rsidP="009D1187">
      <w:pPr>
        <w:spacing w:line="360" w:lineRule="auto"/>
        <w:jc w:val="both"/>
        <w:rPr>
          <w:rFonts w:ascii="Arial" w:hAnsi="Arial" w:cs="Arial"/>
          <w:lang w:val="en-US"/>
        </w:rPr>
      </w:pPr>
    </w:p>
    <w:p w14:paraId="40108F9E" w14:textId="271797B6" w:rsidR="000E2C48" w:rsidRPr="003A323A" w:rsidRDefault="000E2C48" w:rsidP="000E2C48">
      <w:pPr>
        <w:jc w:val="both"/>
        <w:rPr>
          <w:rFonts w:ascii="Arial" w:hAnsi="Arial" w:cs="Arial"/>
          <w:color w:val="000000"/>
          <w:lang w:val="en-US"/>
        </w:rPr>
      </w:pPr>
      <w:r>
        <w:rPr>
          <w:rFonts w:ascii="Arial" w:hAnsi="Arial" w:cs="Arial"/>
          <w:b/>
          <w:bCs/>
          <w:lang w:val="en-US"/>
        </w:rPr>
        <w:lastRenderedPageBreak/>
        <w:t xml:space="preserve">SUPPLEMENTARY </w:t>
      </w:r>
      <w:r w:rsidRPr="003A323A">
        <w:rPr>
          <w:rFonts w:ascii="Arial" w:hAnsi="Arial" w:cs="Arial"/>
          <w:b/>
          <w:bCs/>
          <w:lang w:val="en-US"/>
        </w:rPr>
        <w:t>T</w:t>
      </w:r>
      <w:r>
        <w:rPr>
          <w:rFonts w:ascii="Arial" w:hAnsi="Arial" w:cs="Arial"/>
          <w:b/>
          <w:bCs/>
          <w:lang w:val="en-US"/>
        </w:rPr>
        <w:t>ABLES</w:t>
      </w:r>
    </w:p>
    <w:p w14:paraId="56627D4F" w14:textId="77777777" w:rsidR="000E2C48" w:rsidRPr="003A323A" w:rsidRDefault="000E2C48" w:rsidP="000E2C48">
      <w:pPr>
        <w:jc w:val="both"/>
        <w:rPr>
          <w:rFonts w:ascii="Arial" w:hAnsi="Arial" w:cs="Arial"/>
          <w:b/>
          <w:bCs/>
          <w:lang w:val="en-US"/>
        </w:rPr>
      </w:pPr>
      <w:r w:rsidRPr="003A323A">
        <w:rPr>
          <w:rFonts w:ascii="Arial" w:hAnsi="Arial" w:cs="Arial"/>
          <w:b/>
          <w:bCs/>
          <w:lang w:val="en-US"/>
        </w:rPr>
        <w:t>Table 1: Antibody list</w:t>
      </w:r>
    </w:p>
    <w:tbl>
      <w:tblPr>
        <w:tblStyle w:val="Tabellenraster"/>
        <w:tblW w:w="0" w:type="auto"/>
        <w:tblLook w:val="04A0" w:firstRow="1" w:lastRow="0" w:firstColumn="1" w:lastColumn="0" w:noHBand="0" w:noVBand="1"/>
      </w:tblPr>
      <w:tblGrid>
        <w:gridCol w:w="2830"/>
        <w:gridCol w:w="2410"/>
        <w:gridCol w:w="2835"/>
        <w:gridCol w:w="950"/>
      </w:tblGrid>
      <w:tr w:rsidR="000E2C48" w:rsidRPr="00582247" w14:paraId="53258283" w14:textId="77777777" w:rsidTr="00F81A57">
        <w:tc>
          <w:tcPr>
            <w:tcW w:w="2830" w:type="dxa"/>
          </w:tcPr>
          <w:p w14:paraId="1B6E2288" w14:textId="77777777" w:rsidR="000E2C48" w:rsidRPr="003A323A" w:rsidRDefault="000E2C48" w:rsidP="00F81A57">
            <w:pPr>
              <w:jc w:val="both"/>
              <w:rPr>
                <w:rFonts w:ascii="Arial" w:hAnsi="Arial" w:cs="Arial"/>
                <w:lang w:val="en-US"/>
              </w:rPr>
            </w:pPr>
            <w:r w:rsidRPr="003A323A">
              <w:rPr>
                <w:rFonts w:ascii="Arial" w:hAnsi="Arial" w:cs="Arial"/>
                <w:lang w:val="en-US"/>
              </w:rPr>
              <w:t>Target</w:t>
            </w:r>
          </w:p>
        </w:tc>
        <w:tc>
          <w:tcPr>
            <w:tcW w:w="2410" w:type="dxa"/>
          </w:tcPr>
          <w:p w14:paraId="6B2F8549" w14:textId="77777777" w:rsidR="000E2C48" w:rsidRPr="003A323A" w:rsidRDefault="000E2C48" w:rsidP="00F81A57">
            <w:pPr>
              <w:jc w:val="both"/>
              <w:rPr>
                <w:rFonts w:ascii="Arial" w:hAnsi="Arial" w:cs="Arial"/>
                <w:lang w:val="en-US"/>
              </w:rPr>
            </w:pPr>
            <w:r w:rsidRPr="003A323A">
              <w:rPr>
                <w:rFonts w:ascii="Arial" w:hAnsi="Arial" w:cs="Arial"/>
                <w:lang w:val="en-US"/>
              </w:rPr>
              <w:t>Conjugation</w:t>
            </w:r>
          </w:p>
        </w:tc>
        <w:tc>
          <w:tcPr>
            <w:tcW w:w="2835" w:type="dxa"/>
          </w:tcPr>
          <w:p w14:paraId="19191F1C" w14:textId="77777777" w:rsidR="000E2C48" w:rsidRPr="003A323A" w:rsidRDefault="000E2C48" w:rsidP="00F81A57">
            <w:pPr>
              <w:jc w:val="both"/>
              <w:rPr>
                <w:rFonts w:ascii="Arial" w:hAnsi="Arial" w:cs="Arial"/>
                <w:lang w:val="en-US"/>
              </w:rPr>
            </w:pPr>
            <w:r w:rsidRPr="003A323A">
              <w:rPr>
                <w:rFonts w:ascii="Arial" w:hAnsi="Arial" w:cs="Arial"/>
                <w:lang w:val="en-US"/>
              </w:rPr>
              <w:t>Clone</w:t>
            </w:r>
          </w:p>
        </w:tc>
        <w:tc>
          <w:tcPr>
            <w:tcW w:w="950" w:type="dxa"/>
          </w:tcPr>
          <w:p w14:paraId="73CB23B3" w14:textId="77777777" w:rsidR="000E2C48" w:rsidRPr="003A323A" w:rsidRDefault="000E2C48" w:rsidP="00F81A57">
            <w:pPr>
              <w:jc w:val="both"/>
              <w:rPr>
                <w:rFonts w:ascii="Arial" w:hAnsi="Arial" w:cs="Arial"/>
                <w:lang w:val="en-US"/>
              </w:rPr>
            </w:pPr>
            <w:r w:rsidRPr="003A323A">
              <w:rPr>
                <w:rFonts w:ascii="Arial" w:hAnsi="Arial" w:cs="Arial"/>
                <w:lang w:val="en-US"/>
              </w:rPr>
              <w:t>Dilution factor</w:t>
            </w:r>
          </w:p>
        </w:tc>
      </w:tr>
      <w:tr w:rsidR="000E2C48" w:rsidRPr="00582247" w14:paraId="36955643" w14:textId="77777777" w:rsidTr="00F81A57">
        <w:tc>
          <w:tcPr>
            <w:tcW w:w="2830" w:type="dxa"/>
          </w:tcPr>
          <w:p w14:paraId="610CB86D" w14:textId="77777777" w:rsidR="000E2C48" w:rsidRPr="003A323A" w:rsidRDefault="000E2C48" w:rsidP="00F81A57">
            <w:pPr>
              <w:jc w:val="both"/>
              <w:rPr>
                <w:rFonts w:ascii="Arial" w:hAnsi="Arial" w:cs="Arial"/>
                <w:lang w:val="en-US"/>
              </w:rPr>
            </w:pPr>
            <w:r w:rsidRPr="003A323A">
              <w:rPr>
                <w:rFonts w:ascii="Arial" w:hAnsi="Arial" w:cs="Arial"/>
                <w:lang w:val="en-US"/>
              </w:rPr>
              <w:t>Mouse CD45</w:t>
            </w:r>
          </w:p>
        </w:tc>
        <w:tc>
          <w:tcPr>
            <w:tcW w:w="2410" w:type="dxa"/>
          </w:tcPr>
          <w:p w14:paraId="400C0976" w14:textId="77777777" w:rsidR="000E2C48" w:rsidRPr="003A323A" w:rsidRDefault="000E2C48" w:rsidP="00F81A57">
            <w:pPr>
              <w:jc w:val="both"/>
              <w:rPr>
                <w:rFonts w:ascii="Arial" w:hAnsi="Arial" w:cs="Arial"/>
                <w:lang w:val="en-US"/>
              </w:rPr>
            </w:pPr>
            <w:proofErr w:type="spellStart"/>
            <w:r w:rsidRPr="003A323A">
              <w:rPr>
                <w:rFonts w:ascii="Arial" w:hAnsi="Arial" w:cs="Arial"/>
                <w:lang w:val="en-US"/>
              </w:rPr>
              <w:t>PerCP</w:t>
            </w:r>
            <w:proofErr w:type="spellEnd"/>
            <w:r w:rsidRPr="003A323A">
              <w:rPr>
                <w:rFonts w:ascii="Arial" w:hAnsi="Arial" w:cs="Arial"/>
                <w:lang w:val="en-US"/>
              </w:rPr>
              <w:t>/Cyanine5.5</w:t>
            </w:r>
          </w:p>
        </w:tc>
        <w:tc>
          <w:tcPr>
            <w:tcW w:w="2835" w:type="dxa"/>
          </w:tcPr>
          <w:p w14:paraId="28D3C1DF" w14:textId="77777777" w:rsidR="000E2C48" w:rsidRPr="003A323A" w:rsidRDefault="000E2C48" w:rsidP="00F81A57">
            <w:pPr>
              <w:jc w:val="both"/>
              <w:rPr>
                <w:rFonts w:ascii="Arial" w:hAnsi="Arial" w:cs="Arial"/>
                <w:lang w:val="en-US"/>
              </w:rPr>
            </w:pPr>
            <w:r w:rsidRPr="003A323A">
              <w:rPr>
                <w:rFonts w:ascii="Arial" w:hAnsi="Arial" w:cs="Arial"/>
                <w:lang w:val="en-US"/>
              </w:rPr>
              <w:t>30-F11 (</w:t>
            </w:r>
            <w:proofErr w:type="spellStart"/>
            <w:r w:rsidRPr="003A323A">
              <w:rPr>
                <w:rFonts w:ascii="Arial" w:hAnsi="Arial" w:cs="Arial"/>
                <w:lang w:val="en-US"/>
              </w:rPr>
              <w:t>Biolegend</w:t>
            </w:r>
            <w:proofErr w:type="spellEnd"/>
            <w:r w:rsidRPr="003A323A">
              <w:rPr>
                <w:rFonts w:ascii="Arial" w:hAnsi="Arial" w:cs="Arial"/>
                <w:lang w:val="en-US"/>
              </w:rPr>
              <w:t>)</w:t>
            </w:r>
          </w:p>
        </w:tc>
        <w:tc>
          <w:tcPr>
            <w:tcW w:w="950" w:type="dxa"/>
          </w:tcPr>
          <w:p w14:paraId="5EC13EDC" w14:textId="77777777" w:rsidR="000E2C48" w:rsidRPr="003A323A" w:rsidRDefault="000E2C48" w:rsidP="00F81A57">
            <w:pPr>
              <w:jc w:val="both"/>
              <w:rPr>
                <w:rFonts w:ascii="Arial" w:hAnsi="Arial" w:cs="Arial"/>
                <w:lang w:val="en-US"/>
              </w:rPr>
            </w:pPr>
            <w:r w:rsidRPr="003A323A">
              <w:rPr>
                <w:rFonts w:ascii="Arial" w:hAnsi="Arial" w:cs="Arial"/>
                <w:lang w:val="en-US"/>
              </w:rPr>
              <w:t>1:100</w:t>
            </w:r>
          </w:p>
        </w:tc>
      </w:tr>
      <w:tr w:rsidR="000E2C48" w:rsidRPr="00582247" w14:paraId="139E2E68" w14:textId="77777777" w:rsidTr="00F81A57">
        <w:tc>
          <w:tcPr>
            <w:tcW w:w="2830" w:type="dxa"/>
          </w:tcPr>
          <w:p w14:paraId="1A1B281A" w14:textId="77777777" w:rsidR="000E2C48" w:rsidRPr="003A323A" w:rsidRDefault="000E2C48" w:rsidP="00F81A57">
            <w:pPr>
              <w:jc w:val="both"/>
              <w:rPr>
                <w:rFonts w:ascii="Arial" w:hAnsi="Arial" w:cs="Arial"/>
                <w:lang w:val="en-US"/>
              </w:rPr>
            </w:pPr>
            <w:r w:rsidRPr="003A323A">
              <w:rPr>
                <w:rFonts w:ascii="Arial" w:hAnsi="Arial" w:cs="Arial"/>
                <w:lang w:val="en-US"/>
              </w:rPr>
              <w:t>Mouse CD3e</w:t>
            </w:r>
          </w:p>
        </w:tc>
        <w:tc>
          <w:tcPr>
            <w:tcW w:w="2410" w:type="dxa"/>
          </w:tcPr>
          <w:p w14:paraId="1EDE262B" w14:textId="77777777" w:rsidR="000E2C48" w:rsidRPr="003A323A" w:rsidRDefault="000E2C48" w:rsidP="00F81A57">
            <w:pPr>
              <w:jc w:val="both"/>
              <w:rPr>
                <w:rFonts w:ascii="Arial" w:hAnsi="Arial" w:cs="Arial"/>
                <w:lang w:val="en-US"/>
              </w:rPr>
            </w:pPr>
            <w:r w:rsidRPr="003A323A">
              <w:rPr>
                <w:rFonts w:ascii="Arial" w:hAnsi="Arial" w:cs="Arial"/>
                <w:lang w:val="en-US"/>
              </w:rPr>
              <w:t>PE</w:t>
            </w:r>
          </w:p>
        </w:tc>
        <w:tc>
          <w:tcPr>
            <w:tcW w:w="2835" w:type="dxa"/>
          </w:tcPr>
          <w:p w14:paraId="4B6B065A" w14:textId="77777777" w:rsidR="000E2C48" w:rsidRPr="003A323A" w:rsidRDefault="000E2C48" w:rsidP="00F81A57">
            <w:pPr>
              <w:jc w:val="both"/>
              <w:rPr>
                <w:rFonts w:ascii="Arial" w:hAnsi="Arial" w:cs="Arial"/>
                <w:lang w:val="en-US"/>
              </w:rPr>
            </w:pPr>
            <w:r w:rsidRPr="003A323A">
              <w:rPr>
                <w:rFonts w:ascii="Arial" w:hAnsi="Arial" w:cs="Arial"/>
                <w:lang w:val="en-US"/>
              </w:rPr>
              <w:t>145-2C11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63DF9684" w14:textId="77777777" w:rsidR="000E2C48" w:rsidRPr="003A323A" w:rsidRDefault="000E2C48" w:rsidP="00F81A57">
            <w:pPr>
              <w:jc w:val="both"/>
              <w:rPr>
                <w:rFonts w:ascii="Arial" w:hAnsi="Arial" w:cs="Arial"/>
                <w:lang w:val="en-US"/>
              </w:rPr>
            </w:pPr>
            <w:r w:rsidRPr="003A323A">
              <w:rPr>
                <w:rFonts w:ascii="Arial" w:hAnsi="Arial" w:cs="Arial"/>
                <w:lang w:val="en-US"/>
              </w:rPr>
              <w:t>1:100</w:t>
            </w:r>
          </w:p>
        </w:tc>
      </w:tr>
      <w:tr w:rsidR="000E2C48" w:rsidRPr="00582247" w14:paraId="72F76ED7" w14:textId="77777777" w:rsidTr="00F81A57">
        <w:tc>
          <w:tcPr>
            <w:tcW w:w="2830" w:type="dxa"/>
          </w:tcPr>
          <w:p w14:paraId="36670733" w14:textId="77777777" w:rsidR="000E2C48" w:rsidRPr="003A323A" w:rsidRDefault="000E2C48" w:rsidP="00F81A57">
            <w:pPr>
              <w:jc w:val="both"/>
              <w:rPr>
                <w:rFonts w:ascii="Arial" w:hAnsi="Arial" w:cs="Arial"/>
                <w:lang w:val="en-US"/>
              </w:rPr>
            </w:pPr>
            <w:r w:rsidRPr="003A323A">
              <w:rPr>
                <w:rFonts w:ascii="Arial" w:hAnsi="Arial" w:cs="Arial"/>
                <w:lang w:val="en-US"/>
              </w:rPr>
              <w:t>Mouse CD19</w:t>
            </w:r>
          </w:p>
        </w:tc>
        <w:tc>
          <w:tcPr>
            <w:tcW w:w="2410" w:type="dxa"/>
          </w:tcPr>
          <w:p w14:paraId="298C0AF1" w14:textId="77777777" w:rsidR="000E2C48" w:rsidRPr="003A323A" w:rsidRDefault="000E2C48" w:rsidP="00F81A57">
            <w:pPr>
              <w:jc w:val="both"/>
              <w:rPr>
                <w:rFonts w:ascii="Arial" w:hAnsi="Arial" w:cs="Arial"/>
                <w:lang w:val="en-US"/>
              </w:rPr>
            </w:pPr>
            <w:r w:rsidRPr="003A323A">
              <w:rPr>
                <w:rFonts w:ascii="Arial" w:hAnsi="Arial" w:cs="Arial"/>
                <w:lang w:val="en-US"/>
              </w:rPr>
              <w:t>PE-Cyanine7</w:t>
            </w:r>
          </w:p>
        </w:tc>
        <w:tc>
          <w:tcPr>
            <w:tcW w:w="2835" w:type="dxa"/>
          </w:tcPr>
          <w:p w14:paraId="7C8C8A1A" w14:textId="77777777" w:rsidR="000E2C48" w:rsidRPr="003A323A" w:rsidRDefault="000E2C48" w:rsidP="00F81A57">
            <w:pPr>
              <w:jc w:val="both"/>
              <w:rPr>
                <w:rFonts w:ascii="Arial" w:hAnsi="Arial" w:cs="Arial"/>
                <w:lang w:val="en-US"/>
              </w:rPr>
            </w:pPr>
            <w:r w:rsidRPr="003A323A">
              <w:rPr>
                <w:rFonts w:ascii="Arial" w:hAnsi="Arial" w:cs="Arial"/>
                <w:lang w:val="en-US"/>
              </w:rPr>
              <w:t>eBio1D3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369AFD62" w14:textId="77777777" w:rsidR="000E2C48" w:rsidRPr="003A323A" w:rsidRDefault="000E2C48" w:rsidP="00F81A57">
            <w:pPr>
              <w:jc w:val="both"/>
              <w:rPr>
                <w:rFonts w:ascii="Arial" w:hAnsi="Arial" w:cs="Arial"/>
                <w:lang w:val="en-US"/>
              </w:rPr>
            </w:pPr>
            <w:r w:rsidRPr="003A323A">
              <w:rPr>
                <w:rFonts w:ascii="Arial" w:hAnsi="Arial" w:cs="Arial"/>
                <w:lang w:val="en-US"/>
              </w:rPr>
              <w:t>1:50</w:t>
            </w:r>
          </w:p>
        </w:tc>
      </w:tr>
      <w:tr w:rsidR="000E2C48" w:rsidRPr="00582247" w14:paraId="71B5F883" w14:textId="77777777" w:rsidTr="00F81A57">
        <w:tc>
          <w:tcPr>
            <w:tcW w:w="2830" w:type="dxa"/>
          </w:tcPr>
          <w:p w14:paraId="196430EF" w14:textId="77777777" w:rsidR="000E2C48" w:rsidRPr="003A323A" w:rsidRDefault="000E2C48" w:rsidP="00F81A57">
            <w:pPr>
              <w:jc w:val="both"/>
              <w:rPr>
                <w:rFonts w:ascii="Arial" w:hAnsi="Arial" w:cs="Arial"/>
                <w:lang w:val="en-US"/>
              </w:rPr>
            </w:pPr>
            <w:r w:rsidRPr="003A323A">
              <w:rPr>
                <w:rFonts w:ascii="Arial" w:hAnsi="Arial" w:cs="Arial"/>
                <w:lang w:val="en-US"/>
              </w:rPr>
              <w:t>Mouse CD11b</w:t>
            </w:r>
          </w:p>
        </w:tc>
        <w:tc>
          <w:tcPr>
            <w:tcW w:w="2410" w:type="dxa"/>
          </w:tcPr>
          <w:p w14:paraId="33B5F9FF" w14:textId="77777777" w:rsidR="000E2C48" w:rsidRPr="003A323A" w:rsidRDefault="000E2C48" w:rsidP="00F81A57">
            <w:pPr>
              <w:jc w:val="both"/>
              <w:rPr>
                <w:rFonts w:ascii="Arial" w:hAnsi="Arial" w:cs="Arial"/>
                <w:lang w:val="en-US"/>
              </w:rPr>
            </w:pPr>
            <w:r w:rsidRPr="003A323A">
              <w:rPr>
                <w:rFonts w:ascii="Arial" w:hAnsi="Arial" w:cs="Arial"/>
                <w:lang w:val="en-US"/>
              </w:rPr>
              <w:t>APC-</w:t>
            </w:r>
            <w:proofErr w:type="spellStart"/>
            <w:r w:rsidRPr="003A323A">
              <w:rPr>
                <w:rFonts w:ascii="Arial" w:hAnsi="Arial" w:cs="Arial"/>
                <w:lang w:val="en-US"/>
              </w:rPr>
              <w:t>eFluor</w:t>
            </w:r>
            <w:proofErr w:type="spellEnd"/>
            <w:r w:rsidRPr="003A323A">
              <w:rPr>
                <w:rFonts w:ascii="Arial" w:hAnsi="Arial" w:cs="Arial"/>
                <w:lang w:val="en-US"/>
              </w:rPr>
              <w:t xml:space="preserve"> 780</w:t>
            </w:r>
          </w:p>
        </w:tc>
        <w:tc>
          <w:tcPr>
            <w:tcW w:w="2835" w:type="dxa"/>
          </w:tcPr>
          <w:p w14:paraId="674475D0" w14:textId="77777777" w:rsidR="000E2C48" w:rsidRPr="003A323A" w:rsidRDefault="000E2C48" w:rsidP="00F81A57">
            <w:pPr>
              <w:jc w:val="both"/>
              <w:rPr>
                <w:rFonts w:ascii="Arial" w:hAnsi="Arial" w:cs="Arial"/>
                <w:lang w:val="en-US"/>
              </w:rPr>
            </w:pPr>
            <w:r w:rsidRPr="003A323A">
              <w:rPr>
                <w:rFonts w:ascii="Arial" w:hAnsi="Arial" w:cs="Arial"/>
                <w:lang w:val="en-US"/>
              </w:rPr>
              <w:t>M1/70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4868A605" w14:textId="77777777" w:rsidR="000E2C48" w:rsidRPr="003A323A" w:rsidRDefault="000E2C48" w:rsidP="00F81A57">
            <w:pPr>
              <w:jc w:val="both"/>
              <w:rPr>
                <w:rFonts w:ascii="Arial" w:hAnsi="Arial" w:cs="Arial"/>
                <w:lang w:val="en-US"/>
              </w:rPr>
            </w:pPr>
            <w:r w:rsidRPr="003A323A">
              <w:rPr>
                <w:rFonts w:ascii="Arial" w:hAnsi="Arial" w:cs="Arial"/>
                <w:lang w:val="en-US"/>
              </w:rPr>
              <w:t>1:500</w:t>
            </w:r>
          </w:p>
        </w:tc>
      </w:tr>
      <w:tr w:rsidR="000E2C48" w:rsidRPr="00582247" w14:paraId="68893372" w14:textId="77777777" w:rsidTr="00F81A57">
        <w:tc>
          <w:tcPr>
            <w:tcW w:w="2830" w:type="dxa"/>
          </w:tcPr>
          <w:p w14:paraId="6D0BAC9A" w14:textId="77777777" w:rsidR="000E2C48" w:rsidRPr="003A323A" w:rsidRDefault="000E2C48" w:rsidP="00F81A57">
            <w:pPr>
              <w:jc w:val="both"/>
              <w:rPr>
                <w:rFonts w:ascii="Arial" w:hAnsi="Arial" w:cs="Arial"/>
                <w:lang w:val="en-US"/>
              </w:rPr>
            </w:pPr>
            <w:r w:rsidRPr="003A323A">
              <w:rPr>
                <w:rFonts w:ascii="Arial" w:hAnsi="Arial" w:cs="Arial"/>
                <w:lang w:val="en-US"/>
              </w:rPr>
              <w:t>Mouse CD11b</w:t>
            </w:r>
          </w:p>
        </w:tc>
        <w:tc>
          <w:tcPr>
            <w:tcW w:w="2410" w:type="dxa"/>
          </w:tcPr>
          <w:p w14:paraId="73E98940" w14:textId="77777777" w:rsidR="000E2C48" w:rsidRPr="003A323A" w:rsidRDefault="000E2C48" w:rsidP="00F81A57">
            <w:pPr>
              <w:jc w:val="both"/>
              <w:rPr>
                <w:rFonts w:ascii="Arial" w:hAnsi="Arial" w:cs="Arial"/>
                <w:lang w:val="en-US"/>
              </w:rPr>
            </w:pPr>
            <w:r w:rsidRPr="003A323A">
              <w:rPr>
                <w:rFonts w:ascii="Arial" w:hAnsi="Arial" w:cs="Arial"/>
                <w:lang w:val="en-US"/>
              </w:rPr>
              <w:t>PE-Cyanine5</w:t>
            </w:r>
          </w:p>
        </w:tc>
        <w:tc>
          <w:tcPr>
            <w:tcW w:w="2835" w:type="dxa"/>
          </w:tcPr>
          <w:p w14:paraId="61435F73" w14:textId="77777777" w:rsidR="000E2C48" w:rsidRPr="003A323A" w:rsidRDefault="000E2C48" w:rsidP="00F81A57">
            <w:pPr>
              <w:jc w:val="both"/>
              <w:rPr>
                <w:rFonts w:ascii="Arial" w:hAnsi="Arial" w:cs="Arial"/>
                <w:lang w:val="en-US"/>
              </w:rPr>
            </w:pPr>
            <w:r w:rsidRPr="003A323A">
              <w:rPr>
                <w:rFonts w:ascii="Arial" w:hAnsi="Arial" w:cs="Arial"/>
                <w:lang w:val="en-US"/>
              </w:rPr>
              <w:t>M1/70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70B19AB6" w14:textId="77777777" w:rsidR="000E2C48" w:rsidRPr="003A323A" w:rsidRDefault="000E2C48" w:rsidP="00F81A57">
            <w:pPr>
              <w:jc w:val="both"/>
              <w:rPr>
                <w:rFonts w:ascii="Arial" w:hAnsi="Arial" w:cs="Arial"/>
                <w:lang w:val="en-US"/>
              </w:rPr>
            </w:pPr>
            <w:r w:rsidRPr="003A323A">
              <w:rPr>
                <w:rFonts w:ascii="Arial" w:hAnsi="Arial" w:cs="Arial"/>
                <w:lang w:val="en-US"/>
              </w:rPr>
              <w:t>1:500</w:t>
            </w:r>
          </w:p>
        </w:tc>
      </w:tr>
      <w:tr w:rsidR="000E2C48" w:rsidRPr="00582247" w14:paraId="0B54D686" w14:textId="77777777" w:rsidTr="00F81A57">
        <w:tc>
          <w:tcPr>
            <w:tcW w:w="2830" w:type="dxa"/>
          </w:tcPr>
          <w:p w14:paraId="72879C04" w14:textId="77777777" w:rsidR="000E2C48" w:rsidRPr="003A323A" w:rsidRDefault="000E2C48" w:rsidP="00F81A57">
            <w:pPr>
              <w:jc w:val="both"/>
              <w:rPr>
                <w:rFonts w:ascii="Arial" w:hAnsi="Arial" w:cs="Arial"/>
                <w:lang w:val="en-US"/>
              </w:rPr>
            </w:pPr>
            <w:r w:rsidRPr="003A323A">
              <w:rPr>
                <w:rFonts w:ascii="Arial" w:hAnsi="Arial" w:cs="Arial"/>
                <w:lang w:val="en-US"/>
              </w:rPr>
              <w:t>Mouse F4/80</w:t>
            </w:r>
          </w:p>
        </w:tc>
        <w:tc>
          <w:tcPr>
            <w:tcW w:w="2410" w:type="dxa"/>
          </w:tcPr>
          <w:p w14:paraId="57792C1B" w14:textId="77777777" w:rsidR="000E2C48" w:rsidRPr="003A323A" w:rsidRDefault="000E2C48" w:rsidP="00F81A57">
            <w:pPr>
              <w:jc w:val="both"/>
              <w:rPr>
                <w:rFonts w:ascii="Arial" w:hAnsi="Arial" w:cs="Arial"/>
                <w:lang w:val="en-US"/>
              </w:rPr>
            </w:pPr>
            <w:r w:rsidRPr="003A323A">
              <w:rPr>
                <w:rFonts w:ascii="Arial" w:hAnsi="Arial" w:cs="Arial"/>
                <w:lang w:val="en-US"/>
              </w:rPr>
              <w:t>APC-</w:t>
            </w:r>
            <w:proofErr w:type="spellStart"/>
            <w:r w:rsidRPr="003A323A">
              <w:rPr>
                <w:rFonts w:ascii="Arial" w:hAnsi="Arial" w:cs="Arial"/>
                <w:lang w:val="en-US"/>
              </w:rPr>
              <w:t>eFluor</w:t>
            </w:r>
            <w:proofErr w:type="spellEnd"/>
            <w:r w:rsidRPr="003A323A">
              <w:rPr>
                <w:rFonts w:ascii="Arial" w:hAnsi="Arial" w:cs="Arial"/>
                <w:lang w:val="en-US"/>
              </w:rPr>
              <w:t xml:space="preserve"> 780</w:t>
            </w:r>
          </w:p>
        </w:tc>
        <w:tc>
          <w:tcPr>
            <w:tcW w:w="2835" w:type="dxa"/>
          </w:tcPr>
          <w:p w14:paraId="5E9DDBF4" w14:textId="77777777" w:rsidR="000E2C48" w:rsidRPr="003A323A" w:rsidRDefault="000E2C48" w:rsidP="00F81A57">
            <w:pPr>
              <w:jc w:val="both"/>
              <w:rPr>
                <w:rFonts w:ascii="Arial" w:hAnsi="Arial" w:cs="Arial"/>
                <w:lang w:val="en-US"/>
              </w:rPr>
            </w:pPr>
            <w:r w:rsidRPr="003A323A">
              <w:rPr>
                <w:rFonts w:ascii="Arial" w:hAnsi="Arial" w:cs="Arial"/>
                <w:lang w:val="en-US"/>
              </w:rPr>
              <w:t>BM8 (Invitrogen)</w:t>
            </w:r>
          </w:p>
        </w:tc>
        <w:tc>
          <w:tcPr>
            <w:tcW w:w="950" w:type="dxa"/>
          </w:tcPr>
          <w:p w14:paraId="690BF8CE" w14:textId="77777777" w:rsidR="000E2C48" w:rsidRPr="003A323A" w:rsidRDefault="000E2C48" w:rsidP="00F81A57">
            <w:pPr>
              <w:jc w:val="both"/>
              <w:rPr>
                <w:rFonts w:ascii="Arial" w:hAnsi="Arial" w:cs="Arial"/>
                <w:lang w:val="en-US"/>
              </w:rPr>
            </w:pPr>
            <w:r w:rsidRPr="003A323A">
              <w:rPr>
                <w:rFonts w:ascii="Arial" w:hAnsi="Arial" w:cs="Arial"/>
                <w:lang w:val="en-US"/>
              </w:rPr>
              <w:t>1:100</w:t>
            </w:r>
          </w:p>
        </w:tc>
      </w:tr>
      <w:tr w:rsidR="000E2C48" w:rsidRPr="00582247" w14:paraId="75DE93F0" w14:textId="77777777" w:rsidTr="00F81A57">
        <w:tc>
          <w:tcPr>
            <w:tcW w:w="2830" w:type="dxa"/>
          </w:tcPr>
          <w:p w14:paraId="50B6846E" w14:textId="77777777" w:rsidR="000E2C48" w:rsidRPr="00582247" w:rsidRDefault="000E2C48" w:rsidP="00F81A57">
            <w:pPr>
              <w:jc w:val="both"/>
              <w:rPr>
                <w:rFonts w:ascii="Arial" w:hAnsi="Arial" w:cs="Arial"/>
                <w:lang w:val="en-US"/>
              </w:rPr>
            </w:pPr>
            <w:r w:rsidRPr="00582247">
              <w:rPr>
                <w:rFonts w:ascii="Arial" w:hAnsi="Arial" w:cs="Arial"/>
                <w:lang w:val="en-US"/>
              </w:rPr>
              <w:t>Mouse Ly-6G/Ly-6C</w:t>
            </w:r>
          </w:p>
        </w:tc>
        <w:tc>
          <w:tcPr>
            <w:tcW w:w="2410" w:type="dxa"/>
          </w:tcPr>
          <w:p w14:paraId="0503612E" w14:textId="77777777" w:rsidR="000E2C48" w:rsidRPr="00582247" w:rsidRDefault="000E2C48" w:rsidP="00F81A57">
            <w:pPr>
              <w:jc w:val="both"/>
              <w:rPr>
                <w:rFonts w:ascii="Arial" w:hAnsi="Arial" w:cs="Arial"/>
                <w:lang w:val="en-US"/>
              </w:rPr>
            </w:pPr>
            <w:r w:rsidRPr="00582247">
              <w:rPr>
                <w:rFonts w:ascii="Arial" w:hAnsi="Arial" w:cs="Arial"/>
                <w:lang w:val="en-US"/>
              </w:rPr>
              <w:t>APC</w:t>
            </w:r>
          </w:p>
        </w:tc>
        <w:tc>
          <w:tcPr>
            <w:tcW w:w="2835" w:type="dxa"/>
          </w:tcPr>
          <w:p w14:paraId="6DB3E6CB"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RB6-8C5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29A9E5B8"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3E8AE412" w14:textId="77777777" w:rsidTr="00F81A57">
        <w:tc>
          <w:tcPr>
            <w:tcW w:w="2830" w:type="dxa"/>
          </w:tcPr>
          <w:p w14:paraId="76DE650E" w14:textId="77777777" w:rsidR="000E2C48" w:rsidRPr="00582247" w:rsidRDefault="000E2C48" w:rsidP="00F81A57">
            <w:pPr>
              <w:jc w:val="both"/>
              <w:rPr>
                <w:rFonts w:ascii="Arial" w:hAnsi="Arial" w:cs="Arial"/>
                <w:lang w:val="en-US"/>
              </w:rPr>
            </w:pPr>
            <w:r w:rsidRPr="00582247">
              <w:rPr>
                <w:rFonts w:ascii="Arial" w:hAnsi="Arial" w:cs="Arial"/>
                <w:lang w:val="en-US"/>
              </w:rPr>
              <w:t>Mouse CD8a</w:t>
            </w:r>
          </w:p>
        </w:tc>
        <w:tc>
          <w:tcPr>
            <w:tcW w:w="2410" w:type="dxa"/>
          </w:tcPr>
          <w:p w14:paraId="4CD7C87D" w14:textId="77777777" w:rsidR="000E2C48" w:rsidRPr="00582247" w:rsidRDefault="000E2C48" w:rsidP="00F81A57">
            <w:pPr>
              <w:jc w:val="both"/>
              <w:rPr>
                <w:rFonts w:ascii="Arial" w:hAnsi="Arial" w:cs="Arial"/>
                <w:lang w:val="en-US"/>
              </w:rPr>
            </w:pPr>
            <w:r w:rsidRPr="00582247">
              <w:rPr>
                <w:rFonts w:ascii="Arial" w:hAnsi="Arial" w:cs="Arial"/>
                <w:lang w:val="en-US"/>
              </w:rPr>
              <w:t>PE-Cyanine5</w:t>
            </w:r>
          </w:p>
        </w:tc>
        <w:tc>
          <w:tcPr>
            <w:tcW w:w="2835" w:type="dxa"/>
          </w:tcPr>
          <w:p w14:paraId="0D334DBD"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53-6.7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0439F579"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0ECCD881" w14:textId="77777777" w:rsidTr="00F81A57">
        <w:tc>
          <w:tcPr>
            <w:tcW w:w="2830" w:type="dxa"/>
          </w:tcPr>
          <w:p w14:paraId="715C5A75" w14:textId="77777777" w:rsidR="000E2C48" w:rsidRPr="00582247" w:rsidRDefault="000E2C48" w:rsidP="00F81A57">
            <w:pPr>
              <w:jc w:val="both"/>
              <w:rPr>
                <w:rFonts w:ascii="Arial" w:hAnsi="Arial" w:cs="Arial"/>
                <w:lang w:val="en-US"/>
              </w:rPr>
            </w:pPr>
            <w:r w:rsidRPr="00582247">
              <w:rPr>
                <w:rFonts w:ascii="Arial" w:hAnsi="Arial" w:cs="Arial"/>
                <w:lang w:val="en-US"/>
              </w:rPr>
              <w:t>Mouse CD4</w:t>
            </w:r>
          </w:p>
        </w:tc>
        <w:tc>
          <w:tcPr>
            <w:tcW w:w="2410" w:type="dxa"/>
          </w:tcPr>
          <w:p w14:paraId="7F072520" w14:textId="77777777" w:rsidR="000E2C48" w:rsidRPr="00582247" w:rsidRDefault="000E2C48" w:rsidP="00F81A57">
            <w:pPr>
              <w:jc w:val="both"/>
              <w:rPr>
                <w:rFonts w:ascii="Arial" w:hAnsi="Arial" w:cs="Arial"/>
                <w:lang w:val="en-US"/>
              </w:rPr>
            </w:pPr>
            <w:r w:rsidRPr="00582247">
              <w:rPr>
                <w:rFonts w:ascii="Arial" w:hAnsi="Arial" w:cs="Arial"/>
                <w:lang w:val="en-US"/>
              </w:rPr>
              <w:t>APC</w:t>
            </w:r>
          </w:p>
        </w:tc>
        <w:tc>
          <w:tcPr>
            <w:tcW w:w="2835" w:type="dxa"/>
          </w:tcPr>
          <w:p w14:paraId="502828BF"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GK1.5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2FB0056C"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1CAE4F90" w14:textId="77777777" w:rsidTr="00F81A57">
        <w:tc>
          <w:tcPr>
            <w:tcW w:w="2830" w:type="dxa"/>
          </w:tcPr>
          <w:p w14:paraId="639A7F4A" w14:textId="77777777" w:rsidR="000E2C48" w:rsidRPr="00582247" w:rsidRDefault="000E2C48" w:rsidP="00F81A57">
            <w:pPr>
              <w:jc w:val="both"/>
              <w:rPr>
                <w:rFonts w:ascii="Arial" w:hAnsi="Arial" w:cs="Arial"/>
                <w:lang w:val="en-US"/>
              </w:rPr>
            </w:pPr>
            <w:r w:rsidRPr="00582247">
              <w:rPr>
                <w:rFonts w:ascii="Arial" w:hAnsi="Arial" w:cs="Arial"/>
                <w:lang w:val="en-US"/>
              </w:rPr>
              <w:t>Mouse CD45R (B220)*</w:t>
            </w:r>
          </w:p>
        </w:tc>
        <w:tc>
          <w:tcPr>
            <w:tcW w:w="2410" w:type="dxa"/>
          </w:tcPr>
          <w:p w14:paraId="39121D17"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06F2C1B8"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RA3-6B2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29FE5276"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3ABA7880" w14:textId="77777777" w:rsidTr="00F81A57">
        <w:tc>
          <w:tcPr>
            <w:tcW w:w="2830" w:type="dxa"/>
          </w:tcPr>
          <w:p w14:paraId="662F00DB" w14:textId="77777777" w:rsidR="000E2C48" w:rsidRPr="00582247" w:rsidRDefault="000E2C48" w:rsidP="00F81A57">
            <w:pPr>
              <w:jc w:val="both"/>
              <w:rPr>
                <w:rFonts w:ascii="Arial" w:hAnsi="Arial" w:cs="Arial"/>
                <w:lang w:val="en-US"/>
              </w:rPr>
            </w:pPr>
            <w:r w:rsidRPr="003A323A">
              <w:rPr>
                <w:rFonts w:ascii="Arial" w:hAnsi="Arial" w:cs="Arial"/>
                <w:lang w:val="en-US"/>
              </w:rPr>
              <w:t>Mouse CD11b*</w:t>
            </w:r>
          </w:p>
        </w:tc>
        <w:tc>
          <w:tcPr>
            <w:tcW w:w="2410" w:type="dxa"/>
          </w:tcPr>
          <w:p w14:paraId="3440BE95"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32DC189F" w14:textId="77777777" w:rsidR="000E2C48" w:rsidRPr="00582247" w:rsidRDefault="000E2C48" w:rsidP="00F81A57">
            <w:pPr>
              <w:jc w:val="both"/>
              <w:rPr>
                <w:rFonts w:ascii="Arial" w:hAnsi="Arial" w:cs="Arial"/>
                <w:lang w:val="en-US"/>
              </w:rPr>
            </w:pPr>
            <w:r w:rsidRPr="003A323A">
              <w:rPr>
                <w:rFonts w:ascii="Arial" w:hAnsi="Arial" w:cs="Arial"/>
                <w:lang w:val="en-US"/>
              </w:rPr>
              <w:t>M1/70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40A951F8"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28B06BD2" w14:textId="77777777" w:rsidTr="00F81A57">
        <w:tc>
          <w:tcPr>
            <w:tcW w:w="2830" w:type="dxa"/>
          </w:tcPr>
          <w:p w14:paraId="1EADA570" w14:textId="77777777" w:rsidR="000E2C48" w:rsidRPr="00582247" w:rsidRDefault="000E2C48" w:rsidP="00F81A57">
            <w:pPr>
              <w:jc w:val="both"/>
              <w:rPr>
                <w:rFonts w:ascii="Arial" w:hAnsi="Arial" w:cs="Arial"/>
                <w:lang w:val="en-US"/>
              </w:rPr>
            </w:pPr>
            <w:r w:rsidRPr="003A323A">
              <w:rPr>
                <w:rFonts w:ascii="Arial" w:hAnsi="Arial" w:cs="Arial"/>
                <w:lang w:val="en-US"/>
              </w:rPr>
              <w:t>Mouse CD3e*</w:t>
            </w:r>
          </w:p>
        </w:tc>
        <w:tc>
          <w:tcPr>
            <w:tcW w:w="2410" w:type="dxa"/>
          </w:tcPr>
          <w:p w14:paraId="06B0727D"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3A24CCC0" w14:textId="77777777" w:rsidR="000E2C48" w:rsidRPr="00582247" w:rsidRDefault="000E2C48" w:rsidP="00F81A57">
            <w:pPr>
              <w:jc w:val="both"/>
              <w:rPr>
                <w:rFonts w:ascii="Arial" w:hAnsi="Arial" w:cs="Arial"/>
                <w:lang w:val="en-US"/>
              </w:rPr>
            </w:pPr>
            <w:r w:rsidRPr="00582247">
              <w:rPr>
                <w:rFonts w:ascii="Arial" w:hAnsi="Arial" w:cs="Arial"/>
                <w:lang w:val="en-US"/>
              </w:rPr>
              <w:t>145-2C11 (</w:t>
            </w:r>
            <w:proofErr w:type="spellStart"/>
            <w:r w:rsidRPr="00582247">
              <w:rPr>
                <w:rFonts w:ascii="Arial" w:hAnsi="Arial" w:cs="Arial"/>
                <w:lang w:val="en-US"/>
              </w:rPr>
              <w:t>eBioscience</w:t>
            </w:r>
            <w:proofErr w:type="spellEnd"/>
            <w:r w:rsidRPr="00582247">
              <w:rPr>
                <w:rFonts w:ascii="Arial" w:hAnsi="Arial" w:cs="Arial"/>
                <w:lang w:val="en-US"/>
              </w:rPr>
              <w:t>)</w:t>
            </w:r>
          </w:p>
        </w:tc>
        <w:tc>
          <w:tcPr>
            <w:tcW w:w="950" w:type="dxa"/>
          </w:tcPr>
          <w:p w14:paraId="30CFA317"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4A78978F" w14:textId="77777777" w:rsidTr="00F81A57">
        <w:tc>
          <w:tcPr>
            <w:tcW w:w="2830" w:type="dxa"/>
          </w:tcPr>
          <w:p w14:paraId="13250F30" w14:textId="77777777" w:rsidR="000E2C48" w:rsidRPr="00582247" w:rsidRDefault="000E2C48" w:rsidP="00F81A57">
            <w:pPr>
              <w:jc w:val="both"/>
              <w:rPr>
                <w:rFonts w:ascii="Arial" w:hAnsi="Arial" w:cs="Arial"/>
                <w:lang w:val="en-US"/>
              </w:rPr>
            </w:pPr>
            <w:r w:rsidRPr="00582247">
              <w:rPr>
                <w:rFonts w:ascii="Arial" w:hAnsi="Arial" w:cs="Arial"/>
                <w:lang w:val="en-US"/>
              </w:rPr>
              <w:t>Mouse CD8a*</w:t>
            </w:r>
          </w:p>
        </w:tc>
        <w:tc>
          <w:tcPr>
            <w:tcW w:w="2410" w:type="dxa"/>
          </w:tcPr>
          <w:p w14:paraId="0FC46B3F"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7D531C4F"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53-6.7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78720D63"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45B430B4" w14:textId="77777777" w:rsidTr="00F81A57">
        <w:tc>
          <w:tcPr>
            <w:tcW w:w="2830" w:type="dxa"/>
          </w:tcPr>
          <w:p w14:paraId="0F5B27E3" w14:textId="77777777" w:rsidR="000E2C48" w:rsidRPr="00582247" w:rsidRDefault="000E2C48" w:rsidP="00F81A57">
            <w:pPr>
              <w:jc w:val="both"/>
              <w:rPr>
                <w:rFonts w:ascii="Arial" w:hAnsi="Arial" w:cs="Arial"/>
                <w:lang w:val="en-US"/>
              </w:rPr>
            </w:pPr>
            <w:r w:rsidRPr="00582247">
              <w:rPr>
                <w:rFonts w:ascii="Arial" w:hAnsi="Arial" w:cs="Arial"/>
                <w:lang w:val="en-US"/>
              </w:rPr>
              <w:t>Mouse Ly-6G/Ly-6C*</w:t>
            </w:r>
          </w:p>
        </w:tc>
        <w:tc>
          <w:tcPr>
            <w:tcW w:w="2410" w:type="dxa"/>
          </w:tcPr>
          <w:p w14:paraId="3715E843"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5E7C200A"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RB6-8C5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5AE60755"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60D691B6" w14:textId="77777777" w:rsidTr="00F81A57">
        <w:tc>
          <w:tcPr>
            <w:tcW w:w="2830" w:type="dxa"/>
          </w:tcPr>
          <w:p w14:paraId="2CBD47A7" w14:textId="77777777" w:rsidR="000E2C48" w:rsidRPr="00582247" w:rsidRDefault="000E2C48" w:rsidP="00F81A57">
            <w:pPr>
              <w:jc w:val="both"/>
              <w:rPr>
                <w:rFonts w:ascii="Arial" w:hAnsi="Arial" w:cs="Arial"/>
                <w:lang w:val="en-US"/>
              </w:rPr>
            </w:pPr>
            <w:r w:rsidRPr="00582247">
              <w:rPr>
                <w:rFonts w:ascii="Arial" w:hAnsi="Arial" w:cs="Arial"/>
                <w:lang w:val="en-US"/>
              </w:rPr>
              <w:t>Mouse CD4*</w:t>
            </w:r>
          </w:p>
        </w:tc>
        <w:tc>
          <w:tcPr>
            <w:tcW w:w="2410" w:type="dxa"/>
          </w:tcPr>
          <w:p w14:paraId="74729879"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6B504CBF"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GK1.5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029D1FB8"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59CEC1B0" w14:textId="77777777" w:rsidTr="00F81A57">
        <w:tc>
          <w:tcPr>
            <w:tcW w:w="2830" w:type="dxa"/>
          </w:tcPr>
          <w:p w14:paraId="22A0D1FB" w14:textId="77777777" w:rsidR="000E2C48" w:rsidRPr="00582247" w:rsidRDefault="000E2C48" w:rsidP="00F81A57">
            <w:pPr>
              <w:jc w:val="both"/>
              <w:rPr>
                <w:rFonts w:ascii="Arial" w:hAnsi="Arial" w:cs="Arial"/>
                <w:lang w:val="en-US"/>
              </w:rPr>
            </w:pPr>
            <w:r w:rsidRPr="00582247">
              <w:rPr>
                <w:rFonts w:ascii="Arial" w:hAnsi="Arial" w:cs="Arial"/>
                <w:lang w:val="en-US"/>
              </w:rPr>
              <w:t>Mouse Ter119*</w:t>
            </w:r>
          </w:p>
        </w:tc>
        <w:tc>
          <w:tcPr>
            <w:tcW w:w="2410" w:type="dxa"/>
          </w:tcPr>
          <w:p w14:paraId="0EA45304"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51118935" w14:textId="77777777" w:rsidR="000E2C48" w:rsidRPr="00582247" w:rsidRDefault="000E2C48" w:rsidP="00F81A57">
            <w:pPr>
              <w:jc w:val="both"/>
              <w:rPr>
                <w:rFonts w:ascii="Arial" w:hAnsi="Arial" w:cs="Arial"/>
                <w:lang w:val="en-US"/>
              </w:rPr>
            </w:pPr>
            <w:r w:rsidRPr="00582247">
              <w:rPr>
                <w:rFonts w:ascii="Arial" w:hAnsi="Arial" w:cs="Arial"/>
                <w:lang w:val="en-US"/>
              </w:rPr>
              <w:t>TER-119 (</w:t>
            </w:r>
            <w:proofErr w:type="spellStart"/>
            <w:r w:rsidRPr="00582247">
              <w:rPr>
                <w:rFonts w:ascii="Arial" w:hAnsi="Arial" w:cs="Arial"/>
                <w:lang w:val="en-US"/>
              </w:rPr>
              <w:t>Biolegend</w:t>
            </w:r>
            <w:proofErr w:type="spellEnd"/>
            <w:r w:rsidRPr="00582247">
              <w:rPr>
                <w:rFonts w:ascii="Arial" w:hAnsi="Arial" w:cs="Arial"/>
                <w:lang w:val="en-US"/>
              </w:rPr>
              <w:t>)</w:t>
            </w:r>
          </w:p>
        </w:tc>
        <w:tc>
          <w:tcPr>
            <w:tcW w:w="950" w:type="dxa"/>
          </w:tcPr>
          <w:p w14:paraId="28C99E68"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2BD241DA" w14:textId="77777777" w:rsidTr="00F81A57">
        <w:tc>
          <w:tcPr>
            <w:tcW w:w="2830" w:type="dxa"/>
          </w:tcPr>
          <w:p w14:paraId="6BE968D5" w14:textId="77777777" w:rsidR="000E2C48" w:rsidRPr="00582247" w:rsidRDefault="000E2C48" w:rsidP="00F81A57">
            <w:pPr>
              <w:jc w:val="both"/>
              <w:rPr>
                <w:rFonts w:ascii="Arial" w:hAnsi="Arial" w:cs="Arial"/>
                <w:lang w:val="en-US"/>
              </w:rPr>
            </w:pPr>
            <w:r w:rsidRPr="00582247">
              <w:rPr>
                <w:rFonts w:ascii="Arial" w:hAnsi="Arial" w:cs="Arial"/>
                <w:lang w:val="en-US"/>
              </w:rPr>
              <w:t>Mouse NK1.1*</w:t>
            </w:r>
          </w:p>
        </w:tc>
        <w:tc>
          <w:tcPr>
            <w:tcW w:w="2410" w:type="dxa"/>
          </w:tcPr>
          <w:p w14:paraId="7467A2CB"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46DD49D8" w14:textId="77777777" w:rsidR="000E2C48" w:rsidRPr="00582247" w:rsidRDefault="000E2C48" w:rsidP="00F81A57">
            <w:pPr>
              <w:jc w:val="both"/>
              <w:rPr>
                <w:rFonts w:ascii="Arial" w:hAnsi="Arial" w:cs="Arial"/>
                <w:lang w:val="en-US"/>
              </w:rPr>
            </w:pPr>
            <w:r w:rsidRPr="00582247">
              <w:rPr>
                <w:rFonts w:ascii="Arial" w:hAnsi="Arial" w:cs="Arial"/>
                <w:lang w:val="en-US"/>
              </w:rPr>
              <w:t xml:space="preserve">PK136 </w:t>
            </w:r>
            <w:r w:rsidRPr="003A323A">
              <w:rPr>
                <w:rFonts w:ascii="Arial" w:hAnsi="Arial" w:cs="Arial"/>
                <w:lang w:val="en-US"/>
              </w:rPr>
              <w:t>(</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3266C64D" w14:textId="77777777" w:rsidR="000E2C48" w:rsidRPr="00582247" w:rsidRDefault="000E2C48" w:rsidP="00F81A57">
            <w:pPr>
              <w:jc w:val="both"/>
              <w:rPr>
                <w:rFonts w:ascii="Arial" w:hAnsi="Arial" w:cs="Arial"/>
                <w:lang w:val="en-US"/>
              </w:rPr>
            </w:pPr>
            <w:r w:rsidRPr="00582247">
              <w:rPr>
                <w:rFonts w:ascii="Arial" w:hAnsi="Arial" w:cs="Arial"/>
                <w:lang w:val="en-US"/>
              </w:rPr>
              <w:t>1:500</w:t>
            </w:r>
          </w:p>
        </w:tc>
      </w:tr>
      <w:tr w:rsidR="000E2C48" w:rsidRPr="00582247" w14:paraId="1170C7A6" w14:textId="77777777" w:rsidTr="00F81A57">
        <w:tc>
          <w:tcPr>
            <w:tcW w:w="2830" w:type="dxa"/>
          </w:tcPr>
          <w:p w14:paraId="3C3525C8"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410" w:type="dxa"/>
          </w:tcPr>
          <w:p w14:paraId="5DF73E79" w14:textId="77777777" w:rsidR="000E2C48" w:rsidRPr="00582247" w:rsidRDefault="000E2C48" w:rsidP="00F81A57">
            <w:pPr>
              <w:jc w:val="both"/>
              <w:rPr>
                <w:rFonts w:ascii="Arial" w:hAnsi="Arial" w:cs="Arial"/>
                <w:lang w:val="en-US"/>
              </w:rPr>
            </w:pPr>
            <w:proofErr w:type="spellStart"/>
            <w:r w:rsidRPr="00582247">
              <w:rPr>
                <w:rFonts w:ascii="Arial" w:hAnsi="Arial" w:cs="Arial"/>
                <w:lang w:val="en-US"/>
              </w:rPr>
              <w:t>Qdot</w:t>
            </w:r>
            <w:proofErr w:type="spellEnd"/>
            <w:r w:rsidRPr="00582247">
              <w:rPr>
                <w:rFonts w:ascii="Arial" w:hAnsi="Arial" w:cs="Arial"/>
                <w:lang w:val="en-US"/>
              </w:rPr>
              <w:t xml:space="preserve"> 605 Streptavidin</w:t>
            </w:r>
          </w:p>
        </w:tc>
        <w:tc>
          <w:tcPr>
            <w:tcW w:w="2835" w:type="dxa"/>
          </w:tcPr>
          <w:p w14:paraId="71249979" w14:textId="77777777" w:rsidR="000E2C48" w:rsidRPr="00582247" w:rsidRDefault="000E2C48" w:rsidP="00F81A57">
            <w:pPr>
              <w:jc w:val="both"/>
              <w:rPr>
                <w:rFonts w:ascii="Arial" w:hAnsi="Arial" w:cs="Arial"/>
                <w:lang w:val="en-US"/>
              </w:rPr>
            </w:pPr>
            <w:r w:rsidRPr="00582247">
              <w:rPr>
                <w:rFonts w:ascii="Arial" w:hAnsi="Arial" w:cs="Arial"/>
                <w:lang w:val="en-US"/>
              </w:rPr>
              <w:t>Invitrogen</w:t>
            </w:r>
          </w:p>
        </w:tc>
        <w:tc>
          <w:tcPr>
            <w:tcW w:w="950" w:type="dxa"/>
          </w:tcPr>
          <w:p w14:paraId="242097EB" w14:textId="77777777" w:rsidR="000E2C48" w:rsidRPr="00582247" w:rsidRDefault="000E2C48" w:rsidP="00F81A57">
            <w:pPr>
              <w:jc w:val="both"/>
              <w:rPr>
                <w:rFonts w:ascii="Arial" w:hAnsi="Arial" w:cs="Arial"/>
                <w:lang w:val="en-US"/>
              </w:rPr>
            </w:pPr>
            <w:r w:rsidRPr="00582247">
              <w:rPr>
                <w:rFonts w:ascii="Arial" w:hAnsi="Arial" w:cs="Arial"/>
                <w:lang w:val="en-US"/>
              </w:rPr>
              <w:t>1:250</w:t>
            </w:r>
          </w:p>
        </w:tc>
      </w:tr>
      <w:tr w:rsidR="000E2C48" w:rsidRPr="00582247" w14:paraId="3022C0A8" w14:textId="77777777" w:rsidTr="00F81A57">
        <w:tc>
          <w:tcPr>
            <w:tcW w:w="2830" w:type="dxa"/>
          </w:tcPr>
          <w:p w14:paraId="2EA7E467" w14:textId="77777777" w:rsidR="000E2C48" w:rsidRPr="00582247" w:rsidRDefault="000E2C48" w:rsidP="00F81A57">
            <w:pPr>
              <w:jc w:val="both"/>
              <w:rPr>
                <w:rFonts w:ascii="Arial" w:hAnsi="Arial" w:cs="Arial"/>
                <w:lang w:val="en-US"/>
              </w:rPr>
            </w:pPr>
            <w:r w:rsidRPr="00582247">
              <w:rPr>
                <w:rFonts w:ascii="Arial" w:hAnsi="Arial" w:cs="Arial"/>
                <w:lang w:val="en-US"/>
              </w:rPr>
              <w:t>Mouse CD117 (c-Kit)</w:t>
            </w:r>
          </w:p>
        </w:tc>
        <w:tc>
          <w:tcPr>
            <w:tcW w:w="2410" w:type="dxa"/>
          </w:tcPr>
          <w:p w14:paraId="79F206A0" w14:textId="77777777" w:rsidR="000E2C48" w:rsidRPr="00582247" w:rsidRDefault="000E2C48" w:rsidP="00F81A57">
            <w:pPr>
              <w:jc w:val="both"/>
              <w:rPr>
                <w:rFonts w:ascii="Arial" w:hAnsi="Arial" w:cs="Arial"/>
                <w:lang w:val="en-US"/>
              </w:rPr>
            </w:pPr>
            <w:r w:rsidRPr="003A323A">
              <w:rPr>
                <w:rFonts w:ascii="Arial" w:hAnsi="Arial" w:cs="Arial"/>
                <w:lang w:val="en-US"/>
              </w:rPr>
              <w:t>PE-Cyanine7</w:t>
            </w:r>
          </w:p>
        </w:tc>
        <w:tc>
          <w:tcPr>
            <w:tcW w:w="2835" w:type="dxa"/>
          </w:tcPr>
          <w:p w14:paraId="54F525B4" w14:textId="77777777" w:rsidR="000E2C48" w:rsidRPr="00582247" w:rsidRDefault="000E2C48" w:rsidP="00F81A57">
            <w:pPr>
              <w:jc w:val="both"/>
              <w:rPr>
                <w:rFonts w:ascii="Arial" w:hAnsi="Arial" w:cs="Arial"/>
                <w:lang w:val="en-US"/>
              </w:rPr>
            </w:pPr>
            <w:r w:rsidRPr="00582247">
              <w:rPr>
                <w:rFonts w:ascii="Arial" w:hAnsi="Arial" w:cs="Arial"/>
                <w:lang w:val="en-US"/>
              </w:rPr>
              <w:t>2B8 (</w:t>
            </w:r>
            <w:proofErr w:type="spellStart"/>
            <w:r w:rsidRPr="003A323A">
              <w:rPr>
                <w:rFonts w:ascii="Arial" w:hAnsi="Arial" w:cs="Arial"/>
                <w:lang w:val="en-US"/>
              </w:rPr>
              <w:t>eBioscience</w:t>
            </w:r>
            <w:proofErr w:type="spellEnd"/>
            <w:r w:rsidRPr="003A323A">
              <w:rPr>
                <w:rFonts w:ascii="Arial" w:hAnsi="Arial" w:cs="Arial"/>
                <w:lang w:val="en-US"/>
              </w:rPr>
              <w:t>)</w:t>
            </w:r>
          </w:p>
        </w:tc>
        <w:tc>
          <w:tcPr>
            <w:tcW w:w="950" w:type="dxa"/>
          </w:tcPr>
          <w:p w14:paraId="5BB454B6" w14:textId="77777777" w:rsidR="000E2C48" w:rsidRPr="00582247" w:rsidRDefault="000E2C48" w:rsidP="00F81A57">
            <w:pPr>
              <w:jc w:val="both"/>
              <w:rPr>
                <w:rFonts w:ascii="Arial" w:hAnsi="Arial" w:cs="Arial"/>
                <w:lang w:val="en-US"/>
              </w:rPr>
            </w:pPr>
            <w:r w:rsidRPr="00582247">
              <w:rPr>
                <w:rFonts w:ascii="Arial" w:hAnsi="Arial" w:cs="Arial"/>
                <w:lang w:val="en-US"/>
              </w:rPr>
              <w:t>1:200</w:t>
            </w:r>
          </w:p>
        </w:tc>
      </w:tr>
      <w:tr w:rsidR="000E2C48" w:rsidRPr="00582247" w14:paraId="5459C3FD" w14:textId="77777777" w:rsidTr="00F81A57">
        <w:tc>
          <w:tcPr>
            <w:tcW w:w="2830" w:type="dxa"/>
          </w:tcPr>
          <w:p w14:paraId="4045AE25" w14:textId="77777777" w:rsidR="000E2C48" w:rsidRPr="00582247" w:rsidRDefault="000E2C48" w:rsidP="00F81A57">
            <w:pPr>
              <w:jc w:val="both"/>
              <w:rPr>
                <w:rFonts w:ascii="Arial" w:hAnsi="Arial" w:cs="Arial"/>
                <w:lang w:val="en-US"/>
              </w:rPr>
            </w:pPr>
            <w:r w:rsidRPr="00582247">
              <w:rPr>
                <w:rFonts w:ascii="Arial" w:hAnsi="Arial" w:cs="Arial"/>
                <w:lang w:val="en-US"/>
              </w:rPr>
              <w:t>Mouse Ly-6A/E (Sca-1)</w:t>
            </w:r>
          </w:p>
        </w:tc>
        <w:tc>
          <w:tcPr>
            <w:tcW w:w="2410" w:type="dxa"/>
          </w:tcPr>
          <w:p w14:paraId="4C36955C" w14:textId="77777777" w:rsidR="000E2C48" w:rsidRPr="00582247" w:rsidRDefault="000E2C48" w:rsidP="00F81A57">
            <w:pPr>
              <w:jc w:val="both"/>
              <w:rPr>
                <w:rFonts w:ascii="Arial" w:hAnsi="Arial" w:cs="Arial"/>
                <w:lang w:val="en-US"/>
              </w:rPr>
            </w:pPr>
            <w:r w:rsidRPr="00582247">
              <w:rPr>
                <w:rFonts w:ascii="Arial" w:hAnsi="Arial" w:cs="Arial"/>
                <w:lang w:val="en-US"/>
              </w:rPr>
              <w:t>APC-Cyanine7</w:t>
            </w:r>
          </w:p>
        </w:tc>
        <w:tc>
          <w:tcPr>
            <w:tcW w:w="2835" w:type="dxa"/>
          </w:tcPr>
          <w:p w14:paraId="650CD50B" w14:textId="77777777" w:rsidR="000E2C48" w:rsidRPr="00582247" w:rsidRDefault="000E2C48" w:rsidP="00F81A57">
            <w:pPr>
              <w:jc w:val="both"/>
              <w:rPr>
                <w:rFonts w:ascii="Arial" w:hAnsi="Arial" w:cs="Arial"/>
                <w:lang w:val="en-US"/>
              </w:rPr>
            </w:pPr>
            <w:r w:rsidRPr="00582247">
              <w:rPr>
                <w:rFonts w:ascii="Arial" w:hAnsi="Arial" w:cs="Arial"/>
                <w:lang w:val="en-US"/>
              </w:rPr>
              <w:t>D7 (</w:t>
            </w:r>
            <w:proofErr w:type="spellStart"/>
            <w:r w:rsidRPr="00582247">
              <w:rPr>
                <w:rFonts w:ascii="Arial" w:hAnsi="Arial" w:cs="Arial"/>
                <w:lang w:val="en-US"/>
              </w:rPr>
              <w:t>Biolegend</w:t>
            </w:r>
            <w:proofErr w:type="spellEnd"/>
            <w:r w:rsidRPr="00582247">
              <w:rPr>
                <w:rFonts w:ascii="Arial" w:hAnsi="Arial" w:cs="Arial"/>
                <w:lang w:val="en-US"/>
              </w:rPr>
              <w:t>)</w:t>
            </w:r>
          </w:p>
        </w:tc>
        <w:tc>
          <w:tcPr>
            <w:tcW w:w="950" w:type="dxa"/>
          </w:tcPr>
          <w:p w14:paraId="3855F30B"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1EC44E2E" w14:textId="77777777" w:rsidTr="00F81A57">
        <w:tc>
          <w:tcPr>
            <w:tcW w:w="2830" w:type="dxa"/>
          </w:tcPr>
          <w:p w14:paraId="12C09655" w14:textId="77777777" w:rsidR="000E2C48" w:rsidRPr="00582247" w:rsidRDefault="000E2C48" w:rsidP="00F81A57">
            <w:pPr>
              <w:jc w:val="both"/>
              <w:rPr>
                <w:rFonts w:ascii="Arial" w:hAnsi="Arial" w:cs="Arial"/>
                <w:lang w:val="en-US"/>
              </w:rPr>
            </w:pPr>
            <w:r w:rsidRPr="00582247">
              <w:rPr>
                <w:rFonts w:ascii="Arial" w:hAnsi="Arial" w:cs="Arial"/>
                <w:lang w:val="en-US"/>
              </w:rPr>
              <w:t>Mouse CD16/32</w:t>
            </w:r>
          </w:p>
        </w:tc>
        <w:tc>
          <w:tcPr>
            <w:tcW w:w="2410" w:type="dxa"/>
          </w:tcPr>
          <w:p w14:paraId="0153F10E" w14:textId="77777777" w:rsidR="000E2C48" w:rsidRPr="00582247" w:rsidRDefault="000E2C48" w:rsidP="00F81A57">
            <w:pPr>
              <w:jc w:val="both"/>
              <w:rPr>
                <w:rFonts w:ascii="Arial" w:hAnsi="Arial" w:cs="Arial"/>
                <w:lang w:val="en-US"/>
              </w:rPr>
            </w:pPr>
            <w:r w:rsidRPr="00582247">
              <w:rPr>
                <w:rFonts w:ascii="Arial" w:hAnsi="Arial" w:cs="Arial"/>
                <w:lang w:val="en-US"/>
              </w:rPr>
              <w:t>Brilliant Violet 711</w:t>
            </w:r>
          </w:p>
        </w:tc>
        <w:tc>
          <w:tcPr>
            <w:tcW w:w="2835" w:type="dxa"/>
          </w:tcPr>
          <w:p w14:paraId="0C536614" w14:textId="77777777" w:rsidR="000E2C48" w:rsidRPr="00582247" w:rsidRDefault="000E2C48" w:rsidP="00F81A57">
            <w:pPr>
              <w:jc w:val="both"/>
              <w:rPr>
                <w:rFonts w:ascii="Arial" w:hAnsi="Arial" w:cs="Arial"/>
                <w:lang w:val="en-US"/>
              </w:rPr>
            </w:pPr>
            <w:r w:rsidRPr="00582247">
              <w:rPr>
                <w:rFonts w:ascii="Arial" w:hAnsi="Arial" w:cs="Arial"/>
                <w:lang w:val="en-US"/>
              </w:rPr>
              <w:t>93 (</w:t>
            </w:r>
            <w:proofErr w:type="spellStart"/>
            <w:r w:rsidRPr="00582247">
              <w:rPr>
                <w:rFonts w:ascii="Arial" w:hAnsi="Arial" w:cs="Arial"/>
                <w:lang w:val="en-US"/>
              </w:rPr>
              <w:t>Biolegend</w:t>
            </w:r>
            <w:proofErr w:type="spellEnd"/>
            <w:r w:rsidRPr="00582247">
              <w:rPr>
                <w:rFonts w:ascii="Arial" w:hAnsi="Arial" w:cs="Arial"/>
                <w:lang w:val="en-US"/>
              </w:rPr>
              <w:t>)</w:t>
            </w:r>
          </w:p>
        </w:tc>
        <w:tc>
          <w:tcPr>
            <w:tcW w:w="950" w:type="dxa"/>
          </w:tcPr>
          <w:p w14:paraId="767FC563" w14:textId="77777777" w:rsidR="000E2C48" w:rsidRPr="00582247" w:rsidRDefault="000E2C48" w:rsidP="00F81A57">
            <w:pPr>
              <w:jc w:val="both"/>
              <w:rPr>
                <w:rFonts w:ascii="Arial" w:hAnsi="Arial" w:cs="Arial"/>
                <w:lang w:val="en-US"/>
              </w:rPr>
            </w:pPr>
            <w:r w:rsidRPr="00582247">
              <w:rPr>
                <w:rFonts w:ascii="Arial" w:hAnsi="Arial" w:cs="Arial"/>
                <w:lang w:val="en-US"/>
              </w:rPr>
              <w:t>1:50</w:t>
            </w:r>
          </w:p>
        </w:tc>
      </w:tr>
      <w:tr w:rsidR="000E2C48" w:rsidRPr="00582247" w14:paraId="2DD221FC" w14:textId="77777777" w:rsidTr="00F81A57">
        <w:tc>
          <w:tcPr>
            <w:tcW w:w="2830" w:type="dxa"/>
          </w:tcPr>
          <w:p w14:paraId="6BF80975" w14:textId="77777777" w:rsidR="000E2C48" w:rsidRPr="00582247" w:rsidRDefault="000E2C48" w:rsidP="00F81A57">
            <w:pPr>
              <w:jc w:val="both"/>
              <w:rPr>
                <w:rFonts w:ascii="Arial" w:hAnsi="Arial" w:cs="Arial"/>
                <w:lang w:val="en-US"/>
              </w:rPr>
            </w:pPr>
            <w:r w:rsidRPr="00582247">
              <w:rPr>
                <w:rFonts w:ascii="Arial" w:hAnsi="Arial" w:cs="Arial"/>
                <w:lang w:val="en-US"/>
              </w:rPr>
              <w:t>Mouse CD34</w:t>
            </w:r>
          </w:p>
        </w:tc>
        <w:tc>
          <w:tcPr>
            <w:tcW w:w="2410" w:type="dxa"/>
          </w:tcPr>
          <w:p w14:paraId="258FCA09" w14:textId="77777777" w:rsidR="000E2C48" w:rsidRPr="00582247" w:rsidRDefault="000E2C48" w:rsidP="00F81A57">
            <w:pPr>
              <w:jc w:val="both"/>
              <w:rPr>
                <w:rFonts w:ascii="Arial" w:hAnsi="Arial" w:cs="Arial"/>
                <w:lang w:val="en-US"/>
              </w:rPr>
            </w:pPr>
            <w:proofErr w:type="spellStart"/>
            <w:r w:rsidRPr="00582247">
              <w:rPr>
                <w:rFonts w:ascii="Arial" w:hAnsi="Arial" w:cs="Arial"/>
                <w:lang w:val="en-US"/>
              </w:rPr>
              <w:t>eFluor</w:t>
            </w:r>
            <w:proofErr w:type="spellEnd"/>
            <w:r w:rsidRPr="00582247">
              <w:rPr>
                <w:rFonts w:ascii="Arial" w:hAnsi="Arial" w:cs="Arial"/>
                <w:lang w:val="en-US"/>
              </w:rPr>
              <w:t xml:space="preserve"> 660</w:t>
            </w:r>
          </w:p>
        </w:tc>
        <w:tc>
          <w:tcPr>
            <w:tcW w:w="2835" w:type="dxa"/>
          </w:tcPr>
          <w:p w14:paraId="184690EA" w14:textId="77777777" w:rsidR="000E2C48" w:rsidRPr="00582247" w:rsidRDefault="000E2C48" w:rsidP="00F81A57">
            <w:pPr>
              <w:jc w:val="both"/>
              <w:rPr>
                <w:rFonts w:ascii="Arial" w:hAnsi="Arial" w:cs="Arial"/>
                <w:lang w:val="en-US"/>
              </w:rPr>
            </w:pPr>
            <w:r w:rsidRPr="00582247">
              <w:rPr>
                <w:rFonts w:ascii="Arial" w:hAnsi="Arial" w:cs="Arial"/>
                <w:lang w:val="en-US"/>
              </w:rPr>
              <w:t>RAM34 (</w:t>
            </w:r>
            <w:proofErr w:type="spellStart"/>
            <w:r w:rsidRPr="00582247">
              <w:rPr>
                <w:rFonts w:ascii="Arial" w:hAnsi="Arial" w:cs="Arial"/>
                <w:lang w:val="en-US"/>
              </w:rPr>
              <w:t>eBioscience</w:t>
            </w:r>
            <w:proofErr w:type="spellEnd"/>
            <w:r w:rsidRPr="00582247">
              <w:rPr>
                <w:rFonts w:ascii="Arial" w:hAnsi="Arial" w:cs="Arial"/>
                <w:lang w:val="en-US"/>
              </w:rPr>
              <w:t>)</w:t>
            </w:r>
          </w:p>
        </w:tc>
        <w:tc>
          <w:tcPr>
            <w:tcW w:w="950" w:type="dxa"/>
          </w:tcPr>
          <w:p w14:paraId="66322C15" w14:textId="77777777" w:rsidR="000E2C48" w:rsidRPr="00582247" w:rsidRDefault="000E2C48" w:rsidP="00F81A57">
            <w:pPr>
              <w:jc w:val="both"/>
              <w:rPr>
                <w:rFonts w:ascii="Arial" w:hAnsi="Arial" w:cs="Arial"/>
                <w:lang w:val="en-US"/>
              </w:rPr>
            </w:pPr>
            <w:r w:rsidRPr="00582247">
              <w:rPr>
                <w:rFonts w:ascii="Arial" w:hAnsi="Arial" w:cs="Arial"/>
                <w:lang w:val="en-US"/>
              </w:rPr>
              <w:t>1:50</w:t>
            </w:r>
          </w:p>
        </w:tc>
      </w:tr>
      <w:tr w:rsidR="000E2C48" w:rsidRPr="00582247" w14:paraId="2C96A2E7" w14:textId="77777777" w:rsidTr="00F81A57">
        <w:tc>
          <w:tcPr>
            <w:tcW w:w="2830" w:type="dxa"/>
          </w:tcPr>
          <w:p w14:paraId="716E79CA" w14:textId="77777777" w:rsidR="000E2C48" w:rsidRPr="00582247" w:rsidRDefault="000E2C48" w:rsidP="00F81A57">
            <w:pPr>
              <w:jc w:val="both"/>
              <w:rPr>
                <w:rFonts w:ascii="Arial" w:hAnsi="Arial" w:cs="Arial"/>
                <w:lang w:val="en-US"/>
              </w:rPr>
            </w:pPr>
            <w:r w:rsidRPr="00582247">
              <w:rPr>
                <w:rFonts w:ascii="Arial" w:hAnsi="Arial" w:cs="Arial"/>
                <w:lang w:val="en-US"/>
              </w:rPr>
              <w:t>Mouse CD127</w:t>
            </w:r>
          </w:p>
        </w:tc>
        <w:tc>
          <w:tcPr>
            <w:tcW w:w="2410" w:type="dxa"/>
          </w:tcPr>
          <w:p w14:paraId="364331E5" w14:textId="77777777" w:rsidR="000E2C48" w:rsidRPr="00582247" w:rsidRDefault="000E2C48" w:rsidP="00F81A57">
            <w:pPr>
              <w:jc w:val="both"/>
              <w:rPr>
                <w:rFonts w:ascii="Arial" w:hAnsi="Arial" w:cs="Arial"/>
                <w:lang w:val="en-US"/>
              </w:rPr>
            </w:pPr>
            <w:r w:rsidRPr="00582247">
              <w:rPr>
                <w:rFonts w:ascii="Arial" w:hAnsi="Arial" w:cs="Arial"/>
                <w:lang w:val="en-US"/>
              </w:rPr>
              <w:t>PE-Cyanine5</w:t>
            </w:r>
          </w:p>
        </w:tc>
        <w:tc>
          <w:tcPr>
            <w:tcW w:w="2835" w:type="dxa"/>
          </w:tcPr>
          <w:p w14:paraId="4ADDED3E" w14:textId="77777777" w:rsidR="000E2C48" w:rsidRPr="00582247" w:rsidRDefault="000E2C48" w:rsidP="00F81A57">
            <w:pPr>
              <w:jc w:val="both"/>
              <w:rPr>
                <w:rFonts w:ascii="Arial" w:hAnsi="Arial" w:cs="Arial"/>
                <w:lang w:val="en-US"/>
              </w:rPr>
            </w:pPr>
            <w:r w:rsidRPr="00582247">
              <w:rPr>
                <w:rFonts w:ascii="Arial" w:hAnsi="Arial" w:cs="Arial"/>
                <w:lang w:val="en-US"/>
              </w:rPr>
              <w:t>A7R34 (</w:t>
            </w:r>
            <w:proofErr w:type="spellStart"/>
            <w:r w:rsidRPr="00582247">
              <w:rPr>
                <w:rFonts w:ascii="Arial" w:hAnsi="Arial" w:cs="Arial"/>
                <w:lang w:val="en-US"/>
              </w:rPr>
              <w:t>eBioscience</w:t>
            </w:r>
            <w:proofErr w:type="spellEnd"/>
            <w:r w:rsidRPr="00582247">
              <w:rPr>
                <w:rFonts w:ascii="Arial" w:hAnsi="Arial" w:cs="Arial"/>
                <w:lang w:val="en-US"/>
              </w:rPr>
              <w:t>)</w:t>
            </w:r>
          </w:p>
        </w:tc>
        <w:tc>
          <w:tcPr>
            <w:tcW w:w="950" w:type="dxa"/>
          </w:tcPr>
          <w:p w14:paraId="3EE32F34" w14:textId="77777777" w:rsidR="000E2C48" w:rsidRPr="00582247" w:rsidRDefault="000E2C48" w:rsidP="00F81A57">
            <w:pPr>
              <w:jc w:val="both"/>
              <w:rPr>
                <w:rFonts w:ascii="Arial" w:hAnsi="Arial" w:cs="Arial"/>
                <w:lang w:val="en-US"/>
              </w:rPr>
            </w:pPr>
            <w:r w:rsidRPr="00582247">
              <w:rPr>
                <w:rFonts w:ascii="Arial" w:hAnsi="Arial" w:cs="Arial"/>
                <w:lang w:val="en-US"/>
              </w:rPr>
              <w:t>1:50</w:t>
            </w:r>
          </w:p>
        </w:tc>
      </w:tr>
      <w:tr w:rsidR="000E2C48" w:rsidRPr="00582247" w14:paraId="10DEB923" w14:textId="77777777" w:rsidTr="00F81A57">
        <w:tc>
          <w:tcPr>
            <w:tcW w:w="2830" w:type="dxa"/>
          </w:tcPr>
          <w:p w14:paraId="29F4368F" w14:textId="77777777" w:rsidR="000E2C48" w:rsidRPr="00582247" w:rsidRDefault="000E2C48" w:rsidP="00F81A57">
            <w:pPr>
              <w:jc w:val="both"/>
              <w:rPr>
                <w:rFonts w:ascii="Arial" w:hAnsi="Arial" w:cs="Arial"/>
                <w:lang w:val="en-US"/>
              </w:rPr>
            </w:pPr>
            <w:r w:rsidRPr="00582247">
              <w:rPr>
                <w:rFonts w:ascii="Arial" w:hAnsi="Arial" w:cs="Arial"/>
                <w:lang w:val="en-US"/>
              </w:rPr>
              <w:t>Mouse CD71</w:t>
            </w:r>
          </w:p>
        </w:tc>
        <w:tc>
          <w:tcPr>
            <w:tcW w:w="2410" w:type="dxa"/>
          </w:tcPr>
          <w:p w14:paraId="18DDE019" w14:textId="77777777" w:rsidR="000E2C48" w:rsidRPr="00582247" w:rsidRDefault="000E2C48" w:rsidP="00F81A57">
            <w:pPr>
              <w:jc w:val="both"/>
              <w:rPr>
                <w:rFonts w:ascii="Arial" w:hAnsi="Arial" w:cs="Arial"/>
                <w:lang w:val="en-US"/>
              </w:rPr>
            </w:pPr>
            <w:r w:rsidRPr="00582247">
              <w:rPr>
                <w:rFonts w:ascii="Arial" w:hAnsi="Arial" w:cs="Arial"/>
                <w:lang w:val="en-US"/>
              </w:rPr>
              <w:t>PE</w:t>
            </w:r>
          </w:p>
        </w:tc>
        <w:tc>
          <w:tcPr>
            <w:tcW w:w="2835" w:type="dxa"/>
          </w:tcPr>
          <w:p w14:paraId="12EAD1E3" w14:textId="77777777" w:rsidR="000E2C48" w:rsidRPr="00582247" w:rsidRDefault="000E2C48" w:rsidP="00F81A57">
            <w:pPr>
              <w:jc w:val="both"/>
              <w:rPr>
                <w:rFonts w:ascii="Arial" w:hAnsi="Arial" w:cs="Arial"/>
                <w:lang w:val="en-US"/>
              </w:rPr>
            </w:pPr>
            <w:r w:rsidRPr="00582247">
              <w:rPr>
                <w:rFonts w:ascii="Arial" w:hAnsi="Arial" w:cs="Arial"/>
                <w:lang w:val="en-US"/>
              </w:rPr>
              <w:t>RI7217 (</w:t>
            </w:r>
            <w:proofErr w:type="spellStart"/>
            <w:r w:rsidRPr="00582247">
              <w:rPr>
                <w:rFonts w:ascii="Arial" w:hAnsi="Arial" w:cs="Arial"/>
                <w:lang w:val="en-US"/>
              </w:rPr>
              <w:t>Biolegend</w:t>
            </w:r>
            <w:proofErr w:type="spellEnd"/>
            <w:r w:rsidRPr="00582247">
              <w:rPr>
                <w:rFonts w:ascii="Arial" w:hAnsi="Arial" w:cs="Arial"/>
                <w:lang w:val="en-US"/>
              </w:rPr>
              <w:t>)</w:t>
            </w:r>
          </w:p>
        </w:tc>
        <w:tc>
          <w:tcPr>
            <w:tcW w:w="950" w:type="dxa"/>
          </w:tcPr>
          <w:p w14:paraId="5582AAC9"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69207FD4" w14:textId="77777777" w:rsidTr="00F81A57">
        <w:tc>
          <w:tcPr>
            <w:tcW w:w="2830" w:type="dxa"/>
          </w:tcPr>
          <w:p w14:paraId="4B713E91" w14:textId="77777777" w:rsidR="000E2C48" w:rsidRPr="00582247" w:rsidRDefault="000E2C48" w:rsidP="00F81A57">
            <w:pPr>
              <w:jc w:val="both"/>
              <w:rPr>
                <w:rFonts w:ascii="Arial" w:hAnsi="Arial" w:cs="Arial"/>
                <w:lang w:val="en-US"/>
              </w:rPr>
            </w:pPr>
            <w:r w:rsidRPr="00582247">
              <w:rPr>
                <w:rFonts w:ascii="Arial" w:hAnsi="Arial" w:cs="Arial"/>
                <w:lang w:val="en-US"/>
              </w:rPr>
              <w:t>Mouse CD135</w:t>
            </w:r>
          </w:p>
        </w:tc>
        <w:tc>
          <w:tcPr>
            <w:tcW w:w="2410" w:type="dxa"/>
          </w:tcPr>
          <w:p w14:paraId="527A2C1F" w14:textId="77777777" w:rsidR="000E2C48" w:rsidRPr="00582247" w:rsidRDefault="000E2C48" w:rsidP="00F81A57">
            <w:pPr>
              <w:jc w:val="both"/>
              <w:rPr>
                <w:rFonts w:ascii="Arial" w:hAnsi="Arial" w:cs="Arial"/>
                <w:lang w:val="en-US"/>
              </w:rPr>
            </w:pPr>
            <w:proofErr w:type="spellStart"/>
            <w:r w:rsidRPr="00582247">
              <w:rPr>
                <w:rFonts w:ascii="Arial" w:hAnsi="Arial" w:cs="Arial"/>
                <w:lang w:val="en-US"/>
              </w:rPr>
              <w:t>PerCP-eFluor</w:t>
            </w:r>
            <w:proofErr w:type="spellEnd"/>
            <w:r w:rsidRPr="00582247">
              <w:rPr>
                <w:rFonts w:ascii="Arial" w:hAnsi="Arial" w:cs="Arial"/>
                <w:lang w:val="en-US"/>
              </w:rPr>
              <w:t xml:space="preserve"> 710</w:t>
            </w:r>
          </w:p>
        </w:tc>
        <w:tc>
          <w:tcPr>
            <w:tcW w:w="2835" w:type="dxa"/>
          </w:tcPr>
          <w:p w14:paraId="33FB8D3C" w14:textId="77777777" w:rsidR="000E2C48" w:rsidRPr="00582247" w:rsidRDefault="000E2C48" w:rsidP="00F81A57">
            <w:pPr>
              <w:jc w:val="both"/>
              <w:rPr>
                <w:rFonts w:ascii="Arial" w:hAnsi="Arial" w:cs="Arial"/>
                <w:lang w:val="en-US"/>
              </w:rPr>
            </w:pPr>
            <w:r w:rsidRPr="00582247">
              <w:rPr>
                <w:rFonts w:ascii="Arial" w:hAnsi="Arial" w:cs="Arial"/>
                <w:lang w:val="en-US"/>
              </w:rPr>
              <w:t>A2F10 (Invitrogen)</w:t>
            </w:r>
          </w:p>
        </w:tc>
        <w:tc>
          <w:tcPr>
            <w:tcW w:w="950" w:type="dxa"/>
          </w:tcPr>
          <w:p w14:paraId="546606D2" w14:textId="77777777" w:rsidR="000E2C48" w:rsidRPr="00582247" w:rsidRDefault="000E2C48" w:rsidP="00F81A57">
            <w:pPr>
              <w:jc w:val="both"/>
              <w:rPr>
                <w:rFonts w:ascii="Arial" w:hAnsi="Arial" w:cs="Arial"/>
                <w:lang w:val="en-US"/>
              </w:rPr>
            </w:pPr>
            <w:r w:rsidRPr="00582247">
              <w:rPr>
                <w:rFonts w:ascii="Arial" w:hAnsi="Arial" w:cs="Arial"/>
                <w:lang w:val="en-US"/>
              </w:rPr>
              <w:t>1:50</w:t>
            </w:r>
          </w:p>
        </w:tc>
      </w:tr>
      <w:tr w:rsidR="000E2C48" w:rsidRPr="00582247" w14:paraId="645FC3EE" w14:textId="77777777" w:rsidTr="00F81A57">
        <w:tc>
          <w:tcPr>
            <w:tcW w:w="2830" w:type="dxa"/>
          </w:tcPr>
          <w:p w14:paraId="1ED4C42E" w14:textId="77777777" w:rsidR="000E2C48" w:rsidRPr="00582247" w:rsidRDefault="000E2C48" w:rsidP="00F81A57">
            <w:pPr>
              <w:jc w:val="both"/>
              <w:rPr>
                <w:rFonts w:ascii="Arial" w:hAnsi="Arial" w:cs="Arial"/>
                <w:lang w:val="en-US"/>
              </w:rPr>
            </w:pPr>
            <w:r w:rsidRPr="00582247">
              <w:rPr>
                <w:rFonts w:ascii="Arial" w:hAnsi="Arial" w:cs="Arial"/>
                <w:lang w:val="en-US"/>
              </w:rPr>
              <w:t>Mouse CD48</w:t>
            </w:r>
          </w:p>
        </w:tc>
        <w:tc>
          <w:tcPr>
            <w:tcW w:w="2410" w:type="dxa"/>
          </w:tcPr>
          <w:p w14:paraId="6376DC38" w14:textId="77777777" w:rsidR="000E2C48" w:rsidRPr="00582247" w:rsidRDefault="000E2C48" w:rsidP="00F81A57">
            <w:pPr>
              <w:jc w:val="both"/>
              <w:rPr>
                <w:rFonts w:ascii="Arial" w:hAnsi="Arial" w:cs="Arial"/>
                <w:lang w:val="en-US"/>
              </w:rPr>
            </w:pPr>
            <w:r w:rsidRPr="00582247">
              <w:rPr>
                <w:rFonts w:ascii="Arial" w:hAnsi="Arial" w:cs="Arial"/>
                <w:lang w:val="en-US"/>
              </w:rPr>
              <w:t>Alexa Fluor 700</w:t>
            </w:r>
          </w:p>
        </w:tc>
        <w:tc>
          <w:tcPr>
            <w:tcW w:w="2835" w:type="dxa"/>
          </w:tcPr>
          <w:p w14:paraId="61EB436F" w14:textId="77777777" w:rsidR="000E2C48" w:rsidRPr="00582247" w:rsidRDefault="000E2C48" w:rsidP="00F81A57">
            <w:pPr>
              <w:jc w:val="both"/>
              <w:rPr>
                <w:rFonts w:ascii="Arial" w:hAnsi="Arial" w:cs="Arial"/>
                <w:lang w:val="en-US"/>
              </w:rPr>
            </w:pPr>
            <w:r w:rsidRPr="00582247">
              <w:rPr>
                <w:rFonts w:ascii="Arial" w:hAnsi="Arial" w:cs="Arial"/>
                <w:lang w:val="en-US"/>
              </w:rPr>
              <w:t>HM48-1</w:t>
            </w:r>
          </w:p>
        </w:tc>
        <w:tc>
          <w:tcPr>
            <w:tcW w:w="950" w:type="dxa"/>
          </w:tcPr>
          <w:p w14:paraId="1986D32A" w14:textId="77777777" w:rsidR="000E2C48" w:rsidRPr="00582247" w:rsidRDefault="000E2C48" w:rsidP="00F81A57">
            <w:pPr>
              <w:jc w:val="both"/>
              <w:rPr>
                <w:rFonts w:ascii="Arial" w:hAnsi="Arial" w:cs="Arial"/>
                <w:lang w:val="en-US"/>
              </w:rPr>
            </w:pPr>
            <w:r w:rsidRPr="00582247">
              <w:rPr>
                <w:rFonts w:ascii="Arial" w:hAnsi="Arial" w:cs="Arial"/>
                <w:lang w:val="en-US"/>
              </w:rPr>
              <w:t>1:100</w:t>
            </w:r>
          </w:p>
        </w:tc>
      </w:tr>
      <w:tr w:rsidR="000E2C48" w:rsidRPr="00582247" w14:paraId="6261C758" w14:textId="77777777" w:rsidTr="00F81A57">
        <w:tc>
          <w:tcPr>
            <w:tcW w:w="2830" w:type="dxa"/>
          </w:tcPr>
          <w:p w14:paraId="48EC5ADA" w14:textId="77777777" w:rsidR="000E2C48" w:rsidRPr="00582247" w:rsidRDefault="000E2C48" w:rsidP="00F81A57">
            <w:pPr>
              <w:jc w:val="both"/>
              <w:rPr>
                <w:rFonts w:ascii="Arial" w:hAnsi="Arial" w:cs="Arial"/>
                <w:lang w:val="en-US"/>
              </w:rPr>
            </w:pPr>
            <w:r w:rsidRPr="00582247">
              <w:rPr>
                <w:rFonts w:ascii="Arial" w:hAnsi="Arial" w:cs="Arial"/>
                <w:lang w:val="en-US"/>
              </w:rPr>
              <w:t>Mouse CD150</w:t>
            </w:r>
          </w:p>
        </w:tc>
        <w:tc>
          <w:tcPr>
            <w:tcW w:w="2410" w:type="dxa"/>
          </w:tcPr>
          <w:p w14:paraId="2E662B6C" w14:textId="77777777" w:rsidR="000E2C48" w:rsidRPr="00582247" w:rsidRDefault="000E2C48" w:rsidP="00F81A57">
            <w:pPr>
              <w:jc w:val="both"/>
              <w:rPr>
                <w:rFonts w:ascii="Arial" w:hAnsi="Arial" w:cs="Arial"/>
                <w:lang w:val="en-US"/>
              </w:rPr>
            </w:pPr>
            <w:r w:rsidRPr="00582247">
              <w:rPr>
                <w:rFonts w:ascii="Arial" w:hAnsi="Arial" w:cs="Arial"/>
                <w:lang w:val="en-US"/>
              </w:rPr>
              <w:t>Brilliant Violet 785</w:t>
            </w:r>
          </w:p>
        </w:tc>
        <w:tc>
          <w:tcPr>
            <w:tcW w:w="2835" w:type="dxa"/>
          </w:tcPr>
          <w:p w14:paraId="209C99FD" w14:textId="77777777" w:rsidR="000E2C48" w:rsidRPr="00582247" w:rsidRDefault="000E2C48" w:rsidP="00F81A57">
            <w:pPr>
              <w:jc w:val="both"/>
              <w:rPr>
                <w:rFonts w:ascii="Arial" w:hAnsi="Arial" w:cs="Arial"/>
                <w:lang w:val="en-US"/>
              </w:rPr>
            </w:pPr>
            <w:r w:rsidRPr="00582247">
              <w:rPr>
                <w:rFonts w:ascii="Arial" w:hAnsi="Arial" w:cs="Arial"/>
                <w:lang w:val="en-US"/>
              </w:rPr>
              <w:t>TC15-12F12.2 (</w:t>
            </w:r>
            <w:proofErr w:type="spellStart"/>
            <w:r w:rsidRPr="00582247">
              <w:rPr>
                <w:rFonts w:ascii="Arial" w:hAnsi="Arial" w:cs="Arial"/>
                <w:lang w:val="en-US"/>
              </w:rPr>
              <w:t>Biolegend</w:t>
            </w:r>
            <w:proofErr w:type="spellEnd"/>
            <w:r w:rsidRPr="00582247">
              <w:rPr>
                <w:rFonts w:ascii="Arial" w:hAnsi="Arial" w:cs="Arial"/>
                <w:lang w:val="en-US"/>
              </w:rPr>
              <w:t>)</w:t>
            </w:r>
          </w:p>
        </w:tc>
        <w:tc>
          <w:tcPr>
            <w:tcW w:w="950" w:type="dxa"/>
          </w:tcPr>
          <w:p w14:paraId="32CC4AE3" w14:textId="77777777" w:rsidR="000E2C48" w:rsidRPr="00582247" w:rsidRDefault="000E2C48" w:rsidP="00F81A57">
            <w:pPr>
              <w:jc w:val="both"/>
              <w:rPr>
                <w:rFonts w:ascii="Arial" w:hAnsi="Arial" w:cs="Arial"/>
                <w:lang w:val="en-US"/>
              </w:rPr>
            </w:pPr>
            <w:r w:rsidRPr="00582247">
              <w:rPr>
                <w:rFonts w:ascii="Arial" w:hAnsi="Arial" w:cs="Arial"/>
                <w:lang w:val="en-US"/>
              </w:rPr>
              <w:t>1:50</w:t>
            </w:r>
          </w:p>
        </w:tc>
      </w:tr>
      <w:tr w:rsidR="000E2C48" w:rsidRPr="00582247" w14:paraId="53A4D67F" w14:textId="77777777" w:rsidTr="00F81A57">
        <w:tc>
          <w:tcPr>
            <w:tcW w:w="2830" w:type="dxa"/>
          </w:tcPr>
          <w:p w14:paraId="5C2975DA" w14:textId="77777777" w:rsidR="000E2C48" w:rsidRPr="00582247" w:rsidRDefault="000E2C48" w:rsidP="00F81A57">
            <w:pPr>
              <w:jc w:val="both"/>
              <w:rPr>
                <w:rFonts w:ascii="Arial" w:hAnsi="Arial" w:cs="Arial"/>
                <w:lang w:val="en-US"/>
              </w:rPr>
            </w:pPr>
            <w:r w:rsidRPr="00582247">
              <w:rPr>
                <w:rFonts w:ascii="Arial" w:hAnsi="Arial" w:cs="Arial"/>
                <w:lang w:val="en-US"/>
              </w:rPr>
              <w:t>Phospho-Histone H2A.X</w:t>
            </w:r>
          </w:p>
        </w:tc>
        <w:tc>
          <w:tcPr>
            <w:tcW w:w="2410" w:type="dxa"/>
          </w:tcPr>
          <w:p w14:paraId="3D9B01D7"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835" w:type="dxa"/>
          </w:tcPr>
          <w:p w14:paraId="7EA2602E" w14:textId="77777777" w:rsidR="000E2C48" w:rsidRPr="00582247" w:rsidRDefault="000E2C48" w:rsidP="00F81A57">
            <w:pPr>
              <w:jc w:val="both"/>
              <w:rPr>
                <w:rFonts w:ascii="Arial" w:hAnsi="Arial" w:cs="Arial"/>
                <w:lang w:val="en-US"/>
              </w:rPr>
            </w:pPr>
            <w:r w:rsidRPr="00582247">
              <w:rPr>
                <w:rFonts w:ascii="Arial" w:hAnsi="Arial" w:cs="Arial"/>
                <w:lang w:val="en-US"/>
              </w:rPr>
              <w:t>JBW301 (Sigma-Aldrich)</w:t>
            </w:r>
          </w:p>
        </w:tc>
        <w:tc>
          <w:tcPr>
            <w:tcW w:w="950" w:type="dxa"/>
          </w:tcPr>
          <w:p w14:paraId="3650C510" w14:textId="77777777" w:rsidR="000E2C48" w:rsidRPr="00582247" w:rsidRDefault="000E2C48" w:rsidP="00F81A57">
            <w:pPr>
              <w:jc w:val="both"/>
              <w:rPr>
                <w:rFonts w:ascii="Arial" w:hAnsi="Arial" w:cs="Arial"/>
                <w:lang w:val="en-US"/>
              </w:rPr>
            </w:pPr>
            <w:r w:rsidRPr="00582247">
              <w:rPr>
                <w:rFonts w:ascii="Arial" w:hAnsi="Arial" w:cs="Arial"/>
                <w:lang w:val="en-US"/>
              </w:rPr>
              <w:t>1:250</w:t>
            </w:r>
          </w:p>
        </w:tc>
      </w:tr>
      <w:tr w:rsidR="000E2C48" w:rsidRPr="00582247" w14:paraId="0C1C9035" w14:textId="77777777" w:rsidTr="00F81A57">
        <w:tc>
          <w:tcPr>
            <w:tcW w:w="2830" w:type="dxa"/>
          </w:tcPr>
          <w:p w14:paraId="75C59E40" w14:textId="77777777" w:rsidR="000E2C48" w:rsidRPr="00582247" w:rsidRDefault="000E2C48" w:rsidP="00F81A57">
            <w:pPr>
              <w:jc w:val="both"/>
              <w:rPr>
                <w:rFonts w:ascii="Arial" w:hAnsi="Arial" w:cs="Arial"/>
                <w:lang w:val="en-US"/>
              </w:rPr>
            </w:pPr>
            <w:r w:rsidRPr="00582247">
              <w:rPr>
                <w:rFonts w:ascii="Arial" w:hAnsi="Arial" w:cs="Arial"/>
                <w:lang w:val="en-US"/>
              </w:rPr>
              <w:t>Biotin</w:t>
            </w:r>
          </w:p>
        </w:tc>
        <w:tc>
          <w:tcPr>
            <w:tcW w:w="2410" w:type="dxa"/>
          </w:tcPr>
          <w:p w14:paraId="3954EE78" w14:textId="77777777" w:rsidR="000E2C48" w:rsidRPr="00582247" w:rsidRDefault="000E2C48" w:rsidP="00F81A57">
            <w:pPr>
              <w:jc w:val="both"/>
              <w:rPr>
                <w:rFonts w:ascii="Arial" w:hAnsi="Arial" w:cs="Arial"/>
                <w:lang w:val="en-US"/>
              </w:rPr>
            </w:pPr>
            <w:r w:rsidRPr="00582247">
              <w:rPr>
                <w:rFonts w:ascii="Arial" w:hAnsi="Arial" w:cs="Arial"/>
                <w:lang w:val="en-US"/>
              </w:rPr>
              <w:t>APC Streptavidin</w:t>
            </w:r>
          </w:p>
        </w:tc>
        <w:tc>
          <w:tcPr>
            <w:tcW w:w="2835" w:type="dxa"/>
          </w:tcPr>
          <w:p w14:paraId="0A4D36C2" w14:textId="77777777" w:rsidR="000E2C48" w:rsidRPr="00582247" w:rsidRDefault="000E2C48" w:rsidP="00F81A57">
            <w:pPr>
              <w:jc w:val="both"/>
              <w:rPr>
                <w:rFonts w:ascii="Arial" w:hAnsi="Arial" w:cs="Arial"/>
                <w:lang w:val="en-US"/>
              </w:rPr>
            </w:pPr>
            <w:proofErr w:type="spellStart"/>
            <w:r w:rsidRPr="00582247">
              <w:rPr>
                <w:rFonts w:ascii="Arial" w:hAnsi="Arial" w:cs="Arial"/>
                <w:lang w:val="en-US"/>
              </w:rPr>
              <w:t>Biolegend</w:t>
            </w:r>
            <w:proofErr w:type="spellEnd"/>
          </w:p>
        </w:tc>
        <w:tc>
          <w:tcPr>
            <w:tcW w:w="950" w:type="dxa"/>
          </w:tcPr>
          <w:p w14:paraId="4F3A56B0" w14:textId="77777777" w:rsidR="000E2C48" w:rsidRPr="00582247" w:rsidRDefault="000E2C48" w:rsidP="00F81A57">
            <w:pPr>
              <w:jc w:val="both"/>
              <w:rPr>
                <w:rFonts w:ascii="Arial" w:hAnsi="Arial" w:cs="Arial"/>
                <w:lang w:val="en-US"/>
              </w:rPr>
            </w:pPr>
            <w:r w:rsidRPr="00582247">
              <w:rPr>
                <w:rFonts w:ascii="Arial" w:hAnsi="Arial" w:cs="Arial"/>
                <w:lang w:val="en-US"/>
              </w:rPr>
              <w:t>1:333</w:t>
            </w:r>
          </w:p>
        </w:tc>
      </w:tr>
    </w:tbl>
    <w:p w14:paraId="3ED4F4CE" w14:textId="77777777" w:rsidR="000E2C48" w:rsidRPr="00582247" w:rsidRDefault="000E2C48" w:rsidP="000E2C48">
      <w:pPr>
        <w:jc w:val="both"/>
        <w:rPr>
          <w:rFonts w:ascii="Arial" w:hAnsi="Arial" w:cs="Arial"/>
          <w:lang w:val="en-US"/>
        </w:rPr>
      </w:pPr>
      <w:r w:rsidRPr="00582247">
        <w:rPr>
          <w:rFonts w:ascii="Arial" w:hAnsi="Arial" w:cs="Arial"/>
          <w:lang w:val="en-US"/>
        </w:rPr>
        <w:t xml:space="preserve">* used for lineage antibody-cocktail </w:t>
      </w:r>
    </w:p>
    <w:bookmarkEnd w:id="4"/>
    <w:p w14:paraId="12F3C164" w14:textId="77777777" w:rsidR="00854B80" w:rsidRDefault="00854B80" w:rsidP="00251813">
      <w:pPr>
        <w:rPr>
          <w:rFonts w:ascii="Arial" w:hAnsi="Arial" w:cs="Arial"/>
          <w:b/>
          <w:bCs/>
          <w:lang w:val="en-US"/>
        </w:rPr>
      </w:pPr>
    </w:p>
    <w:p w14:paraId="16EB3A3B" w14:textId="77777777" w:rsidR="00DA4A0B" w:rsidRDefault="00DA4A0B" w:rsidP="00251813">
      <w:pPr>
        <w:rPr>
          <w:rFonts w:ascii="Arial" w:hAnsi="Arial" w:cs="Arial"/>
          <w:b/>
          <w:bCs/>
          <w:lang w:val="en-US"/>
        </w:rPr>
      </w:pPr>
    </w:p>
    <w:p w14:paraId="1E33B2EB" w14:textId="77777777" w:rsidR="00DA4A0B" w:rsidRDefault="00DA4A0B" w:rsidP="00251813">
      <w:pPr>
        <w:rPr>
          <w:rFonts w:ascii="Arial" w:hAnsi="Arial" w:cs="Arial"/>
          <w:b/>
          <w:bCs/>
          <w:lang w:val="en-US"/>
        </w:rPr>
      </w:pPr>
    </w:p>
    <w:p w14:paraId="1EBD890F" w14:textId="77777777" w:rsidR="00DA4A0B" w:rsidRDefault="00DA4A0B" w:rsidP="00251813">
      <w:pPr>
        <w:rPr>
          <w:rFonts w:ascii="Arial" w:hAnsi="Arial" w:cs="Arial"/>
          <w:b/>
          <w:bCs/>
          <w:lang w:val="en-US"/>
        </w:rPr>
      </w:pPr>
    </w:p>
    <w:p w14:paraId="6D31FC0E" w14:textId="77777777" w:rsidR="00DA4A0B" w:rsidRDefault="00DA4A0B" w:rsidP="00251813">
      <w:pPr>
        <w:rPr>
          <w:rFonts w:ascii="Arial" w:hAnsi="Arial" w:cs="Arial"/>
          <w:b/>
          <w:bCs/>
          <w:lang w:val="en-US"/>
        </w:rPr>
      </w:pPr>
    </w:p>
    <w:p w14:paraId="2F0E4B3F" w14:textId="77777777" w:rsidR="00DA4A0B" w:rsidRDefault="00DA4A0B" w:rsidP="00251813">
      <w:pPr>
        <w:rPr>
          <w:rFonts w:ascii="Arial" w:hAnsi="Arial" w:cs="Arial"/>
          <w:b/>
          <w:bCs/>
          <w:lang w:val="en-US"/>
        </w:rPr>
      </w:pPr>
    </w:p>
    <w:p w14:paraId="35EE1D73" w14:textId="77777777" w:rsidR="00DA4A0B" w:rsidRDefault="00DA4A0B" w:rsidP="00251813">
      <w:pPr>
        <w:rPr>
          <w:rFonts w:ascii="Arial" w:hAnsi="Arial" w:cs="Arial"/>
          <w:b/>
          <w:bCs/>
          <w:lang w:val="en-US"/>
        </w:rPr>
      </w:pPr>
    </w:p>
    <w:p w14:paraId="47A428E9" w14:textId="77777777" w:rsidR="00234C08" w:rsidRDefault="00234C08" w:rsidP="00251813">
      <w:pPr>
        <w:rPr>
          <w:rFonts w:ascii="Arial" w:hAnsi="Arial" w:cs="Arial"/>
          <w:b/>
          <w:bCs/>
          <w:lang w:val="en-US"/>
        </w:rPr>
      </w:pPr>
    </w:p>
    <w:p w14:paraId="5C9DFB7A" w14:textId="77777777" w:rsidR="00234C08" w:rsidRDefault="00234C08" w:rsidP="00251813">
      <w:pPr>
        <w:rPr>
          <w:rFonts w:ascii="Arial" w:hAnsi="Arial" w:cs="Arial"/>
          <w:b/>
          <w:bCs/>
          <w:lang w:val="en-US"/>
        </w:rPr>
      </w:pPr>
    </w:p>
    <w:p w14:paraId="33A4E51F" w14:textId="77777777" w:rsidR="00234C08" w:rsidRDefault="00234C08" w:rsidP="00251813">
      <w:pPr>
        <w:rPr>
          <w:rFonts w:ascii="Arial" w:hAnsi="Arial" w:cs="Arial"/>
          <w:b/>
          <w:bCs/>
          <w:lang w:val="en-US"/>
        </w:rPr>
      </w:pPr>
    </w:p>
    <w:p w14:paraId="29A716F8" w14:textId="77777777" w:rsidR="00234C08" w:rsidRDefault="00234C08" w:rsidP="00251813">
      <w:pPr>
        <w:rPr>
          <w:rFonts w:ascii="Arial" w:hAnsi="Arial" w:cs="Arial"/>
          <w:b/>
          <w:bCs/>
          <w:lang w:val="en-US"/>
        </w:rPr>
      </w:pPr>
    </w:p>
    <w:p w14:paraId="65CE7F63" w14:textId="57F69460" w:rsidR="00854B80" w:rsidRDefault="00854B80" w:rsidP="00251813">
      <w:pPr>
        <w:rPr>
          <w:rFonts w:ascii="Arial" w:hAnsi="Arial" w:cs="Arial"/>
          <w:b/>
          <w:bCs/>
          <w:lang w:val="en-US"/>
        </w:rPr>
      </w:pPr>
      <w:r>
        <w:rPr>
          <w:rFonts w:ascii="Arial" w:hAnsi="Arial" w:cs="Arial"/>
          <w:b/>
          <w:bCs/>
          <w:lang w:val="en-US"/>
        </w:rPr>
        <w:lastRenderedPageBreak/>
        <w:t>REFERENCES</w:t>
      </w:r>
    </w:p>
    <w:sdt>
      <w:sdtPr>
        <w:tag w:val="EndNote.ReferenceList"/>
        <w:id w:val="-2020453107"/>
        <w:placeholder>
          <w:docPart w:val="DefaultPlaceholder_-1854013440"/>
        </w:placeholder>
      </w:sdtPr>
      <w:sdtContent>
        <w:p w14:paraId="243F2E2D" w14:textId="73231DF1" w:rsidR="00880C9E" w:rsidRPr="00880C9E" w:rsidRDefault="00880C9E" w:rsidP="00880C9E">
          <w:pPr>
            <w:pStyle w:val="EndNoteBibliography"/>
            <w:spacing w:after="0"/>
            <w:rPr>
              <w:rFonts w:ascii="Arial" w:hAnsi="Arial" w:cs="Arial"/>
            </w:rPr>
          </w:pPr>
          <w:r w:rsidRPr="00880C9E">
            <w:t>1.</w:t>
          </w:r>
          <w:r w:rsidRPr="00880C9E">
            <w:tab/>
          </w:r>
          <w:r w:rsidRPr="00880C9E">
            <w:rPr>
              <w:rFonts w:ascii="Arial" w:hAnsi="Arial" w:cs="Arial"/>
            </w:rPr>
            <w:t>Fischer M. Conservation and divergence of the p53 gene regulatory network between mice and humans. Oncogene. 2019;38(21):4095-109.</w:t>
          </w:r>
        </w:p>
        <w:p w14:paraId="67A3AB1C" w14:textId="77777777" w:rsidR="00880C9E" w:rsidRPr="00880C9E" w:rsidRDefault="00880C9E" w:rsidP="00880C9E">
          <w:pPr>
            <w:pStyle w:val="EndNoteBibliography"/>
            <w:spacing w:after="0"/>
            <w:rPr>
              <w:rFonts w:ascii="Arial" w:hAnsi="Arial" w:cs="Arial"/>
            </w:rPr>
          </w:pPr>
          <w:r w:rsidRPr="00880C9E">
            <w:rPr>
              <w:rFonts w:ascii="Arial" w:hAnsi="Arial" w:cs="Arial"/>
            </w:rPr>
            <w:t>2.</w:t>
          </w:r>
          <w:r w:rsidRPr="00880C9E">
            <w:rPr>
              <w:rFonts w:ascii="Arial" w:hAnsi="Arial" w:cs="Arial"/>
            </w:rPr>
            <w:tab/>
            <w:t>Wang GG, Calvo KR, Pasillas MP, Sykes DB, Hacker H, Kamps MP. Quantitative production of macrophages or neutrophils ex vivo using conditional Hoxb8. Nat Methods. 2006;3(4):287-93.</w:t>
          </w:r>
        </w:p>
        <w:p w14:paraId="454A9B48" w14:textId="77777777" w:rsidR="00880C9E" w:rsidRPr="00880C9E" w:rsidRDefault="00880C9E" w:rsidP="00880C9E">
          <w:pPr>
            <w:pStyle w:val="EndNoteBibliography"/>
            <w:spacing w:after="0"/>
            <w:rPr>
              <w:rFonts w:ascii="Arial" w:hAnsi="Arial" w:cs="Arial"/>
            </w:rPr>
          </w:pPr>
          <w:r w:rsidRPr="00880C9E">
            <w:rPr>
              <w:rFonts w:ascii="Arial" w:hAnsi="Arial" w:cs="Arial"/>
            </w:rPr>
            <w:t>3.</w:t>
          </w:r>
          <w:r w:rsidRPr="00880C9E">
            <w:rPr>
              <w:rFonts w:ascii="Arial" w:hAnsi="Arial" w:cs="Arial"/>
            </w:rPr>
            <w:tab/>
            <w:t>Lange S, Engleitner T, Mueller S, Maresch R, Zwiebel M, Gonzalez-Silva L, et al. Analysis pipelines for cancer genome sequencing in mice. Nat Protoc. 2020;15(2):266-315.</w:t>
          </w:r>
        </w:p>
        <w:p w14:paraId="57B4F3A4" w14:textId="77777777" w:rsidR="00880C9E" w:rsidRPr="00880C9E" w:rsidRDefault="00880C9E" w:rsidP="00880C9E">
          <w:pPr>
            <w:pStyle w:val="EndNoteBibliography"/>
            <w:spacing w:after="0"/>
            <w:rPr>
              <w:rFonts w:ascii="Arial" w:hAnsi="Arial" w:cs="Arial"/>
            </w:rPr>
          </w:pPr>
          <w:r w:rsidRPr="00880C9E">
            <w:rPr>
              <w:rFonts w:ascii="Arial" w:hAnsi="Arial" w:cs="Arial"/>
            </w:rPr>
            <w:t>4.</w:t>
          </w:r>
          <w:r w:rsidRPr="00880C9E">
            <w:rPr>
              <w:rFonts w:ascii="Arial" w:hAnsi="Arial" w:cs="Arial"/>
            </w:rPr>
            <w:tab/>
            <w:t>Murai K, Skrupskelyte G, Piedrafita G, Hall M, Kostiou V, Ong SH, et al. Epidermal Tissue Adapts to Restrain Progenitors Carrying Clonal p53 Mutations. Cell Stem Cell. 2018;23(5):687-99 e8.</w:t>
          </w:r>
        </w:p>
        <w:p w14:paraId="50EC0E95" w14:textId="0AF85009" w:rsidR="00880C9E" w:rsidRPr="00880C9E" w:rsidRDefault="00880C9E" w:rsidP="00880C9E">
          <w:pPr>
            <w:pStyle w:val="EndNoteBibliography"/>
          </w:pPr>
          <w:r w:rsidRPr="00880C9E">
            <w:rPr>
              <w:rFonts w:ascii="Arial" w:hAnsi="Arial" w:cs="Arial"/>
            </w:rPr>
            <w:t>5.</w:t>
          </w:r>
          <w:r w:rsidRPr="00880C9E">
            <w:rPr>
              <w:rFonts w:ascii="Arial" w:hAnsi="Arial" w:cs="Arial"/>
            </w:rPr>
            <w:tab/>
            <w:t>Gothert JR, Gustin SE, Hall MA, Green AR, Gottgens B, Izon DJ, et al. In vivo fate-tracing studies using the Scl stem cell enhancer: embryonic hematopoietic stem cells significantly contribute to adult hematopoiesis. Blood. 2005;105(7):2724-32.</w:t>
          </w:r>
        </w:p>
      </w:sdtContent>
    </w:sdt>
    <w:p w14:paraId="1ABD3B94" w14:textId="4A5F9BE2" w:rsidR="000E2C48" w:rsidRPr="000E2C48" w:rsidRDefault="000E2C48" w:rsidP="00251813">
      <w:pPr>
        <w:rPr>
          <w:rFonts w:ascii="Arial" w:hAnsi="Arial" w:cs="Arial"/>
          <w:b/>
          <w:bCs/>
          <w:lang w:val="en-US"/>
        </w:rPr>
      </w:pPr>
    </w:p>
    <w:sectPr w:rsidR="000E2C48" w:rsidRPr="000E2C4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288DC" w14:textId="77777777" w:rsidR="00A43F03" w:rsidRDefault="00A43F03" w:rsidP="000F3F7F">
      <w:pPr>
        <w:spacing w:after="0" w:line="240" w:lineRule="auto"/>
      </w:pPr>
      <w:r>
        <w:separator/>
      </w:r>
    </w:p>
  </w:endnote>
  <w:endnote w:type="continuationSeparator" w:id="0">
    <w:p w14:paraId="5DAA2B69" w14:textId="77777777" w:rsidR="00A43F03" w:rsidRDefault="00A43F03" w:rsidP="000F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40412"/>
      <w:docPartObj>
        <w:docPartGallery w:val="Page Numbers (Bottom of Page)"/>
        <w:docPartUnique/>
      </w:docPartObj>
    </w:sdtPr>
    <w:sdtEndPr>
      <w:rPr>
        <w:rFonts w:ascii="Arial" w:hAnsi="Arial" w:cs="Arial"/>
      </w:rPr>
    </w:sdtEndPr>
    <w:sdtContent>
      <w:p w14:paraId="151E5A9E" w14:textId="047B240E" w:rsidR="000F3F7F" w:rsidRPr="007F2A39" w:rsidRDefault="000F3F7F">
        <w:pPr>
          <w:pStyle w:val="Fuzeile"/>
          <w:jc w:val="right"/>
          <w:rPr>
            <w:rFonts w:ascii="Arial" w:hAnsi="Arial" w:cs="Arial"/>
          </w:rPr>
        </w:pPr>
        <w:r w:rsidRPr="007F2A39">
          <w:rPr>
            <w:rFonts w:ascii="Arial" w:hAnsi="Arial" w:cs="Arial"/>
          </w:rPr>
          <w:fldChar w:fldCharType="begin"/>
        </w:r>
        <w:r w:rsidRPr="007F2A39">
          <w:rPr>
            <w:rFonts w:ascii="Arial" w:hAnsi="Arial" w:cs="Arial"/>
          </w:rPr>
          <w:instrText>PAGE   \* MERGEFORMAT</w:instrText>
        </w:r>
        <w:r w:rsidRPr="007F2A39">
          <w:rPr>
            <w:rFonts w:ascii="Arial" w:hAnsi="Arial" w:cs="Arial"/>
          </w:rPr>
          <w:fldChar w:fldCharType="separate"/>
        </w:r>
        <w:r w:rsidRPr="007F2A39">
          <w:rPr>
            <w:rFonts w:ascii="Arial" w:hAnsi="Arial" w:cs="Arial"/>
            <w:lang w:val="de-DE"/>
          </w:rPr>
          <w:t>2</w:t>
        </w:r>
        <w:r w:rsidRPr="007F2A39">
          <w:rPr>
            <w:rFonts w:ascii="Arial" w:hAnsi="Arial" w:cs="Arial"/>
          </w:rPr>
          <w:fldChar w:fldCharType="end"/>
        </w:r>
      </w:p>
    </w:sdtContent>
  </w:sdt>
  <w:p w14:paraId="09EE339B" w14:textId="52BC192B" w:rsidR="000F3F7F" w:rsidRDefault="000F3F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660EC" w14:textId="77777777" w:rsidR="00A43F03" w:rsidRDefault="00A43F03" w:rsidP="000F3F7F">
      <w:pPr>
        <w:spacing w:after="0" w:line="240" w:lineRule="auto"/>
      </w:pPr>
      <w:r>
        <w:separator/>
      </w:r>
    </w:p>
  </w:footnote>
  <w:footnote w:type="continuationSeparator" w:id="0">
    <w:p w14:paraId="61F55628" w14:textId="77777777" w:rsidR="00A43F03" w:rsidRDefault="00A43F03" w:rsidP="000F3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11C2" w14:textId="48C07856" w:rsidR="000F3F7F" w:rsidRPr="007F2A39" w:rsidRDefault="000F3F7F">
    <w:pPr>
      <w:pStyle w:val="Kopfzeile"/>
      <w:rPr>
        <w:rFonts w:ascii="Arial" w:hAnsi="Arial" w:cs="Arial"/>
        <w:lang w:val="en-US"/>
      </w:rPr>
    </w:pPr>
    <w:r w:rsidRPr="007F2A39">
      <w:rPr>
        <w:rFonts w:ascii="Arial" w:hAnsi="Arial" w:cs="Arial"/>
        <w:lang w:val="en-US"/>
      </w:rPr>
      <w:t>Fullin et al.</w:t>
    </w:r>
    <w:r w:rsidRPr="007F2A39">
      <w:rPr>
        <w:rFonts w:ascii="Arial" w:hAnsi="Arial" w:cs="Arial"/>
        <w:lang w:val="en-US"/>
      </w:rPr>
      <w:tab/>
    </w:r>
    <w:r w:rsidRPr="007F2A39">
      <w:rPr>
        <w:rFonts w:ascii="Arial" w:hAnsi="Arial" w:cs="Arial"/>
        <w:lang w:val="en-US"/>
      </w:rPr>
      <w:tab/>
    </w:r>
    <w:r w:rsidRPr="007F2A39">
      <w:rPr>
        <w:rFonts w:ascii="Arial" w:hAnsi="Arial" w:cs="Arial"/>
        <w:i/>
        <w:iCs/>
        <w:lang w:val="en-US"/>
      </w:rPr>
      <w:t>TP53</w:t>
    </w:r>
    <w:r w:rsidRPr="007F2A39">
      <w:rPr>
        <w:rFonts w:ascii="Arial" w:hAnsi="Arial" w:cs="Arial"/>
        <w:lang w:val="en-US"/>
      </w:rPr>
      <w:t xml:space="preserve"> allelic states in AML and MDS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94FED"/>
    <w:multiLevelType w:val="hybridMultilevel"/>
    <w:tmpl w:val="F68C1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4568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2zsff95w9v5uexf0kve2el0rdffrxxafsr&quot;&gt;My EndNote Library&lt;record-ids&gt;&lt;item&gt;52&lt;/item&gt;&lt;item&gt;75&lt;/item&gt;&lt;item&gt;127&lt;/item&gt;&lt;item&gt;133&lt;/item&gt;&lt;item&gt;375&lt;/item&gt;&lt;/record-ids&gt;&lt;/item&gt;&lt;/Libraries&gt;"/>
  </w:docVars>
  <w:rsids>
    <w:rsidRoot w:val="000F3F7F"/>
    <w:rsid w:val="0006773B"/>
    <w:rsid w:val="00067DA3"/>
    <w:rsid w:val="000D065A"/>
    <w:rsid w:val="000E0B02"/>
    <w:rsid w:val="000E19DE"/>
    <w:rsid w:val="000E2C48"/>
    <w:rsid w:val="000F3F7F"/>
    <w:rsid w:val="00164724"/>
    <w:rsid w:val="0017175B"/>
    <w:rsid w:val="001B4E45"/>
    <w:rsid w:val="001C20D5"/>
    <w:rsid w:val="001C576D"/>
    <w:rsid w:val="001D2CBC"/>
    <w:rsid w:val="001F4F45"/>
    <w:rsid w:val="00214AC1"/>
    <w:rsid w:val="00223693"/>
    <w:rsid w:val="00234C08"/>
    <w:rsid w:val="0024085F"/>
    <w:rsid w:val="00251813"/>
    <w:rsid w:val="00267C6C"/>
    <w:rsid w:val="0028709E"/>
    <w:rsid w:val="002C7EE3"/>
    <w:rsid w:val="00336CC3"/>
    <w:rsid w:val="003722DF"/>
    <w:rsid w:val="003725F3"/>
    <w:rsid w:val="00376F33"/>
    <w:rsid w:val="003A6574"/>
    <w:rsid w:val="003C3CDE"/>
    <w:rsid w:val="004B5A32"/>
    <w:rsid w:val="004F344F"/>
    <w:rsid w:val="00511FC8"/>
    <w:rsid w:val="00543245"/>
    <w:rsid w:val="00604020"/>
    <w:rsid w:val="00615B0B"/>
    <w:rsid w:val="0065020A"/>
    <w:rsid w:val="00652264"/>
    <w:rsid w:val="006859DB"/>
    <w:rsid w:val="0070033B"/>
    <w:rsid w:val="0070451D"/>
    <w:rsid w:val="007721D5"/>
    <w:rsid w:val="007775D4"/>
    <w:rsid w:val="007A3F6E"/>
    <w:rsid w:val="007B226B"/>
    <w:rsid w:val="007F2A39"/>
    <w:rsid w:val="00801AEB"/>
    <w:rsid w:val="00846849"/>
    <w:rsid w:val="00854B80"/>
    <w:rsid w:val="00880C9E"/>
    <w:rsid w:val="00894FD3"/>
    <w:rsid w:val="008A57CC"/>
    <w:rsid w:val="009045C5"/>
    <w:rsid w:val="00916D14"/>
    <w:rsid w:val="00923AC2"/>
    <w:rsid w:val="0098012C"/>
    <w:rsid w:val="009D1187"/>
    <w:rsid w:val="009E6E83"/>
    <w:rsid w:val="00A43F03"/>
    <w:rsid w:val="00A46443"/>
    <w:rsid w:val="00A61371"/>
    <w:rsid w:val="00AB1BC4"/>
    <w:rsid w:val="00AD04FA"/>
    <w:rsid w:val="00AF171F"/>
    <w:rsid w:val="00B843F1"/>
    <w:rsid w:val="00B867CC"/>
    <w:rsid w:val="00B92175"/>
    <w:rsid w:val="00C17D5C"/>
    <w:rsid w:val="00C33CFF"/>
    <w:rsid w:val="00C40021"/>
    <w:rsid w:val="00C565E1"/>
    <w:rsid w:val="00C91C34"/>
    <w:rsid w:val="00D4481C"/>
    <w:rsid w:val="00D91EFE"/>
    <w:rsid w:val="00DA4A0B"/>
    <w:rsid w:val="00DA6688"/>
    <w:rsid w:val="00DD0C9C"/>
    <w:rsid w:val="00DE68C3"/>
    <w:rsid w:val="00DF1457"/>
    <w:rsid w:val="00E23577"/>
    <w:rsid w:val="00E46AF0"/>
    <w:rsid w:val="00EC006A"/>
    <w:rsid w:val="00EC089F"/>
    <w:rsid w:val="00EF3165"/>
    <w:rsid w:val="00EF38DC"/>
    <w:rsid w:val="00EF731F"/>
    <w:rsid w:val="00F236A5"/>
    <w:rsid w:val="00F338D0"/>
    <w:rsid w:val="00F555D8"/>
    <w:rsid w:val="00FD5BDB"/>
    <w:rsid w:val="00FE05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5543D"/>
  <w15:chartTrackingRefBased/>
  <w15:docId w15:val="{4145BA42-D21D-440B-9B00-7B847353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F3F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F3F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F3F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F3F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F3F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F3F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3F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3F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3F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3F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F3F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F3F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F3F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F3F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F3F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3F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3F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3F7F"/>
    <w:rPr>
      <w:rFonts w:eastAsiaTheme="majorEastAsia" w:cstheme="majorBidi"/>
      <w:color w:val="272727" w:themeColor="text1" w:themeTint="D8"/>
    </w:rPr>
  </w:style>
  <w:style w:type="paragraph" w:styleId="Titel">
    <w:name w:val="Title"/>
    <w:basedOn w:val="Standard"/>
    <w:next w:val="Standard"/>
    <w:link w:val="TitelZchn"/>
    <w:uiPriority w:val="10"/>
    <w:qFormat/>
    <w:rsid w:val="000F3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3F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3F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3F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3F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3F7F"/>
    <w:rPr>
      <w:i/>
      <w:iCs/>
      <w:color w:val="404040" w:themeColor="text1" w:themeTint="BF"/>
    </w:rPr>
  </w:style>
  <w:style w:type="paragraph" w:styleId="Listenabsatz">
    <w:name w:val="List Paragraph"/>
    <w:basedOn w:val="Standard"/>
    <w:uiPriority w:val="34"/>
    <w:qFormat/>
    <w:rsid w:val="000F3F7F"/>
    <w:pPr>
      <w:ind w:left="720"/>
      <w:contextualSpacing/>
    </w:pPr>
  </w:style>
  <w:style w:type="character" w:styleId="IntensiveHervorhebung">
    <w:name w:val="Intense Emphasis"/>
    <w:basedOn w:val="Absatz-Standardschriftart"/>
    <w:uiPriority w:val="21"/>
    <w:qFormat/>
    <w:rsid w:val="000F3F7F"/>
    <w:rPr>
      <w:i/>
      <w:iCs/>
      <w:color w:val="2F5496" w:themeColor="accent1" w:themeShade="BF"/>
    </w:rPr>
  </w:style>
  <w:style w:type="paragraph" w:styleId="IntensivesZitat">
    <w:name w:val="Intense Quote"/>
    <w:basedOn w:val="Standard"/>
    <w:next w:val="Standard"/>
    <w:link w:val="IntensivesZitatZchn"/>
    <w:uiPriority w:val="30"/>
    <w:qFormat/>
    <w:rsid w:val="000F3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F3F7F"/>
    <w:rPr>
      <w:i/>
      <w:iCs/>
      <w:color w:val="2F5496" w:themeColor="accent1" w:themeShade="BF"/>
    </w:rPr>
  </w:style>
  <w:style w:type="character" w:styleId="IntensiverVerweis">
    <w:name w:val="Intense Reference"/>
    <w:basedOn w:val="Absatz-Standardschriftart"/>
    <w:uiPriority w:val="32"/>
    <w:qFormat/>
    <w:rsid w:val="000F3F7F"/>
    <w:rPr>
      <w:b/>
      <w:bCs/>
      <w:smallCaps/>
      <w:color w:val="2F5496" w:themeColor="accent1" w:themeShade="BF"/>
      <w:spacing w:val="5"/>
    </w:rPr>
  </w:style>
  <w:style w:type="paragraph" w:styleId="Kopfzeile">
    <w:name w:val="header"/>
    <w:basedOn w:val="Standard"/>
    <w:link w:val="KopfzeileZchn"/>
    <w:uiPriority w:val="99"/>
    <w:unhideWhenUsed/>
    <w:rsid w:val="000F3F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3F7F"/>
  </w:style>
  <w:style w:type="paragraph" w:styleId="Fuzeile">
    <w:name w:val="footer"/>
    <w:basedOn w:val="Standard"/>
    <w:link w:val="FuzeileZchn"/>
    <w:uiPriority w:val="99"/>
    <w:unhideWhenUsed/>
    <w:rsid w:val="000F3F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3F7F"/>
  </w:style>
  <w:style w:type="character" w:styleId="Kommentarzeichen">
    <w:name w:val="annotation reference"/>
    <w:basedOn w:val="Absatz-Standardschriftart"/>
    <w:uiPriority w:val="99"/>
    <w:semiHidden/>
    <w:unhideWhenUsed/>
    <w:rsid w:val="000F3F7F"/>
    <w:rPr>
      <w:sz w:val="16"/>
      <w:szCs w:val="16"/>
    </w:rPr>
  </w:style>
  <w:style w:type="paragraph" w:styleId="berarbeitung">
    <w:name w:val="Revision"/>
    <w:hidden/>
    <w:uiPriority w:val="99"/>
    <w:semiHidden/>
    <w:rsid w:val="00652264"/>
    <w:pPr>
      <w:spacing w:after="0" w:line="240" w:lineRule="auto"/>
    </w:pPr>
  </w:style>
  <w:style w:type="paragraph" w:styleId="Kommentartext">
    <w:name w:val="annotation text"/>
    <w:basedOn w:val="Standard"/>
    <w:link w:val="KommentartextZchn"/>
    <w:uiPriority w:val="99"/>
    <w:semiHidden/>
    <w:unhideWhenUsed/>
    <w:rsid w:val="0065226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52264"/>
    <w:rPr>
      <w:sz w:val="20"/>
      <w:szCs w:val="20"/>
    </w:rPr>
  </w:style>
  <w:style w:type="paragraph" w:styleId="Kommentarthema">
    <w:name w:val="annotation subject"/>
    <w:basedOn w:val="Kommentartext"/>
    <w:next w:val="Kommentartext"/>
    <w:link w:val="KommentarthemaZchn"/>
    <w:uiPriority w:val="99"/>
    <w:semiHidden/>
    <w:unhideWhenUsed/>
    <w:rsid w:val="00652264"/>
    <w:rPr>
      <w:b/>
      <w:bCs/>
    </w:rPr>
  </w:style>
  <w:style w:type="character" w:customStyle="1" w:styleId="KommentarthemaZchn">
    <w:name w:val="Kommentarthema Zchn"/>
    <w:basedOn w:val="KommentartextZchn"/>
    <w:link w:val="Kommentarthema"/>
    <w:uiPriority w:val="99"/>
    <w:semiHidden/>
    <w:rsid w:val="00652264"/>
    <w:rPr>
      <w:b/>
      <w:bCs/>
      <w:sz w:val="20"/>
      <w:szCs w:val="20"/>
    </w:rPr>
  </w:style>
  <w:style w:type="table" w:styleId="Tabellenraster">
    <w:name w:val="Table Grid"/>
    <w:basedOn w:val="NormaleTabelle"/>
    <w:uiPriority w:val="39"/>
    <w:rsid w:val="000E2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854B80"/>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54B80"/>
    <w:rPr>
      <w:rFonts w:ascii="Calibri" w:hAnsi="Calibri" w:cs="Calibri"/>
      <w:noProof/>
      <w:lang w:val="en-US"/>
    </w:rPr>
  </w:style>
  <w:style w:type="paragraph" w:customStyle="1" w:styleId="EndNoteBibliography">
    <w:name w:val="EndNote Bibliography"/>
    <w:basedOn w:val="Standard"/>
    <w:link w:val="EndNoteBibliographyZchn"/>
    <w:rsid w:val="00854B80"/>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54B80"/>
    <w:rPr>
      <w:rFonts w:ascii="Calibri" w:hAnsi="Calibri" w:cs="Calibri"/>
      <w:noProof/>
      <w:lang w:val="en-US"/>
    </w:rPr>
  </w:style>
  <w:style w:type="character" w:styleId="Platzhaltertext">
    <w:name w:val="Placeholder Text"/>
    <w:basedOn w:val="Absatz-Standardschriftart"/>
    <w:uiPriority w:val="99"/>
    <w:semiHidden/>
    <w:rsid w:val="00854B80"/>
    <w:rPr>
      <w:color w:val="666666"/>
    </w:rPr>
  </w:style>
  <w:style w:type="paragraph" w:customStyle="1" w:styleId="Body">
    <w:name w:val="Body"/>
    <w:rsid w:val="007B226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14:textOutline w14:w="0" w14:cap="flat" w14:cmpd="sng" w14:algn="ctr">
        <w14:noFill/>
        <w14:prstDash w14:val="solid"/>
        <w14:bevel/>
      </w14:textOutline>
      <w14:ligatures w14:val="none"/>
    </w:rPr>
  </w:style>
  <w:style w:type="character" w:styleId="Hyperlink">
    <w:name w:val="Hyperlink"/>
    <w:basedOn w:val="Absatz-Standardschriftart"/>
    <w:uiPriority w:val="99"/>
    <w:unhideWhenUsed/>
    <w:rsid w:val="00E46AF0"/>
    <w:rPr>
      <w:color w:val="0563C1" w:themeColor="hyperlink"/>
      <w:u w:val="single"/>
    </w:rPr>
  </w:style>
  <w:style w:type="character" w:styleId="NichtaufgelsteErwhnung">
    <w:name w:val="Unresolved Mention"/>
    <w:basedOn w:val="Absatz-Standardschriftart"/>
    <w:uiPriority w:val="99"/>
    <w:semiHidden/>
    <w:unhideWhenUsed/>
    <w:rsid w:val="00E46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E09C690F-0B14-49E4-91D4-A5ACB17C632C}"/>
      </w:docPartPr>
      <w:docPartBody>
        <w:p w:rsidR="00E77846" w:rsidRDefault="00690224">
          <w:r w:rsidRPr="0047471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224"/>
    <w:rsid w:val="000E19DE"/>
    <w:rsid w:val="0020065D"/>
    <w:rsid w:val="00223693"/>
    <w:rsid w:val="00284EEB"/>
    <w:rsid w:val="00340300"/>
    <w:rsid w:val="003B1FB5"/>
    <w:rsid w:val="003E61F4"/>
    <w:rsid w:val="00690224"/>
    <w:rsid w:val="007A3F6E"/>
    <w:rsid w:val="008E2DCA"/>
    <w:rsid w:val="00A61371"/>
    <w:rsid w:val="00AF1CE8"/>
    <w:rsid w:val="00B92175"/>
    <w:rsid w:val="00BC7F31"/>
    <w:rsid w:val="00C6373E"/>
    <w:rsid w:val="00C91C34"/>
    <w:rsid w:val="00DB7E13"/>
    <w:rsid w:val="00E50B06"/>
    <w:rsid w:val="00E77846"/>
    <w:rsid w:val="00FE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9022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5806</Words>
  <Characters>33099</Characters>
  <Application>Microsoft Office Word</Application>
  <DocSecurity>0</DocSecurity>
  <Lines>275</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Fullin</dc:creator>
  <cp:keywords/>
  <dc:description/>
  <cp:lastModifiedBy>Jonas Fullin</cp:lastModifiedBy>
  <cp:revision>2</cp:revision>
  <dcterms:created xsi:type="dcterms:W3CDTF">2025-11-05T11:51:00Z</dcterms:created>
  <dcterms:modified xsi:type="dcterms:W3CDTF">2025-11-05T11:51:00Z</dcterms:modified>
</cp:coreProperties>
</file>