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42EC2" w14:textId="23F24255" w:rsidR="009774BA" w:rsidRPr="00A8386B" w:rsidRDefault="009774BA" w:rsidP="009774BA">
      <w:pPr>
        <w:jc w:val="center"/>
        <w:rPr>
          <w:b/>
          <w:color w:val="FF0000"/>
          <w:sz w:val="24"/>
          <w:lang w:val="en-GB"/>
        </w:rPr>
      </w:pPr>
      <w:r w:rsidRPr="009774BA">
        <w:rPr>
          <w:rFonts w:cstheme="minorHAnsi"/>
          <w:b/>
          <w:sz w:val="24"/>
          <w:szCs w:val="24"/>
          <w:lang w:val="en-US"/>
        </w:rPr>
        <w:t xml:space="preserve">Supplementary </w:t>
      </w:r>
      <w:r w:rsidRPr="009D3D45">
        <w:rPr>
          <w:rFonts w:cstheme="minorHAnsi"/>
          <w:b/>
          <w:sz w:val="24"/>
          <w:szCs w:val="24"/>
          <w:lang w:val="en-US"/>
        </w:rPr>
        <w:t>material:</w:t>
      </w:r>
      <w:r w:rsidRPr="009D3D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3D45">
        <w:rPr>
          <w:b/>
          <w:sz w:val="24"/>
          <w:lang w:val="en-GB"/>
        </w:rPr>
        <w:t>Limits of topological protection under local periodic driving</w:t>
      </w:r>
    </w:p>
    <w:p w14:paraId="52F29953" w14:textId="77777777" w:rsidR="009774BA" w:rsidRPr="00501836" w:rsidRDefault="009774BA" w:rsidP="009774BA">
      <w:pPr>
        <w:spacing w:after="45" w:line="265" w:lineRule="auto"/>
        <w:ind w:left="598" w:right="588" w:hanging="10"/>
        <w:jc w:val="center"/>
        <w:rPr>
          <w:lang w:val="de-DE"/>
        </w:rPr>
      </w:pPr>
      <w:r w:rsidRPr="00501836">
        <w:rPr>
          <w:lang w:val="de-DE"/>
        </w:rPr>
        <w:t>Z. Cherpakova,</w:t>
      </w:r>
      <w:proofErr w:type="gramStart"/>
      <w:r w:rsidRPr="00501836">
        <w:rPr>
          <w:vertAlign w:val="superscript"/>
          <w:lang w:val="de-DE"/>
        </w:rPr>
        <w:t>1,*</w:t>
      </w:r>
      <w:proofErr w:type="gramEnd"/>
      <w:r w:rsidRPr="00501836">
        <w:rPr>
          <w:lang w:val="de-DE"/>
        </w:rPr>
        <w:t>C. Jörg,</w:t>
      </w:r>
      <w:r w:rsidRPr="00501836">
        <w:rPr>
          <w:vertAlign w:val="superscript"/>
          <w:lang w:val="de-DE"/>
        </w:rPr>
        <w:t>2,*</w:t>
      </w:r>
      <w:r w:rsidRPr="00501836">
        <w:rPr>
          <w:lang w:val="de-DE"/>
        </w:rPr>
        <w:t>C. Dauer,</w:t>
      </w:r>
      <w:r w:rsidRPr="00501836">
        <w:rPr>
          <w:vertAlign w:val="superscript"/>
          <w:lang w:val="de-DE"/>
        </w:rPr>
        <w:t>2</w:t>
      </w:r>
      <w:r w:rsidRPr="00501836">
        <w:rPr>
          <w:lang w:val="de-DE"/>
        </w:rPr>
        <w:t>F. Letscher,</w:t>
      </w:r>
      <w:r w:rsidRPr="00501836">
        <w:rPr>
          <w:vertAlign w:val="superscript"/>
          <w:lang w:val="de-DE"/>
        </w:rPr>
        <w:t>2,3</w:t>
      </w:r>
      <w:r w:rsidRPr="00501836">
        <w:rPr>
          <w:lang w:val="de-DE"/>
        </w:rPr>
        <w:t>M.Fleischhauer,</w:t>
      </w:r>
      <w:r w:rsidRPr="00501836">
        <w:rPr>
          <w:vertAlign w:val="superscript"/>
          <w:lang w:val="de-DE"/>
        </w:rPr>
        <w:t>2</w:t>
      </w:r>
      <w:r w:rsidRPr="00501836">
        <w:rPr>
          <w:lang w:val="de-DE"/>
        </w:rPr>
        <w:t>S. Eggert,</w:t>
      </w:r>
      <w:r w:rsidRPr="00501836">
        <w:rPr>
          <w:vertAlign w:val="superscript"/>
          <w:lang w:val="de-DE"/>
        </w:rPr>
        <w:t>2</w:t>
      </w:r>
      <w:r w:rsidRPr="00501836">
        <w:rPr>
          <w:lang w:val="de-DE"/>
        </w:rPr>
        <w:t>S. Linden,</w:t>
      </w:r>
      <w:r w:rsidRPr="00501836">
        <w:rPr>
          <w:vertAlign w:val="superscript"/>
          <w:lang w:val="de-DE"/>
        </w:rPr>
        <w:t>1,+</w:t>
      </w:r>
      <w:r w:rsidRPr="00501836">
        <w:rPr>
          <w:lang w:val="de-DE"/>
        </w:rPr>
        <w:t>and G. von Freymann</w:t>
      </w:r>
      <w:r w:rsidRPr="00501836">
        <w:rPr>
          <w:vertAlign w:val="superscript"/>
          <w:lang w:val="de-DE"/>
        </w:rPr>
        <w:t>2,4,±</w:t>
      </w:r>
    </w:p>
    <w:p w14:paraId="3FF0DE9E" w14:textId="33089719" w:rsidR="009774BA" w:rsidRPr="00501836" w:rsidRDefault="009774BA" w:rsidP="009774BA">
      <w:pPr>
        <w:spacing w:after="0" w:line="216" w:lineRule="auto"/>
        <w:ind w:left="90" w:right="-8" w:hanging="83"/>
        <w:jc w:val="center"/>
        <w:rPr>
          <w:lang w:val="de-DE"/>
        </w:rPr>
      </w:pPr>
      <w:r w:rsidRPr="00501836">
        <w:rPr>
          <w:i/>
          <w:sz w:val="18"/>
          <w:vertAlign w:val="superscript"/>
          <w:lang w:val="de-DE"/>
        </w:rPr>
        <w:t>1</w:t>
      </w:r>
      <w:r w:rsidRPr="00501836">
        <w:rPr>
          <w:i/>
          <w:sz w:val="18"/>
          <w:lang w:val="de-DE"/>
        </w:rPr>
        <w:t>Physikalisches</w:t>
      </w:r>
      <w:r w:rsidR="00BB58A8">
        <w:rPr>
          <w:i/>
          <w:sz w:val="18"/>
          <w:lang w:val="de-DE"/>
        </w:rPr>
        <w:t xml:space="preserve"> </w:t>
      </w:r>
      <w:bookmarkStart w:id="0" w:name="_GoBack"/>
      <w:bookmarkEnd w:id="0"/>
      <w:r w:rsidRPr="00501836">
        <w:rPr>
          <w:i/>
          <w:sz w:val="18"/>
          <w:lang w:val="de-DE"/>
        </w:rPr>
        <w:t>Institut, Universität Bonn, 53115 Bonn, Germany</w:t>
      </w:r>
    </w:p>
    <w:p w14:paraId="16992898" w14:textId="77777777" w:rsidR="009774BA" w:rsidRPr="00BB58A8" w:rsidRDefault="009774BA" w:rsidP="009774BA">
      <w:pPr>
        <w:spacing w:after="0"/>
        <w:jc w:val="center"/>
        <w:rPr>
          <w:lang w:val="en-US"/>
        </w:rPr>
      </w:pPr>
      <w:r w:rsidRPr="00BB58A8">
        <w:rPr>
          <w:i/>
          <w:sz w:val="18"/>
          <w:vertAlign w:val="superscript"/>
          <w:lang w:val="en-US"/>
        </w:rPr>
        <w:t>2</w:t>
      </w:r>
      <w:r w:rsidRPr="00BB58A8">
        <w:rPr>
          <w:i/>
          <w:sz w:val="18"/>
          <w:lang w:val="en-US"/>
        </w:rPr>
        <w:t>Physics Department and Research Center OPTIMAS, TU Kaiserslautern, 67663 Kaiserslautern, Germany</w:t>
      </w:r>
    </w:p>
    <w:p w14:paraId="0CB716DB" w14:textId="77777777" w:rsidR="009774BA" w:rsidRPr="00BB58A8" w:rsidRDefault="009774BA" w:rsidP="009774BA">
      <w:pPr>
        <w:spacing w:after="0"/>
        <w:jc w:val="center"/>
        <w:rPr>
          <w:i/>
          <w:lang w:val="en-US"/>
        </w:rPr>
      </w:pPr>
      <w:r w:rsidRPr="00BB58A8">
        <w:rPr>
          <w:i/>
          <w:vertAlign w:val="superscript"/>
          <w:lang w:val="en-US"/>
        </w:rPr>
        <w:t>3</w:t>
      </w:r>
      <w:r w:rsidRPr="00BB58A8">
        <w:rPr>
          <w:i/>
          <w:sz w:val="18"/>
          <w:lang w:val="en-US"/>
        </w:rPr>
        <w:t>Graduate School Materials Science in Mainz, 67663 Kaiserslautern, Germany</w:t>
      </w:r>
    </w:p>
    <w:p w14:paraId="66F4758C" w14:textId="77777777" w:rsidR="009774BA" w:rsidRPr="00A8386B" w:rsidRDefault="009774BA" w:rsidP="009774BA">
      <w:pPr>
        <w:spacing w:after="0"/>
        <w:jc w:val="center"/>
        <w:rPr>
          <w:i/>
          <w:sz w:val="18"/>
          <w:lang w:val="en-GB"/>
        </w:rPr>
      </w:pPr>
      <w:r w:rsidRPr="00A8386B">
        <w:rPr>
          <w:i/>
          <w:vertAlign w:val="superscript"/>
          <w:lang w:val="en-GB"/>
        </w:rPr>
        <w:t>4</w:t>
      </w:r>
      <w:r w:rsidRPr="00A8386B">
        <w:rPr>
          <w:i/>
          <w:sz w:val="18"/>
          <w:lang w:val="en-GB"/>
        </w:rPr>
        <w:t>Fraunhofer Institute for Industrial Mathematics ITWM, 67663 Kaiserslautern, Germany</w:t>
      </w:r>
    </w:p>
    <w:p w14:paraId="4B4E5938" w14:textId="77777777" w:rsidR="009774BA" w:rsidRPr="00A8386B" w:rsidRDefault="009774BA" w:rsidP="009774BA">
      <w:pPr>
        <w:pStyle w:val="footnotedescription"/>
        <w:ind w:left="27"/>
        <w:jc w:val="center"/>
        <w:rPr>
          <w:szCs w:val="16"/>
          <w:lang w:val="en-GB"/>
        </w:rPr>
      </w:pPr>
      <w:r w:rsidRPr="00A8386B">
        <w:rPr>
          <w:szCs w:val="16"/>
          <w:lang w:val="en-GB"/>
        </w:rPr>
        <w:t>*these authors contributed equally to this work</w:t>
      </w:r>
    </w:p>
    <w:p w14:paraId="17C19FA0" w14:textId="77777777" w:rsidR="009774BA" w:rsidRPr="00A8386B" w:rsidRDefault="009774BA" w:rsidP="009774BA">
      <w:pPr>
        <w:pStyle w:val="footnotedescription"/>
        <w:spacing w:after="37"/>
        <w:ind w:left="0"/>
        <w:jc w:val="center"/>
        <w:rPr>
          <w:szCs w:val="16"/>
          <w:lang w:val="en-GB"/>
        </w:rPr>
      </w:pPr>
      <w:r w:rsidRPr="00A8386B">
        <w:rPr>
          <w:szCs w:val="16"/>
          <w:lang w:val="en-GB"/>
        </w:rPr>
        <w:t>+ linden@physik.uni-bonn.de</w:t>
      </w:r>
    </w:p>
    <w:p w14:paraId="7A156E46" w14:textId="77777777" w:rsidR="009774BA" w:rsidRPr="00A8386B" w:rsidRDefault="009774BA" w:rsidP="009774BA">
      <w:pPr>
        <w:spacing w:after="0"/>
        <w:jc w:val="center"/>
        <w:rPr>
          <w:sz w:val="16"/>
          <w:szCs w:val="16"/>
          <w:lang w:val="en-GB"/>
        </w:rPr>
      </w:pPr>
      <w:r w:rsidRPr="00A8386B">
        <w:rPr>
          <w:sz w:val="16"/>
          <w:szCs w:val="16"/>
          <w:lang w:val="en-GB"/>
        </w:rPr>
        <w:t>± georg.freymann@physik.uni-kl.de</w:t>
      </w:r>
    </w:p>
    <w:p w14:paraId="1943E832" w14:textId="77777777" w:rsidR="009774BA" w:rsidRPr="009774BA" w:rsidRDefault="009774BA" w:rsidP="009411E2">
      <w:pPr>
        <w:rPr>
          <w:rFonts w:cstheme="minorHAnsi"/>
          <w:b/>
          <w:sz w:val="20"/>
          <w:szCs w:val="20"/>
          <w:lang w:val="en-US"/>
        </w:rPr>
      </w:pPr>
    </w:p>
    <w:p w14:paraId="2F9646E5" w14:textId="2F2AD541" w:rsidR="0034177B" w:rsidRPr="009774BA" w:rsidRDefault="009411E2" w:rsidP="009411E2">
      <w:pPr>
        <w:rPr>
          <w:rFonts w:cstheme="minorHAnsi"/>
          <w:sz w:val="20"/>
          <w:szCs w:val="20"/>
          <w:lang w:val="en-US"/>
        </w:rPr>
      </w:pPr>
      <w:r w:rsidRPr="009774BA">
        <w:rPr>
          <w:rFonts w:cstheme="minorHAnsi"/>
          <w:b/>
          <w:sz w:val="20"/>
          <w:szCs w:val="20"/>
          <w:lang w:val="en-US"/>
        </w:rPr>
        <w:t>R</w:t>
      </w:r>
      <w:r w:rsidR="00342C69" w:rsidRPr="009774BA">
        <w:rPr>
          <w:rFonts w:cstheme="minorHAnsi"/>
          <w:b/>
          <w:sz w:val="20"/>
          <w:szCs w:val="20"/>
          <w:lang w:val="en-US"/>
        </w:rPr>
        <w:t>ole of the on-site potential for the experiments</w:t>
      </w:r>
      <w:r w:rsidRPr="009774BA">
        <w:rPr>
          <w:rFonts w:cstheme="minorHAnsi"/>
          <w:b/>
          <w:sz w:val="20"/>
          <w:szCs w:val="20"/>
          <w:lang w:val="en-US"/>
        </w:rPr>
        <w:t>:</w:t>
      </w:r>
      <w:r w:rsidRPr="009774BA">
        <w:rPr>
          <w:rFonts w:cstheme="minorHAnsi"/>
          <w:sz w:val="20"/>
          <w:szCs w:val="20"/>
          <w:lang w:val="en-US"/>
        </w:rPr>
        <w:t xml:space="preserve"> </w:t>
      </w:r>
    </w:p>
    <w:p w14:paraId="332A96A2" w14:textId="77777777" w:rsidR="00002FE9" w:rsidRPr="009774BA" w:rsidRDefault="00002FE9" w:rsidP="00002FE9">
      <w:pPr>
        <w:rPr>
          <w:rFonts w:cstheme="minorHAnsi"/>
          <w:sz w:val="20"/>
          <w:szCs w:val="20"/>
          <w:lang w:val="en-US"/>
        </w:rPr>
      </w:pPr>
      <w:r w:rsidRPr="009774BA">
        <w:rPr>
          <w:rFonts w:cstheme="minorHAnsi"/>
          <w:sz w:val="20"/>
          <w:szCs w:val="20"/>
          <w:lang w:val="en-US"/>
        </w:rPr>
        <w:t xml:space="preserve">In case of the DLSPPW waveguides the on-site potential is very small due to strong confinement of SPPs. We have performed the measurements with isolated curved waveguides and estimated </w:t>
      </w:r>
      <w:r w:rsidRPr="009774BA">
        <w:rPr>
          <w:rFonts w:cstheme="minorHAnsi"/>
          <w:i/>
          <w:iCs/>
          <w:sz w:val="20"/>
          <w:szCs w:val="20"/>
        </w:rPr>
        <w:t>Δ</w:t>
      </w:r>
      <w:r w:rsidRPr="009774BA">
        <w:rPr>
          <w:rFonts w:cstheme="minorHAnsi"/>
          <w:i/>
          <w:iCs/>
          <w:sz w:val="20"/>
          <w:szCs w:val="20"/>
          <w:lang w:val="en-US"/>
        </w:rPr>
        <w:t>V</w:t>
      </w:r>
      <w:r w:rsidRPr="009774BA">
        <w:rPr>
          <w:rFonts w:cstheme="minorHAnsi"/>
          <w:sz w:val="20"/>
          <w:szCs w:val="20"/>
          <w:lang w:val="en-US"/>
        </w:rPr>
        <w:t xml:space="preserve"> to be approximately three times less than the amplitude of coupling variation </w:t>
      </w:r>
      <w:r w:rsidRPr="009774BA">
        <w:rPr>
          <w:rFonts w:cstheme="minorHAnsi"/>
          <w:i/>
          <w:iCs/>
          <w:sz w:val="20"/>
          <w:szCs w:val="20"/>
        </w:rPr>
        <w:t>Δ</w:t>
      </w:r>
      <w:r w:rsidRPr="009774BA">
        <w:rPr>
          <w:rFonts w:cstheme="minorHAnsi"/>
          <w:i/>
          <w:iCs/>
          <w:sz w:val="20"/>
          <w:szCs w:val="20"/>
          <w:lang w:val="en-US"/>
        </w:rPr>
        <w:t>J</w:t>
      </w:r>
      <w:r w:rsidRPr="009774BA">
        <w:rPr>
          <w:rFonts w:cstheme="minorHAnsi"/>
          <w:sz w:val="20"/>
          <w:szCs w:val="20"/>
          <w:lang w:val="en-US"/>
        </w:rPr>
        <w:t xml:space="preserve"> even at the highest frequency. Our Fourier-space measurements also confirm that (see Fig. 5 (h)).</w:t>
      </w:r>
    </w:p>
    <w:p w14:paraId="016C5FA8" w14:textId="012D2429" w:rsidR="008812B5" w:rsidRDefault="00002FE9" w:rsidP="008812B5">
      <w:pPr>
        <w:rPr>
          <w:rFonts w:cstheme="minorHAnsi"/>
          <w:sz w:val="20"/>
          <w:szCs w:val="20"/>
          <w:lang w:val="en-US"/>
        </w:rPr>
      </w:pPr>
      <w:r w:rsidRPr="009774BA">
        <w:rPr>
          <w:rFonts w:cstheme="minorHAnsi"/>
          <w:sz w:val="20"/>
          <w:szCs w:val="20"/>
          <w:lang w:val="en-US"/>
        </w:rPr>
        <w:t>In the case of the dielectric waveguides, we have calculated the ban</w:t>
      </w:r>
      <w:r w:rsidR="00C06EDF" w:rsidRPr="009774BA">
        <w:rPr>
          <w:rFonts w:cstheme="minorHAnsi"/>
          <w:sz w:val="20"/>
          <w:szCs w:val="20"/>
          <w:lang w:val="en-US"/>
        </w:rPr>
        <w:t xml:space="preserve">d </w:t>
      </w:r>
      <w:r w:rsidRPr="009774BA">
        <w:rPr>
          <w:rFonts w:cstheme="minorHAnsi"/>
          <w:sz w:val="20"/>
          <w:szCs w:val="20"/>
          <w:lang w:val="en-US"/>
        </w:rPr>
        <w:t>structure for the parameters used for the experiments in Fig. 6(a). The result of the calculations is shown below</w:t>
      </w:r>
      <w:r w:rsidR="009774BA">
        <w:rPr>
          <w:rFonts w:cstheme="minorHAnsi"/>
          <w:sz w:val="20"/>
          <w:szCs w:val="20"/>
          <w:lang w:val="en-US"/>
        </w:rPr>
        <w:t xml:space="preserve"> in Fig. S1</w:t>
      </w:r>
      <w:r w:rsidRPr="009774BA">
        <w:rPr>
          <w:rFonts w:cstheme="minorHAnsi"/>
          <w:sz w:val="20"/>
          <w:szCs w:val="20"/>
          <w:lang w:val="en-US"/>
        </w:rPr>
        <w:t>.</w:t>
      </w:r>
      <w:r w:rsidR="00C06EDF" w:rsidRPr="009774BA">
        <w:rPr>
          <w:rFonts w:cstheme="minorHAnsi"/>
          <w:sz w:val="20"/>
          <w:szCs w:val="20"/>
          <w:lang w:val="en-US"/>
        </w:rPr>
        <w:t xml:space="preserve"> </w:t>
      </w:r>
      <w:r w:rsidRPr="009774BA">
        <w:rPr>
          <w:rFonts w:cstheme="minorHAnsi"/>
          <w:sz w:val="20"/>
          <w:szCs w:val="20"/>
          <w:lang w:val="en-US"/>
        </w:rPr>
        <w:t>I</w:t>
      </w:r>
      <w:r w:rsidR="008812B5" w:rsidRPr="009774BA">
        <w:rPr>
          <w:rFonts w:cstheme="minorHAnsi"/>
          <w:sz w:val="20"/>
          <w:szCs w:val="20"/>
          <w:lang w:val="en-US"/>
        </w:rPr>
        <w:t>t is</w:t>
      </w:r>
      <w:r w:rsidR="00BD1541" w:rsidRPr="009774BA">
        <w:rPr>
          <w:rFonts w:cstheme="minorHAnsi"/>
          <w:sz w:val="20"/>
          <w:szCs w:val="20"/>
          <w:lang w:val="en-US"/>
        </w:rPr>
        <w:t xml:space="preserve"> seen that the </w:t>
      </w:r>
      <w:r w:rsidR="008812B5" w:rsidRPr="009774BA">
        <w:rPr>
          <w:rFonts w:cstheme="minorHAnsi"/>
          <w:sz w:val="20"/>
          <w:szCs w:val="20"/>
          <w:lang w:val="en-US"/>
        </w:rPr>
        <w:t>only visible</w:t>
      </w:r>
      <w:r w:rsidR="0034177B" w:rsidRPr="009774BA">
        <w:rPr>
          <w:rFonts w:cstheme="minorHAnsi"/>
          <w:sz w:val="20"/>
          <w:szCs w:val="20"/>
          <w:lang w:val="en-US"/>
        </w:rPr>
        <w:t xml:space="preserve"> effect of the on-site potential variation caused by </w:t>
      </w:r>
      <w:r w:rsidR="00E870FE" w:rsidRPr="009774BA">
        <w:rPr>
          <w:rFonts w:cstheme="minorHAnsi"/>
          <w:sz w:val="20"/>
          <w:szCs w:val="20"/>
          <w:lang w:val="en-US"/>
        </w:rPr>
        <w:t xml:space="preserve">the </w:t>
      </w:r>
      <w:r w:rsidR="0034177B" w:rsidRPr="009774BA">
        <w:rPr>
          <w:rFonts w:cstheme="minorHAnsi"/>
          <w:sz w:val="20"/>
          <w:szCs w:val="20"/>
          <w:lang w:val="en-US"/>
        </w:rPr>
        <w:t>curvature of the waveguide</w:t>
      </w:r>
      <w:r w:rsidR="00E870FE" w:rsidRPr="009774BA">
        <w:rPr>
          <w:rFonts w:cstheme="minorHAnsi"/>
          <w:sz w:val="20"/>
          <w:szCs w:val="20"/>
          <w:lang w:val="en-US"/>
        </w:rPr>
        <w:t>s</w:t>
      </w:r>
      <w:r w:rsidR="0034177B" w:rsidRPr="009774BA">
        <w:rPr>
          <w:rFonts w:cstheme="minorHAnsi"/>
          <w:sz w:val="20"/>
          <w:szCs w:val="20"/>
          <w:lang w:val="en-US"/>
        </w:rPr>
        <w:t xml:space="preserve"> is the overall shift of </w:t>
      </w:r>
      <w:r w:rsidR="00E870FE" w:rsidRPr="009774BA">
        <w:rPr>
          <w:rFonts w:cstheme="minorHAnsi"/>
          <w:sz w:val="20"/>
          <w:szCs w:val="20"/>
          <w:lang w:val="en-US"/>
        </w:rPr>
        <w:t>an</w:t>
      </w:r>
      <w:r w:rsidR="0034177B" w:rsidRPr="009774BA">
        <w:rPr>
          <w:rFonts w:cstheme="minorHAnsi"/>
          <w:sz w:val="20"/>
          <w:szCs w:val="20"/>
          <w:lang w:val="en-US"/>
        </w:rPr>
        <w:t xml:space="preserve"> edge state together with its replicas towards </w:t>
      </w:r>
      <w:r w:rsidR="00BD1541" w:rsidRPr="009774BA">
        <w:rPr>
          <w:rFonts w:cstheme="minorHAnsi"/>
          <w:sz w:val="20"/>
          <w:szCs w:val="20"/>
          <w:lang w:val="en-US"/>
        </w:rPr>
        <w:t xml:space="preserve">higher </w:t>
      </w:r>
      <w:r w:rsidR="00E870FE" w:rsidRPr="009774BA">
        <w:rPr>
          <w:rFonts w:cstheme="minorHAnsi"/>
          <w:sz w:val="20"/>
          <w:szCs w:val="20"/>
          <w:lang w:val="en-US"/>
        </w:rPr>
        <w:t>energies</w:t>
      </w:r>
      <w:r w:rsidR="008812B5" w:rsidRPr="009774BA">
        <w:rPr>
          <w:rFonts w:cstheme="minorHAnsi"/>
          <w:sz w:val="20"/>
          <w:szCs w:val="20"/>
          <w:lang w:val="en-US"/>
        </w:rPr>
        <w:t xml:space="preserve"> by 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V</w:t>
      </w:r>
      <w:r w:rsidR="00E870FE" w:rsidRPr="009774BA">
        <w:rPr>
          <w:rFonts w:cstheme="minorHAnsi"/>
          <w:sz w:val="20"/>
          <w:szCs w:val="20"/>
          <w:lang w:val="en-US"/>
        </w:rPr>
        <w:t>.</w:t>
      </w:r>
      <w:r w:rsidR="008812B5" w:rsidRPr="009774BA">
        <w:rPr>
          <w:rFonts w:cstheme="minorHAnsi"/>
          <w:sz w:val="20"/>
          <w:szCs w:val="20"/>
          <w:lang w:val="en-US"/>
        </w:rPr>
        <w:t xml:space="preserve"> This effect is more pronounced for high frequencies, as 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V</w:t>
      </w:r>
      <w:r w:rsidR="008812B5" w:rsidRPr="009774BA">
        <w:rPr>
          <w:rFonts w:cstheme="minorHAnsi"/>
          <w:sz w:val="20"/>
          <w:szCs w:val="20"/>
          <w:lang w:val="en-US"/>
        </w:rPr>
        <w:t xml:space="preserve"> scales with </w:t>
      </w:r>
      <w:r w:rsidR="008812B5" w:rsidRPr="009774BA">
        <w:rPr>
          <w:rFonts w:cstheme="minorHAnsi"/>
          <w:i/>
          <w:iCs/>
          <w:sz w:val="20"/>
          <w:szCs w:val="20"/>
        </w:rPr>
        <w:t>ω</w:t>
      </w:r>
      <w:r w:rsidR="008812B5" w:rsidRPr="009774BA">
        <w:rPr>
          <w:rFonts w:cstheme="minorHAnsi"/>
          <w:sz w:val="20"/>
          <w:szCs w:val="20"/>
          <w:lang w:val="en-US"/>
        </w:rPr>
        <w:t>² (see Eq. 19).</w:t>
      </w:r>
      <w:r w:rsidR="00E870FE" w:rsidRPr="009774BA">
        <w:rPr>
          <w:rFonts w:cstheme="minorHAnsi"/>
          <w:sz w:val="20"/>
          <w:szCs w:val="20"/>
          <w:lang w:val="en-US"/>
        </w:rPr>
        <w:t xml:space="preserve"> Due to this shift</w:t>
      </w:r>
      <w:r w:rsidR="009774BA">
        <w:rPr>
          <w:rFonts w:cstheme="minorHAnsi"/>
          <w:sz w:val="20"/>
          <w:szCs w:val="20"/>
          <w:lang w:val="en-US"/>
        </w:rPr>
        <w:t>,</w:t>
      </w:r>
      <w:r w:rsidR="00E870FE" w:rsidRPr="009774BA">
        <w:rPr>
          <w:rFonts w:cstheme="minorHAnsi"/>
          <w:sz w:val="20"/>
          <w:szCs w:val="20"/>
          <w:lang w:val="en-US"/>
        </w:rPr>
        <w:t xml:space="preserve"> one of the replicas hits the</w:t>
      </w:r>
      <w:r w:rsidR="00B80AF6" w:rsidRPr="009774BA">
        <w:rPr>
          <w:rFonts w:cstheme="minorHAnsi"/>
          <w:sz w:val="20"/>
          <w:szCs w:val="20"/>
          <w:lang w:val="en-US"/>
        </w:rPr>
        <w:t xml:space="preserve"> bulk bands a bit earlier than the other</w:t>
      </w:r>
      <w:r w:rsidR="00E870FE" w:rsidRPr="009774BA">
        <w:rPr>
          <w:rFonts w:cstheme="minorHAnsi"/>
          <w:sz w:val="20"/>
          <w:szCs w:val="20"/>
          <w:lang w:val="en-US"/>
        </w:rPr>
        <w:t xml:space="preserve"> with increasing frequency. </w:t>
      </w:r>
      <w:r w:rsidR="008812B5" w:rsidRPr="009774BA">
        <w:rPr>
          <w:rFonts w:cstheme="minorHAnsi"/>
          <w:sz w:val="20"/>
          <w:szCs w:val="20"/>
          <w:lang w:val="en-US"/>
        </w:rPr>
        <w:t xml:space="preserve">For </w:t>
      </w:r>
      <w:r w:rsidR="008812B5" w:rsidRPr="009774BA">
        <w:rPr>
          <w:rFonts w:cstheme="minorHAnsi"/>
          <w:i/>
          <w:iCs/>
          <w:sz w:val="20"/>
          <w:szCs w:val="20"/>
        </w:rPr>
        <w:t>ω</w:t>
      </w:r>
      <w:r w:rsidR="008812B5" w:rsidRPr="009774BA">
        <w:rPr>
          <w:rFonts w:cstheme="minorHAnsi"/>
          <w:sz w:val="20"/>
          <w:szCs w:val="20"/>
          <w:lang w:val="en-US"/>
        </w:rPr>
        <w:t>/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J</w:t>
      </w:r>
      <w:r w:rsidR="008812B5" w:rsidRPr="009774BA">
        <w:rPr>
          <w:rFonts w:cstheme="minorHAnsi"/>
          <w:sz w:val="20"/>
          <w:szCs w:val="20"/>
          <w:vertAlign w:val="subscript"/>
          <w:lang w:val="en-US"/>
        </w:rPr>
        <w:t>1</w:t>
      </w:r>
      <w:r w:rsidR="008812B5" w:rsidRPr="009774BA">
        <w:rPr>
          <w:rFonts w:cstheme="minorHAnsi"/>
          <w:sz w:val="20"/>
          <w:szCs w:val="20"/>
          <w:lang w:val="en-US"/>
        </w:rPr>
        <w:t xml:space="preserve">&lt;1.6 we have 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V&lt;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 xml:space="preserve">J. </w:t>
      </w:r>
      <w:r w:rsidR="008812B5" w:rsidRPr="009774BA">
        <w:rPr>
          <w:rFonts w:cstheme="minorHAnsi"/>
          <w:sz w:val="20"/>
          <w:szCs w:val="20"/>
          <w:lang w:val="en-US"/>
        </w:rPr>
        <w:t xml:space="preserve">However, even for </w:t>
      </w:r>
      <w:r w:rsidR="008812B5" w:rsidRPr="009774BA">
        <w:rPr>
          <w:rFonts w:cstheme="minorHAnsi"/>
          <w:i/>
          <w:iCs/>
          <w:sz w:val="20"/>
          <w:szCs w:val="20"/>
        </w:rPr>
        <w:t>ω</w:t>
      </w:r>
      <w:r w:rsidR="008812B5" w:rsidRPr="009774BA">
        <w:rPr>
          <w:rFonts w:cstheme="minorHAnsi"/>
          <w:sz w:val="20"/>
          <w:szCs w:val="20"/>
          <w:lang w:val="en-US"/>
        </w:rPr>
        <w:t>/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J</w:t>
      </w:r>
      <w:r w:rsidR="008812B5" w:rsidRPr="009774BA">
        <w:rPr>
          <w:rFonts w:cstheme="minorHAnsi"/>
          <w:sz w:val="20"/>
          <w:szCs w:val="20"/>
          <w:vertAlign w:val="subscript"/>
          <w:lang w:val="en-US"/>
        </w:rPr>
        <w:t>1</w:t>
      </w:r>
      <w:r w:rsidR="008812B5" w:rsidRPr="009774BA">
        <w:rPr>
          <w:rFonts w:cstheme="minorHAnsi"/>
          <w:sz w:val="20"/>
          <w:szCs w:val="20"/>
          <w:lang w:val="en-US"/>
        </w:rPr>
        <w:t xml:space="preserve">=2.2, 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 xml:space="preserve">V </w:t>
      </w:r>
      <w:r w:rsidR="008812B5" w:rsidRPr="009774BA">
        <w:rPr>
          <w:rFonts w:cstheme="minorHAnsi"/>
          <w:sz w:val="20"/>
          <w:szCs w:val="20"/>
          <w:lang w:val="en-US"/>
        </w:rPr>
        <w:t xml:space="preserve">is still smaller than the bandgap, and </w:t>
      </w:r>
      <w:r w:rsidR="008812B5" w:rsidRPr="009774BA">
        <w:rPr>
          <w:rFonts w:cstheme="minorHAnsi"/>
          <w:i/>
          <w:iCs/>
          <w:sz w:val="20"/>
          <w:szCs w:val="20"/>
        </w:rPr>
        <w:t>ω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 xml:space="preserve"> </w:t>
      </w:r>
      <w:r w:rsidR="008812B5" w:rsidRPr="009774BA">
        <w:rPr>
          <w:rFonts w:cstheme="minorHAnsi"/>
          <w:sz w:val="20"/>
          <w:szCs w:val="20"/>
          <w:lang w:val="en-US"/>
        </w:rPr>
        <w:t xml:space="preserve">is so large that the first </w:t>
      </w:r>
      <w:proofErr w:type="spellStart"/>
      <w:r w:rsidR="008812B5" w:rsidRPr="009774BA">
        <w:rPr>
          <w:rFonts w:cstheme="minorHAnsi"/>
          <w:sz w:val="20"/>
          <w:szCs w:val="20"/>
          <w:lang w:val="en-US"/>
        </w:rPr>
        <w:t>Floquet</w:t>
      </w:r>
      <w:proofErr w:type="spellEnd"/>
      <w:r w:rsidR="008812B5" w:rsidRPr="009774BA">
        <w:rPr>
          <w:rFonts w:cstheme="minorHAnsi"/>
          <w:sz w:val="20"/>
          <w:szCs w:val="20"/>
          <w:lang w:val="en-US"/>
        </w:rPr>
        <w:t xml:space="preserve"> replicas lie well outside the bulk bands. For the measurements in Fig. 6(b)</w:t>
      </w:r>
      <w:r w:rsidR="009774BA">
        <w:rPr>
          <w:rFonts w:cstheme="minorHAnsi"/>
          <w:sz w:val="20"/>
          <w:szCs w:val="20"/>
          <w:lang w:val="en-US"/>
        </w:rPr>
        <w:t>,</w:t>
      </w:r>
      <w:r w:rsidR="008812B5" w:rsidRPr="009774BA">
        <w:rPr>
          <w:rFonts w:cstheme="minorHAnsi"/>
          <w:sz w:val="20"/>
          <w:szCs w:val="20"/>
          <w:lang w:val="en-US"/>
        </w:rPr>
        <w:t xml:space="preserve"> 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V&lt;</w:t>
      </w:r>
      <w:r w:rsidR="008812B5" w:rsidRPr="009774BA">
        <w:rPr>
          <w:rFonts w:cstheme="minorHAnsi"/>
          <w:i/>
          <w:iCs/>
          <w:sz w:val="20"/>
          <w:szCs w:val="20"/>
        </w:rPr>
        <w:t>Δ</w:t>
      </w:r>
      <w:r w:rsidR="008812B5" w:rsidRPr="009774BA">
        <w:rPr>
          <w:rFonts w:cstheme="minorHAnsi"/>
          <w:i/>
          <w:iCs/>
          <w:sz w:val="20"/>
          <w:szCs w:val="20"/>
          <w:lang w:val="en-US"/>
        </w:rPr>
        <w:t>J</w:t>
      </w:r>
      <w:r w:rsidR="008812B5" w:rsidRPr="009774BA">
        <w:rPr>
          <w:rFonts w:cstheme="minorHAnsi"/>
          <w:sz w:val="20"/>
          <w:szCs w:val="20"/>
          <w:lang w:val="en-US"/>
        </w:rPr>
        <w:t xml:space="preserve"> </w:t>
      </w:r>
      <w:r w:rsidR="00B80AF6" w:rsidRPr="009774BA">
        <w:rPr>
          <w:rFonts w:cstheme="minorHAnsi"/>
          <w:sz w:val="20"/>
          <w:szCs w:val="20"/>
          <w:lang w:val="en-US"/>
        </w:rPr>
        <w:t xml:space="preserve">is valid </w:t>
      </w:r>
      <w:r w:rsidR="008812B5" w:rsidRPr="009774BA">
        <w:rPr>
          <w:rFonts w:cstheme="minorHAnsi"/>
          <w:sz w:val="20"/>
          <w:szCs w:val="20"/>
          <w:lang w:val="en-US"/>
        </w:rPr>
        <w:t>for all wavelengths used. Therefore, the on-site potential</w:t>
      </w:r>
      <w:r w:rsidR="00B80AF6" w:rsidRPr="009774BA">
        <w:rPr>
          <w:rFonts w:cstheme="minorHAnsi"/>
          <w:sz w:val="20"/>
          <w:szCs w:val="20"/>
          <w:lang w:val="en-US"/>
        </w:rPr>
        <w:t xml:space="preserve"> d</w:t>
      </w:r>
      <w:r w:rsidR="008812B5" w:rsidRPr="009774BA">
        <w:rPr>
          <w:rFonts w:cstheme="minorHAnsi"/>
          <w:sz w:val="20"/>
          <w:szCs w:val="20"/>
          <w:lang w:val="en-US"/>
        </w:rPr>
        <w:t xml:space="preserve">oes not change </w:t>
      </w:r>
      <w:r w:rsidRPr="009774BA">
        <w:rPr>
          <w:rFonts w:cstheme="minorHAnsi"/>
          <w:sz w:val="20"/>
          <w:szCs w:val="20"/>
          <w:lang w:val="en-US"/>
        </w:rPr>
        <w:t>the overall picture</w:t>
      </w:r>
      <w:r w:rsidR="00B80AF6" w:rsidRPr="009774BA">
        <w:rPr>
          <w:rFonts w:cstheme="minorHAnsi"/>
          <w:sz w:val="20"/>
          <w:szCs w:val="20"/>
          <w:lang w:val="en-US"/>
        </w:rPr>
        <w:t xml:space="preserve"> qualitatively</w:t>
      </w:r>
      <w:r w:rsidR="008812B5" w:rsidRPr="009774BA">
        <w:rPr>
          <w:rFonts w:cstheme="minorHAnsi"/>
          <w:sz w:val="20"/>
          <w:szCs w:val="20"/>
          <w:lang w:val="en-US"/>
        </w:rPr>
        <w:t>.</w:t>
      </w:r>
    </w:p>
    <w:p w14:paraId="3BD0E866" w14:textId="5870710A" w:rsidR="004F626B" w:rsidRDefault="004F626B" w:rsidP="008812B5">
      <w:pPr>
        <w:rPr>
          <w:rFonts w:cstheme="minorHAnsi"/>
          <w:sz w:val="20"/>
          <w:szCs w:val="20"/>
          <w:lang w:val="en-US"/>
        </w:rPr>
      </w:pPr>
    </w:p>
    <w:p w14:paraId="6CAD65B8" w14:textId="697FCF43" w:rsidR="004F626B" w:rsidRPr="004F626B" w:rsidRDefault="0049069F" w:rsidP="008812B5">
      <w:pPr>
        <w:rPr>
          <w:rFonts w:cstheme="minorHAnsi"/>
          <w:sz w:val="16"/>
          <w:szCs w:val="16"/>
          <w:lang w:val="en-US"/>
        </w:rPr>
      </w:pPr>
      <w:r>
        <w:rPr>
          <w:rFonts w:cstheme="minorHAnsi"/>
          <w:noProof/>
          <w:sz w:val="16"/>
          <w:szCs w:val="16"/>
          <w:lang w:val="en-US"/>
        </w:rPr>
        <w:drawing>
          <wp:inline distT="0" distB="0" distL="0" distR="0" wp14:anchorId="51376024" wp14:editId="2CB84817">
            <wp:extent cx="5940425" cy="2927985"/>
            <wp:effectExtent l="0" t="0" r="3175" b="571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S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95AF9" w14:textId="053D07A8" w:rsidR="00B80AF6" w:rsidRPr="00342C69" w:rsidRDefault="00342C69" w:rsidP="008812B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42C69">
        <w:rPr>
          <w:rFonts w:ascii="Times New Roman" w:hAnsi="Times New Roman" w:cs="Times New Roman"/>
          <w:sz w:val="20"/>
          <w:szCs w:val="20"/>
          <w:lang w:val="en-US"/>
        </w:rPr>
        <w:t xml:space="preserve">Fig. S1: Numerically calculated band structures for the experimental parameters of Fig. 6(a). </w:t>
      </w:r>
    </w:p>
    <w:sectPr w:rsidR="00B80AF6" w:rsidRPr="00342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4021"/>
    <w:multiLevelType w:val="hybridMultilevel"/>
    <w:tmpl w:val="F4FCF7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B40AC2"/>
    <w:multiLevelType w:val="hybridMultilevel"/>
    <w:tmpl w:val="3684E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20DBD"/>
    <w:multiLevelType w:val="hybridMultilevel"/>
    <w:tmpl w:val="158AD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56878"/>
    <w:multiLevelType w:val="hybridMultilevel"/>
    <w:tmpl w:val="F6863B06"/>
    <w:lvl w:ilvl="0" w:tplc="590462F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C3A1F"/>
    <w:multiLevelType w:val="hybridMultilevel"/>
    <w:tmpl w:val="0B6CAC9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E5E6F"/>
    <w:multiLevelType w:val="hybridMultilevel"/>
    <w:tmpl w:val="384E6D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FEE"/>
    <w:rsid w:val="00002FE9"/>
    <w:rsid w:val="00011531"/>
    <w:rsid w:val="000204C2"/>
    <w:rsid w:val="00021052"/>
    <w:rsid w:val="00042DCC"/>
    <w:rsid w:val="000576B4"/>
    <w:rsid w:val="0007464B"/>
    <w:rsid w:val="00094117"/>
    <w:rsid w:val="00094631"/>
    <w:rsid w:val="000B39D8"/>
    <w:rsid w:val="000C517D"/>
    <w:rsid w:val="000C676C"/>
    <w:rsid w:val="000E42A7"/>
    <w:rsid w:val="000F4865"/>
    <w:rsid w:val="000F7672"/>
    <w:rsid w:val="0011146D"/>
    <w:rsid w:val="0011536C"/>
    <w:rsid w:val="00135E8A"/>
    <w:rsid w:val="0015178C"/>
    <w:rsid w:val="00157965"/>
    <w:rsid w:val="001924CF"/>
    <w:rsid w:val="001B142A"/>
    <w:rsid w:val="001D4EF2"/>
    <w:rsid w:val="001E234F"/>
    <w:rsid w:val="001E5203"/>
    <w:rsid w:val="001E73AC"/>
    <w:rsid w:val="0022161E"/>
    <w:rsid w:val="00240A19"/>
    <w:rsid w:val="00256DE9"/>
    <w:rsid w:val="002655D2"/>
    <w:rsid w:val="00273E95"/>
    <w:rsid w:val="00283F1D"/>
    <w:rsid w:val="002C77A0"/>
    <w:rsid w:val="002D1AE8"/>
    <w:rsid w:val="002D56F6"/>
    <w:rsid w:val="002E61FC"/>
    <w:rsid w:val="002F7434"/>
    <w:rsid w:val="00301630"/>
    <w:rsid w:val="00330D7B"/>
    <w:rsid w:val="00333E9D"/>
    <w:rsid w:val="0034177B"/>
    <w:rsid w:val="00342C69"/>
    <w:rsid w:val="00343CB0"/>
    <w:rsid w:val="00350FA5"/>
    <w:rsid w:val="00353F22"/>
    <w:rsid w:val="003751ED"/>
    <w:rsid w:val="003E3CB1"/>
    <w:rsid w:val="0040400B"/>
    <w:rsid w:val="00432E6E"/>
    <w:rsid w:val="00450B3A"/>
    <w:rsid w:val="00457BC1"/>
    <w:rsid w:val="0049069F"/>
    <w:rsid w:val="004A2941"/>
    <w:rsid w:val="004B6BD0"/>
    <w:rsid w:val="004C2366"/>
    <w:rsid w:val="004E2C81"/>
    <w:rsid w:val="004F626B"/>
    <w:rsid w:val="00512E75"/>
    <w:rsid w:val="005600A9"/>
    <w:rsid w:val="00564767"/>
    <w:rsid w:val="005B13F8"/>
    <w:rsid w:val="005E3AE5"/>
    <w:rsid w:val="005E7BC2"/>
    <w:rsid w:val="0060473A"/>
    <w:rsid w:val="00611865"/>
    <w:rsid w:val="006166A3"/>
    <w:rsid w:val="00622381"/>
    <w:rsid w:val="0062263A"/>
    <w:rsid w:val="00643DAC"/>
    <w:rsid w:val="00680CEB"/>
    <w:rsid w:val="006C7685"/>
    <w:rsid w:val="006D27FD"/>
    <w:rsid w:val="006D2C3C"/>
    <w:rsid w:val="00701FEE"/>
    <w:rsid w:val="00714BE4"/>
    <w:rsid w:val="00721E09"/>
    <w:rsid w:val="00724F20"/>
    <w:rsid w:val="00734B6D"/>
    <w:rsid w:val="00786C17"/>
    <w:rsid w:val="00795673"/>
    <w:rsid w:val="007B06E8"/>
    <w:rsid w:val="007C0EB2"/>
    <w:rsid w:val="007D660B"/>
    <w:rsid w:val="007E2F11"/>
    <w:rsid w:val="007E6484"/>
    <w:rsid w:val="007F4176"/>
    <w:rsid w:val="007F63AC"/>
    <w:rsid w:val="00834AD6"/>
    <w:rsid w:val="008812B5"/>
    <w:rsid w:val="008821F2"/>
    <w:rsid w:val="008B6775"/>
    <w:rsid w:val="008D5E9E"/>
    <w:rsid w:val="008E155F"/>
    <w:rsid w:val="008E5700"/>
    <w:rsid w:val="00900968"/>
    <w:rsid w:val="009411E2"/>
    <w:rsid w:val="00966AC7"/>
    <w:rsid w:val="00973893"/>
    <w:rsid w:val="009774BA"/>
    <w:rsid w:val="00984C36"/>
    <w:rsid w:val="009A3532"/>
    <w:rsid w:val="009A5A48"/>
    <w:rsid w:val="009B2A71"/>
    <w:rsid w:val="009D3D45"/>
    <w:rsid w:val="009D5DEB"/>
    <w:rsid w:val="009D68AA"/>
    <w:rsid w:val="009D797A"/>
    <w:rsid w:val="009E4055"/>
    <w:rsid w:val="009F0A27"/>
    <w:rsid w:val="009F5FCF"/>
    <w:rsid w:val="00A376F8"/>
    <w:rsid w:val="00A96FF7"/>
    <w:rsid w:val="00AC0767"/>
    <w:rsid w:val="00AD0A70"/>
    <w:rsid w:val="00AD38AE"/>
    <w:rsid w:val="00B0512D"/>
    <w:rsid w:val="00B26544"/>
    <w:rsid w:val="00B4162B"/>
    <w:rsid w:val="00B50AFF"/>
    <w:rsid w:val="00B53EBE"/>
    <w:rsid w:val="00B80AF6"/>
    <w:rsid w:val="00B80F87"/>
    <w:rsid w:val="00B81741"/>
    <w:rsid w:val="00B92801"/>
    <w:rsid w:val="00B92D75"/>
    <w:rsid w:val="00BA77AE"/>
    <w:rsid w:val="00BB58A8"/>
    <w:rsid w:val="00BC1A32"/>
    <w:rsid w:val="00BC697B"/>
    <w:rsid w:val="00BD1541"/>
    <w:rsid w:val="00BF2DA1"/>
    <w:rsid w:val="00BF48E6"/>
    <w:rsid w:val="00BF5330"/>
    <w:rsid w:val="00C06EDF"/>
    <w:rsid w:val="00C1080B"/>
    <w:rsid w:val="00C121C7"/>
    <w:rsid w:val="00C80E02"/>
    <w:rsid w:val="00CA7E2B"/>
    <w:rsid w:val="00CB2DB9"/>
    <w:rsid w:val="00CB7E54"/>
    <w:rsid w:val="00CE3759"/>
    <w:rsid w:val="00CE663D"/>
    <w:rsid w:val="00CF5B94"/>
    <w:rsid w:val="00CF795A"/>
    <w:rsid w:val="00D12223"/>
    <w:rsid w:val="00D134C6"/>
    <w:rsid w:val="00D16A78"/>
    <w:rsid w:val="00D36B78"/>
    <w:rsid w:val="00D56025"/>
    <w:rsid w:val="00D6087A"/>
    <w:rsid w:val="00D61D11"/>
    <w:rsid w:val="00D76D7F"/>
    <w:rsid w:val="00D81A59"/>
    <w:rsid w:val="00D97AFA"/>
    <w:rsid w:val="00DD39A6"/>
    <w:rsid w:val="00E428CC"/>
    <w:rsid w:val="00E65252"/>
    <w:rsid w:val="00E870FE"/>
    <w:rsid w:val="00EC3210"/>
    <w:rsid w:val="00ED4A50"/>
    <w:rsid w:val="00EE06FD"/>
    <w:rsid w:val="00EE16FF"/>
    <w:rsid w:val="00F07F34"/>
    <w:rsid w:val="00F110EB"/>
    <w:rsid w:val="00F35A4B"/>
    <w:rsid w:val="00F4482B"/>
    <w:rsid w:val="00F51FD1"/>
    <w:rsid w:val="00F569B8"/>
    <w:rsid w:val="00F612D7"/>
    <w:rsid w:val="00F9475B"/>
    <w:rsid w:val="00F95447"/>
    <w:rsid w:val="00FA1BFE"/>
    <w:rsid w:val="00FA4395"/>
    <w:rsid w:val="00FA4BB7"/>
    <w:rsid w:val="00FD5FFE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3F83D"/>
  <w15:docId w15:val="{F0E08F7C-F9A1-4846-A4BF-E3F22B83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7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01FE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CE663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7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3E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3E9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3E9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3E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3E9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3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3E95"/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Standard"/>
    <w:link w:val="footnotedescriptionChar"/>
    <w:hidden/>
    <w:rsid w:val="009774BA"/>
    <w:pPr>
      <w:spacing w:after="36"/>
      <w:ind w:left="34"/>
    </w:pPr>
    <w:rPr>
      <w:rFonts w:ascii="Cambria" w:eastAsia="Cambria" w:hAnsi="Cambria" w:cs="Cambria"/>
      <w:color w:val="000000"/>
      <w:sz w:val="16"/>
      <w:lang w:val="de-DE" w:eastAsia="de-DE"/>
    </w:rPr>
  </w:style>
  <w:style w:type="character" w:customStyle="1" w:styleId="footnotedescriptionChar">
    <w:name w:val="footnote description Char"/>
    <w:link w:val="footnotedescription"/>
    <w:rsid w:val="009774BA"/>
    <w:rPr>
      <w:rFonts w:ascii="Cambria" w:eastAsia="Cambria" w:hAnsi="Cambria" w:cs="Cambria"/>
      <w:color w:val="000000"/>
      <w:sz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</dc:creator>
  <cp:lastModifiedBy>agvf</cp:lastModifiedBy>
  <cp:revision>9</cp:revision>
  <dcterms:created xsi:type="dcterms:W3CDTF">2019-03-08T12:21:00Z</dcterms:created>
  <dcterms:modified xsi:type="dcterms:W3CDTF">2019-06-05T07:27:00Z</dcterms:modified>
</cp:coreProperties>
</file>