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rPr>
          <w:rFonts w:ascii="Times New Roman" w:hAnsi="Times New Roman" w:cs="Times New Roman"/>
          <w:b/>
          <w:sz w:val="28"/>
          <w:szCs w:val="28"/>
        </w:rPr>
      </w:pPr>
      <w:bookmarkStart w:id="0" w:name="_Hlk33041909"/>
      <w:bookmarkEnd w:id="0"/>
      <w:r>
        <w:rPr>
          <w:rFonts w:ascii="Times New Roman" w:hAnsi="Times New Roman" w:cs="Times New Roman"/>
          <w:b/>
          <w:sz w:val="28"/>
          <w:szCs w:val="28"/>
        </w:rPr>
        <w:t xml:space="preserve">                Supplementary Information for </w:t>
      </w:r>
    </w:p>
    <w:p>
      <w:pPr>
        <w:spacing w:line="257" w:lineRule="auto"/>
        <w:jc w:val="center"/>
        <w:rPr>
          <w:rFonts w:ascii="Times New Roman" w:hAnsi="Times New Roman" w:cs="Times New Roman"/>
          <w:b/>
          <w:sz w:val="28"/>
          <w:szCs w:val="28"/>
        </w:rPr>
      </w:pPr>
      <w:r>
        <w:rPr>
          <w:rFonts w:hint="eastAsia" w:ascii="Times New Roman" w:hAnsi="Times New Roman" w:cs="Times New Roman"/>
          <w:b/>
          <w:sz w:val="28"/>
          <w:szCs w:val="28"/>
        </w:rPr>
        <w:t>P</w:t>
      </w:r>
      <w:r>
        <w:rPr>
          <w:rFonts w:ascii="Times New Roman" w:hAnsi="Times New Roman" w:cs="Times New Roman"/>
          <w:b/>
          <w:sz w:val="28"/>
          <w:szCs w:val="28"/>
        </w:rPr>
        <w:t xml:space="preserve">hotonic </w:t>
      </w:r>
      <w:r>
        <w:rPr>
          <w:rFonts w:hint="eastAsia" w:ascii="Times New Roman" w:hAnsi="Times New Roman" w:cs="Times New Roman"/>
          <w:b/>
          <w:sz w:val="28"/>
          <w:szCs w:val="28"/>
        </w:rPr>
        <w:t>Floq</w:t>
      </w:r>
      <w:r>
        <w:rPr>
          <w:rFonts w:ascii="Times New Roman" w:hAnsi="Times New Roman" w:cs="Times New Roman"/>
          <w:b/>
          <w:sz w:val="28"/>
          <w:szCs w:val="28"/>
        </w:rPr>
        <w:t xml:space="preserve">uet Topological Insulators in a </w:t>
      </w:r>
      <w:r>
        <w:rPr>
          <w:rFonts w:hint="eastAsia" w:ascii="Times New Roman" w:hAnsi="Times New Roman" w:cs="Times New Roman"/>
          <w:b/>
          <w:sz w:val="28"/>
          <w:szCs w:val="28"/>
          <w:lang w:val="en-US" w:eastAsia="zh-CN"/>
        </w:rPr>
        <w:t>f</w:t>
      </w:r>
      <w:r>
        <w:rPr>
          <w:rFonts w:ascii="Times New Roman" w:hAnsi="Times New Roman" w:cs="Times New Roman"/>
          <w:b/>
          <w:sz w:val="28"/>
          <w:szCs w:val="28"/>
        </w:rPr>
        <w:t xml:space="preserve">ractal </w:t>
      </w:r>
      <w:r>
        <w:rPr>
          <w:rFonts w:hint="eastAsia" w:ascii="Times New Roman" w:hAnsi="Times New Roman" w:cs="Times New Roman"/>
          <w:b/>
          <w:sz w:val="28"/>
          <w:szCs w:val="28"/>
          <w:lang w:val="en-US" w:eastAsia="zh-CN"/>
        </w:rPr>
        <w:t>l</w:t>
      </w:r>
      <w:r>
        <w:rPr>
          <w:rFonts w:ascii="Times New Roman" w:hAnsi="Times New Roman" w:cs="Times New Roman"/>
          <w:b/>
          <w:sz w:val="28"/>
          <w:szCs w:val="28"/>
        </w:rPr>
        <w:t>attice</w:t>
      </w:r>
    </w:p>
    <w:p>
      <w:pPr>
        <w:shd w:val="clear" w:color="auto" w:fill="FFFFFF" w:themeFill="background1"/>
        <w:spacing w:after="0" w:line="240" w:lineRule="auto"/>
        <w:ind w:right="-138"/>
        <w:jc w:val="center"/>
        <w:rPr>
          <w:rFonts w:asciiTheme="majorBidi" w:hAnsiTheme="majorBidi" w:cstheme="majorBidi"/>
          <w:iCs/>
          <w:sz w:val="24"/>
          <w:szCs w:val="28"/>
        </w:rPr>
      </w:pPr>
      <w:r>
        <w:rPr>
          <w:rFonts w:asciiTheme="majorBidi" w:hAnsiTheme="majorBidi" w:cstheme="majorBidi"/>
          <w:iCs/>
          <w:sz w:val="24"/>
          <w:szCs w:val="28"/>
        </w:rPr>
        <w:t>Zhaoju Yang, Eran Lustig, Yaakov Lumer and Mordechai Segev</w:t>
      </w:r>
    </w:p>
    <w:p>
      <w:pPr>
        <w:shd w:val="clear" w:color="auto" w:fill="FFFFFF" w:themeFill="background1"/>
        <w:spacing w:after="0" w:line="240" w:lineRule="auto"/>
        <w:jc w:val="center"/>
        <w:rPr>
          <w:rFonts w:asciiTheme="majorBidi" w:hAnsiTheme="majorBidi" w:cstheme="majorBidi"/>
          <w:i/>
          <w:iCs/>
          <w:sz w:val="24"/>
          <w:szCs w:val="24"/>
        </w:rPr>
      </w:pPr>
      <w:r>
        <w:rPr>
          <w:rFonts w:asciiTheme="majorBidi" w:hAnsiTheme="majorBidi" w:cstheme="majorBidi"/>
          <w:i/>
          <w:iCs/>
          <w:sz w:val="24"/>
          <w:szCs w:val="24"/>
        </w:rPr>
        <w:t xml:space="preserve">Physics Department and Solid State Institute, </w:t>
      </w:r>
    </w:p>
    <w:p>
      <w:pPr>
        <w:shd w:val="clear" w:color="auto" w:fill="FFFFFF" w:themeFill="background1"/>
        <w:spacing w:after="0" w:line="240" w:lineRule="auto"/>
        <w:jc w:val="center"/>
        <w:rPr>
          <w:rFonts w:asciiTheme="majorBidi" w:hAnsiTheme="majorBidi" w:cstheme="majorBidi"/>
          <w:i/>
          <w:iCs/>
          <w:sz w:val="24"/>
          <w:szCs w:val="24"/>
        </w:rPr>
      </w:pPr>
      <w:r>
        <w:rPr>
          <w:rFonts w:asciiTheme="majorBidi" w:hAnsiTheme="majorBidi" w:cstheme="majorBidi"/>
          <w:i/>
          <w:iCs/>
          <w:sz w:val="24"/>
          <w:szCs w:val="24"/>
        </w:rPr>
        <w:t xml:space="preserve">Technion– Israel Institute of Technology, Haifa 32000, Israel </w:t>
      </w:r>
    </w:p>
    <w:p>
      <w:pPr>
        <w:jc w:val="both"/>
        <w:rPr>
          <w:rFonts w:ascii="Times New Roman" w:hAnsi="Times New Roman" w:cs="Times New Roman"/>
          <w:b/>
          <w:bCs/>
          <w:sz w:val="24"/>
        </w:rPr>
      </w:pPr>
      <w:bookmarkStart w:id="3" w:name="_GoBack"/>
      <w:bookmarkEnd w:id="3"/>
    </w:p>
    <w:p>
      <w:pPr>
        <w:spacing w:line="257" w:lineRule="auto"/>
        <w:jc w:val="both"/>
        <w:rPr>
          <w:rFonts w:ascii="Times New Roman" w:hAnsi="Times New Roman" w:cs="Times New Roman"/>
          <w:b/>
          <w:bCs/>
          <w:sz w:val="24"/>
        </w:rPr>
      </w:pPr>
      <w:r>
        <w:rPr>
          <w:rFonts w:hint="eastAsia" w:ascii="Times New Roman" w:hAnsi="Times New Roman" w:cs="Times New Roman"/>
          <w:b/>
          <w:bCs/>
          <w:sz w:val="24"/>
        </w:rPr>
        <w:t>S</w:t>
      </w:r>
      <w:r>
        <w:rPr>
          <w:rFonts w:ascii="Times New Roman" w:hAnsi="Times New Roman" w:cs="Times New Roman"/>
          <w:b/>
          <w:bCs/>
          <w:sz w:val="24"/>
        </w:rPr>
        <w:t>ection A: the Sierpinski gasket</w:t>
      </w:r>
      <w:r>
        <w:rPr>
          <w:rFonts w:ascii="Times New Roman" w:hAnsi="Times New Roman" w:cs="Times New Roman"/>
          <w:sz w:val="24"/>
        </w:rPr>
        <w:t xml:space="preserve"> </w:t>
      </w:r>
      <w:r>
        <w:rPr>
          <w:rFonts w:ascii="Times New Roman" w:hAnsi="Times New Roman" w:cs="Times New Roman"/>
          <w:b/>
          <w:bCs/>
          <w:sz w:val="24"/>
        </w:rPr>
        <w:t>lattice with G(5) generation</w:t>
      </w:r>
    </w:p>
    <w:p>
      <w:pPr>
        <w:jc w:val="both"/>
        <w:rPr>
          <w:rFonts w:ascii="Times New Roman" w:hAnsi="Times New Roman" w:cs="Times New Roman"/>
          <w:sz w:val="24"/>
        </w:rPr>
      </w:pPr>
      <w:r>
        <w:rPr>
          <w:rFonts w:ascii="Times New Roman" w:hAnsi="Times New Roman" w:cs="Times New Roman"/>
          <w:sz w:val="24"/>
        </w:rPr>
        <w:t xml:space="preserve">As discussed in the main text, higher generation fractals always include more inner edges as the generation increases. In fact, the existence of inner edges in a generic property of all fractal. </w:t>
      </w:r>
    </w:p>
    <w:p>
      <w:pPr>
        <w:jc w:val="both"/>
        <w:rPr>
          <w:rFonts w:ascii="Times New Roman" w:hAnsi="Times New Roman" w:cs="Times New Roman"/>
          <w:sz w:val="24"/>
        </w:rPr>
      </w:pPr>
      <w:r>
        <w:rPr>
          <w:rFonts w:ascii="Times New Roman" w:hAnsi="Times New Roman" w:cs="Times New Roman"/>
          <w:sz w:val="24"/>
        </w:rPr>
        <w:t xml:space="preserve">We find that the modulated Sierpinski gasket (SG) of generation 5 (henceforth called G(5); shown in Fig. S1) supports topological edge states on the outer edge, and conjecture that higher generations (7, 9, etc.) always support these. We confirm (in simulations) that the topological states on the outer edge indeed display robust transport, just as G(4) does (Fig. 4 in the main text). </w:t>
      </w:r>
    </w:p>
    <w:p>
      <w:pPr>
        <w:jc w:val="both"/>
        <w:rPr>
          <w:rFonts w:ascii="Times New Roman" w:hAnsi="Times New Roman" w:cs="Times New Roman"/>
          <w:sz w:val="24"/>
        </w:rPr>
      </w:pPr>
      <w:r>
        <w:rPr>
          <w:rFonts w:ascii="Times New Roman" w:hAnsi="Times New Roman" w:cs="Times New Roman"/>
          <w:sz w:val="24"/>
        </w:rPr>
        <w:t xml:space="preserve">In addition to simulating the evolution of wavepackets on the outer edge, we also examine the propagation on the inner edges. Our simulations reveal that the inner edges of the SG fractal lattice also support robust propagation - as long as the edge is surrounded by an area that is larger than G(3), so as to serve as the “bulk” region for the respective inner edge. That is, for edge states on the inner edges to exhibit topologically protected transport – the inner edge must be well separated from other edges, by a region that is wider than the width of the edge state. For the SG lattice, we find that the inner edges must at least have a region of size G(3) separating between them and other nearby edges.   </w:t>
      </w:r>
    </w:p>
    <w:p>
      <w:pPr>
        <w:jc w:val="both"/>
        <w:rPr>
          <w:rFonts w:ascii="Times New Roman" w:hAnsi="Times New Roman" w:cs="Times New Roman"/>
          <w:sz w:val="24"/>
        </w:rPr>
      </w:pPr>
      <w:r>
        <w:rPr>
          <w:rFonts w:ascii="Times New Roman" w:hAnsi="Times New Roman" w:cs="Times New Roman"/>
          <w:sz w:val="24"/>
        </w:rPr>
        <w:t>Supplementary Movies #5 and 6 present simulations showing two inner edges that support topologically protected edge states. The big blue dot indicates the initial input site.</w:t>
      </w:r>
    </w:p>
    <w:p>
      <w:pPr>
        <w:jc w:val="both"/>
        <w:rPr>
          <w:rFonts w:ascii="Times New Roman" w:hAnsi="Times New Roman" w:cs="Times New Roman"/>
          <w:sz w:val="24"/>
        </w:rPr>
      </w:pPr>
      <w:r>
        <w:rPr>
          <w:lang w:eastAsia="en-US" w:bidi="he-IL"/>
        </w:rPr>
        <w:drawing>
          <wp:inline distT="0" distB="0" distL="0" distR="0">
            <wp:extent cx="3914775" cy="3599815"/>
            <wp:effectExtent l="0" t="0" r="9525"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915359" cy="3600000"/>
                    </a:xfrm>
                    <a:prstGeom prst="rect">
                      <a:avLst/>
                    </a:prstGeom>
                    <a:noFill/>
                    <a:ln>
                      <a:noFill/>
                    </a:ln>
                  </pic:spPr>
                </pic:pic>
              </a:graphicData>
            </a:graphic>
          </wp:inline>
        </w:drawing>
      </w:r>
    </w:p>
    <w:p>
      <w:pPr>
        <w:spacing w:after="0" w:line="240" w:lineRule="auto"/>
        <w:jc w:val="both"/>
        <w:rPr>
          <w:rFonts w:ascii="Times New Roman" w:hAnsi="Times New Roman" w:cs="Times New Roman"/>
        </w:rPr>
      </w:pPr>
      <w:r>
        <w:rPr>
          <w:rFonts w:hint="eastAsia" w:ascii="Times New Roman" w:hAnsi="Times New Roman" w:cs="Times New Roman"/>
        </w:rPr>
        <w:t>F</w:t>
      </w:r>
      <w:r>
        <w:rPr>
          <w:rFonts w:ascii="Times New Roman" w:hAnsi="Times New Roman" w:cs="Times New Roman"/>
        </w:rPr>
        <w:t xml:space="preserve">igure </w:t>
      </w:r>
      <w:r>
        <w:rPr>
          <w:rFonts w:hint="eastAsia" w:ascii="Times New Roman" w:hAnsi="Times New Roman" w:cs="Times New Roman"/>
        </w:rPr>
        <w:t>S</w:t>
      </w:r>
      <w:r>
        <w:rPr>
          <w:rFonts w:ascii="Times New Roman" w:hAnsi="Times New Roman" w:cs="Times New Roman"/>
        </w:rPr>
        <w:t xml:space="preserve">1: Inner eigen states of the G(5) fractal lattice. (a) The G(5) fractal lattice. (b) Quasienergy spectrum with </w:t>
      </w:r>
      <m:oMath>
        <m:r>
          <m:rPr>
            <m:sty m:val="bi"/>
          </m:rPr>
          <w:rPr>
            <w:rFonts w:ascii="Cambria Math" w:hAnsi="Cambria Math" w:cstheme="majorHAnsi"/>
          </w:rPr>
          <m:t>A</m:t>
        </m:r>
        <m:d>
          <m:dPr>
            <m:ctrlPr>
              <w:rPr>
                <w:rFonts w:ascii="Cambria Math" w:hAnsi="Cambria Math" w:cstheme="majorHAnsi"/>
                <w:i/>
              </w:rPr>
            </m:ctrlPr>
          </m:dPr>
          <m:e>
            <m:r>
              <w:rPr>
                <w:rFonts w:ascii="Cambria Math" w:hAnsi="Cambria Math" w:cstheme="majorHAnsi"/>
              </w:rPr>
              <m:t>z</m:t>
            </m:r>
            <m:ctrlPr>
              <w:rPr>
                <w:rFonts w:ascii="Cambria Math" w:hAnsi="Cambria Math" w:cstheme="majorHAnsi"/>
                <w:i/>
              </w:rPr>
            </m:ctrlPr>
          </m:e>
        </m:d>
        <m:r>
          <w:rPr>
            <w:rFonts w:ascii="Cambria Math" w:hAnsi="Cambria Math" w:cstheme="majorHAnsi"/>
          </w:rPr>
          <m:t>≠0</m:t>
        </m:r>
      </m:oMath>
      <w:r>
        <w:rPr>
          <w:rFonts w:hint="eastAsia" w:ascii="Times New Roman" w:hAnsi="Times New Roman" w:cs="Times New Roman"/>
        </w:rPr>
        <w:t xml:space="preserve"> </w:t>
      </w:r>
      <w:r>
        <w:rPr>
          <w:rFonts w:ascii="Times New Roman" w:hAnsi="Times New Roman" w:cs="Times New Roman"/>
        </w:rPr>
        <w:t>for the G(5) fractal lattice</w:t>
      </w:r>
      <w:r>
        <w:rPr>
          <w:rFonts w:hint="eastAsia" w:ascii="Times New Roman" w:hAnsi="Times New Roman" w:cs="Times New Roman"/>
        </w:rPr>
        <w:t xml:space="preserve">. </w:t>
      </w:r>
      <w:r>
        <w:rPr>
          <w:rFonts w:ascii="Times New Roman" w:hAnsi="Times New Roman" w:cs="Times New Roman"/>
        </w:rPr>
        <w:t>(c-d) Field intensity patterns of two eigenstates localized at internal edges of the fractal lattice (states number 279 and 282, respectively). The color bar indicates the intensity (normalized to the peak intensity in each state). The parameters for the numerical simulation are the same as in Fig. 2.</w:t>
      </w:r>
    </w:p>
    <w:p>
      <w:pPr>
        <w:spacing w:after="0" w:line="240" w:lineRule="auto"/>
        <w:rPr>
          <w:rFonts w:ascii="Times New Roman" w:hAnsi="Times New Roman" w:cs="Times New Roman"/>
          <w:b/>
          <w:bCs/>
          <w:sz w:val="24"/>
        </w:rPr>
      </w:pPr>
    </w:p>
    <w:p>
      <w:pPr>
        <w:spacing w:line="360" w:lineRule="auto"/>
        <w:rPr>
          <w:rFonts w:ascii="Times New Roman" w:hAnsi="Times New Roman" w:cs="Times New Roman"/>
          <w:b/>
          <w:bCs/>
          <w:sz w:val="24"/>
        </w:rPr>
      </w:pPr>
      <w:r>
        <w:rPr>
          <w:rFonts w:hint="eastAsia" w:ascii="Times New Roman" w:hAnsi="Times New Roman" w:cs="Times New Roman"/>
          <w:b/>
          <w:bCs/>
          <w:sz w:val="24"/>
        </w:rPr>
        <w:t>S</w:t>
      </w:r>
      <w:r>
        <w:rPr>
          <w:rFonts w:ascii="Times New Roman" w:hAnsi="Times New Roman" w:cs="Times New Roman"/>
          <w:b/>
          <w:bCs/>
          <w:sz w:val="24"/>
        </w:rPr>
        <w:t>ection B: the difference between a helical fractal lattice and a honeycomb lattice with randomly missed sites</w:t>
      </w:r>
    </w:p>
    <w:p>
      <w:pPr>
        <w:jc w:val="both"/>
        <w:rPr>
          <w:rFonts w:ascii="Times New Roman" w:hAnsi="Times New Roman" w:cs="Times New Roman"/>
          <w:sz w:val="24"/>
        </w:rPr>
      </w:pPr>
      <w:r>
        <w:rPr>
          <w:rFonts w:ascii="Times New Roman" w:hAnsi="Times New Roman" w:cs="Times New Roman"/>
          <w:sz w:val="24"/>
        </w:rPr>
        <w:t xml:space="preserve">An instructive way to understand the role of the fractal dimensionality in the topological phase is to compare the fractal Floquet topological insulator model presented in the main text, with a Floquet topological insulator with randomly missed sites. </w:t>
      </w:r>
    </w:p>
    <w:p>
      <w:pPr>
        <w:jc w:val="both"/>
        <w:rPr>
          <w:rFonts w:ascii="Times New Roman" w:hAnsi="Times New Roman" w:cs="Times New Roman"/>
          <w:sz w:val="24"/>
        </w:rPr>
      </w:pPr>
      <w:r>
        <w:rPr>
          <w:rFonts w:ascii="Times New Roman" w:hAnsi="Times New Roman" w:cs="Times New Roman"/>
          <w:sz w:val="24"/>
        </w:rPr>
        <w:t xml:space="preserve">The main feature defining fractality is symmetry: fractal structures are made of building blocks displaying self-similarity of multiple scale. Thus, the major difference between a fractal lattice and a lattice with missed holes is that the fractal lattice has a well-defined symmetry that includes the holes, whereas a lattice with randomly missed sites only has some leftover of the original lattice. For the random case – the holes are only disruptive: they only spoil the symmetry, but never add new symmetries. In fact, this is the whole essence of fractals: symmetry over multiple generations of replicas of different sizes, which are manifested in the non-integer (fractal) dimension. </w:t>
      </w:r>
    </w:p>
    <w:p>
      <w:pPr>
        <w:jc w:val="both"/>
        <w:rPr>
          <w:rFonts w:ascii="Times New Roman" w:hAnsi="Times New Roman" w:cs="Times New Roman"/>
          <w:sz w:val="24"/>
        </w:rPr>
      </w:pPr>
      <w:r>
        <w:rPr>
          <w:rFonts w:ascii="Times New Roman" w:hAnsi="Times New Roman" w:cs="Times New Roman"/>
          <w:sz w:val="24"/>
        </w:rPr>
        <w:t xml:space="preserve">It therefore makes sense to study whether (or not) </w:t>
      </w:r>
      <w:r>
        <w:rPr>
          <w:rFonts w:hint="eastAsia" w:ascii="Times New Roman" w:hAnsi="Times New Roman" w:cs="Times New Roman"/>
          <w:sz w:val="24"/>
        </w:rPr>
        <w:t xml:space="preserve">the fractal </w:t>
      </w:r>
      <w:r>
        <w:rPr>
          <w:rFonts w:ascii="Times New Roman" w:hAnsi="Times New Roman" w:cs="Times New Roman"/>
          <w:sz w:val="24"/>
        </w:rPr>
        <w:t xml:space="preserve">Floquet </w:t>
      </w:r>
      <w:r>
        <w:rPr>
          <w:rFonts w:hint="eastAsia" w:ascii="Times New Roman" w:hAnsi="Times New Roman" w:cs="Times New Roman"/>
          <w:sz w:val="24"/>
        </w:rPr>
        <w:t xml:space="preserve">topological insulator </w:t>
      </w:r>
      <w:r>
        <w:rPr>
          <w:rFonts w:ascii="Times New Roman" w:hAnsi="Times New Roman" w:cs="Times New Roman"/>
          <w:sz w:val="24"/>
        </w:rPr>
        <w:t>is</w:t>
      </w:r>
      <w:r>
        <w:rPr>
          <w:rFonts w:hint="eastAsia" w:ascii="Times New Roman" w:hAnsi="Times New Roman" w:cs="Times New Roman"/>
          <w:sz w:val="24"/>
        </w:rPr>
        <w:t xml:space="preserve"> topologically equivalent to the </w:t>
      </w:r>
      <w:r>
        <w:rPr>
          <w:rFonts w:ascii="Times New Roman" w:hAnsi="Times New Roman" w:cs="Times New Roman"/>
          <w:sz w:val="24"/>
        </w:rPr>
        <w:t xml:space="preserve">Floquet </w:t>
      </w:r>
      <w:r>
        <w:rPr>
          <w:rFonts w:hint="eastAsia" w:ascii="Times New Roman" w:hAnsi="Times New Roman" w:cs="Times New Roman"/>
          <w:sz w:val="24"/>
        </w:rPr>
        <w:t>topological insulator with some site</w:t>
      </w:r>
      <w:r>
        <w:rPr>
          <w:rFonts w:ascii="Times New Roman" w:hAnsi="Times New Roman" w:cs="Times New Roman"/>
          <w:sz w:val="24"/>
        </w:rPr>
        <w:t>s</w:t>
      </w:r>
      <w:r>
        <w:rPr>
          <w:rFonts w:hint="eastAsia" w:ascii="Times New Roman" w:hAnsi="Times New Roman" w:cs="Times New Roman"/>
          <w:sz w:val="24"/>
        </w:rPr>
        <w:t xml:space="preserve"> missed in the bulk</w:t>
      </w:r>
      <w:r>
        <w:rPr>
          <w:rFonts w:ascii="Times New Roman" w:hAnsi="Times New Roman" w:cs="Times New Roman"/>
          <w:sz w:val="24"/>
        </w:rPr>
        <w:t>. To address this issue, we simulate the honeycomb lattices with randomly missed sites. We made sure that t</w:t>
      </w:r>
      <w:r>
        <w:rPr>
          <w:rFonts w:hint="eastAsia" w:ascii="Times New Roman" w:hAnsi="Times New Roman" w:cs="Times New Roman"/>
          <w:sz w:val="24"/>
        </w:rPr>
        <w:t>he</w:t>
      </w:r>
      <w:r>
        <w:rPr>
          <w:rFonts w:ascii="Times New Roman" w:hAnsi="Times New Roman" w:cs="Times New Roman"/>
          <w:sz w:val="24"/>
        </w:rPr>
        <w:t xml:space="preserve"> total number of lattice sites (and hence the number of states) in the fractal and the honeycomb with randomly missed sites are the same - to enable a fair comparison – and investigate their topological properties. [Statistically, the chance of obtaining a fractal lattice by randomly deleting nodes is negligible in a large enough lattice; hence, in the statistics, we can neglect the chance of obtaining a fractal lattice by deleting random nodes]. </w:t>
      </w:r>
    </w:p>
    <w:p>
      <w:pPr>
        <w:jc w:val="both"/>
        <w:rPr>
          <w:rFonts w:ascii="Times New Roman" w:hAnsi="Times New Roman" w:cs="Times New Roman"/>
          <w:sz w:val="24"/>
        </w:rPr>
      </w:pPr>
      <w:r>
        <w:rPr>
          <w:rFonts w:ascii="Times New Roman" w:hAnsi="Times New Roman" w:cs="Times New Roman"/>
          <w:sz w:val="24"/>
        </w:rPr>
        <w:t xml:space="preserve">Figure S2 shows three examples [Panels (a-c)] of realizations of honeycomb lattices with randomly missed sites with the same number of sites as the fourth generation of the fractal honeycomb, G(4), depicted in Fig. 1 in the main text. Each of these examples displays a continuous quasi-energy spectrum. </w:t>
      </w:r>
    </w:p>
    <w:p>
      <w:pPr>
        <w:spacing w:after="0" w:line="257" w:lineRule="auto"/>
        <w:jc w:val="both"/>
        <w:rPr>
          <w:rFonts w:ascii="Times New Roman" w:hAnsi="Times New Roman" w:cs="Times New Roman"/>
          <w:sz w:val="24"/>
        </w:rPr>
      </w:pPr>
      <w:r>
        <w:rPr>
          <w:rFonts w:ascii="Times New Roman" w:hAnsi="Times New Roman" w:cs="Times New Roman"/>
          <w:sz w:val="24"/>
        </w:rPr>
        <w:t xml:space="preserve">First, we find that the real-space Chern number calculation of all the 3 cases does not indicate that these lattices are topological. For example, Panels (d-f) show the real-space Chern number calculated for cases (a-c).  </w:t>
      </w:r>
    </w:p>
    <w:p>
      <w:pPr>
        <w:jc w:val="both"/>
        <w:rPr>
          <w:rFonts w:ascii="Times New Roman" w:hAnsi="Times New Roman" w:cs="Times New Roman"/>
          <w:sz w:val="24"/>
        </w:rPr>
      </w:pPr>
      <w:r>
        <w:rPr>
          <w:rFonts w:ascii="Times New Roman" w:hAnsi="Times New Roman" w:cs="Times New Roman"/>
          <w:sz w:val="24"/>
        </w:rPr>
        <w:t xml:space="preserve">Second, we check the eigenfunctions of all the states in each of the realizations, and concentrate on edge states that are “suspected” to be topological. For case (a) of the “randomly missed lattice” – there is no state that resides strictly on the edge. For cases (b, c) - the states that reside mostly on the edges (and are therefore suspected to be topological) are state #97 and state #95 [Panels (h) and (i)], respectively. For these states, we simulate the propagation and examine the robustness, as we do in Fig. 4 of the main text. </w:t>
      </w:r>
    </w:p>
    <w:p>
      <w:pPr>
        <w:spacing w:after="0" w:line="257" w:lineRule="auto"/>
        <w:jc w:val="both"/>
        <w:rPr>
          <w:rFonts w:ascii="Times New Roman" w:hAnsi="Times New Roman" w:cs="Times New Roman"/>
          <w:sz w:val="24"/>
        </w:rPr>
      </w:pPr>
      <w:r>
        <w:rPr>
          <w:rFonts w:ascii="Times New Roman" w:hAnsi="Times New Roman" w:cs="Times New Roman"/>
          <w:sz w:val="24"/>
        </w:rPr>
        <w:t>Consider first the state #97 of case (b), whose propagation is shown in the bottom row [panel (j)] of the figure, which displays the light intensity distributions at several propagation distances</w:t>
      </w:r>
      <w:r>
        <w:rPr>
          <w:rFonts w:hint="eastAsia" w:ascii="Times New Roman" w:hAnsi="Times New Roman" w:cs="Times New Roman"/>
          <w:sz w:val="24"/>
        </w:rPr>
        <w:t xml:space="preserve"> </w:t>
      </w:r>
      <m:oMath>
        <m:r>
          <w:rPr>
            <w:rFonts w:ascii="Cambria Math" w:hAnsi="Cambria Math" w:cs="Times New Roman"/>
            <w:sz w:val="24"/>
          </w:rPr>
          <m:t>Z</m:t>
        </m:r>
        <m:r>
          <m:rPr>
            <m:sty m:val="p"/>
          </m:rPr>
          <w:rPr>
            <w:rFonts w:ascii="Cambria Math" w:hAnsi="Cambria Math" w:cs="Times New Roman"/>
            <w:sz w:val="24"/>
          </w:rPr>
          <m:t>=0, 30, 60, 90cm</m:t>
        </m:r>
      </m:oMath>
      <w:r>
        <w:rPr>
          <w:rFonts w:ascii="Times New Roman" w:hAnsi="Times New Roman" w:cs="Times New Roman"/>
          <w:sz w:val="24"/>
        </w:rPr>
        <w:t xml:space="preserve">. The launched wave is positioned at the blue dot, with a fixed quasi-energy identical to that of the eigen-state 97 (so as to excite only state #97). As shown in the bottom row of the figure, the excited wave moves forward and backward along the edges, penetrates into the bulk and stays localized at several positions. This means that even this most ‘suspected’ edge state is not a topological edge state. Similar behavior is observed for state #95 of case (c) (which is the most suspected to be a topological edge state for case (c) realization of the randomly missed honeycomb). From these examples, and others we have checked, we conjecture that the </w:t>
      </w:r>
      <w:r>
        <w:rPr>
          <w:rFonts w:hint="eastAsia" w:ascii="Times New Roman" w:hAnsi="Times New Roman" w:cs="Times New Roman"/>
          <w:sz w:val="24"/>
        </w:rPr>
        <w:t xml:space="preserve">topological </w:t>
      </w:r>
      <w:r>
        <w:rPr>
          <w:rFonts w:ascii="Times New Roman" w:hAnsi="Times New Roman" w:cs="Times New Roman"/>
          <w:sz w:val="24"/>
        </w:rPr>
        <w:t>F</w:t>
      </w:r>
      <w:r>
        <w:rPr>
          <w:rFonts w:hint="eastAsia" w:ascii="Times New Roman" w:hAnsi="Times New Roman" w:cs="Times New Roman"/>
          <w:sz w:val="24"/>
        </w:rPr>
        <w:t xml:space="preserve">loquet insulator with </w:t>
      </w:r>
      <w:r>
        <w:rPr>
          <w:rFonts w:ascii="Times New Roman" w:hAnsi="Times New Roman" w:cs="Times New Roman"/>
          <w:sz w:val="24"/>
        </w:rPr>
        <w:t>random</w:t>
      </w:r>
      <w:r>
        <w:rPr>
          <w:rFonts w:hint="eastAsia" w:ascii="Times New Roman" w:hAnsi="Times New Roman" w:cs="Times New Roman"/>
          <w:sz w:val="24"/>
        </w:rPr>
        <w:t xml:space="preserve"> site</w:t>
      </w:r>
      <w:r>
        <w:rPr>
          <w:rFonts w:ascii="Times New Roman" w:hAnsi="Times New Roman" w:cs="Times New Roman"/>
          <w:sz w:val="24"/>
        </w:rPr>
        <w:t>s</w:t>
      </w:r>
      <w:r>
        <w:rPr>
          <w:rFonts w:hint="eastAsia" w:ascii="Times New Roman" w:hAnsi="Times New Roman" w:cs="Times New Roman"/>
          <w:sz w:val="24"/>
        </w:rPr>
        <w:t xml:space="preserve"> missed in the bulk</w:t>
      </w:r>
      <w:r>
        <w:rPr>
          <w:rFonts w:ascii="Times New Roman" w:hAnsi="Times New Roman" w:cs="Times New Roman"/>
          <w:sz w:val="24"/>
        </w:rPr>
        <w:t xml:space="preserve"> supports no topological edge states. </w:t>
      </w:r>
    </w:p>
    <w:p>
      <w:pPr>
        <w:spacing w:before="120" w:after="0" w:line="257" w:lineRule="auto"/>
        <w:jc w:val="both"/>
        <w:rPr>
          <w:rFonts w:ascii="Times New Roman" w:hAnsi="Times New Roman" w:cs="Times New Roman"/>
          <w:sz w:val="24"/>
        </w:rPr>
      </w:pPr>
      <w:r>
        <w:rPr>
          <w:rFonts w:ascii="Times New Roman" w:hAnsi="Times New Roman" w:cs="Times New Roman"/>
          <w:sz w:val="24"/>
        </w:rPr>
        <w:t xml:space="preserve">It is possible to obtain an indication for this from the real-space Chern number – which – for all “randomly missed honeycomb lattices” we checked – is always close zero, unlike the real-space Chern number of the fractal lattice –which is at the proximity of 1 (Fig 3 in the main text).  </w:t>
      </w:r>
    </w:p>
    <w:p>
      <w:pPr>
        <w:spacing w:after="0" w:line="257" w:lineRule="auto"/>
        <w:jc w:val="both"/>
        <w:rPr>
          <w:rFonts w:ascii="Times New Roman" w:hAnsi="Times New Roman" w:cs="Times New Roman"/>
          <w:sz w:val="24"/>
        </w:rPr>
      </w:pPr>
    </w:p>
    <w:p>
      <w:pPr>
        <w:spacing w:after="0" w:line="257" w:lineRule="auto"/>
        <w:jc w:val="both"/>
        <w:rPr>
          <w:rFonts w:ascii="Times New Roman" w:hAnsi="Times New Roman" w:cs="Times New Roman"/>
          <w:sz w:val="24"/>
        </w:rPr>
      </w:pPr>
      <w:r>
        <w:rPr>
          <w:rFonts w:ascii="Times New Roman" w:hAnsi="Times New Roman" w:cs="Times New Roman"/>
          <w:sz w:val="24"/>
        </w:rPr>
        <w:t>Therefore, as a result of our simulations, we conclude here that:</w:t>
      </w:r>
    </w:p>
    <w:p>
      <w:pPr>
        <w:spacing w:after="0" w:line="257" w:lineRule="auto"/>
        <w:jc w:val="both"/>
        <w:rPr>
          <w:rFonts w:ascii="Times New Roman" w:hAnsi="Times New Roman" w:cs="Times New Roman"/>
          <w:sz w:val="24"/>
        </w:rPr>
      </w:pPr>
      <w:r>
        <w:rPr>
          <w:rFonts w:ascii="Times New Roman" w:hAnsi="Times New Roman" w:cs="Times New Roman"/>
          <w:sz w:val="24"/>
        </w:rPr>
        <w:t xml:space="preserve">1. The fractal lattice can be obtained only by deleting specific nodes in the periodic lattice, not by eliminating random nodes. </w:t>
      </w:r>
    </w:p>
    <w:p>
      <w:pPr>
        <w:spacing w:after="0" w:line="257" w:lineRule="auto"/>
        <w:jc w:val="both"/>
        <w:rPr>
          <w:rFonts w:ascii="Times New Roman" w:hAnsi="Times New Roman" w:cs="Times New Roman"/>
          <w:sz w:val="24"/>
        </w:rPr>
      </w:pPr>
      <w:r>
        <w:rPr>
          <w:rFonts w:ascii="Times New Roman" w:hAnsi="Times New Roman" w:cs="Times New Roman"/>
          <w:sz w:val="24"/>
        </w:rPr>
        <w:t>2. T</w:t>
      </w:r>
      <w:r>
        <w:rPr>
          <w:rFonts w:hint="eastAsia" w:ascii="Times New Roman" w:hAnsi="Times New Roman" w:cs="Times New Roman"/>
          <w:sz w:val="24"/>
        </w:rPr>
        <w:t xml:space="preserve">he fractal topological insulator </w:t>
      </w:r>
      <w:r>
        <w:rPr>
          <w:rFonts w:ascii="Times New Roman" w:hAnsi="Times New Roman" w:cs="Times New Roman"/>
          <w:sz w:val="24"/>
        </w:rPr>
        <w:t>is not</w:t>
      </w:r>
      <w:r>
        <w:rPr>
          <w:rFonts w:hint="eastAsia" w:ascii="Times New Roman" w:hAnsi="Times New Roman" w:cs="Times New Roman"/>
          <w:sz w:val="24"/>
        </w:rPr>
        <w:t xml:space="preserve"> topologically equivalent to the topological </w:t>
      </w:r>
      <w:r>
        <w:rPr>
          <w:rFonts w:ascii="Times New Roman" w:hAnsi="Times New Roman" w:cs="Times New Roman"/>
          <w:sz w:val="24"/>
        </w:rPr>
        <w:t>F</w:t>
      </w:r>
      <w:r>
        <w:rPr>
          <w:rFonts w:hint="eastAsia" w:ascii="Times New Roman" w:hAnsi="Times New Roman" w:cs="Times New Roman"/>
          <w:sz w:val="24"/>
        </w:rPr>
        <w:t xml:space="preserve">loquet insulator with </w:t>
      </w:r>
      <w:r>
        <w:rPr>
          <w:rFonts w:ascii="Times New Roman" w:hAnsi="Times New Roman" w:cs="Times New Roman"/>
          <w:sz w:val="24"/>
        </w:rPr>
        <w:t>random</w:t>
      </w:r>
      <w:r>
        <w:rPr>
          <w:rFonts w:hint="eastAsia" w:ascii="Times New Roman" w:hAnsi="Times New Roman" w:cs="Times New Roman"/>
          <w:sz w:val="24"/>
        </w:rPr>
        <w:t xml:space="preserve"> site</w:t>
      </w:r>
      <w:r>
        <w:rPr>
          <w:rFonts w:ascii="Times New Roman" w:hAnsi="Times New Roman" w:cs="Times New Roman"/>
          <w:sz w:val="24"/>
        </w:rPr>
        <w:t>s</w:t>
      </w:r>
      <w:r>
        <w:rPr>
          <w:rFonts w:hint="eastAsia" w:ascii="Times New Roman" w:hAnsi="Times New Roman" w:cs="Times New Roman"/>
          <w:sz w:val="24"/>
        </w:rPr>
        <w:t xml:space="preserve"> missed in the bulk</w:t>
      </w:r>
      <w:r>
        <w:rPr>
          <w:rFonts w:ascii="Times New Roman" w:hAnsi="Times New Roman" w:cs="Times New Roman"/>
          <w:sz w:val="24"/>
        </w:rPr>
        <w:t>.</w:t>
      </w:r>
    </w:p>
    <w:p>
      <w:pPr>
        <w:spacing w:after="0" w:line="257" w:lineRule="auto"/>
        <w:jc w:val="both"/>
        <w:rPr>
          <w:rFonts w:ascii="Times New Roman" w:hAnsi="Times New Roman" w:cs="Times New Roman"/>
          <w:sz w:val="24"/>
        </w:rPr>
      </w:pPr>
      <w:r>
        <w:rPr>
          <w:lang w:eastAsia="en-US" w:bidi="he-IL"/>
        </w:rPr>
        <w:drawing>
          <wp:inline distT="0" distB="0" distL="0" distR="0">
            <wp:extent cx="4476750" cy="5778500"/>
            <wp:effectExtent l="0" t="0" r="0" b="0"/>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4478889" cy="5781603"/>
                    </a:xfrm>
                    <a:prstGeom prst="rect">
                      <a:avLst/>
                    </a:prstGeom>
                    <a:noFill/>
                    <a:ln>
                      <a:noFill/>
                    </a:ln>
                  </pic:spPr>
                </pic:pic>
              </a:graphicData>
            </a:graphic>
          </wp:inline>
        </w:drawing>
      </w:r>
    </w:p>
    <w:p>
      <w:pPr>
        <w:spacing w:after="0" w:line="240" w:lineRule="auto"/>
        <w:jc w:val="both"/>
        <w:rPr>
          <w:rFonts w:ascii="Times New Roman" w:hAnsi="Times New Roman" w:cs="Times New Roman"/>
        </w:rPr>
      </w:pPr>
      <w:r>
        <w:rPr>
          <w:rFonts w:hint="eastAsia" w:ascii="Times New Roman" w:hAnsi="Times New Roman" w:cs="Times New Roman"/>
        </w:rPr>
        <w:t>Fig</w:t>
      </w:r>
      <w:r>
        <w:rPr>
          <w:rFonts w:ascii="Times New Roman" w:hAnsi="Times New Roman" w:cs="Times New Roman"/>
        </w:rPr>
        <w:t xml:space="preserve">ure S2. (a-c) Quasienergy spectrum of the honeycomb lattices with randomly missed sites. There are 204 sites in total for each case, which is the same as that of the G(4) fractal example analyzed in the main text. (d-f) Real-space Chern numbers for examples (a-c). (g-i) Middle row: three cases of eigen states. (j) Lower row: Wave propagation of ‘suspected’ edge state 97 of example (b). </w:t>
      </w:r>
    </w:p>
    <w:p>
      <w:pPr>
        <w:spacing w:after="0" w:line="257" w:lineRule="auto"/>
        <w:jc w:val="both"/>
        <w:rPr>
          <w:color w:val="3953A5"/>
          <w:lang w:val="en-SG"/>
        </w:rPr>
      </w:pPr>
    </w:p>
    <w:p>
      <w:pPr>
        <w:spacing w:after="0" w:line="257" w:lineRule="auto"/>
        <w:jc w:val="both"/>
        <w:rPr>
          <w:rFonts w:ascii="Times New Roman" w:hAnsi="Times New Roman" w:cs="Times New Roman"/>
          <w:sz w:val="24"/>
          <w:lang w:val="en-SG"/>
        </w:rPr>
      </w:pPr>
    </w:p>
    <w:p>
      <w:pPr>
        <w:jc w:val="both"/>
        <w:rPr>
          <w:rFonts w:ascii="Times New Roman" w:hAnsi="Times New Roman" w:cs="Times New Roman"/>
          <w:sz w:val="24"/>
          <w:lang w:val="en-SG"/>
        </w:rPr>
      </w:pPr>
    </w:p>
    <w:p>
      <w:pPr>
        <w:spacing w:line="240" w:lineRule="auto"/>
        <w:rPr>
          <w:rFonts w:ascii="Times New Roman" w:hAnsi="Times New Roman" w:cs="Times New Roman"/>
          <w:sz w:val="24"/>
        </w:rPr>
      </w:pPr>
      <w:r>
        <w:rPr>
          <w:rFonts w:hint="eastAsia" w:ascii="Times New Roman" w:hAnsi="Times New Roman" w:cs="Times New Roman"/>
          <w:b/>
          <w:bCs/>
          <w:sz w:val="24"/>
        </w:rPr>
        <w:t>S</w:t>
      </w:r>
      <w:r>
        <w:rPr>
          <w:rFonts w:ascii="Times New Roman" w:hAnsi="Times New Roman" w:cs="Times New Roman"/>
          <w:b/>
          <w:bCs/>
          <w:sz w:val="24"/>
        </w:rPr>
        <w:t xml:space="preserve">ection C: </w:t>
      </w:r>
      <w:r>
        <w:rPr>
          <w:rFonts w:hint="eastAsia" w:ascii="Times New Roman" w:hAnsi="Times New Roman" w:cs="Times New Roman"/>
          <w:b/>
          <w:bCs/>
          <w:sz w:val="24"/>
        </w:rPr>
        <w:t xml:space="preserve">wave propagate in the hybrid system </w:t>
      </w:r>
      <w:bookmarkStart w:id="1" w:name="_Hlk40567841"/>
      <w:r>
        <w:rPr>
          <w:rFonts w:hint="eastAsia" w:ascii="Times New Roman" w:hAnsi="Times New Roman" w:cs="Times New Roman"/>
          <w:b/>
          <w:bCs/>
          <w:sz w:val="24"/>
        </w:rPr>
        <w:t>where the two components possess different non-zero real space Chern number</w:t>
      </w:r>
      <w:bookmarkEnd w:id="1"/>
      <w:bookmarkStart w:id="2" w:name="_Hlk40567576"/>
    </w:p>
    <w:p>
      <w:pPr>
        <w:jc w:val="both"/>
        <w:rPr>
          <w:rFonts w:ascii="Times New Roman" w:hAnsi="Times New Roman" w:cs="Times New Roman"/>
          <w:sz w:val="24"/>
        </w:rPr>
      </w:pPr>
      <w:r>
        <w:rPr>
          <w:rFonts w:ascii="Times New Roman" w:hAnsi="Times New Roman" w:cs="Times New Roman"/>
          <w:sz w:val="24"/>
        </w:rPr>
        <w:t xml:space="preserve">As shown in Fig. S3, we launched a wave at the blue dot with fixed quasi-energy of </w:t>
      </w:r>
      <m:oMath>
        <m:r>
          <m:rPr>
            <m:sty m:val="p"/>
          </m:rPr>
          <w:rPr>
            <w:rFonts w:ascii="Cambria Math" w:hAnsi="Cambria Math" w:cs="Times New Roman"/>
            <w:sz w:val="24"/>
          </w:rPr>
          <m:t>-0.066</m:t>
        </m:r>
        <m:r>
          <w:rPr>
            <w:rFonts w:ascii="Cambria Math" w:hAnsi="Cambria Math" w:cs="Times New Roman"/>
            <w:sz w:val="24"/>
          </w:rPr>
          <m:t>π</m:t>
        </m:r>
      </m:oMath>
      <w:r>
        <w:rPr>
          <w:rFonts w:ascii="Times New Roman" w:hAnsi="Times New Roman" w:cs="Times New Roman"/>
          <w:sz w:val="24"/>
        </w:rPr>
        <w:t>, where the half-honeycomb component possesses the real-space Chern number of 1 and the half-fractal component has the real-space Chern number of 0.3. From the simulations, we find that the wave propagates first along the edge of the honeycomb lattice, then partially keeps moving along the edge of the fractal lattice and partially penetrates into the ‘bulk’ of the fractal lattice and stays localized. The key point here is that the system with non-zero and non-integer real-space Chern number doesn’t have fully topological protection.</w:t>
      </w:r>
    </w:p>
    <w:bookmarkEnd w:id="2"/>
    <w:p>
      <w:pPr>
        <w:rPr>
          <w:i/>
          <w:lang w:val="en-SG"/>
        </w:rPr>
      </w:pPr>
      <w:r>
        <w:rPr>
          <w:lang w:eastAsia="en-US" w:bidi="he-IL"/>
        </w:rPr>
        <w:drawing>
          <wp:inline distT="0" distB="0" distL="0" distR="0">
            <wp:extent cx="5186045" cy="2245995"/>
            <wp:effectExtent l="0" t="0" r="0" b="190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187936" cy="2246905"/>
                    </a:xfrm>
                    <a:prstGeom prst="rect">
                      <a:avLst/>
                    </a:prstGeom>
                    <a:noFill/>
                    <a:ln>
                      <a:noFill/>
                    </a:ln>
                  </pic:spPr>
                </pic:pic>
              </a:graphicData>
            </a:graphic>
          </wp:inline>
        </w:drawing>
      </w:r>
      <w:r>
        <w:t xml:space="preserve"> </w:t>
      </w:r>
    </w:p>
    <w:p>
      <w:pPr>
        <w:spacing w:after="0" w:line="240" w:lineRule="auto"/>
        <w:jc w:val="both"/>
        <w:rPr>
          <w:rFonts w:ascii="Times New Roman" w:hAnsi="Times New Roman" w:cs="Times New Roman"/>
        </w:rPr>
      </w:pPr>
      <w:r>
        <w:rPr>
          <w:rFonts w:hint="eastAsia" w:ascii="Times New Roman" w:hAnsi="Times New Roman" w:cs="Times New Roman"/>
        </w:rPr>
        <w:t>F</w:t>
      </w:r>
      <w:r>
        <w:rPr>
          <w:rFonts w:ascii="Times New Roman" w:hAnsi="Times New Roman" w:cs="Times New Roman"/>
        </w:rPr>
        <w:t xml:space="preserve">igure S3. Wave propagation </w:t>
      </w:r>
      <w:r>
        <w:rPr>
          <w:rFonts w:hint="eastAsia" w:ascii="Times New Roman" w:hAnsi="Times New Roman" w:cs="Times New Roman"/>
        </w:rPr>
        <w:t xml:space="preserve">in the hybrid </w:t>
      </w:r>
      <w:r>
        <w:rPr>
          <w:rFonts w:ascii="Times New Roman" w:hAnsi="Times New Roman" w:cs="Times New Roman"/>
        </w:rPr>
        <w:t>system,</w:t>
      </w:r>
      <w:r>
        <w:rPr>
          <w:rFonts w:hint="eastAsia" w:ascii="Times New Roman" w:hAnsi="Times New Roman" w:cs="Times New Roman"/>
        </w:rPr>
        <w:t xml:space="preserve"> where the two components possess different non-zero real space Chern number</w:t>
      </w:r>
      <w:r>
        <w:rPr>
          <w:rFonts w:ascii="Times New Roman" w:hAnsi="Times New Roman" w:cs="Times New Roman"/>
        </w:rPr>
        <w:t>.</w:t>
      </w:r>
    </w:p>
    <w:p>
      <w:pPr>
        <w:spacing w:after="0" w:line="240" w:lineRule="auto"/>
        <w:rPr>
          <w:rFonts w:ascii="Times New Roman" w:hAnsi="Times New Roman" w:cs="Times New Roman"/>
          <w:b/>
          <w:bCs/>
          <w:sz w:val="24"/>
          <w:lang w:val="en-SG"/>
        </w:rPr>
      </w:pPr>
    </w:p>
    <w:p>
      <w:pPr>
        <w:spacing w:line="240" w:lineRule="auto"/>
        <w:rPr>
          <w:rFonts w:ascii="Times New Roman" w:hAnsi="Times New Roman" w:cs="Times New Roman"/>
          <w:b/>
          <w:bCs/>
          <w:sz w:val="24"/>
        </w:rPr>
      </w:pPr>
      <w:r>
        <w:rPr>
          <w:rFonts w:ascii="Times New Roman" w:hAnsi="Times New Roman" w:cs="Times New Roman"/>
          <w:b/>
          <w:bCs/>
          <w:sz w:val="24"/>
        </w:rPr>
        <w:t>Section D: wave simulations for the hybrid lattice</w:t>
      </w:r>
    </w:p>
    <w:p>
      <w:pPr>
        <w:jc w:val="both"/>
        <w:rPr>
          <w:rFonts w:ascii="Times New Roman" w:hAnsi="Times New Roman" w:cs="Times New Roman"/>
          <w:sz w:val="24"/>
        </w:rPr>
      </w:pPr>
      <w:r>
        <w:rPr>
          <w:rFonts w:ascii="Times New Roman" w:hAnsi="Times New Roman" w:cs="Times New Roman"/>
          <w:sz w:val="24"/>
        </w:rPr>
        <w:t>Since experiments are generally carried out in Lab space and not in Hilbert space, we carry out wave simulations to test whether the results of our tight-binding simulations hold –for some reasonable propagation distance that will allow propagation around the hybrid lattice at least once. To do that, we solve the paraxial wave equation</w:t>
      </w:r>
    </w:p>
    <w:p>
      <w:pPr>
        <w:jc w:val="center"/>
        <w:rPr>
          <w:rFonts w:ascii="Times New Roman" w:hAnsi="Times New Roman" w:cs="Times New Roman"/>
          <w:sz w:val="24"/>
        </w:rPr>
      </w:pPr>
      <m:oMath>
        <m:r>
          <w:rPr>
            <w:rFonts w:ascii="Cambria Math" w:hAnsi="Cambria Math" w:cstheme="majorHAnsi"/>
            <w:sz w:val="24"/>
          </w:rPr>
          <m:t>i</m:t>
        </m:r>
        <m:sSub>
          <m:sSubPr>
            <m:ctrlPr>
              <w:rPr>
                <w:rFonts w:ascii="Cambria Math" w:hAnsi="Cambria Math" w:cstheme="majorHAnsi"/>
                <w:i/>
                <w:sz w:val="24"/>
              </w:rPr>
            </m:ctrlPr>
          </m:sSubPr>
          <m:e>
            <m:r>
              <w:rPr>
                <w:rFonts w:ascii="Cambria Math" w:hAnsi="Cambria Math" w:cstheme="majorHAnsi"/>
                <w:sz w:val="24"/>
              </w:rPr>
              <m:t>∂</m:t>
            </m:r>
            <m:ctrlPr>
              <w:rPr>
                <w:rFonts w:ascii="Cambria Math" w:hAnsi="Cambria Math" w:cstheme="majorHAnsi"/>
                <w:i/>
                <w:sz w:val="24"/>
              </w:rPr>
            </m:ctrlPr>
          </m:e>
          <m:sub>
            <m:r>
              <w:rPr>
                <w:rFonts w:ascii="Cambria Math" w:hAnsi="Cambria Math" w:cstheme="majorHAnsi"/>
                <w:sz w:val="24"/>
              </w:rPr>
              <m:t>z</m:t>
            </m:r>
            <m:ctrlPr>
              <w:rPr>
                <w:rFonts w:ascii="Cambria Math" w:hAnsi="Cambria Math" w:cstheme="majorHAnsi"/>
                <w:i/>
                <w:sz w:val="24"/>
              </w:rPr>
            </m:ctrlPr>
          </m:sub>
        </m:sSub>
        <m:r>
          <w:rPr>
            <w:rFonts w:ascii="Cambria Math" w:hAnsi="Cambria Math" w:cstheme="majorHAnsi"/>
            <w:sz w:val="24"/>
          </w:rPr>
          <m:t>ψ</m:t>
        </m:r>
        <m:d>
          <m:dPr>
            <m:ctrlPr>
              <w:rPr>
                <w:rFonts w:ascii="Cambria Math" w:hAnsi="Cambria Math" w:cstheme="majorHAnsi"/>
                <w:i/>
                <w:sz w:val="24"/>
              </w:rPr>
            </m:ctrlPr>
          </m:dPr>
          <m:e>
            <m:r>
              <w:rPr>
                <w:rFonts w:ascii="Cambria Math" w:hAnsi="Cambria Math" w:cstheme="majorHAnsi"/>
                <w:sz w:val="24"/>
              </w:rPr>
              <m:t>r</m:t>
            </m:r>
            <m:ctrlPr>
              <w:rPr>
                <w:rFonts w:ascii="Cambria Math" w:hAnsi="Cambria Math" w:cstheme="majorHAnsi"/>
                <w:i/>
                <w:sz w:val="24"/>
              </w:rPr>
            </m:ctrlPr>
          </m:e>
        </m:d>
        <m:r>
          <w:rPr>
            <w:rFonts w:ascii="Cambria Math" w:hAnsi="Cambria Math" w:cstheme="majorHAnsi"/>
            <w:sz w:val="24"/>
          </w:rPr>
          <m:t xml:space="preserve">= </m:t>
        </m:r>
        <m:f>
          <m:fPr>
            <m:ctrlPr>
              <w:rPr>
                <w:rFonts w:ascii="Cambria Math" w:hAnsi="Cambria Math" w:cstheme="majorHAnsi"/>
                <w:i/>
                <w:sz w:val="24"/>
              </w:rPr>
            </m:ctrlPr>
          </m:fPr>
          <m:num>
            <m:r>
              <w:rPr>
                <w:rFonts w:ascii="Cambria Math" w:hAnsi="Cambria Math" w:cstheme="majorHAnsi"/>
                <w:sz w:val="24"/>
              </w:rPr>
              <m:t>-1</m:t>
            </m:r>
            <m:ctrlPr>
              <w:rPr>
                <w:rFonts w:ascii="Cambria Math" w:hAnsi="Cambria Math" w:cstheme="majorHAnsi"/>
                <w:i/>
                <w:sz w:val="24"/>
              </w:rPr>
            </m:ctrlPr>
          </m:num>
          <m:den>
            <m:r>
              <w:rPr>
                <w:rFonts w:ascii="Cambria Math" w:hAnsi="Cambria Math" w:cstheme="majorHAnsi"/>
                <w:sz w:val="24"/>
              </w:rPr>
              <m:t>2</m:t>
            </m:r>
            <m:sSub>
              <m:sSubPr>
                <m:ctrlPr>
                  <w:rPr>
                    <w:rFonts w:ascii="Cambria Math" w:hAnsi="Cambria Math" w:cstheme="majorHAnsi"/>
                    <w:i/>
                    <w:sz w:val="24"/>
                  </w:rPr>
                </m:ctrlPr>
              </m:sSubPr>
              <m:e>
                <m:r>
                  <w:rPr>
                    <w:rFonts w:ascii="Cambria Math" w:hAnsi="Cambria Math" w:cstheme="majorHAnsi"/>
                    <w:sz w:val="24"/>
                  </w:rPr>
                  <m:t>k</m:t>
                </m:r>
                <m:ctrlPr>
                  <w:rPr>
                    <w:rFonts w:ascii="Cambria Math" w:hAnsi="Cambria Math" w:cstheme="majorHAnsi"/>
                    <w:i/>
                    <w:sz w:val="24"/>
                  </w:rPr>
                </m:ctrlPr>
              </m:e>
              <m:sub>
                <m:r>
                  <w:rPr>
                    <w:rFonts w:ascii="Cambria Math" w:hAnsi="Cambria Math" w:cstheme="majorHAnsi"/>
                    <w:sz w:val="24"/>
                  </w:rPr>
                  <m:t>0</m:t>
                </m:r>
                <m:ctrlPr>
                  <w:rPr>
                    <w:rFonts w:ascii="Cambria Math" w:hAnsi="Cambria Math" w:cstheme="majorHAnsi"/>
                    <w:i/>
                    <w:sz w:val="24"/>
                  </w:rPr>
                </m:ctrlPr>
              </m:sub>
            </m:sSub>
            <m:ctrlPr>
              <w:rPr>
                <w:rFonts w:ascii="Cambria Math" w:hAnsi="Cambria Math" w:cstheme="majorHAnsi"/>
                <w:i/>
                <w:sz w:val="24"/>
              </w:rPr>
            </m:ctrlPr>
          </m:den>
        </m:f>
        <m:sSup>
          <m:sSupPr>
            <m:ctrlPr>
              <w:rPr>
                <w:rFonts w:ascii="Cambria Math" w:hAnsi="Cambria Math" w:cstheme="majorHAnsi"/>
                <w:i/>
                <w:sz w:val="24"/>
              </w:rPr>
            </m:ctrlPr>
          </m:sSupPr>
          <m:e>
            <m:r>
              <m:rPr>
                <m:sty m:val="p"/>
              </m:rPr>
              <w:rPr>
                <w:rFonts w:ascii="Cambria Math" w:hAnsi="Cambria Math" w:cstheme="majorHAnsi"/>
                <w:sz w:val="24"/>
              </w:rPr>
              <m:t>∇</m:t>
            </m:r>
            <m:ctrlPr>
              <w:rPr>
                <w:rFonts w:ascii="Cambria Math" w:hAnsi="Cambria Math" w:cstheme="majorHAnsi"/>
                <w:i/>
                <w:sz w:val="24"/>
              </w:rPr>
            </m:ctrlPr>
          </m:e>
          <m:sup>
            <m:r>
              <w:rPr>
                <w:rFonts w:ascii="Cambria Math" w:hAnsi="Cambria Math" w:cstheme="majorHAnsi"/>
                <w:sz w:val="24"/>
              </w:rPr>
              <m:t>2</m:t>
            </m:r>
            <m:ctrlPr>
              <w:rPr>
                <w:rFonts w:ascii="Cambria Math" w:hAnsi="Cambria Math" w:cstheme="majorHAnsi"/>
                <w:i/>
                <w:sz w:val="24"/>
              </w:rPr>
            </m:ctrlPr>
          </m:sup>
        </m:sSup>
        <m:r>
          <w:rPr>
            <w:rFonts w:ascii="Cambria Math" w:hAnsi="Cambria Math" w:cstheme="majorHAnsi"/>
            <w:sz w:val="24"/>
          </w:rPr>
          <m:t>ψ</m:t>
        </m:r>
        <m:d>
          <m:dPr>
            <m:ctrlPr>
              <w:rPr>
                <w:rFonts w:ascii="Cambria Math" w:hAnsi="Cambria Math" w:cstheme="majorHAnsi"/>
                <w:i/>
                <w:sz w:val="24"/>
              </w:rPr>
            </m:ctrlPr>
          </m:dPr>
          <m:e>
            <m:r>
              <w:rPr>
                <w:rFonts w:ascii="Cambria Math" w:hAnsi="Cambria Math" w:cstheme="majorHAnsi"/>
                <w:sz w:val="24"/>
              </w:rPr>
              <m:t>r</m:t>
            </m:r>
            <m:ctrlPr>
              <w:rPr>
                <w:rFonts w:ascii="Cambria Math" w:hAnsi="Cambria Math" w:cstheme="majorHAnsi"/>
                <w:i/>
                <w:sz w:val="24"/>
              </w:rPr>
            </m:ctrlPr>
          </m:e>
        </m:d>
        <m:r>
          <w:rPr>
            <w:rFonts w:ascii="Cambria Math" w:hAnsi="Cambria Math" w:cstheme="majorHAnsi"/>
            <w:sz w:val="24"/>
          </w:rPr>
          <m:t xml:space="preserve">- </m:t>
        </m:r>
        <m:f>
          <m:fPr>
            <m:ctrlPr>
              <w:rPr>
                <w:rFonts w:ascii="Cambria Math" w:hAnsi="Cambria Math" w:cstheme="majorHAnsi"/>
                <w:i/>
                <w:sz w:val="24"/>
              </w:rPr>
            </m:ctrlPr>
          </m:fPr>
          <m:num>
            <m:sSub>
              <m:sSubPr>
                <m:ctrlPr>
                  <w:rPr>
                    <w:rFonts w:ascii="Cambria Math" w:hAnsi="Cambria Math" w:cstheme="majorHAnsi"/>
                    <w:i/>
                    <w:sz w:val="24"/>
                  </w:rPr>
                </m:ctrlPr>
              </m:sSubPr>
              <m:e>
                <m:r>
                  <w:rPr>
                    <w:rFonts w:ascii="Cambria Math" w:hAnsi="Cambria Math" w:cstheme="majorHAnsi"/>
                    <w:sz w:val="24"/>
                  </w:rPr>
                  <m:t>k</m:t>
                </m:r>
                <m:ctrlPr>
                  <w:rPr>
                    <w:rFonts w:ascii="Cambria Math" w:hAnsi="Cambria Math" w:cstheme="majorHAnsi"/>
                    <w:i/>
                    <w:sz w:val="24"/>
                  </w:rPr>
                </m:ctrlPr>
              </m:e>
              <m:sub>
                <m:r>
                  <w:rPr>
                    <w:rFonts w:ascii="Cambria Math" w:hAnsi="Cambria Math" w:cstheme="majorHAnsi"/>
                    <w:sz w:val="24"/>
                  </w:rPr>
                  <m:t>0</m:t>
                </m:r>
                <m:ctrlPr>
                  <w:rPr>
                    <w:rFonts w:ascii="Cambria Math" w:hAnsi="Cambria Math" w:cstheme="majorHAnsi"/>
                    <w:i/>
                    <w:sz w:val="24"/>
                  </w:rPr>
                </m:ctrlPr>
              </m:sub>
            </m:sSub>
            <m:r>
              <w:rPr>
                <w:rFonts w:ascii="Cambria Math" w:hAnsi="Cambria Math" w:cstheme="majorHAnsi"/>
                <w:sz w:val="24"/>
              </w:rPr>
              <m:t>∆n(r)</m:t>
            </m:r>
            <m:ctrlPr>
              <w:rPr>
                <w:rFonts w:ascii="Cambria Math" w:hAnsi="Cambria Math" w:cstheme="majorHAnsi"/>
                <w:i/>
                <w:sz w:val="24"/>
              </w:rPr>
            </m:ctrlPr>
          </m:num>
          <m:den>
            <m:sSub>
              <m:sSubPr>
                <m:ctrlPr>
                  <w:rPr>
                    <w:rFonts w:ascii="Cambria Math" w:hAnsi="Cambria Math" w:cstheme="majorHAnsi"/>
                    <w:i/>
                    <w:sz w:val="24"/>
                  </w:rPr>
                </m:ctrlPr>
              </m:sSubPr>
              <m:e>
                <m:r>
                  <w:rPr>
                    <w:rFonts w:ascii="Cambria Math" w:hAnsi="Cambria Math" w:cstheme="majorHAnsi"/>
                    <w:sz w:val="24"/>
                  </w:rPr>
                  <m:t>n</m:t>
                </m:r>
                <m:ctrlPr>
                  <w:rPr>
                    <w:rFonts w:ascii="Cambria Math" w:hAnsi="Cambria Math" w:cstheme="majorHAnsi"/>
                    <w:i/>
                    <w:sz w:val="24"/>
                  </w:rPr>
                </m:ctrlPr>
              </m:e>
              <m:sub>
                <m:r>
                  <w:rPr>
                    <w:rFonts w:ascii="Cambria Math" w:hAnsi="Cambria Math" w:cstheme="majorHAnsi"/>
                    <w:sz w:val="24"/>
                  </w:rPr>
                  <m:t>0</m:t>
                </m:r>
                <m:ctrlPr>
                  <w:rPr>
                    <w:rFonts w:ascii="Cambria Math" w:hAnsi="Cambria Math" w:cstheme="majorHAnsi"/>
                    <w:i/>
                    <w:sz w:val="24"/>
                  </w:rPr>
                </m:ctrlPr>
              </m:sub>
            </m:sSub>
            <m:ctrlPr>
              <w:rPr>
                <w:rFonts w:ascii="Cambria Math" w:hAnsi="Cambria Math" w:cstheme="majorHAnsi"/>
                <w:i/>
                <w:sz w:val="24"/>
              </w:rPr>
            </m:ctrlPr>
          </m:den>
        </m:f>
        <m:r>
          <w:rPr>
            <w:rFonts w:ascii="Cambria Math" w:hAnsi="Cambria Math" w:cstheme="majorHAnsi"/>
            <w:sz w:val="24"/>
          </w:rPr>
          <m:t>ψ</m:t>
        </m:r>
        <m:d>
          <m:dPr>
            <m:ctrlPr>
              <w:rPr>
                <w:rFonts w:ascii="Cambria Math" w:hAnsi="Cambria Math" w:cstheme="majorHAnsi"/>
                <w:i/>
                <w:sz w:val="24"/>
              </w:rPr>
            </m:ctrlPr>
          </m:dPr>
          <m:e>
            <m:r>
              <w:rPr>
                <w:rFonts w:ascii="Cambria Math" w:hAnsi="Cambria Math" w:cstheme="majorHAnsi"/>
                <w:sz w:val="24"/>
              </w:rPr>
              <m:t>r</m:t>
            </m:r>
            <m:ctrlPr>
              <w:rPr>
                <w:rFonts w:ascii="Cambria Math" w:hAnsi="Cambria Math" w:cstheme="majorHAnsi"/>
                <w:i/>
                <w:sz w:val="24"/>
              </w:rPr>
            </m:ctrlPr>
          </m:e>
        </m:d>
      </m:oMath>
      <w:r>
        <w:rPr>
          <w:rFonts w:hint="eastAsia" w:ascii="Times New Roman" w:hAnsi="Times New Roman" w:cs="Times New Roman"/>
          <w:sz w:val="24"/>
        </w:rPr>
        <w:t xml:space="preserve"> </w:t>
      </w:r>
      <w:r>
        <w:rPr>
          <w:rFonts w:ascii="Times New Roman" w:hAnsi="Times New Roman" w:cs="Times New Roman"/>
          <w:sz w:val="24"/>
        </w:rPr>
        <w:t xml:space="preserve">    (3)</w:t>
      </w:r>
    </w:p>
    <w:p>
      <w:pPr>
        <w:jc w:val="both"/>
        <w:rPr>
          <w:rFonts w:ascii="Times New Roman" w:hAnsi="Times New Roman" w:cs="Times New Roman"/>
          <w:sz w:val="24"/>
        </w:rPr>
      </w:pPr>
      <w:r>
        <w:rPr>
          <w:rFonts w:ascii="Times New Roman" w:hAnsi="Times New Roman" w:cs="Times New Roman"/>
          <w:sz w:val="24"/>
        </w:rPr>
        <w:t xml:space="preserve">where </w:t>
      </w:r>
      <m:oMath>
        <m:r>
          <w:rPr>
            <w:rFonts w:ascii="Cambria Math" w:hAnsi="Cambria Math" w:cstheme="majorHAnsi"/>
            <w:sz w:val="24"/>
          </w:rPr>
          <m:t>ψ</m:t>
        </m:r>
      </m:oMath>
      <w:r>
        <w:rPr>
          <w:rFonts w:hint="eastAsia" w:ascii="Times New Roman" w:hAnsi="Times New Roman" w:cs="Times New Roman"/>
          <w:sz w:val="24"/>
        </w:rPr>
        <w:t xml:space="preserve"> </w:t>
      </w:r>
      <w:r>
        <w:rPr>
          <w:rFonts w:ascii="Times New Roman" w:hAnsi="Times New Roman" w:cs="Times New Roman"/>
          <w:sz w:val="24"/>
        </w:rPr>
        <w:t xml:space="preserve">is the electric field envelope function, </w:t>
      </w:r>
      <m:oMath>
        <m:sSub>
          <m:sSubPr>
            <m:ctrlPr>
              <w:rPr>
                <w:rFonts w:ascii="Cambria Math" w:hAnsi="Cambria Math" w:cstheme="majorHAnsi"/>
                <w:i/>
                <w:sz w:val="24"/>
              </w:rPr>
            </m:ctrlPr>
          </m:sSubPr>
          <m:e>
            <m:r>
              <w:rPr>
                <w:rFonts w:ascii="Cambria Math" w:hAnsi="Cambria Math" w:cstheme="majorHAnsi"/>
                <w:sz w:val="24"/>
              </w:rPr>
              <m:t>k</m:t>
            </m:r>
            <m:ctrlPr>
              <w:rPr>
                <w:rFonts w:ascii="Cambria Math" w:hAnsi="Cambria Math" w:cstheme="majorHAnsi"/>
                <w:i/>
                <w:sz w:val="24"/>
              </w:rPr>
            </m:ctrlPr>
          </m:e>
          <m:sub>
            <m:r>
              <w:rPr>
                <w:rFonts w:ascii="Cambria Math" w:hAnsi="Cambria Math" w:cstheme="majorHAnsi"/>
                <w:sz w:val="24"/>
              </w:rPr>
              <m:t>0</m:t>
            </m:r>
            <m:ctrlPr>
              <w:rPr>
                <w:rFonts w:ascii="Cambria Math" w:hAnsi="Cambria Math" w:cstheme="majorHAnsi"/>
                <w:i/>
                <w:sz w:val="24"/>
              </w:rPr>
            </m:ctrlPr>
          </m:sub>
        </m:sSub>
        <m:r>
          <w:rPr>
            <w:rFonts w:ascii="Cambria Math" w:hAnsi="Cambria Math" w:cstheme="majorHAnsi"/>
            <w:sz w:val="24"/>
          </w:rPr>
          <m:t>=</m:t>
        </m:r>
        <m:f>
          <m:fPr>
            <m:ctrlPr>
              <w:rPr>
                <w:rFonts w:ascii="Cambria Math" w:hAnsi="Cambria Math" w:cstheme="majorHAnsi"/>
                <w:i/>
                <w:sz w:val="24"/>
              </w:rPr>
            </m:ctrlPr>
          </m:fPr>
          <m:num>
            <m:r>
              <w:rPr>
                <w:rFonts w:ascii="Cambria Math" w:hAnsi="Cambria Math" w:cstheme="majorHAnsi"/>
                <w:sz w:val="24"/>
              </w:rPr>
              <m:t>2π</m:t>
            </m:r>
            <m:sSub>
              <m:sSubPr>
                <m:ctrlPr>
                  <w:rPr>
                    <w:rFonts w:ascii="Cambria Math" w:hAnsi="Cambria Math" w:cstheme="majorHAnsi"/>
                    <w:i/>
                    <w:sz w:val="24"/>
                  </w:rPr>
                </m:ctrlPr>
              </m:sSubPr>
              <m:e>
                <m:r>
                  <w:rPr>
                    <w:rFonts w:ascii="Cambria Math" w:hAnsi="Cambria Math" w:cstheme="majorHAnsi"/>
                    <w:sz w:val="24"/>
                  </w:rPr>
                  <m:t>n</m:t>
                </m:r>
                <m:ctrlPr>
                  <w:rPr>
                    <w:rFonts w:ascii="Cambria Math" w:hAnsi="Cambria Math" w:cstheme="majorHAnsi"/>
                    <w:i/>
                    <w:sz w:val="24"/>
                  </w:rPr>
                </m:ctrlPr>
              </m:e>
              <m:sub>
                <m:r>
                  <w:rPr>
                    <w:rFonts w:ascii="Cambria Math" w:hAnsi="Cambria Math" w:cstheme="majorHAnsi"/>
                    <w:sz w:val="24"/>
                  </w:rPr>
                  <m:t>0</m:t>
                </m:r>
                <m:ctrlPr>
                  <w:rPr>
                    <w:rFonts w:ascii="Cambria Math" w:hAnsi="Cambria Math" w:cstheme="majorHAnsi"/>
                    <w:i/>
                    <w:sz w:val="24"/>
                  </w:rPr>
                </m:ctrlPr>
              </m:sub>
            </m:sSub>
            <m:ctrlPr>
              <w:rPr>
                <w:rFonts w:ascii="Cambria Math" w:hAnsi="Cambria Math" w:cstheme="majorHAnsi"/>
                <w:i/>
                <w:sz w:val="24"/>
              </w:rPr>
            </m:ctrlPr>
          </m:num>
          <m:den>
            <m:r>
              <w:rPr>
                <w:rFonts w:ascii="Cambria Math" w:hAnsi="Cambria Math" w:cstheme="majorHAnsi"/>
                <w:sz w:val="24"/>
              </w:rPr>
              <m:t>λ</m:t>
            </m:r>
            <m:ctrlPr>
              <w:rPr>
                <w:rFonts w:ascii="Cambria Math" w:hAnsi="Cambria Math" w:cstheme="majorHAnsi"/>
                <w:i/>
                <w:sz w:val="24"/>
              </w:rPr>
            </m:ctrlPr>
          </m:den>
        </m:f>
      </m:oMath>
      <w:r>
        <w:rPr>
          <w:rFonts w:hint="eastAsia" w:ascii="Times New Roman" w:hAnsi="Times New Roman" w:cs="Times New Roman"/>
          <w:sz w:val="24"/>
        </w:rPr>
        <w:t xml:space="preserve"> </w:t>
      </w:r>
      <w:r>
        <w:rPr>
          <w:rFonts w:ascii="Times New Roman" w:hAnsi="Times New Roman" w:cs="Times New Roman"/>
          <w:sz w:val="24"/>
        </w:rPr>
        <w:t xml:space="preserve">is the wavenumber in the ambient medium with refractive index </w:t>
      </w:r>
      <m:oMath>
        <m:sSub>
          <m:sSubPr>
            <m:ctrlPr>
              <w:rPr>
                <w:rFonts w:ascii="Cambria Math" w:hAnsi="Cambria Math" w:cstheme="majorHAnsi"/>
                <w:i/>
                <w:sz w:val="24"/>
              </w:rPr>
            </m:ctrlPr>
          </m:sSubPr>
          <m:e>
            <m:r>
              <w:rPr>
                <w:rFonts w:ascii="Cambria Math" w:hAnsi="Cambria Math" w:cstheme="majorHAnsi"/>
                <w:sz w:val="24"/>
              </w:rPr>
              <m:t>n</m:t>
            </m:r>
            <m:ctrlPr>
              <w:rPr>
                <w:rFonts w:ascii="Cambria Math" w:hAnsi="Cambria Math" w:cstheme="majorHAnsi"/>
                <w:i/>
                <w:sz w:val="24"/>
              </w:rPr>
            </m:ctrlPr>
          </m:e>
          <m:sub>
            <m:r>
              <w:rPr>
                <w:rFonts w:ascii="Cambria Math" w:hAnsi="Cambria Math" w:cstheme="majorHAnsi"/>
                <w:sz w:val="24"/>
              </w:rPr>
              <m:t>0</m:t>
            </m:r>
            <m:ctrlPr>
              <w:rPr>
                <w:rFonts w:ascii="Cambria Math" w:hAnsi="Cambria Math" w:cstheme="majorHAnsi"/>
                <w:i/>
                <w:sz w:val="24"/>
              </w:rPr>
            </m:ctrlPr>
          </m:sub>
        </m:sSub>
      </m:oMath>
      <w:r>
        <w:rPr>
          <w:rFonts w:ascii="Times New Roman" w:hAnsi="Times New Roman" w:cs="Times New Roman"/>
          <w:sz w:val="24"/>
        </w:rPr>
        <w:t xml:space="preserve"> and </w:t>
      </w:r>
      <m:oMath>
        <m:r>
          <w:rPr>
            <w:rFonts w:ascii="Cambria Math" w:hAnsi="Cambria Math" w:cstheme="majorHAnsi"/>
            <w:sz w:val="24"/>
          </w:rPr>
          <m:t>∆n</m:t>
        </m:r>
      </m:oMath>
      <w:r>
        <w:rPr>
          <w:rFonts w:ascii="Times New Roman" w:hAnsi="Times New Roman" w:cs="Times New Roman"/>
          <w:sz w:val="24"/>
        </w:rPr>
        <w:t xml:space="preserve"> is the deviation from the ambient refractive index. The parameters we used for simulations are experimentally achievable within the current technologies [22]. In these simulations, we launch a Gaussian beam at the lower-right edge of the honeycomb lattice to excite the topological edge states, as shown in Fig. </w:t>
      </w:r>
      <w:r>
        <w:rPr>
          <w:rFonts w:hint="eastAsia" w:ascii="Times New Roman" w:hAnsi="Times New Roman" w:cs="Times New Roman"/>
          <w:sz w:val="24"/>
        </w:rPr>
        <w:t>S</w:t>
      </w:r>
      <w:r>
        <w:rPr>
          <w:rFonts w:ascii="Times New Roman" w:hAnsi="Times New Roman" w:cs="Times New Roman"/>
          <w:sz w:val="24"/>
        </w:rPr>
        <w:t>4. The field intensity at propagation distances</w:t>
      </w:r>
      <w:r>
        <w:rPr>
          <w:rFonts w:hint="eastAsia" w:ascii="Times New Roman" w:hAnsi="Times New Roman" w:cs="Times New Roman"/>
          <w:sz w:val="24"/>
        </w:rPr>
        <w:t xml:space="preserve"> </w:t>
      </w:r>
      <m:oMath>
        <m:r>
          <w:rPr>
            <w:rFonts w:ascii="Cambria Math" w:hAnsi="Cambria Math" w:cs="Times New Roman"/>
            <w:sz w:val="24"/>
          </w:rPr>
          <m:t>Z</m:t>
        </m:r>
        <m:r>
          <m:rPr>
            <m:sty m:val="p"/>
          </m:rPr>
          <w:rPr>
            <w:rFonts w:ascii="Cambria Math" w:hAnsi="Cambria Math" w:cs="Times New Roman"/>
            <w:sz w:val="24"/>
          </w:rPr>
          <m:t>=5, 10, 15cm</m:t>
        </m:r>
      </m:oMath>
      <w:r>
        <w:rPr>
          <w:rFonts w:ascii="Times New Roman" w:hAnsi="Times New Roman" w:cs="Times New Roman"/>
          <w:sz w:val="24"/>
        </w:rPr>
        <w:t xml:space="preserve"> are shown in panels (a-d). The launched topological edge state moves upwards, encounters sharp corners, enters the fractal lattice and continues moving along the edge of the fractal lattice. Throughout propagation in this hybrid lattice, the wavepacket stays at the edges without any penetration into the bulk or backscattering. This topologically-protected propagation is further highlighted in the presence of local disorder of strength up to </w:t>
      </w:r>
      <m:oMath>
        <m:r>
          <w:rPr>
            <w:rFonts w:ascii="Cambria Math" w:hAnsi="Cambria Math" w:cs="Times New Roman"/>
            <w:sz w:val="24"/>
          </w:rPr>
          <m:t>dn</m:t>
        </m:r>
        <m:r>
          <m:rPr>
            <m:sty m:val="p"/>
          </m:rPr>
          <w:rPr>
            <w:rFonts w:ascii="Cambria Math" w:hAnsi="Cambria Math" w:cs="Times New Roman"/>
            <w:sz w:val="24"/>
          </w:rPr>
          <m:t>=0.1∆</m:t>
        </m:r>
        <m:r>
          <w:rPr>
            <w:rFonts w:ascii="Cambria Math" w:hAnsi="Cambria Math" w:cs="Times New Roman"/>
            <w:sz w:val="24"/>
          </w:rPr>
          <m:t>n</m:t>
        </m:r>
      </m:oMath>
      <w:r>
        <w:rPr>
          <w:rFonts w:ascii="Times New Roman" w:hAnsi="Times New Roman" w:cs="Times New Roman"/>
          <w:sz w:val="24"/>
        </w:rPr>
        <w:t xml:space="preserve"> (while circle in (e-h)). In panels (e-h), the strength of disorder used is </w:t>
      </w:r>
      <m:oMath>
        <m:r>
          <w:rPr>
            <w:rFonts w:ascii="Cambria Math" w:hAnsi="Cambria Math" w:cs="Times New Roman"/>
            <w:sz w:val="24"/>
          </w:rPr>
          <m:t>dn</m:t>
        </m:r>
        <m:r>
          <m:rPr>
            <m:sty m:val="p"/>
          </m:rPr>
          <w:rPr>
            <w:rFonts w:ascii="Cambria Math" w:hAnsi="Cambria Math" w:cs="Times New Roman"/>
            <w:sz w:val="24"/>
          </w:rPr>
          <m:t>=0.05∆</m:t>
        </m:r>
        <m:r>
          <w:rPr>
            <w:rFonts w:ascii="Cambria Math" w:hAnsi="Cambria Math" w:cs="Times New Roman"/>
            <w:sz w:val="24"/>
          </w:rPr>
          <m:t>n</m:t>
        </m:r>
      </m:oMath>
      <w:r>
        <w:rPr>
          <w:rFonts w:ascii="Times New Roman" w:hAnsi="Times New Roman" w:cs="Times New Roman"/>
          <w:sz w:val="24"/>
        </w:rPr>
        <w:t>. The topological behavior in the wave simulations agrees well with the results of the tight-binding simulations.</w:t>
      </w:r>
    </w:p>
    <w:p>
      <w:pPr>
        <w:jc w:val="both"/>
        <w:rPr>
          <w:rFonts w:ascii="Times New Roman" w:hAnsi="Times New Roman" w:cs="Times New Roman"/>
          <w:sz w:val="21"/>
          <w:szCs w:val="20"/>
        </w:rPr>
      </w:pPr>
      <w:r>
        <w:rPr>
          <w:lang w:eastAsia="en-US" w:bidi="he-IL"/>
        </w:rPr>
        <w:drawing>
          <wp:inline distT="0" distB="0" distL="0" distR="0">
            <wp:extent cx="4879340" cy="323977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879681" cy="3240000"/>
                    </a:xfrm>
                    <a:prstGeom prst="rect">
                      <a:avLst/>
                    </a:prstGeom>
                    <a:noFill/>
                    <a:ln>
                      <a:noFill/>
                    </a:ln>
                  </pic:spPr>
                </pic:pic>
              </a:graphicData>
            </a:graphic>
          </wp:inline>
        </w:drawing>
      </w:r>
    </w:p>
    <w:p>
      <w:pPr>
        <w:spacing w:line="240" w:lineRule="auto"/>
        <w:jc w:val="both"/>
        <w:rPr>
          <w:rFonts w:ascii="Times New Roman" w:hAnsi="Times New Roman" w:cs="Times New Roman"/>
        </w:rPr>
      </w:pPr>
      <w:r>
        <w:rPr>
          <w:rFonts w:hint="eastAsia" w:ascii="Times New Roman" w:hAnsi="Times New Roman" w:cs="Times New Roman"/>
        </w:rPr>
        <w:t>F</w:t>
      </w:r>
      <w:r>
        <w:rPr>
          <w:rFonts w:ascii="Times New Roman" w:hAnsi="Times New Roman" w:cs="Times New Roman"/>
        </w:rPr>
        <w:t xml:space="preserve">igure </w:t>
      </w:r>
      <w:r>
        <w:rPr>
          <w:rFonts w:hint="eastAsia" w:ascii="Times New Roman" w:hAnsi="Times New Roman" w:cs="Times New Roman"/>
        </w:rPr>
        <w:t>S</w:t>
      </w:r>
      <w:r>
        <w:rPr>
          <w:rFonts w:ascii="Times New Roman" w:hAnsi="Times New Roman" w:cs="Times New Roman"/>
        </w:rPr>
        <w:t xml:space="preserve">4. </w:t>
      </w:r>
      <w:r>
        <w:rPr>
          <w:rFonts w:hint="eastAsia" w:ascii="Times New Roman" w:hAnsi="Times New Roman" w:cs="Times New Roman"/>
        </w:rPr>
        <w:t>Beam</w:t>
      </w:r>
      <w:r>
        <w:rPr>
          <w:rFonts w:ascii="Times New Roman" w:hAnsi="Times New Roman" w:cs="Times New Roman"/>
        </w:rPr>
        <w:t>-propagation-method (BPM) simulations of the wave packet propagating in a hybrid lattice consisting of the fractal and honeycomb lattices. The launched light field is a tilted Gaussian beam. The light distributions emerging at different propagation distances</w:t>
      </w:r>
      <w:r>
        <w:rPr>
          <w:rFonts w:hint="eastAsia" w:ascii="Times New Roman" w:hAnsi="Times New Roman" w:cs="Times New Roman"/>
          <w:iCs/>
        </w:rPr>
        <w:t xml:space="preserve"> </w:t>
      </w:r>
      <m:oMath>
        <m:r>
          <w:rPr>
            <w:rFonts w:ascii="Cambria Math" w:hAnsi="Cambria Math" w:cs="Times New Roman"/>
          </w:rPr>
          <m:t>Z</m:t>
        </m:r>
        <m:r>
          <m:rPr>
            <m:sty m:val="p"/>
          </m:rPr>
          <w:rPr>
            <w:rFonts w:ascii="Cambria Math" w:hAnsi="Cambria Math" w:cs="Times New Roman"/>
          </w:rPr>
          <m:t>=0, 5, 10, 15cm</m:t>
        </m:r>
      </m:oMath>
      <w:r>
        <w:rPr>
          <w:rFonts w:ascii="Times New Roman" w:hAnsi="Times New Roman" w:cs="Times New Roman"/>
        </w:rPr>
        <w:t xml:space="preserve"> are presented. The wavepacket displays robust propagation without scattering away from the edge and without backscattering.  (a-d). Such robust propagation also occurs in the presence of disorder (e-h). The wavepacket propagates along the edges and around the corners, and is able to bypass a defect (yellow circle) of a deviation</w:t>
      </w:r>
      <w:r>
        <w:rPr>
          <w:rFonts w:hint="eastAsia" w:ascii="Times New Roman" w:hAnsi="Times New Roman" w:cs="Times New Roman"/>
          <w:iCs/>
        </w:rPr>
        <w:t xml:space="preserve"> </w:t>
      </w:r>
      <m:oMath>
        <m:r>
          <w:rPr>
            <w:rFonts w:ascii="Cambria Math" w:hAnsi="Cambria Math" w:cs="Times New Roman"/>
          </w:rPr>
          <m:t>dn</m:t>
        </m:r>
        <m:r>
          <m:rPr>
            <m:sty m:val="p"/>
          </m:rPr>
          <w:rPr>
            <w:rFonts w:ascii="Cambria Math" w:hAnsi="Cambria Math" w:cs="Times New Roman"/>
          </w:rPr>
          <m:t>=0.05∆</m:t>
        </m:r>
        <m:r>
          <w:rPr>
            <w:rFonts w:ascii="Cambria Math" w:hAnsi="Cambria Math" w:cs="Times New Roman"/>
          </w:rPr>
          <m:t>n</m:t>
        </m:r>
      </m:oMath>
      <w:r>
        <w:rPr>
          <w:rFonts w:ascii="Times New Roman" w:hAnsi="Times New Roman" w:cs="Times New Roman"/>
        </w:rPr>
        <w:t xml:space="preserve"> from the refractive index contrast defining the waveguide at this site,</w:t>
      </w:r>
      <m:oMath>
        <m:r>
          <w:rPr>
            <w:rFonts w:ascii="Cambria Math" w:hAnsi="Cambria Math" w:cs="Times New Roman"/>
          </w:rPr>
          <m:t xml:space="preserve"> </m:t>
        </m:r>
        <m:r>
          <m:rPr>
            <m:sty m:val="p"/>
          </m:rPr>
          <w:rPr>
            <w:rFonts w:ascii="Cambria Math" w:hAnsi="Cambria Math" w:cs="Times New Roman"/>
          </w:rPr>
          <m:t>∆</m:t>
        </m:r>
        <m:r>
          <w:rPr>
            <w:rFonts w:ascii="Cambria Math" w:hAnsi="Cambria Math" w:cs="Times New Roman"/>
          </w:rPr>
          <m:t>n</m:t>
        </m:r>
      </m:oMath>
      <w:r>
        <w:rPr>
          <w:rFonts w:ascii="Times New Roman" w:hAnsi="Times New Roman" w:cs="Times New Roman"/>
        </w:rPr>
        <w:t>. The color bar indicates the field intensity. The topological protection revealed in the BPM simulations agrees well with the results in tight-binding simulations. The parameters for numerical simulations are: refractive index</w:t>
      </w:r>
      <m:oMath>
        <m:sSub>
          <m:sSubPr>
            <m:ctrlPr>
              <w:rPr>
                <w:rFonts w:ascii="Cambria Math" w:hAnsi="Cambria Math" w:cs="Times New Roman"/>
                <w:i/>
              </w:rPr>
            </m:ctrlPr>
          </m:sSubPr>
          <m:e>
            <m:r>
              <w:rPr>
                <w:rFonts w:ascii="Cambria Math" w:hAnsi="Cambria Math" w:cs="Times New Roman"/>
              </w:rPr>
              <m:t>n</m:t>
            </m:r>
            <m:ctrlPr>
              <w:rPr>
                <w:rFonts w:ascii="Cambria Math" w:hAnsi="Cambria Math" w:cs="Times New Roman"/>
                <w:i/>
              </w:rPr>
            </m:ctrlPr>
          </m:e>
          <m:sub>
            <m:r>
              <w:rPr>
                <w:rFonts w:ascii="Cambria Math" w:hAnsi="Cambria Math" w:cs="Times New Roman"/>
              </w:rPr>
              <m:t>0</m:t>
            </m:r>
            <m:ctrlPr>
              <w:rPr>
                <w:rFonts w:ascii="Cambria Math" w:hAnsi="Cambria Math" w:cs="Times New Roman"/>
                <w:i/>
              </w:rPr>
            </m:ctrlPr>
          </m:sub>
        </m:sSub>
        <m:r>
          <w:rPr>
            <w:rFonts w:ascii="Cambria Math" w:hAnsi="Cambria Math" w:cs="Times New Roman"/>
          </w:rPr>
          <m:t>=1.45</m:t>
        </m:r>
      </m:oMath>
      <w:r>
        <w:rPr>
          <w:rFonts w:hint="eastAsia" w:ascii="Times New Roman" w:hAnsi="Times New Roman" w:cs="Times New Roman"/>
        </w:rPr>
        <w:t>,</w:t>
      </w:r>
      <w:r>
        <w:rPr>
          <w:rFonts w:ascii="Times New Roman" w:hAnsi="Times New Roman" w:cs="Times New Roman"/>
        </w:rPr>
        <w:t xml:space="preserve"> refractive index change </w:t>
      </w:r>
      <m:oMath>
        <m:r>
          <m:rPr>
            <m:sty m:val="p"/>
          </m:rPr>
          <w:rPr>
            <w:rFonts w:ascii="Cambria Math" w:hAnsi="Cambria Math" w:cs="Times New Roman"/>
          </w:rPr>
          <m:t>∆</m:t>
        </m:r>
        <m:r>
          <w:rPr>
            <w:rFonts w:ascii="Cambria Math" w:hAnsi="Cambria Math" w:cs="Times New Roman"/>
          </w:rPr>
          <m:t>n=7.5×</m:t>
        </m:r>
        <m:sSup>
          <m:sSupPr>
            <m:ctrlPr>
              <w:rPr>
                <w:rFonts w:ascii="Cambria Math" w:hAnsi="Cambria Math" w:cs="Times New Roman"/>
                <w:i/>
                <w:iCs/>
              </w:rPr>
            </m:ctrlPr>
          </m:sSupPr>
          <m:e>
            <m:r>
              <w:rPr>
                <w:rFonts w:ascii="Cambria Math" w:hAnsi="Cambria Math" w:cs="Times New Roman"/>
              </w:rPr>
              <m:t>10</m:t>
            </m:r>
            <m:ctrlPr>
              <w:rPr>
                <w:rFonts w:ascii="Cambria Math" w:hAnsi="Cambria Math" w:cs="Times New Roman"/>
                <w:i/>
                <w:iCs/>
              </w:rPr>
            </m:ctrlPr>
          </m:e>
          <m:sup>
            <m:r>
              <w:rPr>
                <w:rFonts w:ascii="Cambria Math" w:hAnsi="Cambria Math" w:cs="Times New Roman"/>
              </w:rPr>
              <m:t>-4</m:t>
            </m:r>
            <m:ctrlPr>
              <w:rPr>
                <w:rFonts w:ascii="Cambria Math" w:hAnsi="Cambria Math" w:cs="Times New Roman"/>
                <w:i/>
                <w:iCs/>
              </w:rPr>
            </m:ctrlPr>
          </m:sup>
        </m:sSup>
      </m:oMath>
      <w:r>
        <w:rPr>
          <w:rFonts w:ascii="Times New Roman" w:hAnsi="Times New Roman" w:cs="Times New Roman"/>
          <w:iCs/>
        </w:rPr>
        <w:t xml:space="preserve">, </w:t>
      </w:r>
      <w:r>
        <w:rPr>
          <w:rFonts w:ascii="Times New Roman" w:hAnsi="Times New Roman" w:cs="Times New Roman"/>
        </w:rPr>
        <w:t xml:space="preserve">wavelength </w:t>
      </w:r>
      <m:oMath>
        <m:r>
          <w:rPr>
            <w:rFonts w:ascii="Cambria Math" w:hAnsi="Cambria Math" w:cs="Times New Roman"/>
          </w:rPr>
          <m:t>λ=0.633μm</m:t>
        </m:r>
      </m:oMath>
      <w:r>
        <w:rPr>
          <w:rFonts w:hint="eastAsia" w:ascii="Times New Roman" w:hAnsi="Times New Roman" w:cs="Times New Roman"/>
        </w:rPr>
        <w:t>,</w:t>
      </w:r>
      <w:r>
        <w:rPr>
          <w:rFonts w:ascii="Times New Roman" w:hAnsi="Times New Roman" w:cs="Times New Roman"/>
        </w:rPr>
        <w:t xml:space="preserve"> helix radius </w:t>
      </w:r>
      <m:oMath>
        <m:r>
          <w:rPr>
            <w:rFonts w:ascii="Cambria Math" w:hAnsi="Cambria Math" w:cs="Times New Roman"/>
          </w:rPr>
          <m:t>R=10μm</m:t>
        </m:r>
      </m:oMath>
      <w:r>
        <w:rPr>
          <w:rFonts w:hint="eastAsia" w:ascii="Times New Roman" w:hAnsi="Times New Roman" w:cs="Times New Roman"/>
        </w:rPr>
        <w:t>,</w:t>
      </w:r>
      <w:r>
        <w:rPr>
          <w:rFonts w:ascii="Times New Roman" w:hAnsi="Times New Roman" w:cs="Times New Roman"/>
        </w:rPr>
        <w:t xml:space="preserve"> longitudinal frequency of the helix </w:t>
      </w:r>
      <m:oMath>
        <m:r>
          <m:rPr>
            <m:sty m:val="p"/>
          </m:rPr>
          <w:rPr>
            <w:rFonts w:ascii="Cambria Math" w:hAnsi="Cambria Math" w:cs="Times New Roman"/>
          </w:rPr>
          <m:t>Ω=</m:t>
        </m:r>
        <m:r>
          <w:rPr>
            <w:rFonts w:ascii="Cambria Math" w:hAnsi="Cambria Math" w:cs="Times New Roman"/>
          </w:rPr>
          <m:t>2π</m:t>
        </m:r>
        <m:sSup>
          <m:sSupPr>
            <m:ctrlPr>
              <w:rPr>
                <w:rFonts w:ascii="Cambria Math" w:hAnsi="Cambria Math" w:cs="Times New Roman"/>
                <w:i/>
              </w:rPr>
            </m:ctrlPr>
          </m:sSupPr>
          <m:e>
            <m:r>
              <w:rPr>
                <w:rFonts w:ascii="Cambria Math" w:hAnsi="Cambria Math" w:cs="Times New Roman"/>
              </w:rPr>
              <m:t>cm</m:t>
            </m:r>
            <m:ctrlPr>
              <w:rPr>
                <w:rFonts w:ascii="Cambria Math" w:hAnsi="Cambria Math" w:cs="Times New Roman"/>
                <w:i/>
              </w:rPr>
            </m:ctrlPr>
          </m:e>
          <m:sup>
            <m:r>
              <w:rPr>
                <w:rFonts w:ascii="Cambria Math" w:hAnsi="Cambria Math" w:cs="Times New Roman"/>
              </w:rPr>
              <m:t>-1</m:t>
            </m:r>
            <m:ctrlPr>
              <w:rPr>
                <w:rFonts w:ascii="Cambria Math" w:hAnsi="Cambria Math" w:cs="Times New Roman"/>
                <w:i/>
              </w:rPr>
            </m:ctrlPr>
          </m:sup>
        </m:sSup>
      </m:oMath>
      <w:r>
        <w:rPr>
          <w:rFonts w:hint="eastAsia" w:ascii="Times New Roman" w:hAnsi="Times New Roman" w:cs="Times New Roman"/>
        </w:rPr>
        <w:t>,</w:t>
      </w:r>
      <w:r>
        <w:rPr>
          <w:rFonts w:ascii="Times New Roman" w:hAnsi="Times New Roman" w:cs="Times New Roman"/>
        </w:rPr>
        <w:t xml:space="preserve"> lattice constant </w:t>
      </w:r>
      <m:oMath>
        <m:r>
          <w:rPr>
            <w:rFonts w:ascii="Cambria Math" w:hAnsi="Cambria Math" w:cs="Times New Roman"/>
          </w:rPr>
          <m:t>a=14√3μm</m:t>
        </m:r>
      </m:oMath>
      <w:r>
        <w:rPr>
          <w:rFonts w:ascii="Times New Roman" w:hAnsi="Times New Roman" w:cs="Times New Roman"/>
        </w:rPr>
        <w:t>, index change profile of a single waveguide</w:t>
      </w:r>
      <w:r>
        <w:rPr>
          <w:rFonts w:hint="eastAsia" w:ascii="Times New Roman" w:hAnsi="Times New Roman" w:cs="Times New Roman"/>
        </w:rPr>
        <w:t xml:space="preserve"> </w:t>
      </w:r>
      <w:r>
        <w:rPr>
          <w:rFonts w:ascii="Times New Roman" w:hAnsi="Times New Roman" w:cs="Times New Roman"/>
        </w:rPr>
        <w:t xml:space="preserve">has the form of hyper-Gaussian function </w:t>
      </w:r>
      <m:oMath>
        <m:r>
          <m:rPr>
            <m:sty m:val="p"/>
          </m:rPr>
          <w:rPr>
            <w:rFonts w:ascii="Cambria Math" w:hAnsi="Cambria Math" w:cs="Times New Roman"/>
          </w:rPr>
          <m:t>∆</m:t>
        </m:r>
        <m:r>
          <w:rPr>
            <w:rFonts w:ascii="Cambria Math" w:hAnsi="Cambria Math" w:cs="Times New Roman"/>
          </w:rPr>
          <m:t>n exp(-</m:t>
        </m:r>
        <m:sSup>
          <m:sSupPr>
            <m:ctrlPr>
              <w:rPr>
                <w:rFonts w:ascii="Cambria Math" w:hAnsi="Cambria Math" w:cs="Times New Roman"/>
                <w:i/>
                <w:iCs/>
              </w:rPr>
            </m:ctrlPr>
          </m:sSupPr>
          <m:e>
            <m:r>
              <w:rPr>
                <w:rFonts w:ascii="Cambria Math" w:hAnsi="Cambria Math" w:cs="Times New Roman"/>
              </w:rPr>
              <m:t>[</m:t>
            </m:r>
            <m:sSup>
              <m:sSupPr>
                <m:ctrlPr>
                  <w:rPr>
                    <w:rFonts w:ascii="Cambria Math" w:hAnsi="Cambria Math" w:cs="Times New Roman"/>
                    <w:i/>
                    <w:iCs/>
                  </w:rPr>
                </m:ctrlPr>
              </m:sSupPr>
              <m:e>
                <m:r>
                  <w:rPr>
                    <w:rFonts w:ascii="Cambria Math" w:hAnsi="Cambria Math" w:cs="Times New Roman"/>
                  </w:rPr>
                  <m:t>(</m:t>
                </m:r>
                <m:f>
                  <m:fPr>
                    <m:ctrlPr>
                      <w:rPr>
                        <w:rFonts w:ascii="Cambria Math" w:hAnsi="Cambria Math" w:cs="Times New Roman"/>
                        <w:i/>
                        <w:iCs/>
                      </w:rPr>
                    </m:ctrlPr>
                  </m:fPr>
                  <m:num>
                    <m:r>
                      <w:rPr>
                        <w:rFonts w:ascii="Cambria Math" w:hAnsi="Cambria Math" w:cs="Times New Roman"/>
                      </w:rPr>
                      <m:t>x</m:t>
                    </m:r>
                    <m:ctrlPr>
                      <w:rPr>
                        <w:rFonts w:ascii="Cambria Math" w:hAnsi="Cambria Math" w:cs="Times New Roman"/>
                        <w:i/>
                        <w:iCs/>
                      </w:rPr>
                    </m:ctrlPr>
                  </m:num>
                  <m:den>
                    <m:r>
                      <w:rPr>
                        <w:rFonts w:ascii="Cambria Math" w:hAnsi="Cambria Math" w:cs="Times New Roman"/>
                      </w:rPr>
                      <m:t>5.5</m:t>
                    </m:r>
                    <m:ctrlPr>
                      <w:rPr>
                        <w:rFonts w:ascii="Cambria Math" w:hAnsi="Cambria Math" w:cs="Times New Roman"/>
                        <w:i/>
                        <w:iCs/>
                      </w:rPr>
                    </m:ctrlPr>
                  </m:den>
                </m:f>
                <m:r>
                  <w:rPr>
                    <w:rFonts w:ascii="Cambria Math" w:hAnsi="Cambria Math" w:cs="Times New Roman"/>
                  </w:rPr>
                  <m:t>)</m:t>
                </m:r>
                <m:ctrlPr>
                  <w:rPr>
                    <w:rFonts w:ascii="Cambria Math" w:hAnsi="Cambria Math" w:cs="Times New Roman"/>
                    <w:i/>
                    <w:iCs/>
                  </w:rPr>
                </m:ctrlPr>
              </m:e>
              <m:sup>
                <m:r>
                  <w:rPr>
                    <w:rFonts w:ascii="Cambria Math" w:hAnsi="Cambria Math" w:cs="Times New Roman"/>
                  </w:rPr>
                  <m:t>2</m:t>
                </m:r>
                <m:ctrlPr>
                  <w:rPr>
                    <w:rFonts w:ascii="Cambria Math" w:hAnsi="Cambria Math" w:cs="Times New Roman"/>
                    <w:i/>
                    <w:iCs/>
                  </w:rPr>
                </m:ctrlPr>
              </m:sup>
            </m:sSup>
            <m:r>
              <w:rPr>
                <w:rFonts w:ascii="Cambria Math" w:hAnsi="Cambria Math" w:cs="Times New Roman"/>
              </w:rPr>
              <m:t>+</m:t>
            </m:r>
            <m:sSup>
              <m:sSupPr>
                <m:ctrlPr>
                  <w:rPr>
                    <w:rFonts w:ascii="Cambria Math" w:hAnsi="Cambria Math" w:cs="Times New Roman"/>
                    <w:i/>
                    <w:iCs/>
                  </w:rPr>
                </m:ctrlPr>
              </m:sSupPr>
              <m:e>
                <m:r>
                  <w:rPr>
                    <w:rFonts w:ascii="Cambria Math" w:hAnsi="Cambria Math" w:cs="Times New Roman"/>
                  </w:rPr>
                  <m:t>(</m:t>
                </m:r>
                <m:f>
                  <m:fPr>
                    <m:ctrlPr>
                      <w:rPr>
                        <w:rFonts w:ascii="Cambria Math" w:hAnsi="Cambria Math" w:cs="Times New Roman"/>
                        <w:i/>
                        <w:iCs/>
                      </w:rPr>
                    </m:ctrlPr>
                  </m:fPr>
                  <m:num>
                    <m:r>
                      <w:rPr>
                        <w:rFonts w:ascii="Cambria Math" w:hAnsi="Cambria Math" w:cs="Times New Roman"/>
                      </w:rPr>
                      <m:t>y</m:t>
                    </m:r>
                    <m:ctrlPr>
                      <w:rPr>
                        <w:rFonts w:ascii="Cambria Math" w:hAnsi="Cambria Math" w:cs="Times New Roman"/>
                        <w:i/>
                        <w:iCs/>
                      </w:rPr>
                    </m:ctrlPr>
                  </m:num>
                  <m:den>
                    <m:r>
                      <w:rPr>
                        <w:rFonts w:ascii="Cambria Math" w:hAnsi="Cambria Math" w:cs="Times New Roman"/>
                      </w:rPr>
                      <m:t>1.9</m:t>
                    </m:r>
                    <m:ctrlPr>
                      <w:rPr>
                        <w:rFonts w:ascii="Cambria Math" w:hAnsi="Cambria Math" w:cs="Times New Roman"/>
                        <w:i/>
                        <w:iCs/>
                      </w:rPr>
                    </m:ctrlPr>
                  </m:den>
                </m:f>
                <m:r>
                  <w:rPr>
                    <w:rFonts w:ascii="Cambria Math" w:hAnsi="Cambria Math" w:cs="Times New Roman"/>
                  </w:rPr>
                  <m:t>)</m:t>
                </m:r>
                <m:ctrlPr>
                  <w:rPr>
                    <w:rFonts w:ascii="Cambria Math" w:hAnsi="Cambria Math" w:cs="Times New Roman"/>
                    <w:i/>
                    <w:iCs/>
                  </w:rPr>
                </m:ctrlPr>
              </m:e>
              <m:sup>
                <m:r>
                  <w:rPr>
                    <w:rFonts w:ascii="Cambria Math" w:hAnsi="Cambria Math" w:cs="Times New Roman"/>
                  </w:rPr>
                  <m:t>2</m:t>
                </m:r>
                <m:ctrlPr>
                  <w:rPr>
                    <w:rFonts w:ascii="Cambria Math" w:hAnsi="Cambria Math" w:cs="Times New Roman"/>
                    <w:i/>
                    <w:iCs/>
                  </w:rPr>
                </m:ctrlPr>
              </m:sup>
            </m:sSup>
            <m:r>
              <w:rPr>
                <w:rFonts w:ascii="Cambria Math" w:hAnsi="Cambria Math" w:cs="Times New Roman"/>
              </w:rPr>
              <m:t>]</m:t>
            </m:r>
            <m:ctrlPr>
              <w:rPr>
                <w:rFonts w:ascii="Cambria Math" w:hAnsi="Cambria Math" w:cs="Times New Roman"/>
                <w:i/>
                <w:iCs/>
              </w:rPr>
            </m:ctrlPr>
          </m:e>
          <m:sup>
            <m:r>
              <w:rPr>
                <w:rFonts w:ascii="Cambria Math" w:hAnsi="Cambria Math" w:cs="Times New Roman"/>
              </w:rPr>
              <m:t>3</m:t>
            </m:r>
            <m:ctrlPr>
              <w:rPr>
                <w:rFonts w:ascii="Cambria Math" w:hAnsi="Cambria Math" w:cs="Times New Roman"/>
                <w:i/>
                <w:iCs/>
              </w:rPr>
            </m:ctrlPr>
          </m:sup>
        </m:sSup>
        <m:r>
          <w:rPr>
            <w:rFonts w:ascii="Cambria Math" w:hAnsi="Cambria Math" w:cs="Times New Roman"/>
          </w:rPr>
          <m:t>)</m:t>
        </m:r>
      </m:oMath>
      <w:r>
        <w:rPr>
          <w:rFonts w:ascii="Times New Roman" w:hAnsi="Times New Roman" w:cs="Times New Roma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564"/>
    <w:rsid w:val="00006D0D"/>
    <w:rsid w:val="00010A98"/>
    <w:rsid w:val="000146B3"/>
    <w:rsid w:val="000160DB"/>
    <w:rsid w:val="0001631C"/>
    <w:rsid w:val="00016C31"/>
    <w:rsid w:val="00020660"/>
    <w:rsid w:val="00021F4F"/>
    <w:rsid w:val="0002365F"/>
    <w:rsid w:val="00023955"/>
    <w:rsid w:val="00025E6D"/>
    <w:rsid w:val="00034F1A"/>
    <w:rsid w:val="00035E1D"/>
    <w:rsid w:val="00042F96"/>
    <w:rsid w:val="0004439D"/>
    <w:rsid w:val="00047BA6"/>
    <w:rsid w:val="00052A26"/>
    <w:rsid w:val="00052F06"/>
    <w:rsid w:val="00060C75"/>
    <w:rsid w:val="00062450"/>
    <w:rsid w:val="000648E0"/>
    <w:rsid w:val="00072F05"/>
    <w:rsid w:val="000741F7"/>
    <w:rsid w:val="00076FDD"/>
    <w:rsid w:val="000776E3"/>
    <w:rsid w:val="000827A3"/>
    <w:rsid w:val="00086394"/>
    <w:rsid w:val="00087A92"/>
    <w:rsid w:val="00094107"/>
    <w:rsid w:val="0009711E"/>
    <w:rsid w:val="0009759D"/>
    <w:rsid w:val="000A060F"/>
    <w:rsid w:val="000A247C"/>
    <w:rsid w:val="000B1062"/>
    <w:rsid w:val="000B1201"/>
    <w:rsid w:val="000B3591"/>
    <w:rsid w:val="000B46AC"/>
    <w:rsid w:val="000B6005"/>
    <w:rsid w:val="000B6767"/>
    <w:rsid w:val="000C3A75"/>
    <w:rsid w:val="000C7A81"/>
    <w:rsid w:val="000E043D"/>
    <w:rsid w:val="000E1034"/>
    <w:rsid w:val="000E6393"/>
    <w:rsid w:val="000F5375"/>
    <w:rsid w:val="000F61B6"/>
    <w:rsid w:val="00106547"/>
    <w:rsid w:val="001107B1"/>
    <w:rsid w:val="00114F02"/>
    <w:rsid w:val="001161C3"/>
    <w:rsid w:val="001174C0"/>
    <w:rsid w:val="00120E33"/>
    <w:rsid w:val="00121536"/>
    <w:rsid w:val="00121633"/>
    <w:rsid w:val="0012242F"/>
    <w:rsid w:val="001234B6"/>
    <w:rsid w:val="00133FF8"/>
    <w:rsid w:val="00134B1E"/>
    <w:rsid w:val="001425A0"/>
    <w:rsid w:val="001507C7"/>
    <w:rsid w:val="00155D25"/>
    <w:rsid w:val="00164C97"/>
    <w:rsid w:val="00166326"/>
    <w:rsid w:val="0017030F"/>
    <w:rsid w:val="00184116"/>
    <w:rsid w:val="0019165F"/>
    <w:rsid w:val="00192002"/>
    <w:rsid w:val="001B08CA"/>
    <w:rsid w:val="001B3536"/>
    <w:rsid w:val="001B63D3"/>
    <w:rsid w:val="001C2668"/>
    <w:rsid w:val="001C40D4"/>
    <w:rsid w:val="001C5A1F"/>
    <w:rsid w:val="001E1E24"/>
    <w:rsid w:val="001E1FDC"/>
    <w:rsid w:val="001F2722"/>
    <w:rsid w:val="001F4659"/>
    <w:rsid w:val="001F76DB"/>
    <w:rsid w:val="0020512E"/>
    <w:rsid w:val="0020583E"/>
    <w:rsid w:val="00207212"/>
    <w:rsid w:val="0020777B"/>
    <w:rsid w:val="0021327B"/>
    <w:rsid w:val="00214FFF"/>
    <w:rsid w:val="0023030A"/>
    <w:rsid w:val="00234F1C"/>
    <w:rsid w:val="002364A5"/>
    <w:rsid w:val="00237FBD"/>
    <w:rsid w:val="0024092C"/>
    <w:rsid w:val="0024209C"/>
    <w:rsid w:val="00244BAF"/>
    <w:rsid w:val="0024624F"/>
    <w:rsid w:val="00250A15"/>
    <w:rsid w:val="00250BBD"/>
    <w:rsid w:val="002525D8"/>
    <w:rsid w:val="002531C2"/>
    <w:rsid w:val="00254DFC"/>
    <w:rsid w:val="002601EC"/>
    <w:rsid w:val="002615E5"/>
    <w:rsid w:val="00266739"/>
    <w:rsid w:val="002719F4"/>
    <w:rsid w:val="0027304C"/>
    <w:rsid w:val="00285132"/>
    <w:rsid w:val="002859F5"/>
    <w:rsid w:val="0028600E"/>
    <w:rsid w:val="00286416"/>
    <w:rsid w:val="00294314"/>
    <w:rsid w:val="002A07C5"/>
    <w:rsid w:val="002A2192"/>
    <w:rsid w:val="002B029F"/>
    <w:rsid w:val="002B7174"/>
    <w:rsid w:val="002C1043"/>
    <w:rsid w:val="002C3C1C"/>
    <w:rsid w:val="002D0D90"/>
    <w:rsid w:val="002D226D"/>
    <w:rsid w:val="002E06B4"/>
    <w:rsid w:val="002E31D6"/>
    <w:rsid w:val="002E3E31"/>
    <w:rsid w:val="002F56F1"/>
    <w:rsid w:val="003006C4"/>
    <w:rsid w:val="00304A93"/>
    <w:rsid w:val="003145A2"/>
    <w:rsid w:val="003145CF"/>
    <w:rsid w:val="003252BA"/>
    <w:rsid w:val="00325C46"/>
    <w:rsid w:val="003273F9"/>
    <w:rsid w:val="00327BA8"/>
    <w:rsid w:val="00333635"/>
    <w:rsid w:val="00334218"/>
    <w:rsid w:val="0033432B"/>
    <w:rsid w:val="00334F6C"/>
    <w:rsid w:val="00340EF3"/>
    <w:rsid w:val="00342129"/>
    <w:rsid w:val="00345F01"/>
    <w:rsid w:val="00346D9B"/>
    <w:rsid w:val="0035109C"/>
    <w:rsid w:val="0035312B"/>
    <w:rsid w:val="00364386"/>
    <w:rsid w:val="0036581B"/>
    <w:rsid w:val="003676ED"/>
    <w:rsid w:val="003733A9"/>
    <w:rsid w:val="00373D3B"/>
    <w:rsid w:val="00374121"/>
    <w:rsid w:val="00375A48"/>
    <w:rsid w:val="00375E4F"/>
    <w:rsid w:val="0037670B"/>
    <w:rsid w:val="003775ED"/>
    <w:rsid w:val="003820F5"/>
    <w:rsid w:val="0038339E"/>
    <w:rsid w:val="00386908"/>
    <w:rsid w:val="00390917"/>
    <w:rsid w:val="00391612"/>
    <w:rsid w:val="00392B45"/>
    <w:rsid w:val="003A55C1"/>
    <w:rsid w:val="003B050F"/>
    <w:rsid w:val="003B0843"/>
    <w:rsid w:val="003B14B6"/>
    <w:rsid w:val="003B6F0A"/>
    <w:rsid w:val="003C0CFE"/>
    <w:rsid w:val="003C2F31"/>
    <w:rsid w:val="003C74DA"/>
    <w:rsid w:val="003C7CB8"/>
    <w:rsid w:val="003D1CA3"/>
    <w:rsid w:val="003D49DD"/>
    <w:rsid w:val="003D4DC5"/>
    <w:rsid w:val="003F2B21"/>
    <w:rsid w:val="003F3BBF"/>
    <w:rsid w:val="003F580E"/>
    <w:rsid w:val="004153E2"/>
    <w:rsid w:val="00415A43"/>
    <w:rsid w:val="0042615C"/>
    <w:rsid w:val="004367A0"/>
    <w:rsid w:val="00436B41"/>
    <w:rsid w:val="00440B5C"/>
    <w:rsid w:val="0044116E"/>
    <w:rsid w:val="00443AB0"/>
    <w:rsid w:val="00445054"/>
    <w:rsid w:val="004458A6"/>
    <w:rsid w:val="00453707"/>
    <w:rsid w:val="00453EB6"/>
    <w:rsid w:val="0045433F"/>
    <w:rsid w:val="0047537C"/>
    <w:rsid w:val="00475ABC"/>
    <w:rsid w:val="0047738F"/>
    <w:rsid w:val="00480FB3"/>
    <w:rsid w:val="0048379B"/>
    <w:rsid w:val="00483F39"/>
    <w:rsid w:val="00485778"/>
    <w:rsid w:val="00490E46"/>
    <w:rsid w:val="00491944"/>
    <w:rsid w:val="00493C12"/>
    <w:rsid w:val="004944B1"/>
    <w:rsid w:val="004A51DB"/>
    <w:rsid w:val="004A5E9D"/>
    <w:rsid w:val="004A6F16"/>
    <w:rsid w:val="004B05FC"/>
    <w:rsid w:val="004B1B05"/>
    <w:rsid w:val="004B259A"/>
    <w:rsid w:val="004B431F"/>
    <w:rsid w:val="004B54BB"/>
    <w:rsid w:val="004C121C"/>
    <w:rsid w:val="004C213D"/>
    <w:rsid w:val="004C28B4"/>
    <w:rsid w:val="004D0D3D"/>
    <w:rsid w:val="004D1FA2"/>
    <w:rsid w:val="004D2D21"/>
    <w:rsid w:val="004D2FEF"/>
    <w:rsid w:val="004D307A"/>
    <w:rsid w:val="004D427F"/>
    <w:rsid w:val="004D5CC1"/>
    <w:rsid w:val="004E05A2"/>
    <w:rsid w:val="004F0F46"/>
    <w:rsid w:val="004F1200"/>
    <w:rsid w:val="004F5FE8"/>
    <w:rsid w:val="00501CA1"/>
    <w:rsid w:val="00506BE9"/>
    <w:rsid w:val="00507747"/>
    <w:rsid w:val="00511685"/>
    <w:rsid w:val="0051427D"/>
    <w:rsid w:val="00515C01"/>
    <w:rsid w:val="005161AE"/>
    <w:rsid w:val="00523385"/>
    <w:rsid w:val="00527777"/>
    <w:rsid w:val="0053414B"/>
    <w:rsid w:val="00535082"/>
    <w:rsid w:val="0053541E"/>
    <w:rsid w:val="00537258"/>
    <w:rsid w:val="00543221"/>
    <w:rsid w:val="005469A1"/>
    <w:rsid w:val="0055149F"/>
    <w:rsid w:val="005541A1"/>
    <w:rsid w:val="0055517D"/>
    <w:rsid w:val="00556483"/>
    <w:rsid w:val="00561818"/>
    <w:rsid w:val="00570E76"/>
    <w:rsid w:val="00570FE8"/>
    <w:rsid w:val="00571944"/>
    <w:rsid w:val="005727D0"/>
    <w:rsid w:val="00573132"/>
    <w:rsid w:val="005805C8"/>
    <w:rsid w:val="00580862"/>
    <w:rsid w:val="0058135F"/>
    <w:rsid w:val="00586179"/>
    <w:rsid w:val="005874E0"/>
    <w:rsid w:val="0059096A"/>
    <w:rsid w:val="00591B62"/>
    <w:rsid w:val="005932F8"/>
    <w:rsid w:val="00593C06"/>
    <w:rsid w:val="00593F39"/>
    <w:rsid w:val="005A71B8"/>
    <w:rsid w:val="005B4634"/>
    <w:rsid w:val="005B4BE7"/>
    <w:rsid w:val="005B7989"/>
    <w:rsid w:val="005C2768"/>
    <w:rsid w:val="005C3330"/>
    <w:rsid w:val="005C6463"/>
    <w:rsid w:val="005C7EA7"/>
    <w:rsid w:val="005D08A0"/>
    <w:rsid w:val="005D5165"/>
    <w:rsid w:val="005D5C99"/>
    <w:rsid w:val="005D6EB5"/>
    <w:rsid w:val="005E1455"/>
    <w:rsid w:val="005E2409"/>
    <w:rsid w:val="005E2477"/>
    <w:rsid w:val="005E257D"/>
    <w:rsid w:val="005E493A"/>
    <w:rsid w:val="005F1C02"/>
    <w:rsid w:val="005F4ADA"/>
    <w:rsid w:val="005F757C"/>
    <w:rsid w:val="00603401"/>
    <w:rsid w:val="00603DDA"/>
    <w:rsid w:val="00604EB4"/>
    <w:rsid w:val="0061064B"/>
    <w:rsid w:val="00613442"/>
    <w:rsid w:val="00614CC3"/>
    <w:rsid w:val="0061579E"/>
    <w:rsid w:val="00616EFB"/>
    <w:rsid w:val="00617DB4"/>
    <w:rsid w:val="0062152B"/>
    <w:rsid w:val="00621ED5"/>
    <w:rsid w:val="00627563"/>
    <w:rsid w:val="006275AA"/>
    <w:rsid w:val="0062787A"/>
    <w:rsid w:val="006343F0"/>
    <w:rsid w:val="00635EA8"/>
    <w:rsid w:val="00636C3F"/>
    <w:rsid w:val="006400B1"/>
    <w:rsid w:val="00647076"/>
    <w:rsid w:val="0064751D"/>
    <w:rsid w:val="00650EC2"/>
    <w:rsid w:val="00656B42"/>
    <w:rsid w:val="006609FA"/>
    <w:rsid w:val="006610B6"/>
    <w:rsid w:val="0066196B"/>
    <w:rsid w:val="00665F00"/>
    <w:rsid w:val="00670BF1"/>
    <w:rsid w:val="00677C8F"/>
    <w:rsid w:val="0069146C"/>
    <w:rsid w:val="006A05A4"/>
    <w:rsid w:val="006A0737"/>
    <w:rsid w:val="006A2C72"/>
    <w:rsid w:val="006A315B"/>
    <w:rsid w:val="006A6081"/>
    <w:rsid w:val="006A6872"/>
    <w:rsid w:val="006A6CA4"/>
    <w:rsid w:val="006B0786"/>
    <w:rsid w:val="006B3BA4"/>
    <w:rsid w:val="006B67F3"/>
    <w:rsid w:val="006C12F4"/>
    <w:rsid w:val="006C1E6F"/>
    <w:rsid w:val="006C7AA0"/>
    <w:rsid w:val="006D13A6"/>
    <w:rsid w:val="006D7C58"/>
    <w:rsid w:val="006E5122"/>
    <w:rsid w:val="006F0D1D"/>
    <w:rsid w:val="006F32D4"/>
    <w:rsid w:val="00701591"/>
    <w:rsid w:val="007138F9"/>
    <w:rsid w:val="00716E26"/>
    <w:rsid w:val="00721460"/>
    <w:rsid w:val="00721C5C"/>
    <w:rsid w:val="00724AD4"/>
    <w:rsid w:val="00725969"/>
    <w:rsid w:val="0073387A"/>
    <w:rsid w:val="00733A9A"/>
    <w:rsid w:val="00733D10"/>
    <w:rsid w:val="0073504E"/>
    <w:rsid w:val="00737EDD"/>
    <w:rsid w:val="0075030E"/>
    <w:rsid w:val="00750BF3"/>
    <w:rsid w:val="00753C2B"/>
    <w:rsid w:val="007545D9"/>
    <w:rsid w:val="00756D47"/>
    <w:rsid w:val="0077033F"/>
    <w:rsid w:val="007704BB"/>
    <w:rsid w:val="00775ED6"/>
    <w:rsid w:val="00776A9D"/>
    <w:rsid w:val="0078088D"/>
    <w:rsid w:val="00782B97"/>
    <w:rsid w:val="0079108F"/>
    <w:rsid w:val="007A0314"/>
    <w:rsid w:val="007A2156"/>
    <w:rsid w:val="007A27B4"/>
    <w:rsid w:val="007A3B50"/>
    <w:rsid w:val="007A7E0D"/>
    <w:rsid w:val="007A7FCE"/>
    <w:rsid w:val="007B2661"/>
    <w:rsid w:val="007B7437"/>
    <w:rsid w:val="007C317D"/>
    <w:rsid w:val="007E0C1B"/>
    <w:rsid w:val="007E1266"/>
    <w:rsid w:val="007E3B9F"/>
    <w:rsid w:val="007E5598"/>
    <w:rsid w:val="007E5881"/>
    <w:rsid w:val="007F0CCF"/>
    <w:rsid w:val="007F30E6"/>
    <w:rsid w:val="007F5F81"/>
    <w:rsid w:val="007F7157"/>
    <w:rsid w:val="008008C8"/>
    <w:rsid w:val="00800A13"/>
    <w:rsid w:val="00800EF0"/>
    <w:rsid w:val="00802254"/>
    <w:rsid w:val="00802F71"/>
    <w:rsid w:val="00803BB2"/>
    <w:rsid w:val="00807858"/>
    <w:rsid w:val="0081069A"/>
    <w:rsid w:val="008124B9"/>
    <w:rsid w:val="00822A65"/>
    <w:rsid w:val="008247C0"/>
    <w:rsid w:val="00824FDC"/>
    <w:rsid w:val="00827F9C"/>
    <w:rsid w:val="00834AA2"/>
    <w:rsid w:val="00836604"/>
    <w:rsid w:val="008418CD"/>
    <w:rsid w:val="00843600"/>
    <w:rsid w:val="008448D2"/>
    <w:rsid w:val="00852E20"/>
    <w:rsid w:val="00855E90"/>
    <w:rsid w:val="00864587"/>
    <w:rsid w:val="00873158"/>
    <w:rsid w:val="008760B8"/>
    <w:rsid w:val="0088125B"/>
    <w:rsid w:val="00881F12"/>
    <w:rsid w:val="0088725D"/>
    <w:rsid w:val="00892984"/>
    <w:rsid w:val="00892F1D"/>
    <w:rsid w:val="00895802"/>
    <w:rsid w:val="008A20D8"/>
    <w:rsid w:val="008A3A17"/>
    <w:rsid w:val="008B1156"/>
    <w:rsid w:val="008B223A"/>
    <w:rsid w:val="008B73B3"/>
    <w:rsid w:val="008C153F"/>
    <w:rsid w:val="008C2EBD"/>
    <w:rsid w:val="008D0A0B"/>
    <w:rsid w:val="008D1C78"/>
    <w:rsid w:val="008E368B"/>
    <w:rsid w:val="008E7CB0"/>
    <w:rsid w:val="008F1D91"/>
    <w:rsid w:val="008F3012"/>
    <w:rsid w:val="008F3F14"/>
    <w:rsid w:val="009027EE"/>
    <w:rsid w:val="009037B3"/>
    <w:rsid w:val="00904108"/>
    <w:rsid w:val="00905333"/>
    <w:rsid w:val="009077B9"/>
    <w:rsid w:val="00911335"/>
    <w:rsid w:val="00912168"/>
    <w:rsid w:val="00913FE8"/>
    <w:rsid w:val="0091666F"/>
    <w:rsid w:val="00917A5A"/>
    <w:rsid w:val="00926C8E"/>
    <w:rsid w:val="00935010"/>
    <w:rsid w:val="009373A5"/>
    <w:rsid w:val="00937653"/>
    <w:rsid w:val="009423A6"/>
    <w:rsid w:val="00944314"/>
    <w:rsid w:val="00945D4F"/>
    <w:rsid w:val="0094644E"/>
    <w:rsid w:val="00947C39"/>
    <w:rsid w:val="009513F3"/>
    <w:rsid w:val="00953C5C"/>
    <w:rsid w:val="00956381"/>
    <w:rsid w:val="00956CA3"/>
    <w:rsid w:val="009622C1"/>
    <w:rsid w:val="0096393B"/>
    <w:rsid w:val="009810F7"/>
    <w:rsid w:val="009815CD"/>
    <w:rsid w:val="00983318"/>
    <w:rsid w:val="00984EAA"/>
    <w:rsid w:val="00994EE4"/>
    <w:rsid w:val="009963CF"/>
    <w:rsid w:val="009A26E0"/>
    <w:rsid w:val="009A6AE8"/>
    <w:rsid w:val="009B0678"/>
    <w:rsid w:val="009B1FC4"/>
    <w:rsid w:val="009B20C7"/>
    <w:rsid w:val="009B2732"/>
    <w:rsid w:val="009B6FB1"/>
    <w:rsid w:val="009C079E"/>
    <w:rsid w:val="009C1248"/>
    <w:rsid w:val="009C23D2"/>
    <w:rsid w:val="009C5ECC"/>
    <w:rsid w:val="009C6887"/>
    <w:rsid w:val="009D30DE"/>
    <w:rsid w:val="009D3163"/>
    <w:rsid w:val="009D6FAD"/>
    <w:rsid w:val="009D7176"/>
    <w:rsid w:val="009E1B4A"/>
    <w:rsid w:val="009E2070"/>
    <w:rsid w:val="009E6B85"/>
    <w:rsid w:val="009F0310"/>
    <w:rsid w:val="009F0B8A"/>
    <w:rsid w:val="009F68A8"/>
    <w:rsid w:val="00A056EE"/>
    <w:rsid w:val="00A06CA0"/>
    <w:rsid w:val="00A108CC"/>
    <w:rsid w:val="00A13468"/>
    <w:rsid w:val="00A23E7C"/>
    <w:rsid w:val="00A2598D"/>
    <w:rsid w:val="00A273C1"/>
    <w:rsid w:val="00A324CE"/>
    <w:rsid w:val="00A35A97"/>
    <w:rsid w:val="00A37F3D"/>
    <w:rsid w:val="00A41457"/>
    <w:rsid w:val="00A4261B"/>
    <w:rsid w:val="00A43791"/>
    <w:rsid w:val="00A438DA"/>
    <w:rsid w:val="00A451DD"/>
    <w:rsid w:val="00A46D8A"/>
    <w:rsid w:val="00A504DE"/>
    <w:rsid w:val="00A526DF"/>
    <w:rsid w:val="00A534DD"/>
    <w:rsid w:val="00A56A27"/>
    <w:rsid w:val="00A64EE7"/>
    <w:rsid w:val="00A65171"/>
    <w:rsid w:val="00A717CB"/>
    <w:rsid w:val="00A71AEA"/>
    <w:rsid w:val="00A72720"/>
    <w:rsid w:val="00A74564"/>
    <w:rsid w:val="00A77E04"/>
    <w:rsid w:val="00A87305"/>
    <w:rsid w:val="00A87622"/>
    <w:rsid w:val="00A94140"/>
    <w:rsid w:val="00AA0D37"/>
    <w:rsid w:val="00AA1E18"/>
    <w:rsid w:val="00AB0D3A"/>
    <w:rsid w:val="00AB2036"/>
    <w:rsid w:val="00AC26A8"/>
    <w:rsid w:val="00AC2E88"/>
    <w:rsid w:val="00AC5910"/>
    <w:rsid w:val="00AD01EC"/>
    <w:rsid w:val="00AD493D"/>
    <w:rsid w:val="00AE245A"/>
    <w:rsid w:val="00AE3754"/>
    <w:rsid w:val="00AE462B"/>
    <w:rsid w:val="00AE534B"/>
    <w:rsid w:val="00AE6575"/>
    <w:rsid w:val="00AF112F"/>
    <w:rsid w:val="00AF1EC8"/>
    <w:rsid w:val="00AF2F94"/>
    <w:rsid w:val="00AF3871"/>
    <w:rsid w:val="00AF45EF"/>
    <w:rsid w:val="00AF4675"/>
    <w:rsid w:val="00AF58FF"/>
    <w:rsid w:val="00AF65EA"/>
    <w:rsid w:val="00AF7691"/>
    <w:rsid w:val="00B106E1"/>
    <w:rsid w:val="00B10CF8"/>
    <w:rsid w:val="00B10FE8"/>
    <w:rsid w:val="00B12825"/>
    <w:rsid w:val="00B15879"/>
    <w:rsid w:val="00B16603"/>
    <w:rsid w:val="00B17AE1"/>
    <w:rsid w:val="00B24E04"/>
    <w:rsid w:val="00B27F45"/>
    <w:rsid w:val="00B300EA"/>
    <w:rsid w:val="00B33AEC"/>
    <w:rsid w:val="00B33FC9"/>
    <w:rsid w:val="00B34427"/>
    <w:rsid w:val="00B35069"/>
    <w:rsid w:val="00B37A2D"/>
    <w:rsid w:val="00B41F13"/>
    <w:rsid w:val="00B4450F"/>
    <w:rsid w:val="00B532FB"/>
    <w:rsid w:val="00B57A08"/>
    <w:rsid w:val="00B62AE7"/>
    <w:rsid w:val="00B6328E"/>
    <w:rsid w:val="00B63CC1"/>
    <w:rsid w:val="00B653B5"/>
    <w:rsid w:val="00B665FF"/>
    <w:rsid w:val="00B70593"/>
    <w:rsid w:val="00B70F6C"/>
    <w:rsid w:val="00B74665"/>
    <w:rsid w:val="00B76F9D"/>
    <w:rsid w:val="00B77A73"/>
    <w:rsid w:val="00B83E15"/>
    <w:rsid w:val="00B93039"/>
    <w:rsid w:val="00B95596"/>
    <w:rsid w:val="00B97BD5"/>
    <w:rsid w:val="00BA6B9F"/>
    <w:rsid w:val="00BB1EE2"/>
    <w:rsid w:val="00BB6018"/>
    <w:rsid w:val="00BB7EE5"/>
    <w:rsid w:val="00BC1D90"/>
    <w:rsid w:val="00BC3315"/>
    <w:rsid w:val="00BC723D"/>
    <w:rsid w:val="00BE22F7"/>
    <w:rsid w:val="00BE2321"/>
    <w:rsid w:val="00BE2988"/>
    <w:rsid w:val="00BE45ED"/>
    <w:rsid w:val="00BE613A"/>
    <w:rsid w:val="00BE7967"/>
    <w:rsid w:val="00BE7B02"/>
    <w:rsid w:val="00BF0890"/>
    <w:rsid w:val="00BF5CC7"/>
    <w:rsid w:val="00BF715E"/>
    <w:rsid w:val="00C01C79"/>
    <w:rsid w:val="00C043E0"/>
    <w:rsid w:val="00C128B8"/>
    <w:rsid w:val="00C15581"/>
    <w:rsid w:val="00C207E6"/>
    <w:rsid w:val="00C20E87"/>
    <w:rsid w:val="00C21B3D"/>
    <w:rsid w:val="00C21F19"/>
    <w:rsid w:val="00C222D9"/>
    <w:rsid w:val="00C23CB9"/>
    <w:rsid w:val="00C242B1"/>
    <w:rsid w:val="00C25F26"/>
    <w:rsid w:val="00C34E19"/>
    <w:rsid w:val="00C35C59"/>
    <w:rsid w:val="00C42094"/>
    <w:rsid w:val="00C45BB2"/>
    <w:rsid w:val="00C546C0"/>
    <w:rsid w:val="00C54E6C"/>
    <w:rsid w:val="00C573C9"/>
    <w:rsid w:val="00C626E4"/>
    <w:rsid w:val="00C672A1"/>
    <w:rsid w:val="00C676A9"/>
    <w:rsid w:val="00C678F6"/>
    <w:rsid w:val="00C73017"/>
    <w:rsid w:val="00C754D7"/>
    <w:rsid w:val="00C7645B"/>
    <w:rsid w:val="00C77305"/>
    <w:rsid w:val="00C77D42"/>
    <w:rsid w:val="00C821C5"/>
    <w:rsid w:val="00C870BE"/>
    <w:rsid w:val="00C87578"/>
    <w:rsid w:val="00C91C90"/>
    <w:rsid w:val="00C91E56"/>
    <w:rsid w:val="00C922C6"/>
    <w:rsid w:val="00C930E8"/>
    <w:rsid w:val="00C97127"/>
    <w:rsid w:val="00CA150F"/>
    <w:rsid w:val="00CA5C02"/>
    <w:rsid w:val="00CB1589"/>
    <w:rsid w:val="00CC631D"/>
    <w:rsid w:val="00CD01C7"/>
    <w:rsid w:val="00CD26DE"/>
    <w:rsid w:val="00CD3C8F"/>
    <w:rsid w:val="00CD708E"/>
    <w:rsid w:val="00CD7CAE"/>
    <w:rsid w:val="00CE1DF0"/>
    <w:rsid w:val="00CE2038"/>
    <w:rsid w:val="00CF274C"/>
    <w:rsid w:val="00CF6185"/>
    <w:rsid w:val="00CF64C7"/>
    <w:rsid w:val="00D001D9"/>
    <w:rsid w:val="00D010DA"/>
    <w:rsid w:val="00D02054"/>
    <w:rsid w:val="00D032DB"/>
    <w:rsid w:val="00D037AD"/>
    <w:rsid w:val="00D04D6E"/>
    <w:rsid w:val="00D06018"/>
    <w:rsid w:val="00D064CF"/>
    <w:rsid w:val="00D10470"/>
    <w:rsid w:val="00D10DDD"/>
    <w:rsid w:val="00D11371"/>
    <w:rsid w:val="00D118AF"/>
    <w:rsid w:val="00D118BB"/>
    <w:rsid w:val="00D136EB"/>
    <w:rsid w:val="00D21C2C"/>
    <w:rsid w:val="00D2353C"/>
    <w:rsid w:val="00D254E2"/>
    <w:rsid w:val="00D26846"/>
    <w:rsid w:val="00D33632"/>
    <w:rsid w:val="00D41741"/>
    <w:rsid w:val="00D417FC"/>
    <w:rsid w:val="00D44944"/>
    <w:rsid w:val="00D46403"/>
    <w:rsid w:val="00D55243"/>
    <w:rsid w:val="00D60EF5"/>
    <w:rsid w:val="00D706A6"/>
    <w:rsid w:val="00D76587"/>
    <w:rsid w:val="00D80A00"/>
    <w:rsid w:val="00D836B8"/>
    <w:rsid w:val="00D90AA5"/>
    <w:rsid w:val="00D91E83"/>
    <w:rsid w:val="00D94FF9"/>
    <w:rsid w:val="00DA063F"/>
    <w:rsid w:val="00DA2767"/>
    <w:rsid w:val="00DA326F"/>
    <w:rsid w:val="00DA688E"/>
    <w:rsid w:val="00DA79BE"/>
    <w:rsid w:val="00DB09A6"/>
    <w:rsid w:val="00DB4FB4"/>
    <w:rsid w:val="00DC5195"/>
    <w:rsid w:val="00DC5B2A"/>
    <w:rsid w:val="00DD067C"/>
    <w:rsid w:val="00DD4657"/>
    <w:rsid w:val="00DD4D09"/>
    <w:rsid w:val="00DD6153"/>
    <w:rsid w:val="00DE1742"/>
    <w:rsid w:val="00DE19E3"/>
    <w:rsid w:val="00DE39A7"/>
    <w:rsid w:val="00DE51D7"/>
    <w:rsid w:val="00DE695D"/>
    <w:rsid w:val="00E03504"/>
    <w:rsid w:val="00E044B9"/>
    <w:rsid w:val="00E1469B"/>
    <w:rsid w:val="00E14F0D"/>
    <w:rsid w:val="00E1710A"/>
    <w:rsid w:val="00E2227E"/>
    <w:rsid w:val="00E23902"/>
    <w:rsid w:val="00E23B9E"/>
    <w:rsid w:val="00E24E7C"/>
    <w:rsid w:val="00E37FC4"/>
    <w:rsid w:val="00E41160"/>
    <w:rsid w:val="00E43E6D"/>
    <w:rsid w:val="00E53312"/>
    <w:rsid w:val="00E555E2"/>
    <w:rsid w:val="00E62536"/>
    <w:rsid w:val="00E6605C"/>
    <w:rsid w:val="00E661F4"/>
    <w:rsid w:val="00E7106F"/>
    <w:rsid w:val="00E84897"/>
    <w:rsid w:val="00E85930"/>
    <w:rsid w:val="00E87862"/>
    <w:rsid w:val="00E92E1F"/>
    <w:rsid w:val="00E94A09"/>
    <w:rsid w:val="00E9544B"/>
    <w:rsid w:val="00E95E50"/>
    <w:rsid w:val="00E97769"/>
    <w:rsid w:val="00EA4438"/>
    <w:rsid w:val="00EA4A5E"/>
    <w:rsid w:val="00EB3C6D"/>
    <w:rsid w:val="00EB7051"/>
    <w:rsid w:val="00EC04FF"/>
    <w:rsid w:val="00EC157A"/>
    <w:rsid w:val="00EC1B35"/>
    <w:rsid w:val="00EC762A"/>
    <w:rsid w:val="00EC776D"/>
    <w:rsid w:val="00ED2487"/>
    <w:rsid w:val="00ED37D4"/>
    <w:rsid w:val="00ED3F60"/>
    <w:rsid w:val="00EE3721"/>
    <w:rsid w:val="00EE626A"/>
    <w:rsid w:val="00EF2560"/>
    <w:rsid w:val="00EF3BE9"/>
    <w:rsid w:val="00EF3C56"/>
    <w:rsid w:val="00EF3E5B"/>
    <w:rsid w:val="00EF5389"/>
    <w:rsid w:val="00EF7187"/>
    <w:rsid w:val="00EF72A8"/>
    <w:rsid w:val="00EF7C22"/>
    <w:rsid w:val="00F00751"/>
    <w:rsid w:val="00F00D3A"/>
    <w:rsid w:val="00F02C7D"/>
    <w:rsid w:val="00F17D57"/>
    <w:rsid w:val="00F21DBE"/>
    <w:rsid w:val="00F22441"/>
    <w:rsid w:val="00F271D6"/>
    <w:rsid w:val="00F31781"/>
    <w:rsid w:val="00F31A67"/>
    <w:rsid w:val="00F3242B"/>
    <w:rsid w:val="00F35290"/>
    <w:rsid w:val="00F3627F"/>
    <w:rsid w:val="00F3688E"/>
    <w:rsid w:val="00F4217B"/>
    <w:rsid w:val="00F45A15"/>
    <w:rsid w:val="00F46808"/>
    <w:rsid w:val="00F47ACA"/>
    <w:rsid w:val="00F50683"/>
    <w:rsid w:val="00F53B04"/>
    <w:rsid w:val="00F61565"/>
    <w:rsid w:val="00F61614"/>
    <w:rsid w:val="00F67A33"/>
    <w:rsid w:val="00F740EE"/>
    <w:rsid w:val="00F82FEF"/>
    <w:rsid w:val="00F830AF"/>
    <w:rsid w:val="00F84860"/>
    <w:rsid w:val="00F85DC8"/>
    <w:rsid w:val="00F90843"/>
    <w:rsid w:val="00FA3ED4"/>
    <w:rsid w:val="00FA56E6"/>
    <w:rsid w:val="00FA6471"/>
    <w:rsid w:val="00FB02AC"/>
    <w:rsid w:val="00FB2DEC"/>
    <w:rsid w:val="00FB512E"/>
    <w:rsid w:val="00FC0234"/>
    <w:rsid w:val="00FC35AD"/>
    <w:rsid w:val="00FC4500"/>
    <w:rsid w:val="00FD17D8"/>
    <w:rsid w:val="00FD1D3D"/>
    <w:rsid w:val="00FD34C8"/>
    <w:rsid w:val="00FD648A"/>
    <w:rsid w:val="00FD65CA"/>
    <w:rsid w:val="00FE3F39"/>
    <w:rsid w:val="00FE3F59"/>
    <w:rsid w:val="00FE63F6"/>
    <w:rsid w:val="00FF51A7"/>
    <w:rsid w:val="00FF5B81"/>
    <w:rsid w:val="00FF76E4"/>
    <w:rsid w:val="02810978"/>
    <w:rsid w:val="06812161"/>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6" w:lineRule="auto"/>
    </w:pPr>
    <w:rPr>
      <w:rFonts w:asciiTheme="minorHAnsi" w:hAnsiTheme="minorHAnsi" w:eastAsiaTheme="minorEastAsia" w:cstheme="minorBidi"/>
      <w:kern w:val="0"/>
      <w:sz w:val="22"/>
      <w:szCs w:val="22"/>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3">
    <w:name w:val="heading 3"/>
    <w:basedOn w:val="1"/>
    <w:next w:val="1"/>
    <w:link w:val="16"/>
    <w:qFormat/>
    <w:uiPriority w:val="9"/>
    <w:pPr>
      <w:spacing w:before="100" w:beforeAutospacing="1" w:after="100" w:afterAutospacing="1" w:line="240" w:lineRule="auto"/>
      <w:outlineLvl w:val="2"/>
    </w:pPr>
    <w:rPr>
      <w:rFonts w:ascii="宋体" w:hAnsi="宋体" w:eastAsia="宋体" w:cs="宋体"/>
      <w:b/>
      <w:bCs/>
      <w:sz w:val="27"/>
      <w:szCs w:val="27"/>
    </w:rPr>
  </w:style>
  <w:style w:type="paragraph" w:styleId="4">
    <w:name w:val="heading 5"/>
    <w:basedOn w:val="1"/>
    <w:next w:val="1"/>
    <w:link w:val="17"/>
    <w:semiHidden/>
    <w:unhideWhenUsed/>
    <w:qFormat/>
    <w:uiPriority w:val="9"/>
    <w:pPr>
      <w:keepNext/>
      <w:keepLines/>
      <w:spacing w:before="280" w:after="290" w:line="376" w:lineRule="auto"/>
      <w:outlineLvl w:val="4"/>
    </w:pPr>
    <w:rPr>
      <w:b/>
      <w:bCs/>
      <w:sz w:val="28"/>
      <w:szCs w:val="28"/>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5">
    <w:name w:val="Balloon Text"/>
    <w:basedOn w:val="1"/>
    <w:link w:val="21"/>
    <w:semiHidden/>
    <w:unhideWhenUsed/>
    <w:uiPriority w:val="99"/>
    <w:pPr>
      <w:spacing w:after="0" w:line="240" w:lineRule="auto"/>
    </w:pPr>
    <w:rPr>
      <w:rFonts w:ascii="Segoe UI" w:hAnsi="Segoe UI" w:cs="Segoe UI"/>
      <w:sz w:val="18"/>
      <w:szCs w:val="18"/>
    </w:rPr>
  </w:style>
  <w:style w:type="paragraph" w:styleId="6">
    <w:name w:val="footer"/>
    <w:basedOn w:val="1"/>
    <w:link w:val="14"/>
    <w:unhideWhenUsed/>
    <w:uiPriority w:val="99"/>
    <w:pPr>
      <w:tabs>
        <w:tab w:val="center" w:pos="4153"/>
        <w:tab w:val="right" w:pos="8306"/>
      </w:tabs>
      <w:snapToGrid w:val="0"/>
      <w:spacing w:line="240" w:lineRule="auto"/>
    </w:pPr>
    <w:rPr>
      <w:sz w:val="18"/>
      <w:szCs w:val="18"/>
    </w:rPr>
  </w:style>
  <w:style w:type="paragraph" w:styleId="7">
    <w:name w:val="header"/>
    <w:basedOn w:val="1"/>
    <w:link w:val="13"/>
    <w:unhideWhenUsed/>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8">
    <w:name w:val="Normal (Web)"/>
    <w:basedOn w:val="1"/>
    <w:semiHidden/>
    <w:unhideWhenUsed/>
    <w:uiPriority w:val="99"/>
    <w:pPr>
      <w:spacing w:before="100" w:beforeAutospacing="1" w:after="100" w:afterAutospacing="1" w:line="240" w:lineRule="auto"/>
    </w:pPr>
    <w:rPr>
      <w:rFonts w:ascii="宋体" w:hAnsi="宋体" w:eastAsia="宋体" w:cs="宋体"/>
      <w:sz w:val="24"/>
      <w:szCs w:val="24"/>
    </w:rPr>
  </w:style>
  <w:style w:type="character" w:styleId="11">
    <w:name w:val="Strong"/>
    <w:basedOn w:val="10"/>
    <w:qFormat/>
    <w:uiPriority w:val="22"/>
    <w:rPr>
      <w:b/>
      <w:bCs/>
    </w:rPr>
  </w:style>
  <w:style w:type="character" w:styleId="12">
    <w:name w:val="Hyperlink"/>
    <w:basedOn w:val="10"/>
    <w:semiHidden/>
    <w:unhideWhenUsed/>
    <w:uiPriority w:val="99"/>
    <w:rPr>
      <w:color w:val="0000FF"/>
      <w:u w:val="single"/>
    </w:rPr>
  </w:style>
  <w:style w:type="character" w:customStyle="1" w:styleId="13">
    <w:name w:val="Header Char"/>
    <w:basedOn w:val="10"/>
    <w:link w:val="7"/>
    <w:uiPriority w:val="99"/>
    <w:rPr>
      <w:kern w:val="0"/>
      <w:sz w:val="18"/>
      <w:szCs w:val="18"/>
    </w:rPr>
  </w:style>
  <w:style w:type="character" w:customStyle="1" w:styleId="14">
    <w:name w:val="Footer Char"/>
    <w:basedOn w:val="10"/>
    <w:link w:val="6"/>
    <w:uiPriority w:val="99"/>
    <w:rPr>
      <w:kern w:val="0"/>
      <w:sz w:val="18"/>
      <w:szCs w:val="18"/>
    </w:rPr>
  </w:style>
  <w:style w:type="paragraph" w:styleId="15">
    <w:name w:val="List Paragraph"/>
    <w:basedOn w:val="1"/>
    <w:qFormat/>
    <w:uiPriority w:val="34"/>
    <w:pPr>
      <w:widowControl w:val="0"/>
      <w:spacing w:after="0" w:line="240" w:lineRule="auto"/>
      <w:ind w:left="720"/>
      <w:contextualSpacing/>
      <w:jc w:val="both"/>
    </w:pPr>
    <w:rPr>
      <w:kern w:val="2"/>
      <w:sz w:val="21"/>
    </w:rPr>
  </w:style>
  <w:style w:type="character" w:customStyle="1" w:styleId="16">
    <w:name w:val="Heading 3 Char"/>
    <w:basedOn w:val="10"/>
    <w:link w:val="3"/>
    <w:uiPriority w:val="9"/>
    <w:rPr>
      <w:rFonts w:ascii="宋体" w:hAnsi="宋体" w:eastAsia="宋体" w:cs="宋体"/>
      <w:b/>
      <w:bCs/>
      <w:kern w:val="0"/>
      <w:sz w:val="27"/>
      <w:szCs w:val="27"/>
    </w:rPr>
  </w:style>
  <w:style w:type="character" w:customStyle="1" w:styleId="17">
    <w:name w:val="Heading 5 Char"/>
    <w:basedOn w:val="10"/>
    <w:link w:val="4"/>
    <w:semiHidden/>
    <w:uiPriority w:val="9"/>
    <w:rPr>
      <w:b/>
      <w:bCs/>
      <w:kern w:val="0"/>
      <w:sz w:val="28"/>
      <w:szCs w:val="28"/>
    </w:rPr>
  </w:style>
  <w:style w:type="character" w:styleId="18">
    <w:name w:val="Placeholder Text"/>
    <w:basedOn w:val="10"/>
    <w:semiHidden/>
    <w:uiPriority w:val="99"/>
    <w:rPr>
      <w:color w:val="808080"/>
    </w:rPr>
  </w:style>
  <w:style w:type="character" w:customStyle="1" w:styleId="19">
    <w:name w:val="Heading 1 Char"/>
    <w:basedOn w:val="10"/>
    <w:link w:val="2"/>
    <w:uiPriority w:val="9"/>
    <w:rPr>
      <w:b/>
      <w:bCs/>
      <w:kern w:val="44"/>
      <w:sz w:val="44"/>
      <w:szCs w:val="44"/>
    </w:rPr>
  </w:style>
  <w:style w:type="character" w:customStyle="1" w:styleId="20">
    <w:name w:val="basic-word"/>
    <w:basedOn w:val="10"/>
    <w:uiPriority w:val="0"/>
  </w:style>
  <w:style w:type="character" w:customStyle="1" w:styleId="21">
    <w:name w:val="Balloon Text Char"/>
    <w:basedOn w:val="10"/>
    <w:link w:val="5"/>
    <w:semiHidden/>
    <w:uiPriority w:val="99"/>
    <w:rPr>
      <w:rFonts w:ascii="Segoe UI" w:hAnsi="Segoe UI" w:cs="Segoe UI"/>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2A263B-50AA-4FCF-9C19-05224B602C45}">
  <ds:schemaRefs/>
</ds:datastoreItem>
</file>

<file path=docProps/app.xml><?xml version="1.0" encoding="utf-8"?>
<Properties xmlns="http://schemas.openxmlformats.org/officeDocument/2006/extended-properties" xmlns:vt="http://schemas.openxmlformats.org/officeDocument/2006/docPropsVTypes">
  <Template>Normal.dotm</Template>
  <Pages>6</Pages>
  <Words>1634</Words>
  <Characters>9317</Characters>
  <Lines>77</Lines>
  <Paragraphs>21</Paragraphs>
  <TotalTime>23129</TotalTime>
  <ScaleCrop>false</ScaleCrop>
  <LinksUpToDate>false</LinksUpToDate>
  <CharactersWithSpaces>10930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2020-02-02T13:01:00Z</dcterms:created>
  <dc:creator>兆举 杨</dc:creator>
  <cp:lastModifiedBy>dell</cp:lastModifiedBy>
  <cp:lastPrinted>2020-03-30T05:07:00Z</cp:lastPrinted>
  <dcterms:modified xsi:type="dcterms:W3CDTF">2020-06-12T08:32:11Z</dcterms:modified>
  <cp:revision>658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