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97A196" w14:textId="77777777" w:rsidR="00533C93" w:rsidRDefault="00BD36AF">
      <w:bookmarkStart w:id="0" w:name="_Hlk40869112"/>
      <w:bookmarkStart w:id="1" w:name="_Hlk36316389"/>
      <w:bookmarkEnd w:id="0"/>
      <w:r>
        <w:t>Supplementary information for</w:t>
      </w:r>
    </w:p>
    <w:p w14:paraId="3B1EBA1B" w14:textId="77777777" w:rsidR="00533C93" w:rsidRDefault="00BD36AF">
      <w:pPr>
        <w:pStyle w:val="Title"/>
      </w:pPr>
      <w:r>
        <w:t xml:space="preserve">Diffraction-limited imaging with monolayer 2D material-based ultrathin flat lenses  </w:t>
      </w:r>
    </w:p>
    <w:p w14:paraId="24D663A5" w14:textId="77777777" w:rsidR="00533C93" w:rsidRDefault="00533C93"/>
    <w:p w14:paraId="4FB96F82" w14:textId="77777777" w:rsidR="00533C93" w:rsidRDefault="00BD36AF" w:rsidP="00BD36AF">
      <w:pPr>
        <w:pStyle w:val="MCAuthor"/>
        <w:ind w:firstLine="433"/>
        <w:rPr>
          <w:vertAlign w:val="superscript"/>
        </w:rPr>
      </w:pPr>
      <w:r>
        <w:t>Han Lin</w:t>
      </w:r>
      <w:r>
        <w:rPr>
          <w:vertAlign w:val="superscript"/>
        </w:rPr>
        <w:t>1</w:t>
      </w:r>
      <w:r>
        <w:t xml:space="preserve">, </w:t>
      </w:r>
      <w:proofErr w:type="spellStart"/>
      <w:r>
        <w:t>Zai-Quan</w:t>
      </w:r>
      <w:proofErr w:type="spellEnd"/>
      <w:r>
        <w:t xml:space="preserve"> Xu</w:t>
      </w:r>
      <w:r>
        <w:rPr>
          <w:vertAlign w:val="superscript"/>
        </w:rPr>
        <w:t>2</w:t>
      </w:r>
      <w:proofErr w:type="gramStart"/>
      <w:r>
        <w:rPr>
          <w:vertAlign w:val="superscript"/>
        </w:rPr>
        <w:t>,3</w:t>
      </w:r>
      <w:proofErr w:type="gramEnd"/>
      <w:r>
        <w:t xml:space="preserve">, </w:t>
      </w:r>
      <w:proofErr w:type="spellStart"/>
      <w:r>
        <w:t>Guiyuan</w:t>
      </w:r>
      <w:proofErr w:type="spellEnd"/>
      <w:r>
        <w:t xml:space="preserve"> Cao</w:t>
      </w:r>
      <w:r>
        <w:rPr>
          <w:vertAlign w:val="superscript"/>
        </w:rPr>
        <w:t>1</w:t>
      </w:r>
      <w:r>
        <w:t xml:space="preserve">, </w:t>
      </w:r>
      <w:proofErr w:type="spellStart"/>
      <w:r>
        <w:t>Yupeng</w:t>
      </w:r>
      <w:proofErr w:type="spellEnd"/>
      <w:r>
        <w:rPr>
          <w:rFonts w:eastAsiaTheme="minorEastAsia" w:hint="eastAsia"/>
          <w:lang w:eastAsia="zh-CN"/>
        </w:rPr>
        <w:t xml:space="preserve"> Zhang</w:t>
      </w:r>
      <w:r>
        <w:rPr>
          <w:rFonts w:eastAsiaTheme="minorEastAsia"/>
          <w:vertAlign w:val="superscript"/>
          <w:lang w:eastAsia="zh-CN"/>
        </w:rPr>
        <w:t>4</w:t>
      </w:r>
      <w:r>
        <w:rPr>
          <w:rFonts w:eastAsiaTheme="minorEastAsia" w:hint="eastAsia"/>
          <w:lang w:eastAsia="zh-CN"/>
        </w:rPr>
        <w:t xml:space="preserve">, </w:t>
      </w:r>
      <w:proofErr w:type="spellStart"/>
      <w:r>
        <w:rPr>
          <w:rFonts w:eastAsiaTheme="minorEastAsia" w:hint="eastAsia"/>
          <w:lang w:eastAsia="zh-CN"/>
        </w:rPr>
        <w:t>Jiadong</w:t>
      </w:r>
      <w:proofErr w:type="spellEnd"/>
      <w:r>
        <w:rPr>
          <w:rFonts w:eastAsiaTheme="minorEastAsia" w:hint="eastAsia"/>
          <w:lang w:eastAsia="zh-CN"/>
        </w:rPr>
        <w:t xml:space="preserve"> Zhou</w:t>
      </w:r>
      <w:r>
        <w:rPr>
          <w:rFonts w:eastAsiaTheme="minorEastAsia"/>
          <w:vertAlign w:val="superscript"/>
          <w:lang w:eastAsia="zh-CN"/>
        </w:rPr>
        <w:t>5</w:t>
      </w:r>
      <w:r>
        <w:rPr>
          <w:rFonts w:eastAsiaTheme="minorEastAsia" w:hint="eastAsia"/>
          <w:lang w:eastAsia="zh-CN"/>
        </w:rPr>
        <w:t xml:space="preserve">, </w:t>
      </w:r>
      <w:proofErr w:type="spellStart"/>
      <w:r>
        <w:rPr>
          <w:rFonts w:eastAsiaTheme="minorEastAsia"/>
          <w:lang w:eastAsia="zh-CN"/>
        </w:rPr>
        <w:t>Ziyu</w:t>
      </w:r>
      <w:proofErr w:type="spellEnd"/>
      <w:r>
        <w:rPr>
          <w:rFonts w:eastAsiaTheme="minorEastAsia"/>
          <w:lang w:eastAsia="zh-CN"/>
        </w:rPr>
        <w:t xml:space="preserve"> Wang</w:t>
      </w:r>
      <w:r>
        <w:rPr>
          <w:rFonts w:eastAsiaTheme="minorEastAsia"/>
          <w:vertAlign w:val="superscript"/>
          <w:lang w:eastAsia="zh-CN"/>
        </w:rPr>
        <w:t>2</w:t>
      </w:r>
      <w:r>
        <w:rPr>
          <w:rFonts w:eastAsiaTheme="minorEastAsia"/>
          <w:lang w:eastAsia="zh-CN"/>
        </w:rPr>
        <w:t xml:space="preserve">, </w:t>
      </w:r>
      <w:proofErr w:type="spellStart"/>
      <w:r>
        <w:rPr>
          <w:rFonts w:eastAsiaTheme="minorEastAsia" w:hint="eastAsia"/>
          <w:lang w:eastAsia="zh-CN"/>
        </w:rPr>
        <w:t>Zhichen</w:t>
      </w:r>
      <w:proofErr w:type="spellEnd"/>
      <w:r>
        <w:rPr>
          <w:rFonts w:eastAsiaTheme="minorEastAsia"/>
          <w:lang w:eastAsia="zh-CN"/>
        </w:rPr>
        <w:t xml:space="preserve"> </w:t>
      </w:r>
      <w:r>
        <w:rPr>
          <w:rFonts w:eastAsiaTheme="minorEastAsia" w:hint="eastAsia"/>
          <w:lang w:eastAsia="zh-CN"/>
        </w:rPr>
        <w:t>Wan</w:t>
      </w:r>
      <w:r>
        <w:rPr>
          <w:rFonts w:eastAsiaTheme="minorEastAsia"/>
          <w:vertAlign w:val="superscript"/>
          <w:lang w:eastAsia="zh-CN"/>
        </w:rPr>
        <w:t>2</w:t>
      </w:r>
      <w:r>
        <w:rPr>
          <w:rFonts w:eastAsiaTheme="minorEastAsia" w:hint="eastAsia"/>
          <w:lang w:eastAsia="zh-CN"/>
        </w:rPr>
        <w:t xml:space="preserve">, </w:t>
      </w:r>
      <w:proofErr w:type="spellStart"/>
      <w:r>
        <w:rPr>
          <w:rFonts w:eastAsiaTheme="minorEastAsia" w:hint="eastAsia"/>
          <w:lang w:eastAsia="zh-CN"/>
        </w:rPr>
        <w:t>Zheng</w:t>
      </w:r>
      <w:proofErr w:type="spellEnd"/>
      <w:r>
        <w:rPr>
          <w:rFonts w:eastAsiaTheme="minorEastAsia" w:hint="eastAsia"/>
          <w:lang w:eastAsia="zh-CN"/>
        </w:rPr>
        <w:t xml:space="preserve"> Liu</w:t>
      </w:r>
      <w:r>
        <w:rPr>
          <w:rFonts w:eastAsiaTheme="minorEastAsia"/>
          <w:vertAlign w:val="superscript"/>
          <w:lang w:eastAsia="zh-CN"/>
        </w:rPr>
        <w:t>5</w:t>
      </w:r>
      <w:r>
        <w:rPr>
          <w:rFonts w:eastAsiaTheme="minorEastAsia" w:hint="eastAsia"/>
          <w:lang w:eastAsia="zh-CN"/>
        </w:rPr>
        <w:t xml:space="preserve">, </w:t>
      </w:r>
      <w:proofErr w:type="spellStart"/>
      <w:r>
        <w:t>Kian</w:t>
      </w:r>
      <w:proofErr w:type="spellEnd"/>
      <w:r>
        <w:t xml:space="preserve"> Ping Loh</w:t>
      </w:r>
      <w:r>
        <w:rPr>
          <w:vertAlign w:val="superscript"/>
        </w:rPr>
        <w:t>6</w:t>
      </w:r>
      <w:r>
        <w:t>, Cheng-Wei Qiu</w:t>
      </w:r>
      <w:r>
        <w:rPr>
          <w:vertAlign w:val="superscript"/>
        </w:rPr>
        <w:t>7*</w:t>
      </w:r>
      <w:r>
        <w:t xml:space="preserve">, </w:t>
      </w:r>
      <w:proofErr w:type="spellStart"/>
      <w:r>
        <w:t>Qiaoliang</w:t>
      </w:r>
      <w:proofErr w:type="spellEnd"/>
      <w:r>
        <w:t xml:space="preserve"> Bao</w:t>
      </w:r>
      <w:r>
        <w:rPr>
          <w:vertAlign w:val="superscript"/>
        </w:rPr>
        <w:t>2*</w:t>
      </w:r>
      <w:r>
        <w:t xml:space="preserve">, </w:t>
      </w:r>
      <w:proofErr w:type="spellStart"/>
      <w:r>
        <w:t>Baohua</w:t>
      </w:r>
      <w:proofErr w:type="spellEnd"/>
      <w:r>
        <w:t xml:space="preserve"> Jia</w:t>
      </w:r>
      <w:r>
        <w:rPr>
          <w:vertAlign w:val="superscript"/>
        </w:rPr>
        <w:t>1,</w:t>
      </w:r>
      <w:r>
        <w:rPr>
          <w:rFonts w:eastAsia="宋体"/>
          <w:vertAlign w:val="superscript"/>
          <w:lang w:eastAsia="zh-CN"/>
        </w:rPr>
        <w:t>8</w:t>
      </w:r>
      <w:r>
        <w:rPr>
          <w:vertAlign w:val="superscript"/>
        </w:rPr>
        <w:t>*</w:t>
      </w:r>
    </w:p>
    <w:p w14:paraId="17F79B68" w14:textId="77777777" w:rsidR="00533C93" w:rsidRDefault="00533C93">
      <w:pPr>
        <w:pStyle w:val="MCAuthorAffiliation"/>
        <w:ind w:firstLine="320"/>
      </w:pPr>
    </w:p>
    <w:p w14:paraId="11119BB5" w14:textId="77777777" w:rsidR="00533C93" w:rsidRDefault="00BD36AF">
      <w:pPr>
        <w:pStyle w:val="Affiliation"/>
        <w:ind w:firstLine="420"/>
        <w:rPr>
          <w:sz w:val="21"/>
          <w:szCs w:val="21"/>
        </w:rPr>
      </w:pPr>
      <w:r>
        <w:rPr>
          <w:sz w:val="21"/>
          <w:szCs w:val="21"/>
          <w:vertAlign w:val="superscript"/>
        </w:rPr>
        <w:t>1</w:t>
      </w:r>
      <w:r>
        <w:rPr>
          <w:sz w:val="21"/>
          <w:szCs w:val="21"/>
        </w:rPr>
        <w:t>Centre for Translational Atomaterials, Faculty of Science, Engineering and Technology, Swinburne University of Technology, P. O. Box 218, Hawthorn VIC 3122, Australia</w:t>
      </w:r>
    </w:p>
    <w:p w14:paraId="6B8F27B2" w14:textId="6465E9F3" w:rsidR="00533C93" w:rsidRDefault="00BD36AF">
      <w:pPr>
        <w:pStyle w:val="Affiliation"/>
        <w:ind w:firstLine="420"/>
        <w:rPr>
          <w:rFonts w:eastAsiaTheme="minorEastAsia"/>
          <w:sz w:val="21"/>
          <w:szCs w:val="21"/>
        </w:rPr>
      </w:pPr>
      <w:r>
        <w:rPr>
          <w:sz w:val="21"/>
          <w:szCs w:val="21"/>
          <w:vertAlign w:val="superscript"/>
        </w:rPr>
        <w:t>2</w:t>
      </w:r>
      <w:r w:rsidR="006B4929" w:rsidRPr="006B4929">
        <w:t xml:space="preserve"> </w:t>
      </w:r>
      <w:r w:rsidR="006B4929" w:rsidRPr="006B4929">
        <w:rPr>
          <w:sz w:val="21"/>
          <w:szCs w:val="21"/>
        </w:rPr>
        <w:t xml:space="preserve">Department of Materials Science and Engineering, ARC Centre of Excellence in Future Low-Energy Electronics Technologies (FLEET), </w:t>
      </w:r>
      <w:proofErr w:type="spellStart"/>
      <w:r w:rsidR="006B4929" w:rsidRPr="006B4929">
        <w:rPr>
          <w:sz w:val="21"/>
          <w:szCs w:val="21"/>
        </w:rPr>
        <w:t>Monash</w:t>
      </w:r>
      <w:proofErr w:type="spellEnd"/>
      <w:r w:rsidR="006B4929" w:rsidRPr="006B4929">
        <w:rPr>
          <w:sz w:val="21"/>
          <w:szCs w:val="21"/>
        </w:rPr>
        <w:t xml:space="preserve"> University, Wellington Road, Clayton, Victoria 3800, Australia</w:t>
      </w:r>
      <w:r>
        <w:rPr>
          <w:sz w:val="21"/>
          <w:szCs w:val="21"/>
        </w:rPr>
        <w:t xml:space="preserve"> </w:t>
      </w:r>
    </w:p>
    <w:p w14:paraId="6DF2D9AA" w14:textId="77777777" w:rsidR="00533C93" w:rsidRDefault="00BD36AF">
      <w:pPr>
        <w:pStyle w:val="Affiliation"/>
        <w:ind w:firstLine="420"/>
        <w:rPr>
          <w:sz w:val="21"/>
          <w:szCs w:val="21"/>
        </w:rPr>
      </w:pPr>
      <w:r>
        <w:rPr>
          <w:sz w:val="21"/>
          <w:szCs w:val="21"/>
          <w:vertAlign w:val="superscript"/>
        </w:rPr>
        <w:t>3</w:t>
      </w:r>
      <w:r>
        <w:rPr>
          <w:sz w:val="21"/>
          <w:szCs w:val="21"/>
        </w:rPr>
        <w:t>School of Mathematical and Physical Sciences, Faculty of Science, University of Technology Sydney, 15 Broadway, Ultimo, 2007, NSW, Australia</w:t>
      </w:r>
    </w:p>
    <w:p w14:paraId="18952E4B" w14:textId="77777777" w:rsidR="00533C93" w:rsidRDefault="00BD36AF">
      <w:pPr>
        <w:pStyle w:val="Affiliation"/>
        <w:ind w:firstLine="420"/>
        <w:rPr>
          <w:sz w:val="21"/>
          <w:szCs w:val="21"/>
        </w:rPr>
      </w:pPr>
      <w:r>
        <w:rPr>
          <w:sz w:val="21"/>
          <w:szCs w:val="21"/>
          <w:vertAlign w:val="superscript"/>
        </w:rPr>
        <w:t>4</w:t>
      </w:r>
      <w:r>
        <w:rPr>
          <w:sz w:val="21"/>
          <w:szCs w:val="21"/>
        </w:rPr>
        <w:t xml:space="preserve">Institute of </w:t>
      </w:r>
      <w:proofErr w:type="spellStart"/>
      <w:r>
        <w:rPr>
          <w:sz w:val="21"/>
          <w:szCs w:val="21"/>
        </w:rPr>
        <w:t>Microscale</w:t>
      </w:r>
      <w:proofErr w:type="spellEnd"/>
      <w:r>
        <w:rPr>
          <w:sz w:val="21"/>
          <w:szCs w:val="21"/>
        </w:rPr>
        <w:t xml:space="preserve"> Optoelectronics, Lab of Artificial Microstructure for Optoelectronics Shenzhen University, Shenzhen 518000, China</w:t>
      </w:r>
    </w:p>
    <w:p w14:paraId="2E1DBD80" w14:textId="77777777" w:rsidR="00533C93" w:rsidRDefault="00BD36AF">
      <w:pPr>
        <w:pStyle w:val="Affiliation"/>
        <w:ind w:firstLine="420"/>
        <w:rPr>
          <w:sz w:val="21"/>
          <w:szCs w:val="21"/>
        </w:rPr>
      </w:pPr>
      <w:r>
        <w:rPr>
          <w:sz w:val="21"/>
          <w:szCs w:val="21"/>
          <w:vertAlign w:val="superscript"/>
        </w:rPr>
        <w:t>5</w:t>
      </w:r>
      <w:r>
        <w:rPr>
          <w:sz w:val="21"/>
          <w:szCs w:val="21"/>
        </w:rPr>
        <w:t xml:space="preserve">School of Materials Science and Engineering, </w:t>
      </w:r>
      <w:proofErr w:type="spellStart"/>
      <w:r>
        <w:rPr>
          <w:sz w:val="21"/>
          <w:szCs w:val="21"/>
        </w:rPr>
        <w:t>Nanyang</w:t>
      </w:r>
      <w:proofErr w:type="spellEnd"/>
      <w:r>
        <w:rPr>
          <w:sz w:val="21"/>
          <w:szCs w:val="21"/>
        </w:rPr>
        <w:t xml:space="preserve"> Technological University, Singapore 639798, Singapore</w:t>
      </w:r>
    </w:p>
    <w:p w14:paraId="45FBB190" w14:textId="1FD46DB1" w:rsidR="00533C93" w:rsidRDefault="00BD36AF">
      <w:pPr>
        <w:pStyle w:val="Affiliation"/>
        <w:ind w:firstLine="420"/>
        <w:rPr>
          <w:sz w:val="21"/>
          <w:szCs w:val="21"/>
        </w:rPr>
      </w:pPr>
      <w:r>
        <w:rPr>
          <w:sz w:val="21"/>
          <w:szCs w:val="21"/>
          <w:vertAlign w:val="superscript"/>
        </w:rPr>
        <w:t>6</w:t>
      </w:r>
      <w:r>
        <w:rPr>
          <w:sz w:val="21"/>
          <w:szCs w:val="21"/>
        </w:rPr>
        <w:t>Department of Chemistry, National University of Singapo</w:t>
      </w:r>
      <w:r w:rsidR="00476CDC">
        <w:rPr>
          <w:sz w:val="21"/>
          <w:szCs w:val="21"/>
        </w:rPr>
        <w:t>re, Singapore 117543, Singapore</w:t>
      </w:r>
    </w:p>
    <w:p w14:paraId="63D7C7E3" w14:textId="77777777" w:rsidR="00533C93" w:rsidRDefault="00BD36AF">
      <w:pPr>
        <w:pStyle w:val="Affiliation"/>
        <w:ind w:firstLine="420"/>
        <w:rPr>
          <w:sz w:val="21"/>
          <w:szCs w:val="21"/>
        </w:rPr>
      </w:pPr>
      <w:r>
        <w:rPr>
          <w:sz w:val="21"/>
          <w:szCs w:val="21"/>
          <w:vertAlign w:val="superscript"/>
        </w:rPr>
        <w:t>7</w:t>
      </w:r>
      <w:r>
        <w:rPr>
          <w:sz w:val="21"/>
          <w:szCs w:val="21"/>
        </w:rPr>
        <w:t>Department of Electrical and Computer Engineering, National University of Singapore, Singapore 117583, Singapore</w:t>
      </w:r>
    </w:p>
    <w:p w14:paraId="681C42DA" w14:textId="74B4D954" w:rsidR="00533C93" w:rsidRDefault="00BD36AF">
      <w:pPr>
        <w:pStyle w:val="Affiliation"/>
        <w:ind w:firstLine="420"/>
        <w:rPr>
          <w:sz w:val="21"/>
          <w:szCs w:val="21"/>
        </w:rPr>
      </w:pPr>
      <w:r>
        <w:rPr>
          <w:sz w:val="21"/>
          <w:szCs w:val="21"/>
          <w:vertAlign w:val="superscript"/>
        </w:rPr>
        <w:t>8</w:t>
      </w:r>
      <w:r>
        <w:rPr>
          <w:sz w:val="21"/>
          <w:szCs w:val="21"/>
        </w:rPr>
        <w:t>The Australian Research Council (ARC) Industrial Transformation Training Centre in Surface Engineering for Advanced Materials (SEAM), Swinburne University of Technology. PO Box 218</w:t>
      </w:r>
      <w:r w:rsidR="00476CDC">
        <w:rPr>
          <w:sz w:val="21"/>
          <w:szCs w:val="21"/>
        </w:rPr>
        <w:t>, Hawthorn, VIC 3122, Australia</w:t>
      </w:r>
      <w:bookmarkStart w:id="2" w:name="_GoBack"/>
      <w:bookmarkEnd w:id="2"/>
    </w:p>
    <w:p w14:paraId="1F3D9AE9" w14:textId="77777777" w:rsidR="00533C93" w:rsidRDefault="00533C93"/>
    <w:p w14:paraId="196C9DD6" w14:textId="77777777" w:rsidR="00533C93" w:rsidRDefault="00BD36AF">
      <w:r>
        <w:t xml:space="preserve">E-mail: </w:t>
      </w:r>
      <w:hyperlink r:id="rId10" w:history="1">
        <w:r>
          <w:rPr>
            <w:rStyle w:val="Hyperlink"/>
            <w:color w:val="auto"/>
          </w:rPr>
          <w:t>chengwei.qiu@nus.edu.sg</w:t>
        </w:r>
      </w:hyperlink>
      <w:r>
        <w:t xml:space="preserve">; </w:t>
      </w:r>
      <w:hyperlink r:id="rId11" w:history="1">
        <w:r>
          <w:rPr>
            <w:rStyle w:val="Hyperlink"/>
            <w:color w:val="auto"/>
          </w:rPr>
          <w:t>qiaoliang.bao@gmail.com</w:t>
        </w:r>
      </w:hyperlink>
      <w:r>
        <w:t xml:space="preserve">; </w:t>
      </w:r>
      <w:hyperlink r:id="rId12" w:history="1">
        <w:r>
          <w:rPr>
            <w:rStyle w:val="Hyperlink"/>
            <w:color w:val="auto"/>
          </w:rPr>
          <w:t>bjia@swin.edu.au</w:t>
        </w:r>
      </w:hyperlink>
      <w:r>
        <w:t xml:space="preserve"> </w:t>
      </w:r>
    </w:p>
    <w:p w14:paraId="76EFCF44" w14:textId="77777777" w:rsidR="00533C93" w:rsidRDefault="00BD36AF">
      <w:pPr>
        <w:spacing w:after="160" w:line="259" w:lineRule="auto"/>
        <w:jc w:val="left"/>
      </w:pPr>
      <w:r>
        <w:br w:type="page"/>
      </w:r>
    </w:p>
    <w:p w14:paraId="68EF4A34" w14:textId="77777777" w:rsidR="00533C93" w:rsidRDefault="00BD36AF">
      <w:pPr>
        <w:pStyle w:val="Heading1"/>
      </w:pPr>
      <w:r>
        <w:lastRenderedPageBreak/>
        <w:t>S1 Synthesis and characterization of van der Waals materials</w:t>
      </w:r>
      <w:r>
        <w:rPr>
          <w:rFonts w:hint="eastAsia"/>
        </w:rPr>
        <w:t xml:space="preserve"> </w:t>
      </w:r>
      <w:r>
        <w:t xml:space="preserve"> </w:t>
      </w:r>
    </w:p>
    <w:p w14:paraId="3EFE9950" w14:textId="77777777" w:rsidR="00533C93" w:rsidRDefault="00BD36AF">
      <w:pPr>
        <w:pStyle w:val="Heading2"/>
      </w:pPr>
      <w:r>
        <w:t xml:space="preserve">S1.1 Synthesis of van der Waals materials </w:t>
      </w:r>
    </w:p>
    <w:p w14:paraId="484C6588" w14:textId="77777777" w:rsidR="00533C93" w:rsidRDefault="00BD36AF">
      <w:r>
        <w:rPr>
          <w:b/>
        </w:rPr>
        <w:t>Synthesis of WSe</w:t>
      </w:r>
      <w:r>
        <w:rPr>
          <w:b/>
          <w:vertAlign w:val="subscript"/>
        </w:rPr>
        <w:t>2</w:t>
      </w:r>
      <w:r>
        <w:t xml:space="preserve">: </w:t>
      </w:r>
      <w:r>
        <w:rPr>
          <w:lang w:val="en-US"/>
        </w:rPr>
        <w:t>the monolayer WSe</w:t>
      </w:r>
      <w:r>
        <w:rPr>
          <w:vertAlign w:val="subscript"/>
          <w:lang w:val="en-US"/>
        </w:rPr>
        <w:t>2</w:t>
      </w:r>
      <w:r>
        <w:rPr>
          <w:lang w:val="en-US"/>
        </w:rPr>
        <w:t xml:space="preserve"> crystals are grown on a SiO</w:t>
      </w:r>
      <w:r>
        <w:rPr>
          <w:vertAlign w:val="subscript"/>
          <w:lang w:val="en-US"/>
        </w:rPr>
        <w:t>2</w:t>
      </w:r>
      <w:r>
        <w:rPr>
          <w:lang w:val="en-US"/>
        </w:rPr>
        <w:t xml:space="preserve"> (quartz) and SiO</w:t>
      </w:r>
      <w:r>
        <w:rPr>
          <w:vertAlign w:val="subscript"/>
          <w:lang w:val="en-US"/>
        </w:rPr>
        <w:t>2</w:t>
      </w:r>
      <w:r>
        <w:rPr>
          <w:lang w:val="en-US"/>
        </w:rPr>
        <w:t xml:space="preserve">/Si substrate </w:t>
      </w:r>
      <w:r>
        <w:rPr>
          <w:i/>
          <w:lang w:val="en-US"/>
        </w:rPr>
        <w:t>via</w:t>
      </w:r>
      <w:r>
        <w:rPr>
          <w:lang w:val="en-US"/>
        </w:rPr>
        <w:t xml:space="preserve"> </w:t>
      </w:r>
      <w:r>
        <w:t>atmospheric pressure chemical vapour deposition</w:t>
      </w:r>
      <w:r>
        <w:rPr>
          <w:lang w:val="en-US"/>
        </w:rPr>
        <w:t xml:space="preserve"> (APCVD)</w:t>
      </w:r>
      <w:bookmarkStart w:id="3" w:name="_Hlk36334166"/>
      <w:r>
        <w:rPr>
          <w:lang w:val="en-US"/>
        </w:rPr>
        <w:fldChar w:fldCharType="begin">
          <w:fldData xml:space="preserve">PEVuZE5vdGU+PENpdGU+PEF1dGhvcj5YdTwvQXV0aG9yPjxZZWFyPjIwMTU8L1llYXI+PFJlY051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</w:fldData>
        </w:fldChar>
      </w:r>
      <w:r>
        <w:rPr>
          <w:lang w:val="en-US"/>
        </w:rPr>
        <w:instrText xml:space="preserve"> ADDIN EN.CITE </w:instrText>
      </w:r>
      <w:r>
        <w:rPr>
          <w:lang w:val="en-US"/>
        </w:rPr>
        <w:fldChar w:fldCharType="begin">
          <w:fldData xml:space="preserve">PEVuZE5vdGU+PENpdGU+PEF1dGhvcj5YdTwvQXV0aG9yPjxZZWFyPjIwMTU8L1llYXI+PFJlY051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</w:fldData>
        </w:fldChar>
      </w:r>
      <w:r>
        <w:rPr>
          <w:lang w:val="en-US"/>
        </w:rPr>
        <w:instrText xml:space="preserve"> ADDIN EN.CITE.DATA </w:instrText>
      </w:r>
      <w:r>
        <w:rPr>
          <w:lang w:val="en-US"/>
        </w:rPr>
      </w:r>
      <w:r>
        <w:rPr>
          <w:lang w:val="en-US"/>
        </w:rPr>
        <w:fldChar w:fldCharType="end"/>
      </w:r>
      <w:r>
        <w:rPr>
          <w:lang w:val="en-US"/>
        </w:rPr>
      </w:r>
      <w:r>
        <w:rPr>
          <w:lang w:val="en-US"/>
        </w:rPr>
        <w:fldChar w:fldCharType="separate"/>
      </w:r>
      <w:r>
        <w:rPr>
          <w:vertAlign w:val="superscript"/>
          <w:lang w:val="en-US"/>
        </w:rPr>
        <w:t>1</w:t>
      </w:r>
      <w:r>
        <w:rPr>
          <w:lang w:val="en-US"/>
        </w:rPr>
        <w:fldChar w:fldCharType="end"/>
      </w:r>
      <w:bookmarkEnd w:id="3"/>
      <w:r>
        <w:rPr>
          <w:lang w:val="en-US"/>
        </w:rPr>
        <w:t xml:space="preserve">. </w:t>
      </w:r>
      <w:r>
        <w:t xml:space="preserve">The uniform contrast from individual crystal suggests an optically flat surface and the monolayer crystals are nearly equilateral triangular with a side length of ~19 µm on quartz and even ~69 µm on </w:t>
      </w:r>
      <w:r>
        <w:rPr>
          <w:lang w:val="en-US"/>
        </w:rPr>
        <w:t>SiO</w:t>
      </w:r>
      <w:r>
        <w:rPr>
          <w:vertAlign w:val="subscript"/>
          <w:lang w:val="en-US"/>
        </w:rPr>
        <w:t>2</w:t>
      </w:r>
      <w:r>
        <w:rPr>
          <w:lang w:val="en-US"/>
        </w:rPr>
        <w:t>/Si substrate</w:t>
      </w:r>
      <w:r>
        <w:t>.</w:t>
      </w:r>
      <w:bookmarkStart w:id="4" w:name="_Hlk36334463"/>
      <w:r>
        <w:fldChar w:fldCharType="begin">
          <w:fldData xml:space="preserve">PEVuZE5vdGU+PENpdGU+PEF1dGhvcj5QZWlteW9vPC9BdXRob3I+PFllYXI+MjAxMzwvWWVhcj48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</w:fldData>
        </w:fldChar>
      </w:r>
      <w:r>
        <w:instrText xml:space="preserve"> ADDIN EN.CITE </w:instrText>
      </w:r>
      <w:r>
        <w:fldChar w:fldCharType="begin">
          <w:fldData xml:space="preserve">PEVuZE5vdGU+PENpdGU+PEF1dGhvcj5QZWlteW9vPC9BdXRob3I+PFllYXI+MjAxMzwvWWVhcj48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</w:fldData>
        </w:fldChar>
      </w:r>
      <w:r>
        <w:instrText xml:space="preserve"> ADDIN EN.CITE.DATA </w:instrText>
      </w:r>
      <w:r>
        <w:fldChar w:fldCharType="end"/>
      </w:r>
      <w:r>
        <w:fldChar w:fldCharType="separate"/>
      </w:r>
      <w:r>
        <w:rPr>
          <w:vertAlign w:val="superscript"/>
        </w:rPr>
        <w:t>2</w:t>
      </w:r>
      <w:r>
        <w:fldChar w:fldCharType="end"/>
      </w:r>
      <w:bookmarkEnd w:id="4"/>
      <w:r>
        <w:t xml:space="preserve"> The topography of the WSe</w:t>
      </w:r>
      <w:r>
        <w:rPr>
          <w:vertAlign w:val="subscript"/>
        </w:rPr>
        <w:t>2</w:t>
      </w:r>
      <w:r>
        <w:t xml:space="preserve"> flakes grown on quartz substrates is investigated with the atomic force microscopy (AFM). The whole crystal is nearly atomically flat with a SiO</w:t>
      </w:r>
      <w:r>
        <w:rPr>
          <w:vertAlign w:val="subscript"/>
        </w:rPr>
        <w:t>2</w:t>
      </w:r>
      <w:r>
        <w:t>/WSe</w:t>
      </w:r>
      <w:r>
        <w:rPr>
          <w:vertAlign w:val="subscript"/>
        </w:rPr>
        <w:t>2</w:t>
      </w:r>
      <w:r>
        <w:t xml:space="preserve"> step of 7Å, confirming the thickness to be monolayer. </w:t>
      </w:r>
    </w:p>
    <w:p w14:paraId="35DFF995" w14:textId="77777777" w:rsidR="00533C93" w:rsidRDefault="00BD36AF">
      <w:r>
        <w:rPr>
          <w:rFonts w:hint="eastAsia"/>
          <w:b/>
        </w:rPr>
        <w:t>S</w:t>
      </w:r>
      <w:r>
        <w:rPr>
          <w:b/>
        </w:rPr>
        <w:t>ynthesis of MoS</w:t>
      </w:r>
      <w:r>
        <w:rPr>
          <w:b/>
          <w:vertAlign w:val="subscript"/>
        </w:rPr>
        <w:t>2</w:t>
      </w:r>
      <w:r>
        <w:rPr>
          <w:b/>
        </w:rPr>
        <w:t xml:space="preserve"> and WS</w:t>
      </w:r>
      <w:r>
        <w:rPr>
          <w:b/>
          <w:vertAlign w:val="subscript"/>
        </w:rPr>
        <w:t>2</w:t>
      </w:r>
      <w:r>
        <w:t>:</w:t>
      </w:r>
      <w:r>
        <w:rPr>
          <w:rFonts w:hint="eastAsia"/>
        </w:rPr>
        <w:t xml:space="preserve"> </w:t>
      </w:r>
      <w:r>
        <w:t xml:space="preserve">Mixed powder of </w:t>
      </w:r>
      <w:proofErr w:type="spellStart"/>
      <w:r>
        <w:t>NaCl</w:t>
      </w:r>
      <w:proofErr w:type="spellEnd"/>
      <w:r>
        <w:t xml:space="preserve"> (0.5 mg) and MoO</w:t>
      </w:r>
      <w:r>
        <w:rPr>
          <w:vertAlign w:val="subscript"/>
        </w:rPr>
        <w:t>3</w:t>
      </w:r>
      <w:r>
        <w:t xml:space="preserve"> (or WO</w:t>
      </w:r>
      <w:r>
        <w:rPr>
          <w:vertAlign w:val="subscript"/>
        </w:rPr>
        <w:t>3</w:t>
      </w:r>
      <w:r>
        <w:t xml:space="preserve">) (3 mg) in alumina boat was placed in the </w:t>
      </w:r>
      <w:proofErr w:type="spellStart"/>
      <w:r>
        <w:t>center</w:t>
      </w:r>
      <w:proofErr w:type="spellEnd"/>
      <w:r>
        <w:t xml:space="preserve"> of the quartz tube. </w:t>
      </w:r>
      <w:bookmarkStart w:id="5" w:name="OLE_LINK39"/>
      <w:bookmarkStart w:id="6" w:name="OLE_LINK7"/>
      <w:bookmarkStart w:id="7" w:name="OLE_LINK37"/>
      <w:bookmarkStart w:id="8" w:name="OLE_LINK54"/>
      <w:bookmarkStart w:id="9" w:name="OLE_LINK5"/>
      <w:r>
        <w:t xml:space="preserve">The furnace was heated to the growth temperature </w:t>
      </w:r>
      <w:bookmarkEnd w:id="5"/>
      <w:bookmarkEnd w:id="6"/>
      <w:bookmarkEnd w:id="7"/>
      <w:bookmarkEnd w:id="8"/>
      <w:bookmarkEnd w:id="9"/>
      <w:r>
        <w:t xml:space="preserve">(600 to 800 </w:t>
      </w:r>
      <w:proofErr w:type="spellStart"/>
      <w:r>
        <w:rPr>
          <w:vertAlign w:val="superscript"/>
        </w:rPr>
        <w:t>o</w:t>
      </w:r>
      <w:r>
        <w:t>C</w:t>
      </w:r>
      <w:proofErr w:type="spellEnd"/>
      <w:r>
        <w:t xml:space="preserve">) with a ramp rate of 50 </w:t>
      </w:r>
      <w:proofErr w:type="spellStart"/>
      <w:r>
        <w:rPr>
          <w:vertAlign w:val="superscript"/>
        </w:rPr>
        <w:t>o</w:t>
      </w:r>
      <w:r>
        <w:t>C</w:t>
      </w:r>
      <w:proofErr w:type="spellEnd"/>
      <w:r>
        <w:t xml:space="preserve">/min. The growth time is 3 to 5 min. The </w:t>
      </w:r>
      <w:proofErr w:type="spellStart"/>
      <w:r>
        <w:t>Ar</w:t>
      </w:r>
      <w:proofErr w:type="spellEnd"/>
      <w:r>
        <w:t xml:space="preserve"> (or </w:t>
      </w:r>
      <w:proofErr w:type="spellStart"/>
      <w:r>
        <w:t>Ar</w:t>
      </w:r>
      <w:proofErr w:type="spellEnd"/>
      <w:r>
        <w:t>/H</w:t>
      </w:r>
      <w:r>
        <w:rPr>
          <w:vertAlign w:val="subscript"/>
        </w:rPr>
        <w:t>2</w:t>
      </w:r>
      <w:r>
        <w:t xml:space="preserve">) with a flow rate of 80 (80/5) </w:t>
      </w:r>
      <w:proofErr w:type="spellStart"/>
      <w:r>
        <w:t>sccm</w:t>
      </w:r>
      <w:proofErr w:type="spellEnd"/>
      <w:r>
        <w:t xml:space="preserve"> was used as the carrier gas</w:t>
      </w:r>
      <w:bookmarkStart w:id="10" w:name="_Hlk36334521"/>
      <w:r>
        <w:fldChar w:fldCharType="begin"/>
      </w:r>
      <w:r>
        <w:instrText xml:space="preserve"> ADDIN EN.CITE &lt;EndNote&gt;&lt;Cite&gt;&lt;Author&gt;Zhou&lt;/Author&gt;&lt;Year&gt;2018&lt;/Year&gt;&lt;RecNum&gt;834&lt;/RecNum&gt;&lt;DisplayText&gt;&lt;style face="superscript"&gt;3&lt;/style&gt;&lt;/DisplayText&gt;&lt;record&gt;&lt;rec-number&gt;834&lt;/rec-number&gt;&lt;foreign-keys&gt;&lt;key app="EN" db-id="x2zwzsxtiapx5iev0x0vzd2zrt99paf0zv20" timestamp="1579936822" guid="c6541d9e-a0ed-4d8c-9c9a-c1e870b0c48f"&gt;834&lt;/key&gt;&lt;/foreign-keys&gt;&lt;ref-type name="Journal Article"&gt;17&lt;/ref-type&gt;&lt;contributors&gt;&lt;authors&gt;&lt;author&gt;Zhou, Jiadong&lt;/author&gt;&lt;author&gt;Lin, Junhao&lt;/author&gt;&lt;author&gt;Huang, Xiangwei&lt;/author&gt;&lt;author&gt;Zhou, Yao&lt;/author&gt;&lt;author&gt;Chen, Yu&lt;/author&gt;&lt;author&gt;Xia, Juan&lt;/author&gt;&lt;author&gt;Wang, Hong&lt;/author&gt;&lt;author&gt;Xie, Yu&lt;/author&gt;&lt;author&gt;Yu, Huimei&lt;/author&gt;&lt;author&gt;Lei, Jincheng&lt;/author&gt;&lt;/authors&gt;&lt;/contributors&gt;&lt;titles&gt;&lt;title&gt;A library of atomically thin metal chalcogenides&lt;/title&gt;&lt;secondary-title&gt;Nature&lt;/secondary-title&gt;&lt;/titles&gt;&lt;periodical&gt;&lt;full-title&gt;Nature&lt;/full-title&gt;&lt;/periodical&gt;&lt;pages&gt;355-359&lt;/pages&gt;&lt;volume&gt;556&lt;/volume&gt;&lt;number&gt;7701&lt;/number&gt;&lt;dates&gt;&lt;year&gt;2018&lt;/year&gt;&lt;/dates&gt;&lt;isbn&gt;1476-4687&lt;/isbn&gt;&lt;urls&gt;&lt;/urls&gt;&lt;/record&gt;&lt;/Cite&gt;&lt;/EndNote&gt;</w:instrText>
      </w:r>
      <w:r>
        <w:fldChar w:fldCharType="separate"/>
      </w:r>
      <w:r>
        <w:rPr>
          <w:vertAlign w:val="superscript"/>
        </w:rPr>
        <w:t>3</w:t>
      </w:r>
      <w:r>
        <w:fldChar w:fldCharType="end"/>
      </w:r>
      <w:bookmarkEnd w:id="10"/>
      <w:r>
        <w:t>.</w:t>
      </w:r>
    </w:p>
    <w:p w14:paraId="6C76A789" w14:textId="77777777" w:rsidR="00533C93" w:rsidRDefault="00BD36AF">
      <w:r>
        <w:rPr>
          <w:b/>
        </w:rPr>
        <w:t>Synthesis of PtS</w:t>
      </w:r>
      <w:r>
        <w:rPr>
          <w:b/>
          <w:vertAlign w:val="subscript"/>
        </w:rPr>
        <w:t>2</w:t>
      </w:r>
      <w:r>
        <w:rPr>
          <w:b/>
        </w:rPr>
        <w:t xml:space="preserve"> and PtSe</w:t>
      </w:r>
      <w:r>
        <w:rPr>
          <w:b/>
          <w:vertAlign w:val="subscript"/>
        </w:rPr>
        <w:t>2</w:t>
      </w:r>
      <w:r>
        <w:t xml:space="preserve">: </w:t>
      </w:r>
      <w:proofErr w:type="spellStart"/>
      <w:r>
        <w:t>Pt</w:t>
      </w:r>
      <w:proofErr w:type="spellEnd"/>
      <w:r>
        <w:t xml:space="preserve"> layers of diﬀerent thicknesses were sputter-coated onto SiO</w:t>
      </w:r>
      <w:r>
        <w:rPr>
          <w:vertAlign w:val="subscript"/>
        </w:rPr>
        <w:t>2</w:t>
      </w:r>
      <w:r>
        <w:t xml:space="preserve">/Si substrates. The </w:t>
      </w:r>
      <w:proofErr w:type="spellStart"/>
      <w:r>
        <w:t>Pt</w:t>
      </w:r>
      <w:proofErr w:type="spellEnd"/>
      <w:r>
        <w:t xml:space="preserve"> samples were sulfurized (</w:t>
      </w:r>
      <w:proofErr w:type="spellStart"/>
      <w:r>
        <w:t>selenized</w:t>
      </w:r>
      <w:proofErr w:type="spellEnd"/>
      <w:r>
        <w:t>) in a quartz tube with 1-inch diameter.</w:t>
      </w:r>
      <w:r>
        <w:rPr>
          <w:b/>
        </w:rPr>
        <w:t xml:space="preserve"> </w:t>
      </w:r>
      <w:proofErr w:type="spellStart"/>
      <w:r>
        <w:t>Pt</w:t>
      </w:r>
      <w:proofErr w:type="spellEnd"/>
      <w:r>
        <w:t xml:space="preserve"> samples were loaded in the primary heating zone and heated to 400 °C (or 550 °C</w:t>
      </w:r>
      <w:proofErr w:type="gramStart"/>
      <w:r>
        <w:t>)  for</w:t>
      </w:r>
      <w:proofErr w:type="gramEnd"/>
      <w:r>
        <w:t xml:space="preserve"> the growth of PtS</w:t>
      </w:r>
      <w:r>
        <w:rPr>
          <w:rFonts w:hint="eastAsia"/>
          <w:vertAlign w:val="subscript"/>
        </w:rPr>
        <w:t>2</w:t>
      </w:r>
      <w:r>
        <w:rPr>
          <w:vertAlign w:val="subscript"/>
        </w:rPr>
        <w:t xml:space="preserve"> </w:t>
      </w:r>
      <w:r>
        <w:t>(or PtSe</w:t>
      </w:r>
      <w:r>
        <w:rPr>
          <w:vertAlign w:val="subscript"/>
        </w:rPr>
        <w:t>2</w:t>
      </w:r>
      <w:r>
        <w:rPr>
          <w:rFonts w:hint="eastAsia"/>
        </w:rPr>
        <w:t>)</w:t>
      </w:r>
      <w:r>
        <w:t xml:space="preserve">. The S (Se) source was loaded in the upstream zone, which was heated to the melting point of S (or Se). </w:t>
      </w:r>
      <w:proofErr w:type="spellStart"/>
      <w:r>
        <w:t>Ar</w:t>
      </w:r>
      <w:proofErr w:type="spellEnd"/>
      <w:r>
        <w:t>/H</w:t>
      </w:r>
      <w:r>
        <w:rPr>
          <w:vertAlign w:val="subscript"/>
        </w:rPr>
        <w:t>2</w:t>
      </w:r>
      <w:r>
        <w:t xml:space="preserve"> (9:1), with a </w:t>
      </w:r>
      <w:r>
        <w:rPr>
          <w:rFonts w:eastAsia="MS Gothic"/>
        </w:rPr>
        <w:t>ﬂ</w:t>
      </w:r>
      <w:r>
        <w:t xml:space="preserve">ow rate of 150 </w:t>
      </w:r>
      <w:proofErr w:type="spellStart"/>
      <w:r>
        <w:t>sccm</w:t>
      </w:r>
      <w:proofErr w:type="spellEnd"/>
      <w:r>
        <w:t xml:space="preserve">, was used to transport the vaporized </w:t>
      </w:r>
      <w:proofErr w:type="gramStart"/>
      <w:r>
        <w:t>S(</w:t>
      </w:r>
      <w:proofErr w:type="gramEnd"/>
      <w:r>
        <w:t xml:space="preserve">or Se) to the </w:t>
      </w:r>
      <w:proofErr w:type="spellStart"/>
      <w:r>
        <w:t>Pt</w:t>
      </w:r>
      <w:proofErr w:type="spellEnd"/>
      <w:r>
        <w:t xml:space="preserve"> samples. A dwell time of 0.2 h was used to ensure complete reaction</w:t>
      </w:r>
      <w:bookmarkStart w:id="11" w:name="_Hlk36334618"/>
      <w:r>
        <w:fldChar w:fldCharType="begin"/>
      </w:r>
      <w:r>
        <w:instrText xml:space="preserve"> ADDIN EN.CITE &lt;EndNote&gt;&lt;Cite&gt;&lt;Author&gt;Yim&lt;/Author&gt;&lt;Year&gt;2016&lt;/Year&gt;&lt;RecNum&gt;835&lt;/RecNum&gt;&lt;DisplayText&gt;&lt;style face="superscript"&gt;4&lt;/style&gt;&lt;/DisplayText&gt;&lt;record&gt;&lt;rec-number&gt;835&lt;/rec-number&gt;&lt;foreign-keys&gt;&lt;key app="EN" db-id="x2zwzsxtiapx5iev0x0vzd2zrt99paf0zv20" timestamp="1579936901" guid="3176329a-24df-479f-bff6-73695f5055e2"&gt;835&lt;/key&gt;&lt;/foreign-keys&gt;&lt;ref-type name="Journal Article"&gt;17&lt;/ref-type&gt;&lt;contributors&gt;&lt;authors&gt;&lt;author&gt;Yim, Chanyoung&lt;/author&gt;&lt;author&gt;Lee, Kangho&lt;/author&gt;&lt;author&gt;McEvoy, Niall&lt;/author&gt;&lt;author&gt;O’Brien, Maria&lt;/author&gt;&lt;author&gt;Riazimehr, Sarah&lt;/author&gt;&lt;author&gt;Berner, Nina C&lt;/author&gt;&lt;author&gt;Cullen, Conor P&lt;/author&gt;&lt;author&gt;Kotakoski, Jani&lt;/author&gt;&lt;author&gt;Meyer, Jannik C&lt;/author&gt;&lt;author&gt;Lemme, Max C&lt;/author&gt;&lt;/authors&gt;&lt;/contributors&gt;&lt;titles&gt;&lt;title&gt;High-performance hybrid electronic devices from layered PtSe2 films grown at low temperature&lt;/title&gt;&lt;secondary-title&gt;ACS nano&lt;/secondary-title&gt;&lt;/titles&gt;&lt;periodical&gt;&lt;full-title&gt;ACS nano&lt;/full-title&gt;&lt;/periodical&gt;&lt;pages&gt;9550-9558&lt;/pages&gt;&lt;volume&gt;10&lt;/volume&gt;&lt;number&gt;10&lt;/number&gt;&lt;dates&gt;&lt;year&gt;2016&lt;/year&gt;&lt;/dates&gt;&lt;isbn&gt;1936-0851&lt;/isbn&gt;&lt;urls&gt;&lt;/urls&gt;&lt;/record&gt;&lt;/Cite&gt;&lt;/EndNote&gt;</w:instrText>
      </w:r>
      <w:r>
        <w:fldChar w:fldCharType="separate"/>
      </w:r>
      <w:r>
        <w:rPr>
          <w:vertAlign w:val="superscript"/>
        </w:rPr>
        <w:t>4</w:t>
      </w:r>
      <w:r>
        <w:fldChar w:fldCharType="end"/>
      </w:r>
      <w:bookmarkEnd w:id="11"/>
      <w:r>
        <w:t xml:space="preserve">. </w:t>
      </w:r>
    </w:p>
    <w:p w14:paraId="1F062DE1" w14:textId="77777777" w:rsidR="00533C93" w:rsidRDefault="00533C93"/>
    <w:p w14:paraId="4B1AD4FF" w14:textId="77777777" w:rsidR="00533C93" w:rsidRDefault="00BD36AF">
      <w:pPr>
        <w:pStyle w:val="Heading2"/>
      </w:pPr>
      <w:r>
        <w:t>S1.2 XPS characterization of the WSe</w:t>
      </w:r>
      <w:r>
        <w:rPr>
          <w:vertAlign w:val="subscript"/>
        </w:rPr>
        <w:t>2</w:t>
      </w:r>
      <w:r>
        <w:t xml:space="preserve"> material </w:t>
      </w:r>
    </w:p>
    <w:p w14:paraId="5F6A26AF" w14:textId="77777777" w:rsidR="00533C93" w:rsidRDefault="00BD36AF">
      <w:pPr>
        <w:pStyle w:val="Figure"/>
      </w:pPr>
      <w:r>
        <w:rPr>
          <w:noProof/>
          <w:lang w:val="en-US" w:eastAsia="en-US"/>
        </w:rPr>
        <w:lastRenderedPageBreak/>
        <w:drawing>
          <wp:inline distT="0" distB="0" distL="0" distR="0" wp14:anchorId="542FF298" wp14:editId="4E7A9EB0">
            <wp:extent cx="4324350" cy="2051050"/>
            <wp:effectExtent l="0" t="0" r="0" b="6350"/>
            <wp:docPr id="6" name="Picture 6" descr="XPS-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XPS-inform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4324350" cy="2051050"/>
                    </a:xfrm>
                    <a:prstGeom prst="rect">
                      <a:avLst/>
                    </a:prstGeom>
                    <a:noFill/>
                    <a:ln>
                      <a:noFill/>
                    </a:ln>
                  </pic:spPr>
                </pic:pic>
              </a:graphicData>
            </a:graphic>
          </wp:inline>
        </w:drawing>
      </w:r>
    </w:p>
    <w:p w14:paraId="065ADE92" w14:textId="77777777" w:rsidR="00533C93" w:rsidRDefault="00BD36AF">
      <w:pPr>
        <w:pStyle w:val="Figure"/>
        <w:jc w:val="both"/>
      </w:pPr>
      <w:r>
        <w:rPr>
          <w:b/>
          <w:bCs/>
        </w:rPr>
        <w:t xml:space="preserve">Fig. </w:t>
      </w:r>
      <w:proofErr w:type="gramStart"/>
      <w:r>
        <w:rPr>
          <w:b/>
          <w:bCs/>
        </w:rPr>
        <w:t>S1</w:t>
      </w:r>
      <w:r>
        <w:t xml:space="preserve"> The binding energy profiles for W 4f and Se 3d, respectively.</w:t>
      </w:r>
      <w:proofErr w:type="gramEnd"/>
      <w:r>
        <w:t xml:space="preserve"> Two peaks at 33.19 </w:t>
      </w:r>
      <w:proofErr w:type="spellStart"/>
      <w:r>
        <w:t>eV</w:t>
      </w:r>
      <w:proofErr w:type="spellEnd"/>
      <w:r>
        <w:t xml:space="preserve"> and 35.35 </w:t>
      </w:r>
      <w:proofErr w:type="spellStart"/>
      <w:r>
        <w:t>eV</w:t>
      </w:r>
      <w:proofErr w:type="spellEnd"/>
      <w:r>
        <w:t xml:space="preserve"> are attributed to the W 4f</w:t>
      </w:r>
      <w:r>
        <w:rPr>
          <w:vertAlign w:val="subscript"/>
        </w:rPr>
        <w:t>7/2</w:t>
      </w:r>
      <w:r>
        <w:t xml:space="preserve"> and W 4f</w:t>
      </w:r>
      <w:r>
        <w:rPr>
          <w:vertAlign w:val="subscript"/>
        </w:rPr>
        <w:t>5/2</w:t>
      </w:r>
      <w:r>
        <w:t xml:space="preserve"> for WSe</w:t>
      </w:r>
      <w:r>
        <w:rPr>
          <w:vertAlign w:val="subscript"/>
        </w:rPr>
        <w:t>2</w:t>
      </w:r>
      <w:r>
        <w:t xml:space="preserve">, respectively. And the other two peaks located at 36.12 </w:t>
      </w:r>
      <w:proofErr w:type="spellStart"/>
      <w:r>
        <w:t>eV</w:t>
      </w:r>
      <w:proofErr w:type="spellEnd"/>
      <w:r>
        <w:t xml:space="preserve"> and 38.99 </w:t>
      </w:r>
      <w:proofErr w:type="spellStart"/>
      <w:r>
        <w:t>eV</w:t>
      </w:r>
      <w:proofErr w:type="spellEnd"/>
      <w:r>
        <w:t xml:space="preserve"> are attributed to the W 4f</w:t>
      </w:r>
      <w:r>
        <w:rPr>
          <w:vertAlign w:val="subscript"/>
        </w:rPr>
        <w:t>7/2</w:t>
      </w:r>
      <w:r>
        <w:t xml:space="preserve"> and W 4f</w:t>
      </w:r>
      <w:r>
        <w:rPr>
          <w:vertAlign w:val="subscript"/>
        </w:rPr>
        <w:t>5/2</w:t>
      </w:r>
      <w:r>
        <w:t xml:space="preserve"> for </w:t>
      </w:r>
      <w:proofErr w:type="spellStart"/>
      <w:r>
        <w:t>WO</w:t>
      </w:r>
      <w:r>
        <w:rPr>
          <w:vertAlign w:val="subscript"/>
        </w:rPr>
        <w:t>x</w:t>
      </w:r>
      <w:proofErr w:type="spellEnd"/>
      <w:r>
        <w:t xml:space="preserve">, respectively. The peaks with binding energy of 55.40 </w:t>
      </w:r>
      <w:proofErr w:type="spellStart"/>
      <w:r>
        <w:t>eV</w:t>
      </w:r>
      <w:proofErr w:type="spellEnd"/>
      <w:r>
        <w:t xml:space="preserve"> and 56.25 </w:t>
      </w:r>
      <w:proofErr w:type="spellStart"/>
      <w:r>
        <w:t>eV</w:t>
      </w:r>
      <w:proofErr w:type="spellEnd"/>
      <w:r>
        <w:t xml:space="preserve"> can be assigned to the Se 2d</w:t>
      </w:r>
      <w:r>
        <w:rPr>
          <w:vertAlign w:val="subscript"/>
        </w:rPr>
        <w:t>5/2</w:t>
      </w:r>
      <w:r>
        <w:t xml:space="preserve"> and Se 2d</w:t>
      </w:r>
      <w:r>
        <w:rPr>
          <w:vertAlign w:val="subscript"/>
        </w:rPr>
        <w:t>3/2</w:t>
      </w:r>
      <w:r>
        <w:t xml:space="preserve">, respectively. </w:t>
      </w:r>
    </w:p>
    <w:p w14:paraId="67193618" w14:textId="77777777" w:rsidR="00533C93" w:rsidRDefault="00533C93"/>
    <w:p w14:paraId="4D3D1341" w14:textId="77777777" w:rsidR="00533C93" w:rsidRDefault="00BD36AF">
      <w:pPr>
        <w:rPr>
          <w:lang w:val="en-US"/>
        </w:rPr>
      </w:pPr>
      <w:r>
        <w:rPr>
          <w:lang w:val="en-US"/>
        </w:rPr>
        <w:t>In order to study the chemical composition of as-prepared WSe</w:t>
      </w:r>
      <w:r>
        <w:rPr>
          <w:vertAlign w:val="subscript"/>
          <w:lang w:val="en-US"/>
        </w:rPr>
        <w:t>2</w:t>
      </w:r>
      <w:r>
        <w:rPr>
          <w:lang w:val="en-US"/>
        </w:rPr>
        <w:t xml:space="preserve">, X-ray photoemission spectroscopy (XPS) was used to measure the binding energy of W and Se. Fig. S1a and b show the binding energy profile for W 4f and Se 3d, respectively. Two peaks at 33.19 </w:t>
      </w:r>
      <w:proofErr w:type="spellStart"/>
      <w:r>
        <w:rPr>
          <w:lang w:val="en-US"/>
        </w:rPr>
        <w:t>eV</w:t>
      </w:r>
      <w:proofErr w:type="spellEnd"/>
      <w:r>
        <w:rPr>
          <w:lang w:val="en-US"/>
        </w:rPr>
        <w:t xml:space="preserve"> and 35.35 </w:t>
      </w:r>
      <w:proofErr w:type="spellStart"/>
      <w:r>
        <w:rPr>
          <w:lang w:val="en-US"/>
        </w:rPr>
        <w:t>eV</w:t>
      </w:r>
      <w:proofErr w:type="spellEnd"/>
      <w:r>
        <w:rPr>
          <w:lang w:val="en-US"/>
        </w:rPr>
        <w:t xml:space="preserve"> are attributed to the W 4f</w:t>
      </w:r>
      <w:r>
        <w:rPr>
          <w:vertAlign w:val="subscript"/>
          <w:lang w:val="en-US"/>
        </w:rPr>
        <w:t>7/2</w:t>
      </w:r>
      <w:r>
        <w:rPr>
          <w:lang w:val="en-US"/>
        </w:rPr>
        <w:t xml:space="preserve"> and W 4f</w:t>
      </w:r>
      <w:r>
        <w:rPr>
          <w:vertAlign w:val="subscript"/>
          <w:lang w:val="en-US"/>
        </w:rPr>
        <w:t>5/2</w:t>
      </w:r>
      <w:r>
        <w:rPr>
          <w:lang w:val="en-US"/>
        </w:rPr>
        <w:t xml:space="preserve"> for WSe</w:t>
      </w:r>
      <w:r>
        <w:rPr>
          <w:vertAlign w:val="subscript"/>
          <w:lang w:val="en-US"/>
        </w:rPr>
        <w:t>2,</w:t>
      </w:r>
      <w:r>
        <w:rPr>
          <w:lang w:val="en-US"/>
        </w:rPr>
        <w:t xml:space="preserve"> respectively. </w:t>
      </w:r>
      <w:bookmarkStart w:id="12" w:name="OLE_LINK11"/>
      <w:r>
        <w:rPr>
          <w:lang w:val="en-US"/>
        </w:rPr>
        <w:t xml:space="preserve">And the other two peaks located at 36.12 </w:t>
      </w:r>
      <w:proofErr w:type="spellStart"/>
      <w:r>
        <w:rPr>
          <w:lang w:val="en-US"/>
        </w:rPr>
        <w:t>eV</w:t>
      </w:r>
      <w:proofErr w:type="spellEnd"/>
      <w:r>
        <w:rPr>
          <w:lang w:val="en-US"/>
        </w:rPr>
        <w:t xml:space="preserve"> and 38.99 </w:t>
      </w:r>
      <w:proofErr w:type="spellStart"/>
      <w:r>
        <w:rPr>
          <w:lang w:val="en-US"/>
        </w:rPr>
        <w:t>eV</w:t>
      </w:r>
      <w:proofErr w:type="spellEnd"/>
      <w:r>
        <w:rPr>
          <w:lang w:val="en-US"/>
        </w:rPr>
        <w:t xml:space="preserve"> are attributed to the W 4f</w:t>
      </w:r>
      <w:r>
        <w:rPr>
          <w:vertAlign w:val="subscript"/>
          <w:lang w:val="en-US"/>
        </w:rPr>
        <w:t>7/2</w:t>
      </w:r>
      <w:r>
        <w:rPr>
          <w:lang w:val="en-US"/>
        </w:rPr>
        <w:t xml:space="preserve"> and W 4f</w:t>
      </w:r>
      <w:r>
        <w:rPr>
          <w:vertAlign w:val="subscript"/>
          <w:lang w:val="en-US"/>
        </w:rPr>
        <w:t>5/2</w:t>
      </w:r>
      <w:r>
        <w:rPr>
          <w:lang w:val="en-US"/>
        </w:rPr>
        <w:t xml:space="preserve"> for </w:t>
      </w:r>
      <w:proofErr w:type="spellStart"/>
      <w:r>
        <w:rPr>
          <w:lang w:val="en-US"/>
        </w:rPr>
        <w:t>WO</w:t>
      </w:r>
      <w:r>
        <w:rPr>
          <w:vertAlign w:val="subscript"/>
          <w:lang w:val="en-US"/>
        </w:rPr>
        <w:t>x</w:t>
      </w:r>
      <w:proofErr w:type="spellEnd"/>
      <w:r>
        <w:rPr>
          <w:lang w:val="en-US"/>
        </w:rPr>
        <w:t>, respectively.</w:t>
      </w:r>
      <w:bookmarkEnd w:id="12"/>
      <w:r>
        <w:rPr>
          <w:lang w:val="en-US"/>
        </w:rPr>
        <w:t xml:space="preserve"> The peaks with binding energy of 55.40 </w:t>
      </w:r>
      <w:proofErr w:type="spellStart"/>
      <w:r>
        <w:rPr>
          <w:lang w:val="en-US"/>
        </w:rPr>
        <w:t>eV</w:t>
      </w:r>
      <w:proofErr w:type="spellEnd"/>
      <w:r>
        <w:rPr>
          <w:lang w:val="en-US"/>
        </w:rPr>
        <w:t xml:space="preserve"> and 56.25 </w:t>
      </w:r>
      <w:proofErr w:type="spellStart"/>
      <w:r>
        <w:rPr>
          <w:lang w:val="en-US"/>
        </w:rPr>
        <w:t>eV</w:t>
      </w:r>
      <w:proofErr w:type="spellEnd"/>
      <w:r>
        <w:rPr>
          <w:lang w:val="en-US"/>
        </w:rPr>
        <w:t xml:space="preserve"> can be assigned to the Se 2d</w:t>
      </w:r>
      <w:r>
        <w:rPr>
          <w:vertAlign w:val="subscript"/>
          <w:lang w:val="en-US"/>
        </w:rPr>
        <w:t>5/2</w:t>
      </w:r>
      <w:r>
        <w:rPr>
          <w:lang w:val="en-US"/>
        </w:rPr>
        <w:t xml:space="preserve"> and Se 2d</w:t>
      </w:r>
      <w:r>
        <w:rPr>
          <w:vertAlign w:val="subscript"/>
          <w:lang w:val="en-US"/>
        </w:rPr>
        <w:t>3/2</w:t>
      </w:r>
      <w:r>
        <w:rPr>
          <w:lang w:val="en-US"/>
        </w:rPr>
        <w:t>, respectively. All these results are consistent with the reported values for WSe</w:t>
      </w:r>
      <w:r>
        <w:rPr>
          <w:vertAlign w:val="subscript"/>
          <w:lang w:val="en-US"/>
        </w:rPr>
        <w:t xml:space="preserve">2 </w:t>
      </w:r>
      <w:r>
        <w:rPr>
          <w:lang w:val="en-US"/>
        </w:rPr>
        <w:t>crystal. The positions of these XPS peaks suggested that the valence of W is +4, an evidence for the formation of WSe</w:t>
      </w:r>
      <w:r>
        <w:rPr>
          <w:vertAlign w:val="subscript"/>
          <w:lang w:val="en-US"/>
        </w:rPr>
        <w:t>2</w:t>
      </w:r>
      <w:r>
        <w:rPr>
          <w:lang w:val="en-US"/>
        </w:rPr>
        <w:t xml:space="preserve"> phase.</w:t>
      </w:r>
      <w:bookmarkStart w:id="13" w:name="_Hlk36334686"/>
      <w:r>
        <w:rPr>
          <w:lang w:val="en-US"/>
        </w:rPr>
        <w:fldChar w:fldCharType="begin">
          <w:fldData xml:space="preserve">PEVuZE5vdGU+PENpdGU+PEF1dGhvcj5IdWFuZzwvQXV0aG9yPjxZZWFyPjIwMTM8L1llYXI+PFJl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</w:fldData>
        </w:fldChar>
      </w:r>
      <w:r>
        <w:rPr>
          <w:lang w:val="en-US"/>
        </w:rPr>
        <w:instrText xml:space="preserve"> ADDIN EN.CITE </w:instrText>
      </w:r>
      <w:r>
        <w:rPr>
          <w:lang w:val="en-US"/>
        </w:rPr>
        <w:fldChar w:fldCharType="begin">
          <w:fldData xml:space="preserve">PEVuZE5vdGU+PENpdGU+PEF1dGhvcj5IdWFuZzwvQXV0aG9yPjxZZWFyPjIwMTM8L1llYXI+PFJl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</w:fldData>
        </w:fldChar>
      </w:r>
      <w:r>
        <w:rPr>
          <w:lang w:val="en-US"/>
        </w:rPr>
        <w:instrText xml:space="preserve"> ADDIN EN.CITE.DATA </w:instrText>
      </w:r>
      <w:r>
        <w:rPr>
          <w:lang w:val="en-US"/>
        </w:rPr>
      </w:r>
      <w:r>
        <w:rPr>
          <w:lang w:val="en-US"/>
        </w:rPr>
        <w:fldChar w:fldCharType="end"/>
      </w:r>
      <w:r>
        <w:rPr>
          <w:lang w:val="en-US"/>
        </w:rPr>
      </w:r>
      <w:r>
        <w:rPr>
          <w:lang w:val="en-US"/>
        </w:rPr>
        <w:fldChar w:fldCharType="separate"/>
      </w:r>
      <w:r>
        <w:rPr>
          <w:vertAlign w:val="superscript"/>
          <w:lang w:val="en-US"/>
        </w:rPr>
        <w:t>5-7</w:t>
      </w:r>
      <w:r>
        <w:rPr>
          <w:lang w:val="en-US"/>
        </w:rPr>
        <w:fldChar w:fldCharType="end"/>
      </w:r>
      <w:bookmarkEnd w:id="13"/>
      <w:r>
        <w:rPr>
          <w:lang w:val="en-US"/>
        </w:rPr>
        <w:br w:type="page"/>
      </w:r>
    </w:p>
    <w:p w14:paraId="3B188AF7" w14:textId="77777777" w:rsidR="00533C93" w:rsidRDefault="00BD36AF">
      <w:pPr>
        <w:pStyle w:val="Heading2"/>
      </w:pPr>
      <w:r>
        <w:lastRenderedPageBreak/>
        <w:t>S1.3 TEM characterization of the WSe</w:t>
      </w:r>
      <w:r>
        <w:rPr>
          <w:vertAlign w:val="subscript"/>
        </w:rPr>
        <w:t>2</w:t>
      </w:r>
      <w:r>
        <w:t xml:space="preserve"> material</w:t>
      </w:r>
    </w:p>
    <w:p w14:paraId="37980437" w14:textId="77777777" w:rsidR="00533C93" w:rsidRDefault="00BD36AF">
      <w:pPr>
        <w:pStyle w:val="Figure"/>
      </w:pPr>
      <w:r>
        <w:rPr>
          <w:noProof/>
          <w:lang w:val="en-US" w:eastAsia="en-US"/>
        </w:rPr>
        <w:drawing>
          <wp:inline distT="0" distB="0" distL="0" distR="0" wp14:anchorId="5126AE3D" wp14:editId="53F72E01">
            <wp:extent cx="4320540" cy="2160270"/>
            <wp:effectExtent l="0" t="0" r="381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4320540" cy="2160270"/>
                    </a:xfrm>
                    <a:prstGeom prst="rect">
                      <a:avLst/>
                    </a:prstGeom>
                    <a:noFill/>
                    <a:ln>
                      <a:noFill/>
                    </a:ln>
                  </pic:spPr>
                </pic:pic>
              </a:graphicData>
            </a:graphic>
          </wp:inline>
        </w:drawing>
      </w:r>
    </w:p>
    <w:p w14:paraId="5DE68DB1" w14:textId="77777777" w:rsidR="00533C93" w:rsidRDefault="00BD36AF">
      <w:pPr>
        <w:pStyle w:val="Figure"/>
        <w:jc w:val="both"/>
      </w:pPr>
      <w:r>
        <w:rPr>
          <w:b/>
          <w:bCs/>
        </w:rPr>
        <w:t>Fig. S2</w:t>
      </w:r>
      <w:r>
        <w:t xml:space="preserve">. </w:t>
      </w:r>
      <w:proofErr w:type="gramStart"/>
      <w:r>
        <w:t>Low-magnification image of a monolayer WSe</w:t>
      </w:r>
      <w:r>
        <w:rPr>
          <w:vertAlign w:val="subscript"/>
        </w:rPr>
        <w:t xml:space="preserve">2 </w:t>
      </w:r>
      <w:r>
        <w:t>at the flake edge.</w:t>
      </w:r>
      <w:proofErr w:type="gramEnd"/>
      <w:r>
        <w:t xml:space="preserve"> Scale bar in a: 100nm. (b) HRTEM image of a monolayer WSe</w:t>
      </w:r>
      <w:r>
        <w:rPr>
          <w:vertAlign w:val="subscript"/>
        </w:rPr>
        <w:t xml:space="preserve">2 </w:t>
      </w:r>
      <w:r>
        <w:t xml:space="preserve">monolayer. Scale bar: 2 nm. </w:t>
      </w:r>
    </w:p>
    <w:p w14:paraId="70D6A5BA" w14:textId="77777777" w:rsidR="00533C93" w:rsidRDefault="00533C93"/>
    <w:p w14:paraId="75A0B605" w14:textId="77777777" w:rsidR="00533C93" w:rsidRDefault="00BD36AF">
      <w:pPr>
        <w:rPr>
          <w:lang w:val="en-US"/>
        </w:rPr>
      </w:pPr>
      <w:r>
        <w:rPr>
          <w:lang w:val="en-US"/>
        </w:rPr>
        <w:t xml:space="preserve">High-resolution transmission electron microscopy (HRTEM) is also employed to investigate microstructure and </w:t>
      </w:r>
      <w:proofErr w:type="spellStart"/>
      <w:r>
        <w:rPr>
          <w:lang w:val="en-US"/>
        </w:rPr>
        <w:t>crystallinity</w:t>
      </w:r>
      <w:proofErr w:type="spellEnd"/>
      <w:r>
        <w:rPr>
          <w:lang w:val="en-US"/>
        </w:rPr>
        <w:t xml:space="preserve"> of the monolayer WSe</w:t>
      </w:r>
      <w:r>
        <w:rPr>
          <w:vertAlign w:val="subscript"/>
          <w:lang w:val="en-US"/>
        </w:rPr>
        <w:t xml:space="preserve">2 </w:t>
      </w:r>
      <w:r>
        <w:rPr>
          <w:lang w:val="en-US"/>
        </w:rPr>
        <w:t xml:space="preserve">crystals. The low-magnification and high-resolution TEM images of a monolayer </w:t>
      </w:r>
      <w:proofErr w:type="gramStart"/>
      <w:r>
        <w:rPr>
          <w:lang w:val="en-US"/>
        </w:rPr>
        <w:t>WSe</w:t>
      </w:r>
      <w:r>
        <w:rPr>
          <w:vertAlign w:val="subscript"/>
          <w:lang w:val="en-US"/>
        </w:rPr>
        <w:t>2,</w:t>
      </w:r>
      <w:proofErr w:type="gramEnd"/>
      <w:r>
        <w:rPr>
          <w:vertAlign w:val="subscript"/>
          <w:lang w:val="en-US"/>
        </w:rPr>
        <w:t xml:space="preserve"> </w:t>
      </w:r>
      <w:r>
        <w:rPr>
          <w:lang w:val="en-US"/>
        </w:rPr>
        <w:t xml:space="preserve">are </w:t>
      </w:r>
      <w:bookmarkStart w:id="14" w:name="OLE_LINK3"/>
      <w:bookmarkStart w:id="15" w:name="OLE_LINK4"/>
      <w:r>
        <w:rPr>
          <w:lang w:val="en-US"/>
        </w:rPr>
        <w:t xml:space="preserve">depicted in Fig. </w:t>
      </w:r>
      <w:proofErr w:type="gramStart"/>
      <w:r>
        <w:rPr>
          <w:lang w:val="en-US"/>
        </w:rPr>
        <w:t>S2</w:t>
      </w:r>
      <w:bookmarkEnd w:id="14"/>
      <w:bookmarkEnd w:id="15"/>
      <w:r>
        <w:rPr>
          <w:lang w:val="en-US"/>
        </w:rPr>
        <w:t>a and b, respectively.</w:t>
      </w:r>
      <w:proofErr w:type="gramEnd"/>
      <w:r>
        <w:rPr>
          <w:lang w:val="en-US"/>
        </w:rPr>
        <w:t xml:space="preserve"> </w:t>
      </w:r>
      <w:proofErr w:type="gramStart"/>
      <w:r>
        <w:rPr>
          <w:rFonts w:eastAsia="宋体"/>
          <w:lang w:val="en-US"/>
        </w:rPr>
        <w:t>The low-magnification TEM image in Figs.</w:t>
      </w:r>
      <w:proofErr w:type="gramEnd"/>
      <w:r>
        <w:rPr>
          <w:rFonts w:eastAsia="宋体"/>
          <w:lang w:val="en-US"/>
        </w:rPr>
        <w:t xml:space="preserve"> S2a shows a corner of monolayer WSe</w:t>
      </w:r>
      <w:r>
        <w:rPr>
          <w:rFonts w:eastAsia="宋体"/>
          <w:vertAlign w:val="subscript"/>
          <w:lang w:val="en-US"/>
        </w:rPr>
        <w:t>2</w:t>
      </w:r>
      <w:r>
        <w:rPr>
          <w:rFonts w:eastAsia="宋体"/>
          <w:lang w:val="en-US"/>
        </w:rPr>
        <w:t xml:space="preserve"> crystal where the contrast is relatively uniform. Fig. S2b shows the HRTEM image, which clearly resolves the atomic lattice of monolayer WSe</w:t>
      </w:r>
      <w:r>
        <w:rPr>
          <w:rFonts w:eastAsia="宋体"/>
          <w:vertAlign w:val="subscript"/>
          <w:lang w:val="en-US"/>
        </w:rPr>
        <w:t>2</w:t>
      </w:r>
      <w:r>
        <w:rPr>
          <w:rFonts w:eastAsia="宋体"/>
          <w:lang w:val="en-US"/>
        </w:rPr>
        <w:t xml:space="preserve">. </w:t>
      </w:r>
      <w:r>
        <w:rPr>
          <w:lang w:val="en-US"/>
        </w:rPr>
        <w:br w:type="page"/>
      </w:r>
    </w:p>
    <w:p w14:paraId="3173DBEC" w14:textId="77777777" w:rsidR="00533C93" w:rsidRDefault="00BD36AF">
      <w:pPr>
        <w:pStyle w:val="Heading1"/>
      </w:pPr>
      <w:r>
        <w:lastRenderedPageBreak/>
        <w:t>S2 Characterization of femtosecond laser written of WSe</w:t>
      </w:r>
      <w:r>
        <w:rPr>
          <w:vertAlign w:val="subscript"/>
        </w:rPr>
        <w:t>2</w:t>
      </w:r>
      <w:r>
        <w:t xml:space="preserve"> monolayer</w:t>
      </w:r>
    </w:p>
    <w:p w14:paraId="44C8BB2F" w14:textId="77777777" w:rsidR="00533C93" w:rsidRDefault="00BD36AF">
      <w:r>
        <w:t xml:space="preserve">The line width of each ring can be accurately controlled by the laser power. Due to the nonlinear </w:t>
      </w:r>
      <w:proofErr w:type="spellStart"/>
      <w:r>
        <w:t>multiphoton</w:t>
      </w:r>
      <w:proofErr w:type="spellEnd"/>
      <w:r>
        <w:t xml:space="preserve"> absorption, the data shows an exponential trend. We found the particle size shows random distribution and does not depend on the laser power.  </w:t>
      </w:r>
    </w:p>
    <w:p w14:paraId="63C1DABB" w14:textId="77777777" w:rsidR="00533C93" w:rsidRDefault="00BD36AF">
      <w:pPr>
        <w:pStyle w:val="Figure"/>
      </w:pPr>
      <w:r>
        <w:rPr>
          <w:noProof/>
          <w:lang w:val="en-US" w:eastAsia="en-US"/>
        </w:rPr>
        <w:drawing>
          <wp:inline distT="0" distB="0" distL="0" distR="0" wp14:anchorId="4CACC004" wp14:editId="1A4F49A0">
            <wp:extent cx="2798445" cy="2125345"/>
            <wp:effectExtent l="0" t="0" r="1905" b="825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2798445" cy="2125345"/>
                    </a:xfrm>
                    <a:prstGeom prst="rect">
                      <a:avLst/>
                    </a:prstGeom>
                    <a:noFill/>
                    <a:ln>
                      <a:noFill/>
                    </a:ln>
                  </pic:spPr>
                </pic:pic>
              </a:graphicData>
            </a:graphic>
          </wp:inline>
        </w:drawing>
      </w:r>
    </w:p>
    <w:p w14:paraId="1EF11DEA" w14:textId="77777777" w:rsidR="00533C93" w:rsidRDefault="00BD36AF">
      <w:pPr>
        <w:pStyle w:val="Figure"/>
      </w:pPr>
      <w:r>
        <w:rPr>
          <w:b/>
          <w:bCs/>
        </w:rPr>
        <w:t>Fig. S3</w:t>
      </w:r>
      <w:r>
        <w:t xml:space="preserve"> </w:t>
      </w:r>
      <w:proofErr w:type="spellStart"/>
      <w:r>
        <w:t>Linewidth</w:t>
      </w:r>
      <w:proofErr w:type="spellEnd"/>
      <w:r>
        <w:t xml:space="preserve"> versus laser power. An exponential function fits well with the </w:t>
      </w:r>
      <w:proofErr w:type="spellStart"/>
      <w:r>
        <w:t>linewidth</w:t>
      </w:r>
      <w:proofErr w:type="spellEnd"/>
      <w:r>
        <w:t xml:space="preserve"> confirming the </w:t>
      </w:r>
      <w:proofErr w:type="spellStart"/>
      <w:r>
        <w:t>multiphoton</w:t>
      </w:r>
      <w:proofErr w:type="spellEnd"/>
      <w:r>
        <w:t xml:space="preserve"> effect</w:t>
      </w:r>
      <w:r>
        <w:fldChar w:fldCharType="begin"/>
      </w:r>
      <w:r>
        <w:instrText xml:space="preserve"> ADDIN EN.CITE &lt;EndNote&gt;&lt;Cite&gt;&lt;Author&gt;Lin&lt;/Author&gt;&lt;Year&gt;2019&lt;/Year&gt;&lt;RecNum&gt;770&lt;/RecNum&gt;&lt;DisplayText&gt;&lt;style face="superscript"&gt;8&lt;/style&gt;&lt;/DisplayText&gt;&lt;record&gt;&lt;rec-number&gt;770&lt;/rec-number&gt;&lt;foreign-keys&gt;&lt;key app="EN" db-id="x2zwzsxtiapx5iev0x0vzd2zrt99paf0zv20" timestamp="1562800660" guid="64a31f25-b079-455a-9753-8682a40ea7ef"&gt;770&lt;/key&gt;&lt;/foreign-keys&gt;&lt;ref-type name="Journal Article"&gt;17&lt;/ref-type&gt;&lt;contributors&gt;&lt;authors&gt;&lt;author&gt;Lin, Han&lt;/author&gt;&lt;author&gt;Sturmberg, Björn C. P.&lt;/author&gt;&lt;author&gt;Lin, Keng-Te&lt;/author&gt;&lt;author&gt;Yang, Yunyi&lt;/author&gt;&lt;author&gt;Zheng, Xiaorui&lt;/author&gt;&lt;author&gt;Chong, Teck K.&lt;/author&gt;&lt;author&gt;de Sterke, C. Martijn&lt;/author&gt;&lt;author&gt;Jia, Baohua&lt;/author&gt;&lt;/authors&gt;&lt;/contributors&gt;&lt;titles&gt;&lt;title&gt;A 90-nm-thick graphene metamaterial for strong and extremely broadband absorption of unpolarized light&lt;/title&gt;&lt;secondary-title&gt;Nature Photonics&lt;/secondary-title&gt;&lt;/titles&gt;&lt;periodical&gt;&lt;full-title&gt;Nature Photonics&lt;/full-title&gt;&lt;/periodical&gt;&lt;pages&gt;270-276&lt;/pages&gt;&lt;volume&gt;13&lt;/volume&gt;&lt;number&gt;4&lt;/number&gt;&lt;dates&gt;&lt;year&gt;2019&lt;/year&gt;&lt;pub-dates&gt;&lt;date&gt;2019/04/01&lt;/date&gt;&lt;/pub-dates&gt;&lt;/dates&gt;&lt;isbn&gt;1749-4893&lt;/isbn&gt;&lt;urls&gt;&lt;related-urls&gt;&lt;url&gt;https://doi.org/10.1038/s41566-019-0389-3&lt;/url&gt;&lt;/related-urls&gt;&lt;/urls&gt;&lt;electronic-resource-num&gt;10.1038/s41566-019-0389-3&lt;/electronic-resource-num&gt;&lt;/record&gt;&lt;/Cite&gt;&lt;/EndNote&gt;</w:instrText>
      </w:r>
      <w:r>
        <w:fldChar w:fldCharType="separate"/>
      </w:r>
      <w:r>
        <w:rPr>
          <w:vertAlign w:val="superscript"/>
        </w:rPr>
        <w:t>8</w:t>
      </w:r>
      <w:r>
        <w:fldChar w:fldCharType="end"/>
      </w:r>
      <w:r>
        <w:t>.</w:t>
      </w:r>
    </w:p>
    <w:p w14:paraId="231555A7" w14:textId="77777777" w:rsidR="00533C93" w:rsidRDefault="00BD36AF">
      <w:r>
        <w:br w:type="page"/>
      </w:r>
    </w:p>
    <w:p w14:paraId="0483B1A0" w14:textId="77777777" w:rsidR="00533C93" w:rsidRDefault="00BD36AF">
      <w:pPr>
        <w:pStyle w:val="Heading1"/>
      </w:pPr>
      <w:r>
        <w:lastRenderedPageBreak/>
        <w:t xml:space="preserve">S3 </w:t>
      </w:r>
      <w:bookmarkStart w:id="16" w:name="_Hlk36309927"/>
      <w:r>
        <w:t xml:space="preserve">Material characterization of femtosecond laser writing </w:t>
      </w:r>
      <w:bookmarkEnd w:id="16"/>
    </w:p>
    <w:p w14:paraId="4B420551" w14:textId="77777777" w:rsidR="00533C93" w:rsidRDefault="00BD36AF">
      <w:pPr>
        <w:pStyle w:val="Heading2"/>
      </w:pPr>
      <w:r>
        <w:t xml:space="preserve">S3.1 </w:t>
      </w:r>
      <w:bookmarkStart w:id="17" w:name="_Hlk36309956"/>
      <w:r>
        <w:t>Scanning micro-XPS characterization of femtosecond laser written area</w:t>
      </w:r>
      <w:bookmarkEnd w:id="17"/>
    </w:p>
    <w:p w14:paraId="3ED2C520" w14:textId="77777777" w:rsidR="00533C93" w:rsidRDefault="00533C93"/>
    <w:p w14:paraId="36E12827" w14:textId="77777777" w:rsidR="00533C93" w:rsidRDefault="00BD36AF">
      <w:pPr>
        <w:pStyle w:val="Figure"/>
        <w:rPr>
          <w:highlight w:val="yellow"/>
        </w:rPr>
      </w:pPr>
      <w:r>
        <w:rPr>
          <w:noProof/>
          <w:highlight w:val="yellow"/>
          <w:lang w:val="en-US" w:eastAsia="en-US"/>
        </w:rPr>
        <w:drawing>
          <wp:inline distT="0" distB="0" distL="0" distR="0" wp14:anchorId="6EC82F60" wp14:editId="10CE752E">
            <wp:extent cx="4320540" cy="1738630"/>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4320540" cy="1738630"/>
                    </a:xfrm>
                    <a:prstGeom prst="rect">
                      <a:avLst/>
                    </a:prstGeom>
                    <a:noFill/>
                    <a:ln>
                      <a:noFill/>
                    </a:ln>
                  </pic:spPr>
                </pic:pic>
              </a:graphicData>
            </a:graphic>
          </wp:inline>
        </w:drawing>
      </w:r>
    </w:p>
    <w:p w14:paraId="76CE3D9A" w14:textId="77777777" w:rsidR="00533C93" w:rsidRDefault="00BD36AF">
      <w:pPr>
        <w:pStyle w:val="Figure"/>
        <w:jc w:val="both"/>
        <w:rPr>
          <w:lang w:val="en-US"/>
        </w:rPr>
      </w:pPr>
      <w:r>
        <w:rPr>
          <w:b/>
          <w:bCs/>
        </w:rPr>
        <w:t>Fig. S4</w:t>
      </w:r>
      <w:r>
        <w:rPr>
          <w:sz w:val="22"/>
          <w:szCs w:val="22"/>
        </w:rPr>
        <w:t xml:space="preserve"> Spatial XPS characterization of the monolayer WS</w:t>
      </w:r>
      <w:r>
        <w:rPr>
          <w:sz w:val="22"/>
          <w:szCs w:val="22"/>
          <w:vertAlign w:val="subscript"/>
        </w:rPr>
        <w:t>2</w:t>
      </w:r>
      <w:r>
        <w:rPr>
          <w:sz w:val="22"/>
          <w:szCs w:val="22"/>
        </w:rPr>
        <w:t xml:space="preserve"> lens. A). Binding energy spectra of W from centre (</w:t>
      </w:r>
      <w:proofErr w:type="spellStart"/>
      <w:r>
        <w:rPr>
          <w:sz w:val="22"/>
          <w:szCs w:val="22"/>
        </w:rPr>
        <w:t>xps</w:t>
      </w:r>
      <w:proofErr w:type="spellEnd"/>
      <w:r>
        <w:rPr>
          <w:sz w:val="22"/>
          <w:szCs w:val="22"/>
        </w:rPr>
        <w:t xml:space="preserve"> 9), edge (</w:t>
      </w:r>
      <w:proofErr w:type="spellStart"/>
      <w:r>
        <w:rPr>
          <w:sz w:val="22"/>
          <w:szCs w:val="22"/>
        </w:rPr>
        <w:t>xps</w:t>
      </w:r>
      <w:proofErr w:type="spellEnd"/>
      <w:r>
        <w:rPr>
          <w:sz w:val="22"/>
          <w:szCs w:val="22"/>
        </w:rPr>
        <w:t xml:space="preserve"> 10) and the as-transferred WS</w:t>
      </w:r>
      <w:r>
        <w:rPr>
          <w:sz w:val="22"/>
          <w:szCs w:val="22"/>
          <w:vertAlign w:val="subscript"/>
        </w:rPr>
        <w:t>2</w:t>
      </w:r>
      <w:r>
        <w:rPr>
          <w:sz w:val="22"/>
          <w:szCs w:val="22"/>
        </w:rPr>
        <w:t xml:space="preserve"> (</w:t>
      </w:r>
      <w:proofErr w:type="spellStart"/>
      <w:r>
        <w:rPr>
          <w:sz w:val="22"/>
          <w:szCs w:val="22"/>
        </w:rPr>
        <w:t>xps</w:t>
      </w:r>
      <w:proofErr w:type="spellEnd"/>
      <w:r>
        <w:rPr>
          <w:sz w:val="22"/>
          <w:szCs w:val="22"/>
        </w:rPr>
        <w:t xml:space="preserve"> 11). Inset: </w:t>
      </w:r>
      <w:r>
        <w:t>Au 4f SPEM image generated by integrating the Au 4f photoelectron signal. The laser processed areas appeared brighter because the shielding effect of the Au 4f photoelectron resulted from WS</w:t>
      </w:r>
      <w:r>
        <w:rPr>
          <w:vertAlign w:val="subscript"/>
        </w:rPr>
        <w:t>2</w:t>
      </w:r>
      <w:r>
        <w:t xml:space="preserve"> film</w:t>
      </w:r>
      <w:r>
        <w:rPr>
          <w:lang w:val="en-US"/>
        </w:rPr>
        <w:t xml:space="preserve">. (B-C) </w:t>
      </w:r>
      <w:proofErr w:type="gramStart"/>
      <w:r>
        <w:rPr>
          <w:lang w:val="en-US"/>
        </w:rPr>
        <w:t xml:space="preserve">Experimental data and detailed fitting of each W binding energy spectra from </w:t>
      </w:r>
      <w:proofErr w:type="spellStart"/>
      <w:r>
        <w:rPr>
          <w:lang w:val="en-US"/>
        </w:rPr>
        <w:t>xps</w:t>
      </w:r>
      <w:proofErr w:type="spellEnd"/>
      <w:r>
        <w:rPr>
          <w:lang w:val="en-US"/>
        </w:rPr>
        <w:t xml:space="preserve"> 9, </w:t>
      </w:r>
      <w:proofErr w:type="spellStart"/>
      <w:r>
        <w:rPr>
          <w:lang w:val="en-US"/>
        </w:rPr>
        <w:t>xps</w:t>
      </w:r>
      <w:proofErr w:type="spellEnd"/>
      <w:r>
        <w:rPr>
          <w:lang w:val="en-US"/>
        </w:rPr>
        <w:t xml:space="preserve"> 10 and </w:t>
      </w:r>
      <w:proofErr w:type="spellStart"/>
      <w:r>
        <w:rPr>
          <w:lang w:val="en-US"/>
        </w:rPr>
        <w:t>xps</w:t>
      </w:r>
      <w:proofErr w:type="spellEnd"/>
      <w:r>
        <w:rPr>
          <w:lang w:val="en-US"/>
        </w:rPr>
        <w:t xml:space="preserve"> 11.</w:t>
      </w:r>
      <w:proofErr w:type="gramEnd"/>
      <w:r>
        <w:rPr>
          <w:lang w:val="en-US"/>
        </w:rPr>
        <w:t xml:space="preserve"> (E) Summary of the WO</w:t>
      </w:r>
      <w:r>
        <w:rPr>
          <w:vertAlign w:val="subscript"/>
          <w:lang w:val="en-US"/>
        </w:rPr>
        <w:t>x</w:t>
      </w:r>
      <w:r>
        <w:rPr>
          <w:lang w:val="en-US"/>
        </w:rPr>
        <w:t>-to-WS</w:t>
      </w:r>
      <w:r>
        <w:rPr>
          <w:vertAlign w:val="subscript"/>
          <w:lang w:val="en-US"/>
        </w:rPr>
        <w:t>2</w:t>
      </w:r>
      <w:r>
        <w:rPr>
          <w:lang w:val="en-US"/>
        </w:rPr>
        <w:t xml:space="preserve"> intensity ratio from each spot.</w:t>
      </w:r>
    </w:p>
    <w:p w14:paraId="611E2A30" w14:textId="77777777" w:rsidR="00533C93" w:rsidRDefault="00533C93">
      <w:pPr>
        <w:pStyle w:val="Figure"/>
        <w:jc w:val="both"/>
        <w:rPr>
          <w:sz w:val="22"/>
          <w:szCs w:val="22"/>
          <w:highlight w:val="yellow"/>
        </w:rPr>
      </w:pPr>
    </w:p>
    <w:p w14:paraId="5D456D58" w14:textId="77777777" w:rsidR="00533C93" w:rsidRDefault="00BD36AF">
      <w:bookmarkStart w:id="18" w:name="_Hlk36310002"/>
      <w:r>
        <w:t>Scanning</w:t>
      </w:r>
      <w:r>
        <w:rPr>
          <w:b/>
        </w:rPr>
        <w:t xml:space="preserve"> </w:t>
      </w:r>
      <w:r>
        <w:t xml:space="preserve">XPS measurement was conducted at Synchrotron Radiation Research </w:t>
      </w:r>
      <w:proofErr w:type="spellStart"/>
      <w:r>
        <w:t>Center</w:t>
      </w:r>
      <w:proofErr w:type="spellEnd"/>
      <w:r>
        <w:t xml:space="preserve">, </w:t>
      </w:r>
      <w:r w:rsidRPr="00E025A2">
        <w:t>Taiwan</w:t>
      </w:r>
      <w:r w:rsidRPr="00E025A2">
        <w:rPr>
          <w:rFonts w:hint="eastAsia"/>
          <w:lang w:val="en-US"/>
        </w:rPr>
        <w:t>, China</w:t>
      </w:r>
      <w:r>
        <w:t xml:space="preserve"> (SPEM end station of </w:t>
      </w:r>
      <w:proofErr w:type="spellStart"/>
      <w:r>
        <w:t>beamline</w:t>
      </w:r>
      <w:proofErr w:type="spellEnd"/>
      <w:r>
        <w:t xml:space="preserve"> 09A1). The soft X-ray beam (photon energy = 400 </w:t>
      </w:r>
      <w:proofErr w:type="spellStart"/>
      <w:r>
        <w:t>eV</w:t>
      </w:r>
      <w:proofErr w:type="spellEnd"/>
      <w:r>
        <w:t xml:space="preserve">) was focused with Fresnel zone-plate optics to achieve a spatial resolution of 100 nm. Scanning photoelectron microscopy images were taken through scanning the sample holder on a </w:t>
      </w:r>
      <w:proofErr w:type="spellStart"/>
      <w:r>
        <w:t>piezo</w:t>
      </w:r>
      <w:proofErr w:type="spellEnd"/>
      <w:r>
        <w:t xml:space="preserve"> stage. The photon energy was routinely calibrated with the core-level line of Au at binding energy 84 </w:t>
      </w:r>
      <w:proofErr w:type="spellStart"/>
      <w:r>
        <w:t>eV</w:t>
      </w:r>
      <w:proofErr w:type="spellEnd"/>
      <w:r>
        <w:t>. The overall energy resolution is better than 100 </w:t>
      </w:r>
      <w:proofErr w:type="spellStart"/>
      <w:r>
        <w:t>meV</w:t>
      </w:r>
      <w:proofErr w:type="spellEnd"/>
      <w:r>
        <w:t>, and the experiments were conducted at room temperature</w:t>
      </w:r>
      <w:r>
        <w:rPr>
          <w:lang w:eastAsia="ar-SA"/>
        </w:rPr>
        <w:t>.</w:t>
      </w:r>
    </w:p>
    <w:bookmarkEnd w:id="18"/>
    <w:p w14:paraId="4B80B71D" w14:textId="77777777" w:rsidR="00533C93" w:rsidRDefault="00BD36AF">
      <w:r>
        <w:t>To enhance the XPS signal, monolayer WS</w:t>
      </w:r>
      <w:r>
        <w:rPr>
          <w:vertAlign w:val="subscript"/>
        </w:rPr>
        <w:t>2</w:t>
      </w:r>
      <w:r>
        <w:t xml:space="preserve"> flakes were transferred onto a gold substrate before laser writing. Figure S4 shows the XPS spectra acquired from three different locations at the laser processed concentric ring on the WS</w:t>
      </w:r>
      <w:r>
        <w:rPr>
          <w:vertAlign w:val="subscript"/>
        </w:rPr>
        <w:t>2</w:t>
      </w:r>
      <w:r>
        <w:t xml:space="preserve">/Au film. The exact acquisition locations are </w:t>
      </w:r>
      <w:r>
        <w:lastRenderedPageBreak/>
        <w:t xml:space="preserve">marked in the Au 4f SPEM image (inset, image generated by integrating the intensity of Au 4f photoelectron), more specifically, </w:t>
      </w:r>
      <w:proofErr w:type="spellStart"/>
      <w:r>
        <w:t>xps</w:t>
      </w:r>
      <w:proofErr w:type="spellEnd"/>
      <w:r>
        <w:t xml:space="preserve"> 9 and xps10 stands for the positions of the centre and the edge of the concentric rings, </w:t>
      </w:r>
      <w:proofErr w:type="spellStart"/>
      <w:r>
        <w:t>xps</w:t>
      </w:r>
      <w:proofErr w:type="spellEnd"/>
      <w:r>
        <w:t xml:space="preserve"> 11 refers to the as-transferred WS</w:t>
      </w:r>
      <w:r>
        <w:rPr>
          <w:vertAlign w:val="subscript"/>
        </w:rPr>
        <w:t>2</w:t>
      </w:r>
      <w:r>
        <w:t xml:space="preserve"> monolayer. Detailed XPS spectra collected from these three spots were fitted and shown in Figs. S4 b-d. It is clear that in b and d, the predominant peaks are centred at ~33 and 35 </w:t>
      </w:r>
      <w:proofErr w:type="spellStart"/>
      <w:r>
        <w:t>eV</w:t>
      </w:r>
      <w:proofErr w:type="spellEnd"/>
      <w:r>
        <w:t>, which mean most materials in these areas are still WS</w:t>
      </w:r>
      <w:r>
        <w:rPr>
          <w:vertAlign w:val="subscript"/>
        </w:rPr>
        <w:t>2</w:t>
      </w:r>
      <w:r>
        <w:t xml:space="preserve">, whereas in area marked </w:t>
      </w:r>
      <w:proofErr w:type="spellStart"/>
      <w:r>
        <w:t>xps</w:t>
      </w:r>
      <w:proofErr w:type="spellEnd"/>
      <w:r>
        <w:t xml:space="preserve"> 9, peaks corresponding to WO</w:t>
      </w:r>
      <w:r>
        <w:rPr>
          <w:vertAlign w:val="subscript"/>
        </w:rPr>
        <w:t>2</w:t>
      </w:r>
      <w:r>
        <w:t xml:space="preserve"> and WO</w:t>
      </w:r>
      <w:r>
        <w:rPr>
          <w:vertAlign w:val="subscript"/>
        </w:rPr>
        <w:t>3</w:t>
      </w:r>
      <w:r>
        <w:t xml:space="preserve"> are shown. </w:t>
      </w:r>
      <w:proofErr w:type="gramStart"/>
      <w:r>
        <w:t xml:space="preserve">Particularly, at position </w:t>
      </w:r>
      <w:proofErr w:type="spellStart"/>
      <w:r>
        <w:t>xps</w:t>
      </w:r>
      <w:proofErr w:type="spellEnd"/>
      <w:r>
        <w:t xml:space="preserve"> 10, the intensity of the W from the oxides almost equal to WS</w:t>
      </w:r>
      <w:r>
        <w:rPr>
          <w:vertAlign w:val="subscript"/>
        </w:rPr>
        <w:t>2</w:t>
      </w:r>
      <w:r>
        <w:t>.</w:t>
      </w:r>
      <w:proofErr w:type="gramEnd"/>
      <w:r>
        <w:t xml:space="preserve"> Figure S4d summarized the WO</w:t>
      </w:r>
      <w:r>
        <w:rPr>
          <w:vertAlign w:val="subscript"/>
        </w:rPr>
        <w:t>2</w:t>
      </w:r>
      <w:r>
        <w:t>/WS</w:t>
      </w:r>
      <w:r>
        <w:rPr>
          <w:vertAlign w:val="subscript"/>
        </w:rPr>
        <w:t>2</w:t>
      </w:r>
      <w:r>
        <w:t xml:space="preserve"> and WO</w:t>
      </w:r>
      <w:r>
        <w:rPr>
          <w:vertAlign w:val="subscript"/>
        </w:rPr>
        <w:t>3</w:t>
      </w:r>
      <w:r>
        <w:t>/WS</w:t>
      </w:r>
      <w:r>
        <w:rPr>
          <w:vertAlign w:val="subscript"/>
        </w:rPr>
        <w:t>2</w:t>
      </w:r>
      <w:r>
        <w:t xml:space="preserve"> ratios for each acquired location. It is clear that abundant WO</w:t>
      </w:r>
      <w:r>
        <w:rPr>
          <w:vertAlign w:val="subscript"/>
        </w:rPr>
        <w:t>2</w:t>
      </w:r>
      <w:r>
        <w:t xml:space="preserve"> and WO</w:t>
      </w:r>
      <w:r>
        <w:rPr>
          <w:vertAlign w:val="subscript"/>
        </w:rPr>
        <w:t>3</w:t>
      </w:r>
      <w:r>
        <w:t xml:space="preserve"> are generated after the laser processing. We anticipate that the formation of oxidized compounds is a general consequence after femtosecond laser treatment, which can also be applied on other van deer Waals </w:t>
      </w:r>
      <w:proofErr w:type="spellStart"/>
      <w:r>
        <w:t>dichalcogenides</w:t>
      </w:r>
      <w:proofErr w:type="spellEnd"/>
      <w:r>
        <w:t xml:space="preserve"> such as WSe</w:t>
      </w:r>
      <w:r>
        <w:rPr>
          <w:vertAlign w:val="subscript"/>
        </w:rPr>
        <w:t>2</w:t>
      </w:r>
      <w:r>
        <w:t>, MoS</w:t>
      </w:r>
      <w:r>
        <w:rPr>
          <w:vertAlign w:val="subscript"/>
        </w:rPr>
        <w:t>2</w:t>
      </w:r>
      <w:r>
        <w:t>, PtSe</w:t>
      </w:r>
      <w:r>
        <w:rPr>
          <w:vertAlign w:val="subscript"/>
        </w:rPr>
        <w:t>2</w:t>
      </w:r>
      <w:r>
        <w:t xml:space="preserve"> and PtS</w:t>
      </w:r>
      <w:r>
        <w:rPr>
          <w:vertAlign w:val="subscript"/>
        </w:rPr>
        <w:t>2</w:t>
      </w:r>
      <w:r>
        <w:t xml:space="preserve">.   </w:t>
      </w:r>
      <w:r>
        <w:br w:type="page"/>
      </w:r>
    </w:p>
    <w:p w14:paraId="23FDADD3" w14:textId="77777777" w:rsidR="00533C93" w:rsidRDefault="00BD36AF">
      <w:pPr>
        <w:pStyle w:val="Heading2"/>
      </w:pPr>
      <w:proofErr w:type="gramStart"/>
      <w:r>
        <w:lastRenderedPageBreak/>
        <w:t xml:space="preserve">S3.2 </w:t>
      </w:r>
      <w:bookmarkStart w:id="19" w:name="_Hlk36310043"/>
      <w:r>
        <w:t>AFM and Raman spectra of monolayer WSe</w:t>
      </w:r>
      <w:r>
        <w:rPr>
          <w:vertAlign w:val="subscript"/>
        </w:rPr>
        <w:t>2</w:t>
      </w:r>
      <w:r>
        <w:t xml:space="preserve"> material after milling</w:t>
      </w:r>
      <w:bookmarkEnd w:id="19"/>
      <w:r>
        <w:t>.</w:t>
      </w:r>
      <w:proofErr w:type="gramEnd"/>
    </w:p>
    <w:p w14:paraId="56024CC5" w14:textId="77777777" w:rsidR="00533C93" w:rsidRDefault="00BD36AF">
      <w:pPr>
        <w:pStyle w:val="Figure"/>
      </w:pPr>
      <w:r>
        <w:rPr>
          <w:noProof/>
          <w:lang w:val="en-US" w:eastAsia="en-US"/>
        </w:rPr>
        <w:drawing>
          <wp:inline distT="0" distB="0" distL="0" distR="0" wp14:anchorId="5B723090" wp14:editId="46BDEFC2">
            <wp:extent cx="4682490" cy="3150235"/>
            <wp:effectExtent l="0" t="0" r="381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4682490" cy="3150235"/>
                    </a:xfrm>
                    <a:prstGeom prst="rect">
                      <a:avLst/>
                    </a:prstGeom>
                    <a:noFill/>
                    <a:ln>
                      <a:noFill/>
                    </a:ln>
                  </pic:spPr>
                </pic:pic>
              </a:graphicData>
            </a:graphic>
          </wp:inline>
        </w:drawing>
      </w:r>
    </w:p>
    <w:p w14:paraId="31480898" w14:textId="77777777" w:rsidR="00533C93" w:rsidRDefault="00BD36AF">
      <w:pPr>
        <w:pStyle w:val="Figure"/>
        <w:jc w:val="both"/>
      </w:pPr>
      <w:r>
        <w:rPr>
          <w:b/>
          <w:bCs/>
        </w:rPr>
        <w:t xml:space="preserve">Fig. </w:t>
      </w:r>
      <w:proofErr w:type="gramStart"/>
      <w:r>
        <w:rPr>
          <w:b/>
          <w:bCs/>
        </w:rPr>
        <w:t>S5</w:t>
      </w:r>
      <w:r>
        <w:t xml:space="preserve"> a) An AFM image of WSe</w:t>
      </w:r>
      <w:r>
        <w:rPr>
          <w:vertAlign w:val="subscript"/>
        </w:rPr>
        <w:t>2</w:t>
      </w:r>
      <w:r>
        <w:t xml:space="preserve"> lens.</w:t>
      </w:r>
      <w:proofErr w:type="gramEnd"/>
      <w:r>
        <w:t xml:space="preserve"> Scale bar: 1 </w:t>
      </w:r>
      <w:proofErr w:type="spellStart"/>
      <w:r>
        <w:rPr>
          <w:rFonts w:eastAsia="宋体"/>
        </w:rPr>
        <w:t>μ</w:t>
      </w:r>
      <w:r>
        <w:t>m</w:t>
      </w:r>
      <w:proofErr w:type="spellEnd"/>
      <w:r>
        <w:t>. b) The cross-sectional profile along the white line in (a) at the edge of the single crystal WSe</w:t>
      </w:r>
      <w:r>
        <w:rPr>
          <w:vertAlign w:val="subscript"/>
        </w:rPr>
        <w:t>2</w:t>
      </w:r>
      <w:r>
        <w:t>. c) Raman spectra of monolayer WSe</w:t>
      </w:r>
      <w:r>
        <w:rPr>
          <w:vertAlign w:val="subscript"/>
        </w:rPr>
        <w:t>2</w:t>
      </w:r>
      <w:r>
        <w:t xml:space="preserve"> material after milling. Inset: 2D Raman image integrated with E</w:t>
      </w:r>
      <w:r>
        <w:rPr>
          <w:vertAlign w:val="superscript"/>
        </w:rPr>
        <w:t>1</w:t>
      </w:r>
      <w:r>
        <w:rPr>
          <w:vertAlign w:val="subscript"/>
        </w:rPr>
        <w:t>2g</w:t>
      </w:r>
      <w:r>
        <w:t xml:space="preserve"> band intensity.</w:t>
      </w:r>
    </w:p>
    <w:p w14:paraId="337E7FB1" w14:textId="77777777" w:rsidR="00533C93" w:rsidRDefault="00BD36AF">
      <w:pPr>
        <w:pStyle w:val="Figure"/>
        <w:jc w:val="both"/>
      </w:pPr>
      <w:r>
        <w:rPr>
          <w:iCs/>
          <w:lang w:val="en-US"/>
        </w:rPr>
        <w:t>In order to verify the monolayer nature of our sample, we extracted the WSe</w:t>
      </w:r>
      <w:r>
        <w:rPr>
          <w:iCs/>
          <w:vertAlign w:val="subscript"/>
          <w:lang w:val="en-US"/>
        </w:rPr>
        <w:t>2</w:t>
      </w:r>
      <w:r>
        <w:rPr>
          <w:iCs/>
          <w:lang w:val="en-US"/>
        </w:rPr>
        <w:t xml:space="preserve">/substrate step height from the AFM image shown in Fig. S5a. It can be seen that the thickness </w:t>
      </w:r>
      <w:r>
        <w:rPr>
          <w:iCs/>
        </w:rPr>
        <w:t xml:space="preserve">at the edge of single crystal </w:t>
      </w:r>
      <w:r>
        <w:rPr>
          <w:iCs/>
          <w:lang w:val="en-US"/>
        </w:rPr>
        <w:t>WSe</w:t>
      </w:r>
      <w:r>
        <w:rPr>
          <w:iCs/>
          <w:vertAlign w:val="subscript"/>
          <w:lang w:val="en-US"/>
        </w:rPr>
        <w:t>2</w:t>
      </w:r>
      <w:r>
        <w:rPr>
          <w:iCs/>
        </w:rPr>
        <w:t xml:space="preserve"> </w:t>
      </w:r>
      <w:r>
        <w:rPr>
          <w:iCs/>
          <w:lang w:val="en-US"/>
        </w:rPr>
        <w:t xml:space="preserve">is ~0.8 nm (Fig. </w:t>
      </w:r>
      <w:proofErr w:type="gramStart"/>
      <w:r>
        <w:rPr>
          <w:iCs/>
          <w:lang w:val="en-US"/>
        </w:rPr>
        <w:t>S5b), which is consistent with the thickness of TMD monolayer in the literature</w:t>
      </w:r>
      <w:r>
        <w:rPr>
          <w:iCs/>
          <w:vertAlign w:val="superscript"/>
          <w:lang w:val="en-US"/>
        </w:rPr>
        <w:t>1</w:t>
      </w:r>
      <w:r>
        <w:rPr>
          <w:iCs/>
          <w:lang w:val="en-US"/>
        </w:rPr>
        <w:t>.</w:t>
      </w:r>
      <w:proofErr w:type="gramEnd"/>
    </w:p>
    <w:p w14:paraId="16F5864A" w14:textId="77777777" w:rsidR="00533C93" w:rsidRDefault="00BD36AF">
      <w:pPr>
        <w:pStyle w:val="MCBody"/>
        <w:spacing w:line="360" w:lineRule="auto"/>
        <w:rPr>
          <w:sz w:val="24"/>
          <w:szCs w:val="24"/>
          <w:vertAlign w:val="subscript"/>
        </w:rPr>
      </w:pPr>
      <w:bookmarkStart w:id="20" w:name="_Hlk36310073"/>
      <w:r>
        <w:rPr>
          <w:sz w:val="24"/>
          <w:szCs w:val="24"/>
        </w:rPr>
        <w:t>The complete removal of the WSe</w:t>
      </w:r>
      <w:r>
        <w:rPr>
          <w:sz w:val="24"/>
          <w:szCs w:val="24"/>
          <w:vertAlign w:val="subscript"/>
        </w:rPr>
        <w:t>2</w:t>
      </w:r>
      <w:r>
        <w:rPr>
          <w:sz w:val="24"/>
          <w:szCs w:val="24"/>
        </w:rPr>
        <w:t xml:space="preserve"> material in the patterned area is further confirmed by Raman spectra (Fig. S5c) and E</w:t>
      </w:r>
      <w:r>
        <w:rPr>
          <w:sz w:val="24"/>
          <w:szCs w:val="24"/>
          <w:vertAlign w:val="superscript"/>
        </w:rPr>
        <w:t>1</w:t>
      </w:r>
      <w:r>
        <w:rPr>
          <w:sz w:val="24"/>
          <w:szCs w:val="24"/>
          <w:vertAlign w:val="subscript"/>
        </w:rPr>
        <w:t>2g</w:t>
      </w:r>
      <w:r>
        <w:rPr>
          <w:sz w:val="24"/>
          <w:szCs w:val="24"/>
        </w:rPr>
        <w:t xml:space="preserve"> band intensity imaging (inset Fig. S5c).  The shrink of the E</w:t>
      </w:r>
      <w:r>
        <w:rPr>
          <w:sz w:val="24"/>
          <w:szCs w:val="24"/>
          <w:vertAlign w:val="superscript"/>
        </w:rPr>
        <w:t>1</w:t>
      </w:r>
      <w:r>
        <w:rPr>
          <w:sz w:val="24"/>
          <w:szCs w:val="24"/>
          <w:vertAlign w:val="subscript"/>
        </w:rPr>
        <w:t xml:space="preserve">2g </w:t>
      </w:r>
      <w:proofErr w:type="gramStart"/>
      <w:r>
        <w:rPr>
          <w:sz w:val="24"/>
          <w:szCs w:val="24"/>
        </w:rPr>
        <w:t>at around 250 cm</w:t>
      </w:r>
      <w:r>
        <w:rPr>
          <w:sz w:val="24"/>
          <w:szCs w:val="24"/>
          <w:vertAlign w:val="superscript"/>
        </w:rPr>
        <w:t>-1</w:t>
      </w:r>
      <w:proofErr w:type="gramEnd"/>
      <w:r>
        <w:rPr>
          <w:sz w:val="24"/>
          <w:szCs w:val="24"/>
        </w:rPr>
        <w:t xml:space="preserve"> and the rising peak at 308 cm</w:t>
      </w:r>
      <w:r>
        <w:rPr>
          <w:sz w:val="24"/>
          <w:szCs w:val="24"/>
          <w:vertAlign w:val="superscript"/>
        </w:rPr>
        <w:t xml:space="preserve">-1 </w:t>
      </w:r>
      <w:r>
        <w:rPr>
          <w:sz w:val="24"/>
          <w:szCs w:val="24"/>
        </w:rPr>
        <w:t>suggest that WSe</w:t>
      </w:r>
      <w:r>
        <w:rPr>
          <w:sz w:val="24"/>
          <w:szCs w:val="24"/>
          <w:vertAlign w:val="subscript"/>
        </w:rPr>
        <w:t xml:space="preserve">2 </w:t>
      </w:r>
      <w:r>
        <w:rPr>
          <w:sz w:val="24"/>
          <w:szCs w:val="24"/>
        </w:rPr>
        <w:t xml:space="preserve">is converted to </w:t>
      </w:r>
      <w:proofErr w:type="spellStart"/>
      <w:r>
        <w:rPr>
          <w:sz w:val="24"/>
          <w:szCs w:val="24"/>
        </w:rPr>
        <w:t>WO</w:t>
      </w:r>
      <w:r>
        <w:rPr>
          <w:sz w:val="24"/>
          <w:szCs w:val="24"/>
          <w:vertAlign w:val="subscript"/>
        </w:rPr>
        <w:t>x</w:t>
      </w:r>
      <w:proofErr w:type="spellEnd"/>
      <w:r>
        <w:rPr>
          <w:sz w:val="24"/>
          <w:szCs w:val="24"/>
          <w:vertAlign w:val="subscript"/>
        </w:rPr>
        <w:t xml:space="preserve"> </w:t>
      </w:r>
      <w:r>
        <w:rPr>
          <w:sz w:val="24"/>
          <w:szCs w:val="24"/>
        </w:rPr>
        <w:t>after laser milling.</w:t>
      </w:r>
      <w:r>
        <w:rPr>
          <w:sz w:val="24"/>
          <w:szCs w:val="24"/>
          <w:vertAlign w:val="subscript"/>
        </w:rPr>
        <w:t xml:space="preserve"> </w:t>
      </w:r>
      <w:bookmarkEnd w:id="20"/>
    </w:p>
    <w:p w14:paraId="642D8851" w14:textId="77777777" w:rsidR="00533C93" w:rsidRDefault="00BD36AF">
      <w:pPr>
        <w:spacing w:after="160" w:line="259" w:lineRule="auto"/>
        <w:jc w:val="left"/>
        <w:rPr>
          <w:rFonts w:eastAsia="Times New Roman"/>
          <w:vertAlign w:val="subscript"/>
          <w:lang w:val="en-US" w:eastAsia="en-US"/>
        </w:rPr>
      </w:pPr>
      <w:r>
        <w:rPr>
          <w:vertAlign w:val="subscript"/>
        </w:rPr>
        <w:br w:type="page"/>
      </w:r>
    </w:p>
    <w:p w14:paraId="41D3778C" w14:textId="77777777" w:rsidR="00533C93" w:rsidRDefault="00BD36AF">
      <w:pPr>
        <w:pStyle w:val="Heading1"/>
      </w:pPr>
      <w:r>
        <w:lastRenderedPageBreak/>
        <w:t>S4 Dielectric constants of the WO</w:t>
      </w:r>
      <w:r>
        <w:rPr>
          <w:vertAlign w:val="subscript"/>
        </w:rPr>
        <w:t>2</w:t>
      </w:r>
      <w:r>
        <w:t xml:space="preserve"> and WSe</w:t>
      </w:r>
      <w:r>
        <w:rPr>
          <w:vertAlign w:val="subscript"/>
        </w:rPr>
        <w:t>2</w:t>
      </w:r>
      <w:r>
        <w:t xml:space="preserve"> materials </w:t>
      </w:r>
    </w:p>
    <w:p w14:paraId="689E13D1" w14:textId="77777777" w:rsidR="00533C93" w:rsidRDefault="00BD36AF">
      <w:r>
        <w:rPr>
          <w:rFonts w:eastAsia="Times New Roman"/>
        </w:rPr>
        <w:t xml:space="preserve">The complex refractive indices (complex </w:t>
      </w:r>
      <w:proofErr w:type="spellStart"/>
      <w:r>
        <w:rPr>
          <w:rFonts w:eastAsia="Times New Roman"/>
        </w:rPr>
        <w:t>permittivities</w:t>
      </w:r>
      <w:proofErr w:type="spellEnd"/>
      <w:r>
        <w:rPr>
          <w:rFonts w:eastAsia="Times New Roman"/>
        </w:rPr>
        <w:t>) of WSe</w:t>
      </w:r>
      <w:r>
        <w:rPr>
          <w:rFonts w:eastAsia="Times New Roman"/>
          <w:vertAlign w:val="subscript"/>
        </w:rPr>
        <w:t>2</w:t>
      </w:r>
      <w:r>
        <w:rPr>
          <w:rFonts w:eastAsia="Times New Roman"/>
        </w:rPr>
        <w:t xml:space="preserve"> and WO</w:t>
      </w:r>
      <w:r>
        <w:rPr>
          <w:rFonts w:eastAsia="Times New Roman"/>
          <w:vertAlign w:val="subscript"/>
        </w:rPr>
        <w:t>2</w:t>
      </w:r>
      <w:r>
        <w:rPr>
          <w:rFonts w:eastAsia="Times New Roman"/>
        </w:rPr>
        <w:t xml:space="preserve"> materials are measured by using an spectral ellipsometer (M-2000 J.A. </w:t>
      </w:r>
      <w:proofErr w:type="spellStart"/>
      <w:r>
        <w:rPr>
          <w:rFonts w:eastAsia="Times New Roman"/>
        </w:rPr>
        <w:t>Woollam</w:t>
      </w:r>
      <w:proofErr w:type="spellEnd"/>
      <w:r>
        <w:rPr>
          <w:rFonts w:eastAsia="Times New Roman"/>
        </w:rPr>
        <w:t xml:space="preserve"> Co) and fitting by using the build-in software (Complete Ease) based on the </w:t>
      </w:r>
      <w:proofErr w:type="spellStart"/>
      <w:r>
        <w:rPr>
          <w:rFonts w:eastAsia="Times New Roman"/>
        </w:rPr>
        <w:t>Kramers-Kronig</w:t>
      </w:r>
      <w:proofErr w:type="spellEnd"/>
      <w:r>
        <w:rPr>
          <w:rFonts w:eastAsia="Times New Roman"/>
        </w:rPr>
        <w:t xml:space="preserve"> analysis</w:t>
      </w:r>
      <w:r>
        <w:rPr>
          <w:rFonts w:eastAsia="Times New Roman"/>
        </w:rPr>
        <w:fldChar w:fldCharType="begin"/>
      </w:r>
      <w:r>
        <w:rPr>
          <w:rFonts w:eastAsia="Times New Roman"/>
        </w:rPr>
        <w:instrText xml:space="preserve"> ADDIN EN.CITE &lt;EndNote&gt;&lt;Cite&gt;&lt;Author&gt;Morozov&lt;/Author&gt;&lt;Year&gt;2015&lt;/Year&gt;&lt;RecNum&gt;936&lt;/RecNum&gt;&lt;DisplayText&gt;&lt;style face="superscript"&gt;9&lt;/style&gt;&lt;/DisplayText&gt;&lt;record&gt;&lt;rec-number&gt;936&lt;/rec-number&gt;&lt;foreign-keys&gt;&lt;key app="EN" db-id="x2zwzsxtiapx5iev0x0vzd2zrt99paf0zv20" timestamp="1589806411" guid="d4da5c62-aca6-4686-84ed-b54c36e16479"&gt;936&lt;/key&gt;&lt;/foreign-keys&gt;&lt;ref-type name="Journal Article"&gt;17&lt;/ref-type&gt;&lt;contributors&gt;&lt;authors&gt;&lt;author&gt;Morozov, Yurii V.&lt;/author&gt;&lt;author&gt;Kuno, Masaru&lt;/author&gt;&lt;/authors&gt;&lt;/contributors&gt;&lt;titles&gt;&lt;title&gt;Optical constants and dynamic conductivities of single layer MoS2, MoSe2, and WSe2&lt;/title&gt;&lt;secondary-title&gt;Applied Physics Letters&lt;/secondary-title&gt;&lt;/titles&gt;&lt;periodical&gt;&lt;full-title&gt;Applied Physics Letters&lt;/full-title&gt;&lt;/periodical&gt;&lt;pages&gt;083103&lt;/pages&gt;&lt;volume&gt;107&lt;/volume&gt;&lt;number&gt;8&lt;/number&gt;&lt;dates&gt;&lt;year&gt;2015&lt;/year&gt;&lt;/dates&gt;&lt;publisher&gt;AIP Publishing&lt;/publisher&gt;&lt;isbn&gt;0003-6951&lt;/isbn&gt;&lt;urls&gt;&lt;related-urls&gt;&lt;url&gt;https://dx.doi.org/10.1063/1.4929700&lt;/url&gt;&lt;/related-urls&gt;&lt;/urls&gt;&lt;electronic-resource-num&gt;10.1063/1.4929700&lt;/electronic-resource-num&gt;&lt;/record&gt;&lt;/Cite&gt;&lt;/EndNote&gt;</w:instrText>
      </w:r>
      <w:r>
        <w:rPr>
          <w:rFonts w:eastAsia="Times New Roman"/>
        </w:rPr>
        <w:fldChar w:fldCharType="separate"/>
      </w:r>
      <w:r>
        <w:rPr>
          <w:rFonts w:eastAsia="Times New Roman"/>
          <w:vertAlign w:val="superscript"/>
        </w:rPr>
        <w:t>9</w:t>
      </w:r>
      <w:r>
        <w:rPr>
          <w:rFonts w:eastAsia="Times New Roman"/>
        </w:rPr>
        <w:fldChar w:fldCharType="end"/>
      </w:r>
      <w:r>
        <w:rPr>
          <w:rFonts w:eastAsia="Times New Roman"/>
        </w:rPr>
        <w:t>.</w:t>
      </w:r>
    </w:p>
    <w:p w14:paraId="136B3097" w14:textId="77777777" w:rsidR="00533C93" w:rsidRDefault="00BD36AF">
      <w:pPr>
        <w:pStyle w:val="Figure"/>
      </w:pPr>
      <w:r>
        <w:rPr>
          <w:noProof/>
          <w:lang w:val="en-US" w:eastAsia="en-US"/>
        </w:rPr>
        <w:drawing>
          <wp:inline distT="0" distB="0" distL="0" distR="0" wp14:anchorId="7FA3D172" wp14:editId="4AA6F8CD">
            <wp:extent cx="4420870" cy="338582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4430790" cy="3393191"/>
                    </a:xfrm>
                    <a:prstGeom prst="rect">
                      <a:avLst/>
                    </a:prstGeom>
                    <a:noFill/>
                    <a:ln>
                      <a:noFill/>
                    </a:ln>
                  </pic:spPr>
                </pic:pic>
              </a:graphicData>
            </a:graphic>
          </wp:inline>
        </w:drawing>
      </w:r>
    </w:p>
    <w:p w14:paraId="1233C768" w14:textId="77777777" w:rsidR="00533C93" w:rsidRDefault="00BD36AF">
      <w:pPr>
        <w:pStyle w:val="Figure"/>
      </w:pPr>
      <w:r>
        <w:rPr>
          <w:b/>
          <w:bCs/>
        </w:rPr>
        <w:t xml:space="preserve">Fig. </w:t>
      </w:r>
      <w:proofErr w:type="gramStart"/>
      <w:r>
        <w:rPr>
          <w:b/>
          <w:bCs/>
        </w:rPr>
        <w:t>S6</w:t>
      </w:r>
      <w:r>
        <w:t xml:space="preserve"> Real and imaginary part of the complex permittivity of WO</w:t>
      </w:r>
      <w:r>
        <w:rPr>
          <w:vertAlign w:val="subscript"/>
        </w:rPr>
        <w:t>2</w:t>
      </w:r>
      <w:r>
        <w:t>.</w:t>
      </w:r>
      <w:proofErr w:type="gramEnd"/>
      <w:r>
        <w:t xml:space="preserve"> At λ=633 nm, real permittivity of WO</w:t>
      </w:r>
      <w:r>
        <w:rPr>
          <w:vertAlign w:val="subscript"/>
        </w:rPr>
        <w:t>2</w:t>
      </w:r>
      <w:r>
        <w:t xml:space="preserve"> is 3.2, imaginary permittivity 8.73.</w:t>
      </w:r>
    </w:p>
    <w:p w14:paraId="67759D3F" w14:textId="77777777" w:rsidR="00533C93" w:rsidRDefault="00533C93"/>
    <w:p w14:paraId="261E6A22" w14:textId="77777777" w:rsidR="00533C93" w:rsidRDefault="00BD36AF">
      <w:pPr>
        <w:jc w:val="center"/>
      </w:pPr>
      <w:r>
        <w:br w:type="page"/>
      </w:r>
      <w:r>
        <w:rPr>
          <w:noProof/>
          <w:lang w:val="en-US" w:eastAsia="en-US"/>
        </w:rPr>
        <w:lastRenderedPageBreak/>
        <w:drawing>
          <wp:inline distT="0" distB="0" distL="0" distR="0" wp14:anchorId="02A3AA04" wp14:editId="5BBE1140">
            <wp:extent cx="2637790" cy="2391410"/>
            <wp:effectExtent l="0" t="0" r="0"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2637790" cy="2391410"/>
                    </a:xfrm>
                    <a:prstGeom prst="rect">
                      <a:avLst/>
                    </a:prstGeom>
                    <a:noFill/>
                    <a:ln>
                      <a:noFill/>
                    </a:ln>
                  </pic:spPr>
                </pic:pic>
              </a:graphicData>
            </a:graphic>
          </wp:inline>
        </w:drawing>
      </w:r>
    </w:p>
    <w:p w14:paraId="77DA5192" w14:textId="77777777" w:rsidR="00533C93" w:rsidRDefault="00BD36AF">
      <w:pPr>
        <w:pStyle w:val="Figure"/>
      </w:pPr>
      <w:r>
        <w:rPr>
          <w:b/>
          <w:bCs/>
        </w:rPr>
        <w:t>Fig. S7</w:t>
      </w:r>
      <w:r>
        <w:t xml:space="preserve"> Refractive index and extinction coefficient of WSe</w:t>
      </w:r>
      <w:r>
        <w:rPr>
          <w:vertAlign w:val="subscript"/>
        </w:rPr>
        <w:t>2</w:t>
      </w:r>
      <w:r>
        <w:t>. At λ=633 nm, refractive index is 5.5, extinction coefficient is 1.5.</w:t>
      </w:r>
    </w:p>
    <w:p w14:paraId="0D784939" w14:textId="77777777" w:rsidR="00533C93" w:rsidRDefault="00BD36AF">
      <w:pPr>
        <w:spacing w:after="160" w:line="259" w:lineRule="auto"/>
        <w:jc w:val="left"/>
      </w:pPr>
      <w:r>
        <w:br w:type="page"/>
      </w:r>
    </w:p>
    <w:p w14:paraId="5A9DDADC" w14:textId="77777777" w:rsidR="00533C93" w:rsidRDefault="00BD36AF">
      <w:pPr>
        <w:pStyle w:val="Heading1"/>
      </w:pPr>
      <w:r>
        <w:lastRenderedPageBreak/>
        <w:t xml:space="preserve">S5 Numerical apertures of TMDC lenses versus different parameters </w:t>
      </w:r>
    </w:p>
    <w:p w14:paraId="74E20AE0" w14:textId="77777777" w:rsidR="00533C93" w:rsidRDefault="00BD36AF">
      <w:r>
        <w:t>The plots of the numerical apertures (NAs) of TMDC lenses versus different parameters including the number of rings (</w:t>
      </w:r>
      <w:r>
        <w:rPr>
          <w:i/>
          <w:iCs/>
        </w:rPr>
        <w:t>N</w:t>
      </w:r>
      <w:r>
        <w:t xml:space="preserve">) and the radius of </w:t>
      </w:r>
      <w:proofErr w:type="gramStart"/>
      <w:r>
        <w:t>inner most</w:t>
      </w:r>
      <w:proofErr w:type="gramEnd"/>
      <w:r>
        <w:t xml:space="preserve"> ring (</w:t>
      </w:r>
      <w:r>
        <w:rPr>
          <w:i/>
          <w:iCs/>
        </w:rPr>
        <w:t>a</w:t>
      </w:r>
      <w:r>
        <w:rPr>
          <w:i/>
          <w:iCs/>
          <w:vertAlign w:val="subscript"/>
        </w:rPr>
        <w:t>1</w:t>
      </w:r>
      <w:r>
        <w:t xml:space="preserve">) are shown in Fig. </w:t>
      </w:r>
      <w:proofErr w:type="gramStart"/>
      <w:r>
        <w:t>S8, which is calculated by the following equation according to design.</w:t>
      </w:r>
      <w:proofErr w:type="gramEnd"/>
      <w:r>
        <w:t xml:space="preserve"> </w:t>
      </w:r>
    </w:p>
    <w:p w14:paraId="1EC8353A" w14:textId="77777777" w:rsidR="00533C93" w:rsidRDefault="00BD36AF">
      <m:oMathPara>
        <m:oMath>
          <m:r>
            <w:rPr>
              <w:rFonts w:ascii="Cambria Math"/>
            </w:rPr>
            <m:t>NA=</m:t>
          </m:r>
          <m:sSub>
            <m:sSubPr>
              <m:ctrlPr>
                <w:rPr>
                  <w:rFonts w:ascii="Cambria Math" w:hAnsi="Cambria Math"/>
                  <w:i/>
                </w:rPr>
              </m:ctrlPr>
            </m:sSubPr>
            <m:e>
              <m:r>
                <w:rPr>
                  <w:rFonts w:ascii="Cambria Math"/>
                </w:rPr>
                <m:t>a</m:t>
              </m:r>
            </m:e>
            <m:sub>
              <m:r>
                <w:rPr>
                  <w:rFonts w:ascii="Cambria Math"/>
                </w:rPr>
                <m:t>N</m:t>
              </m:r>
            </m:sub>
          </m:sSub>
          <m:r>
            <w:rPr>
              <w:rFonts w:ascii="Cambria Math"/>
            </w:rPr>
            <m:t>/f</m:t>
          </m:r>
        </m:oMath>
      </m:oMathPara>
    </w:p>
    <w:p w14:paraId="01AEC3AC" w14:textId="77777777" w:rsidR="00533C93" w:rsidRDefault="00BD36AF">
      <w:pPr>
        <w:spacing w:line="360" w:lineRule="auto"/>
        <w:rPr>
          <w:rFonts w:eastAsia="宋体"/>
        </w:rPr>
      </w:pPr>
      <w:proofErr w:type="gramStart"/>
      <w:r>
        <w:rPr>
          <w:rFonts w:eastAsia="宋体"/>
        </w:rPr>
        <w:t>where</w:t>
      </w:r>
      <w:proofErr w:type="gramEnd"/>
      <w:r>
        <w:rPr>
          <w:rFonts w:eastAsia="宋体"/>
        </w:rPr>
        <w:t xml:space="preserve"> the </w:t>
      </w:r>
      <w:proofErr w:type="spellStart"/>
      <w:r>
        <w:rPr>
          <w:rFonts w:eastAsia="宋体"/>
          <w:i/>
          <w:iCs/>
        </w:rPr>
        <w:t>a</w:t>
      </w:r>
      <w:r>
        <w:rPr>
          <w:rFonts w:eastAsia="宋体"/>
          <w:i/>
          <w:iCs/>
          <w:vertAlign w:val="subscript"/>
        </w:rPr>
        <w:t>N</w:t>
      </w:r>
      <w:proofErr w:type="spellEnd"/>
      <w:r>
        <w:rPr>
          <w:rFonts w:eastAsia="宋体"/>
        </w:rPr>
        <w:t xml:space="preserve"> is the radius of the outmost ring and </w:t>
      </w:r>
      <w:r>
        <w:rPr>
          <w:rFonts w:eastAsia="宋体"/>
          <w:i/>
          <w:iCs/>
        </w:rPr>
        <w:t>f</w:t>
      </w:r>
      <w:r>
        <w:rPr>
          <w:rFonts w:eastAsia="宋体"/>
        </w:rPr>
        <w:t xml:space="preserve"> is the focal length of the lens. For the number of rings, we fix the focal length at </w:t>
      </w:r>
      <w:r>
        <w:rPr>
          <w:rFonts w:eastAsia="宋体"/>
          <w:i/>
          <w:iCs/>
        </w:rPr>
        <w:t>f</w:t>
      </w:r>
      <w:r>
        <w:rPr>
          <w:rFonts w:eastAsia="宋体"/>
        </w:rPr>
        <w:t xml:space="preserve"> = 9 </w:t>
      </w:r>
      <w:proofErr w:type="spellStart"/>
      <w:r>
        <w:rPr>
          <w:rFonts w:eastAsia="宋体"/>
        </w:rPr>
        <w:t>μm</w:t>
      </w:r>
      <w:proofErr w:type="spellEnd"/>
      <w:r>
        <w:rPr>
          <w:rFonts w:eastAsia="宋体"/>
        </w:rPr>
        <w:t>. For the radius of inner most ring (</w:t>
      </w:r>
      <w:r>
        <w:rPr>
          <w:i/>
          <w:iCs/>
        </w:rPr>
        <w:t>a</w:t>
      </w:r>
      <w:r>
        <w:rPr>
          <w:i/>
          <w:iCs/>
          <w:vertAlign w:val="subscript"/>
        </w:rPr>
        <w:t>1</w:t>
      </w:r>
      <w:r>
        <w:t xml:space="preserve">), we fix the number of rings to be N=5,8,12, in this way, the focal length will vary according to the </w:t>
      </w:r>
      <w:r>
        <w:rPr>
          <w:i/>
          <w:iCs/>
        </w:rPr>
        <w:t>a</w:t>
      </w:r>
      <w:r>
        <w:rPr>
          <w:i/>
          <w:iCs/>
          <w:vertAlign w:val="subscript"/>
        </w:rPr>
        <w:t>1</w:t>
      </w:r>
      <w:r>
        <w:t>.</w:t>
      </w:r>
    </w:p>
    <w:p w14:paraId="2895498B" w14:textId="77777777" w:rsidR="00533C93" w:rsidRDefault="00BD36AF">
      <w:pPr>
        <w:jc w:val="center"/>
      </w:pPr>
      <w:r>
        <w:rPr>
          <w:noProof/>
          <w:lang w:val="en-US" w:eastAsia="en-US"/>
        </w:rPr>
        <w:drawing>
          <wp:inline distT="0" distB="0" distL="0" distR="0" wp14:anchorId="25A8AE21" wp14:editId="532CE55B">
            <wp:extent cx="4481830" cy="17335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4481830" cy="1733550"/>
                    </a:xfrm>
                    <a:prstGeom prst="rect">
                      <a:avLst/>
                    </a:prstGeom>
                    <a:noFill/>
                    <a:ln>
                      <a:noFill/>
                    </a:ln>
                  </pic:spPr>
                </pic:pic>
              </a:graphicData>
            </a:graphic>
          </wp:inline>
        </w:drawing>
      </w:r>
    </w:p>
    <w:p w14:paraId="02332BD9" w14:textId="77777777" w:rsidR="00533C93" w:rsidRDefault="00BD36AF">
      <w:pPr>
        <w:pStyle w:val="Figure"/>
      </w:pPr>
      <w:r>
        <w:rPr>
          <w:b/>
          <w:bCs/>
        </w:rPr>
        <w:t xml:space="preserve">Fig. </w:t>
      </w:r>
      <w:proofErr w:type="gramStart"/>
      <w:r>
        <w:rPr>
          <w:b/>
          <w:bCs/>
        </w:rPr>
        <w:t>S8</w:t>
      </w:r>
      <w:r>
        <w:t xml:space="preserve"> Numerical apertures (NAs) of TMDC lenses</w:t>
      </w:r>
      <w:proofErr w:type="gramEnd"/>
      <w:r>
        <w:t xml:space="preserve"> versus the number of rings (N) (a) and the radius of the inner most ring (</w:t>
      </w:r>
      <w:r>
        <w:rPr>
          <w:i/>
          <w:iCs/>
        </w:rPr>
        <w:t>a</w:t>
      </w:r>
      <w:r>
        <w:rPr>
          <w:i/>
          <w:iCs/>
          <w:vertAlign w:val="subscript"/>
        </w:rPr>
        <w:t>1</w:t>
      </w:r>
      <w:r>
        <w:t xml:space="preserve">) (b).  </w:t>
      </w:r>
    </w:p>
    <w:p w14:paraId="0025DFDB" w14:textId="77777777" w:rsidR="00533C93" w:rsidRDefault="00BD36AF">
      <w:pPr>
        <w:jc w:val="center"/>
        <w:rPr>
          <w:b/>
          <w:bCs/>
        </w:rPr>
      </w:pPr>
      <w:r>
        <w:br w:type="page"/>
      </w:r>
    </w:p>
    <w:p w14:paraId="480974A1" w14:textId="77777777" w:rsidR="00533C93" w:rsidRDefault="00BD36AF">
      <w:pPr>
        <w:pStyle w:val="Heading1"/>
      </w:pPr>
      <w:r>
        <w:lastRenderedPageBreak/>
        <w:t>S6 Characterization of the focusing properties of the monolayer WSe</w:t>
      </w:r>
      <w:r>
        <w:rPr>
          <w:vertAlign w:val="subscript"/>
        </w:rPr>
        <w:t>2</w:t>
      </w:r>
      <w:r>
        <w:t xml:space="preserve"> lens</w:t>
      </w:r>
    </w:p>
    <w:p w14:paraId="2DCC2B70" w14:textId="77777777" w:rsidR="00533C93" w:rsidRDefault="00BD36AF">
      <w:pPr>
        <w:rPr>
          <w:b/>
          <w:sz w:val="28"/>
          <w:szCs w:val="28"/>
        </w:rPr>
      </w:pPr>
      <w:r>
        <w:t>A homemade imaging characterization system is built to study the performance of lenses, as schematically illustrated in Fig. S8. The cross-sectional distributions of the generated focal spots of the WSe</w:t>
      </w:r>
      <w:r>
        <w:rPr>
          <w:vertAlign w:val="subscript"/>
        </w:rPr>
        <w:t>2</w:t>
      </w:r>
      <w:r>
        <w:t xml:space="preserve"> lenses (which are attached to a SiO</w:t>
      </w:r>
      <w:r>
        <w:rPr>
          <w:vertAlign w:val="subscript"/>
        </w:rPr>
        <w:t>2</w:t>
      </w:r>
      <w:r>
        <w:t xml:space="preserve"> substrate) are captured using a CCD camera (</w:t>
      </w:r>
      <w:proofErr w:type="spellStart"/>
      <w:r>
        <w:rPr>
          <w:lang w:val="en-GB"/>
        </w:rPr>
        <w:t>Watec</w:t>
      </w:r>
      <w:proofErr w:type="spellEnd"/>
      <w:r>
        <w:rPr>
          <w:lang w:val="en-GB"/>
        </w:rPr>
        <w:t xml:space="preserve"> 902H3 SUPREME</w:t>
      </w:r>
      <w:r>
        <w:t>) equipped with a 100× objective (</w:t>
      </w:r>
      <w:r>
        <w:rPr>
          <w:i/>
          <w:iCs/>
        </w:rPr>
        <w:t>NA</w:t>
      </w:r>
      <w:r>
        <w:t xml:space="preserve"> = 0.85) and a tube lens (f = 200 mm). The magnification rate of the 4f image system is 110. The lenses are illuminated by a collimated He-Ne laser at the wavelength of 633 nm. Therefore, each CCD pixel corresponds to a step size of 63 nm in the lateral direction. The 3D images of the focal spots are reconstructed by staking images captured at different </w:t>
      </w:r>
      <w:proofErr w:type="spellStart"/>
      <w:r>
        <w:t>len</w:t>
      </w:r>
      <w:proofErr w:type="spellEnd"/>
      <w:r>
        <w:t xml:space="preserve">-to-objective distances, which are gradually adjusted using the 1D scanning stage with a step of ~10 nm. By normalizing the sensitivity and exposure time of the CCD camera, the lateral cross-sectional intensity distributions can be captured and the peak focusing intensities can be compared directly. </w:t>
      </w:r>
    </w:p>
    <w:p w14:paraId="0CAB20F0" w14:textId="77777777" w:rsidR="00533C93" w:rsidRDefault="00BD36AF">
      <w:pPr>
        <w:pStyle w:val="Figure"/>
      </w:pPr>
      <w:r>
        <w:rPr>
          <w:noProof/>
          <w:lang w:val="en-US" w:eastAsia="en-US"/>
        </w:rPr>
        <w:drawing>
          <wp:inline distT="0" distB="0" distL="0" distR="0" wp14:anchorId="7C67A4D4" wp14:editId="2F2B51E0">
            <wp:extent cx="4069715" cy="1366520"/>
            <wp:effectExtent l="0" t="0" r="6985" b="508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4069715" cy="1366520"/>
                    </a:xfrm>
                    <a:prstGeom prst="rect">
                      <a:avLst/>
                    </a:prstGeom>
                    <a:noFill/>
                    <a:ln>
                      <a:noFill/>
                    </a:ln>
                  </pic:spPr>
                </pic:pic>
              </a:graphicData>
            </a:graphic>
          </wp:inline>
        </w:drawing>
      </w:r>
    </w:p>
    <w:p w14:paraId="1C1B41F9" w14:textId="77777777" w:rsidR="00533C93" w:rsidRDefault="00BD36AF">
      <w:pPr>
        <w:pStyle w:val="Figure"/>
      </w:pPr>
      <w:r>
        <w:rPr>
          <w:b/>
          <w:bCs/>
        </w:rPr>
        <w:t>Fig. S9</w:t>
      </w:r>
      <w:r>
        <w:t xml:space="preserve"> Optical setup for characterizing the focusing of monolayer WSe</w:t>
      </w:r>
      <w:r>
        <w:rPr>
          <w:vertAlign w:val="subscript"/>
        </w:rPr>
        <w:t>2</w:t>
      </w:r>
      <w:r>
        <w:t xml:space="preserve"> lens. </w:t>
      </w:r>
    </w:p>
    <w:p w14:paraId="5CBEBC6E" w14:textId="77777777" w:rsidR="00533C93" w:rsidRDefault="00BD36AF">
      <w:r>
        <w:br w:type="page"/>
      </w:r>
    </w:p>
    <w:p w14:paraId="1C4FB309" w14:textId="77777777" w:rsidR="00533C93" w:rsidRDefault="00BD36AF">
      <w:pPr>
        <w:pStyle w:val="Heading1"/>
      </w:pPr>
      <w:r>
        <w:lastRenderedPageBreak/>
        <w:t>S7 WSe</w:t>
      </w:r>
      <w:r>
        <w:rPr>
          <w:vertAlign w:val="subscript"/>
        </w:rPr>
        <w:t>2</w:t>
      </w:r>
      <w:r>
        <w:t xml:space="preserve"> lens fabricated by focused ion beam milling</w:t>
      </w:r>
    </w:p>
    <w:p w14:paraId="38942966" w14:textId="77777777" w:rsidR="00533C93" w:rsidRDefault="00BD36AF">
      <w:pPr>
        <w:pStyle w:val="Figure"/>
      </w:pPr>
      <w:r>
        <w:rPr>
          <w:noProof/>
          <w:lang w:val="en-US" w:eastAsia="en-US"/>
        </w:rPr>
        <w:drawing>
          <wp:inline distT="0" distB="0" distL="0" distR="0" wp14:anchorId="2BF0D7C4" wp14:editId="5192486D">
            <wp:extent cx="4319270" cy="3801110"/>
            <wp:effectExtent l="0" t="0" r="508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4319270" cy="3801110"/>
                    </a:xfrm>
                    <a:prstGeom prst="rect">
                      <a:avLst/>
                    </a:prstGeom>
                    <a:noFill/>
                    <a:ln>
                      <a:noFill/>
                    </a:ln>
                  </pic:spPr>
                </pic:pic>
              </a:graphicData>
            </a:graphic>
          </wp:inline>
        </w:drawing>
      </w:r>
    </w:p>
    <w:p w14:paraId="270512AF" w14:textId="77777777" w:rsidR="00533C93" w:rsidRDefault="00BD36AF">
      <w:pPr>
        <w:pStyle w:val="Figure"/>
      </w:pPr>
      <w:r>
        <w:rPr>
          <w:b/>
          <w:bCs/>
        </w:rPr>
        <w:t xml:space="preserve">Fig. </w:t>
      </w:r>
      <w:proofErr w:type="gramStart"/>
      <w:r>
        <w:rPr>
          <w:b/>
          <w:bCs/>
        </w:rPr>
        <w:t>S10</w:t>
      </w:r>
      <w:r>
        <w:t xml:space="preserve"> (a) SEM image of WSe</w:t>
      </w:r>
      <w:r>
        <w:rPr>
          <w:vertAlign w:val="subscript"/>
        </w:rPr>
        <w:t>2</w:t>
      </w:r>
      <w:r>
        <w:t xml:space="preserve"> lens fabricated by FIB, (b) AFM image of the WSe</w:t>
      </w:r>
      <w:r>
        <w:rPr>
          <w:vertAlign w:val="subscript"/>
        </w:rPr>
        <w:t>2</w:t>
      </w:r>
      <w:r>
        <w:t xml:space="preserve"> lens.</w:t>
      </w:r>
      <w:proofErr w:type="gramEnd"/>
      <w:r>
        <w:t xml:space="preserve"> (c) Zoom-in AFM image showing a limited number of nanoparticles. </w:t>
      </w:r>
      <w:proofErr w:type="gramStart"/>
      <w:r>
        <w:t>in</w:t>
      </w:r>
      <w:proofErr w:type="gramEnd"/>
      <w:r>
        <w:t xml:space="preserve"> the FIB-treated regions (with dark contrast).</w:t>
      </w:r>
    </w:p>
    <w:p w14:paraId="08AA9B3E" w14:textId="77777777" w:rsidR="00533C93" w:rsidRDefault="00533C93">
      <w:pPr>
        <w:pStyle w:val="Figure"/>
      </w:pPr>
    </w:p>
    <w:p w14:paraId="141260EF" w14:textId="77777777" w:rsidR="00533C93" w:rsidRDefault="00BD36AF">
      <w:pPr>
        <w:rPr>
          <w:lang w:eastAsia="en-US"/>
        </w:rPr>
      </w:pPr>
      <w:r>
        <w:rPr>
          <w:lang w:eastAsia="en-US"/>
        </w:rPr>
        <w:br w:type="page"/>
      </w:r>
    </w:p>
    <w:p w14:paraId="201D6846" w14:textId="77777777" w:rsidR="00533C93" w:rsidRDefault="00BD36AF">
      <w:pPr>
        <w:pStyle w:val="Heading1"/>
      </w:pPr>
      <w:r>
        <w:lastRenderedPageBreak/>
        <w:t>S8 WSe</w:t>
      </w:r>
      <w:r>
        <w:rPr>
          <w:vertAlign w:val="subscript"/>
        </w:rPr>
        <w:t>2</w:t>
      </w:r>
      <w:r>
        <w:t xml:space="preserve"> lens fabricated by femtosecond laser writing</w:t>
      </w:r>
    </w:p>
    <w:p w14:paraId="233608CB" w14:textId="77777777" w:rsidR="00533C93" w:rsidRDefault="00BD36AF">
      <w:r>
        <w:rPr>
          <w:lang w:val="en-US" w:eastAsia="en-US"/>
        </w:rPr>
        <w:t>Table S1 Summary of laser fabrication results.</w:t>
      </w:r>
    </w:p>
    <w:tbl>
      <w:tblPr>
        <w:tblStyle w:val="TableGrid"/>
        <w:tblW w:w="0" w:type="auto"/>
        <w:jc w:val="center"/>
        <w:tblLook w:val="04A0" w:firstRow="1" w:lastRow="0" w:firstColumn="1" w:lastColumn="0" w:noHBand="0" w:noVBand="1"/>
      </w:tblPr>
      <w:tblGrid>
        <w:gridCol w:w="1195"/>
        <w:gridCol w:w="1340"/>
        <w:gridCol w:w="1359"/>
        <w:gridCol w:w="1376"/>
        <w:gridCol w:w="1176"/>
        <w:gridCol w:w="1260"/>
        <w:gridCol w:w="1310"/>
      </w:tblGrid>
      <w:tr w:rsidR="00533C93" w14:paraId="32FC9E61" w14:textId="77777777">
        <w:trPr>
          <w:jc w:val="center"/>
        </w:trPr>
        <w:tc>
          <w:tcPr>
            <w:tcW w:w="1195" w:type="dxa"/>
          </w:tcPr>
          <w:p w14:paraId="6AFC1289" w14:textId="77777777" w:rsidR="00533C93" w:rsidRDefault="00BD36AF">
            <w:pPr>
              <w:rPr>
                <w:lang w:eastAsia="en-US"/>
              </w:rPr>
            </w:pPr>
            <w:r>
              <w:rPr>
                <w:lang w:eastAsia="en-US"/>
              </w:rPr>
              <w:t>No.</w:t>
            </w:r>
          </w:p>
        </w:tc>
        <w:tc>
          <w:tcPr>
            <w:tcW w:w="1340" w:type="dxa"/>
          </w:tcPr>
          <w:p w14:paraId="635FF3D9" w14:textId="77777777" w:rsidR="00533C93" w:rsidRDefault="00BD36AF">
            <w:pPr>
              <w:rPr>
                <w:lang w:eastAsia="en-US"/>
              </w:rPr>
            </w:pPr>
            <w:r>
              <w:rPr>
                <w:lang w:eastAsia="en-US"/>
              </w:rPr>
              <w:t>Same laser condition</w:t>
            </w:r>
          </w:p>
        </w:tc>
        <w:tc>
          <w:tcPr>
            <w:tcW w:w="1359" w:type="dxa"/>
          </w:tcPr>
          <w:p w14:paraId="731AC331" w14:textId="77777777" w:rsidR="00533C93" w:rsidRDefault="00BD36AF">
            <w:pPr>
              <w:rPr>
                <w:lang w:eastAsia="en-US"/>
              </w:rPr>
            </w:pPr>
            <w:r>
              <w:rPr>
                <w:lang w:eastAsia="en-US"/>
              </w:rPr>
              <w:t>Thickness</w:t>
            </w:r>
          </w:p>
        </w:tc>
        <w:tc>
          <w:tcPr>
            <w:tcW w:w="1376" w:type="dxa"/>
          </w:tcPr>
          <w:p w14:paraId="64BF1633" w14:textId="77777777" w:rsidR="00533C93" w:rsidRDefault="00BD36AF">
            <w:pPr>
              <w:rPr>
                <w:lang w:eastAsia="en-US"/>
              </w:rPr>
            </w:pPr>
            <w:r>
              <w:rPr>
                <w:lang w:eastAsia="en-US"/>
              </w:rPr>
              <w:t>Resolution in x-y plan (</w:t>
            </w:r>
            <w:proofErr w:type="spellStart"/>
            <w:r>
              <w:rPr>
                <w:lang w:eastAsia="en-US"/>
              </w:rPr>
              <w:t>μm</w:t>
            </w:r>
            <w:proofErr w:type="spellEnd"/>
            <w:r>
              <w:rPr>
                <w:lang w:eastAsia="en-US"/>
              </w:rPr>
              <w:t>)</w:t>
            </w:r>
          </w:p>
        </w:tc>
        <w:tc>
          <w:tcPr>
            <w:tcW w:w="1176" w:type="dxa"/>
          </w:tcPr>
          <w:p w14:paraId="11C395D8" w14:textId="77777777" w:rsidR="00533C93" w:rsidRDefault="00BD36AF">
            <w:pPr>
              <w:rPr>
                <w:lang w:eastAsia="en-US"/>
              </w:rPr>
            </w:pPr>
            <w:r>
              <w:rPr>
                <w:lang w:eastAsia="en-US"/>
              </w:rPr>
              <w:t>Z-resolution ((</w:t>
            </w:r>
            <w:proofErr w:type="spellStart"/>
            <w:r>
              <w:rPr>
                <w:lang w:eastAsia="en-US"/>
              </w:rPr>
              <w:t>μm</w:t>
            </w:r>
            <w:proofErr w:type="spellEnd"/>
            <w:r>
              <w:rPr>
                <w:lang w:eastAsia="en-US"/>
              </w:rPr>
              <w:t>)</w:t>
            </w:r>
          </w:p>
        </w:tc>
        <w:tc>
          <w:tcPr>
            <w:tcW w:w="1260" w:type="dxa"/>
          </w:tcPr>
          <w:p w14:paraId="175847DA" w14:textId="77777777" w:rsidR="00533C93" w:rsidRDefault="00BD36AF">
            <w:pPr>
              <w:rPr>
                <w:lang w:eastAsia="en-US"/>
              </w:rPr>
            </w:pPr>
            <w:r>
              <w:rPr>
                <w:lang w:eastAsia="en-US"/>
              </w:rPr>
              <w:t>Focal length (</w:t>
            </w:r>
            <w:proofErr w:type="spellStart"/>
            <w:r>
              <w:rPr>
                <w:lang w:eastAsia="en-US"/>
              </w:rPr>
              <w:t>μm</w:t>
            </w:r>
            <w:proofErr w:type="spellEnd"/>
            <w:r>
              <w:rPr>
                <w:lang w:eastAsia="en-US"/>
              </w:rPr>
              <w:t>)</w:t>
            </w:r>
          </w:p>
        </w:tc>
        <w:tc>
          <w:tcPr>
            <w:tcW w:w="1310" w:type="dxa"/>
          </w:tcPr>
          <w:p w14:paraId="30C93B81" w14:textId="77777777" w:rsidR="00533C93" w:rsidRDefault="00BD36AF">
            <w:pPr>
              <w:rPr>
                <w:lang w:eastAsia="en-US"/>
              </w:rPr>
            </w:pPr>
            <w:r>
              <w:rPr>
                <w:lang w:eastAsia="en-US"/>
              </w:rPr>
              <w:t xml:space="preserve">Number of rings, </w:t>
            </w:r>
            <w:r>
              <w:rPr>
                <w:i/>
                <w:iCs/>
                <w:lang w:eastAsia="en-US"/>
              </w:rPr>
              <w:t>N</w:t>
            </w:r>
          </w:p>
        </w:tc>
      </w:tr>
      <w:tr w:rsidR="00533C93" w14:paraId="2572BE2E" w14:textId="77777777">
        <w:trPr>
          <w:jc w:val="center"/>
        </w:trPr>
        <w:tc>
          <w:tcPr>
            <w:tcW w:w="1195" w:type="dxa"/>
          </w:tcPr>
          <w:p w14:paraId="2054B2E7" w14:textId="77777777" w:rsidR="00533C93" w:rsidRDefault="00BD36AF">
            <w:pPr>
              <w:rPr>
                <w:lang w:eastAsia="en-US"/>
              </w:rPr>
            </w:pPr>
            <w:r>
              <w:rPr>
                <w:lang w:eastAsia="en-US"/>
              </w:rPr>
              <w:t>1</w:t>
            </w:r>
          </w:p>
        </w:tc>
        <w:tc>
          <w:tcPr>
            <w:tcW w:w="1340" w:type="dxa"/>
          </w:tcPr>
          <w:p w14:paraId="6C5FFC37" w14:textId="77777777" w:rsidR="00533C93" w:rsidRDefault="00BD36AF">
            <w:pPr>
              <w:rPr>
                <w:lang w:eastAsia="en-US"/>
              </w:rPr>
            </w:pPr>
            <w:r>
              <w:rPr>
                <w:lang w:eastAsia="en-US"/>
              </w:rPr>
              <w:t>14 µW</w:t>
            </w:r>
          </w:p>
        </w:tc>
        <w:tc>
          <w:tcPr>
            <w:tcW w:w="1359" w:type="dxa"/>
          </w:tcPr>
          <w:p w14:paraId="395BC1F1" w14:textId="77777777" w:rsidR="00533C93" w:rsidRDefault="00BD36AF">
            <w:pPr>
              <w:rPr>
                <w:lang w:eastAsia="en-US"/>
              </w:rPr>
            </w:pPr>
            <w:r>
              <w:rPr>
                <w:lang w:eastAsia="en-US"/>
              </w:rPr>
              <w:t>7Å</w:t>
            </w:r>
          </w:p>
        </w:tc>
        <w:tc>
          <w:tcPr>
            <w:tcW w:w="1376" w:type="dxa"/>
            <w:vAlign w:val="center"/>
          </w:tcPr>
          <w:p w14:paraId="102C0D0D" w14:textId="77777777" w:rsidR="00533C93" w:rsidRDefault="00BD36AF">
            <w:pPr>
              <w:rPr>
                <w:lang w:eastAsia="en-US"/>
              </w:rPr>
            </w:pPr>
            <w:r>
              <w:rPr>
                <w:lang w:eastAsia="en-US"/>
              </w:rPr>
              <w:t>0.66</w:t>
            </w:r>
          </w:p>
        </w:tc>
        <w:tc>
          <w:tcPr>
            <w:tcW w:w="1176" w:type="dxa"/>
            <w:vAlign w:val="center"/>
          </w:tcPr>
          <w:p w14:paraId="04FD5EAE" w14:textId="77777777" w:rsidR="00533C93" w:rsidRDefault="00BD36AF">
            <w:pPr>
              <w:rPr>
                <w:lang w:eastAsia="en-US"/>
              </w:rPr>
            </w:pPr>
            <w:r>
              <w:rPr>
                <w:lang w:eastAsia="en-US"/>
              </w:rPr>
              <w:t>2.40</w:t>
            </w:r>
          </w:p>
        </w:tc>
        <w:tc>
          <w:tcPr>
            <w:tcW w:w="1260" w:type="dxa"/>
          </w:tcPr>
          <w:p w14:paraId="0725DA1C" w14:textId="77777777" w:rsidR="00533C93" w:rsidRDefault="00BD36AF">
            <w:pPr>
              <w:rPr>
                <w:lang w:eastAsia="en-US"/>
              </w:rPr>
            </w:pPr>
            <w:r>
              <w:rPr>
                <w:lang w:eastAsia="en-US"/>
              </w:rPr>
              <w:t>9.4</w:t>
            </w:r>
          </w:p>
        </w:tc>
        <w:tc>
          <w:tcPr>
            <w:tcW w:w="1310" w:type="dxa"/>
          </w:tcPr>
          <w:p w14:paraId="522D0DAE" w14:textId="77777777" w:rsidR="00533C93" w:rsidRDefault="00BD36AF">
            <w:pPr>
              <w:rPr>
                <w:lang w:eastAsia="en-US"/>
              </w:rPr>
            </w:pPr>
            <w:r>
              <w:rPr>
                <w:lang w:eastAsia="en-US"/>
              </w:rPr>
              <w:t>3</w:t>
            </w:r>
          </w:p>
        </w:tc>
      </w:tr>
      <w:tr w:rsidR="00533C93" w14:paraId="29A11573" w14:textId="77777777">
        <w:trPr>
          <w:jc w:val="center"/>
        </w:trPr>
        <w:tc>
          <w:tcPr>
            <w:tcW w:w="1195" w:type="dxa"/>
          </w:tcPr>
          <w:p w14:paraId="3DF6A8C1" w14:textId="77777777" w:rsidR="00533C93" w:rsidRDefault="00BD36AF">
            <w:pPr>
              <w:rPr>
                <w:lang w:eastAsia="en-US"/>
              </w:rPr>
            </w:pPr>
            <w:r>
              <w:rPr>
                <w:lang w:eastAsia="en-US"/>
              </w:rPr>
              <w:t>2</w:t>
            </w:r>
          </w:p>
        </w:tc>
        <w:tc>
          <w:tcPr>
            <w:tcW w:w="1340" w:type="dxa"/>
          </w:tcPr>
          <w:p w14:paraId="3AB4B6E0" w14:textId="77777777" w:rsidR="00533C93" w:rsidRDefault="00BD36AF">
            <w:pPr>
              <w:rPr>
                <w:lang w:eastAsia="en-US"/>
              </w:rPr>
            </w:pPr>
            <w:r>
              <w:rPr>
                <w:lang w:eastAsia="en-US"/>
              </w:rPr>
              <w:t>14 µW</w:t>
            </w:r>
          </w:p>
        </w:tc>
        <w:tc>
          <w:tcPr>
            <w:tcW w:w="1359" w:type="dxa"/>
          </w:tcPr>
          <w:p w14:paraId="41D88325" w14:textId="77777777" w:rsidR="00533C93" w:rsidRDefault="00BD36AF">
            <w:pPr>
              <w:rPr>
                <w:lang w:eastAsia="en-US"/>
              </w:rPr>
            </w:pPr>
            <w:r>
              <w:rPr>
                <w:lang w:eastAsia="en-US"/>
              </w:rPr>
              <w:t>7Å</w:t>
            </w:r>
          </w:p>
        </w:tc>
        <w:tc>
          <w:tcPr>
            <w:tcW w:w="1376" w:type="dxa"/>
            <w:vAlign w:val="center"/>
          </w:tcPr>
          <w:p w14:paraId="2A2BFF21" w14:textId="77777777" w:rsidR="00533C93" w:rsidRDefault="00BD36AF">
            <w:pPr>
              <w:rPr>
                <w:lang w:eastAsia="en-US"/>
              </w:rPr>
            </w:pPr>
            <w:r>
              <w:rPr>
                <w:lang w:eastAsia="en-US"/>
              </w:rPr>
              <w:t>0.48</w:t>
            </w:r>
          </w:p>
        </w:tc>
        <w:tc>
          <w:tcPr>
            <w:tcW w:w="1176" w:type="dxa"/>
            <w:vAlign w:val="center"/>
          </w:tcPr>
          <w:p w14:paraId="74E762E9" w14:textId="77777777" w:rsidR="00533C93" w:rsidRDefault="00BD36AF">
            <w:pPr>
              <w:rPr>
                <w:lang w:eastAsia="en-US"/>
              </w:rPr>
            </w:pPr>
            <w:r>
              <w:rPr>
                <w:lang w:eastAsia="en-US"/>
              </w:rPr>
              <w:t>2.10</w:t>
            </w:r>
          </w:p>
        </w:tc>
        <w:tc>
          <w:tcPr>
            <w:tcW w:w="1260" w:type="dxa"/>
          </w:tcPr>
          <w:p w14:paraId="6BCA813F" w14:textId="77777777" w:rsidR="00533C93" w:rsidRDefault="00BD36AF">
            <w:pPr>
              <w:rPr>
                <w:lang w:eastAsia="en-US"/>
              </w:rPr>
            </w:pPr>
            <w:r>
              <w:rPr>
                <w:lang w:eastAsia="en-US"/>
              </w:rPr>
              <w:t>9.9</w:t>
            </w:r>
          </w:p>
        </w:tc>
        <w:tc>
          <w:tcPr>
            <w:tcW w:w="1310" w:type="dxa"/>
          </w:tcPr>
          <w:p w14:paraId="52CD50C9" w14:textId="77777777" w:rsidR="00533C93" w:rsidRDefault="00BD36AF">
            <w:pPr>
              <w:rPr>
                <w:lang w:eastAsia="en-US"/>
              </w:rPr>
            </w:pPr>
            <w:r>
              <w:rPr>
                <w:lang w:eastAsia="en-US"/>
              </w:rPr>
              <w:t>4</w:t>
            </w:r>
          </w:p>
        </w:tc>
      </w:tr>
      <w:tr w:rsidR="00533C93" w14:paraId="313DC4D2" w14:textId="77777777">
        <w:trPr>
          <w:jc w:val="center"/>
        </w:trPr>
        <w:tc>
          <w:tcPr>
            <w:tcW w:w="1195" w:type="dxa"/>
          </w:tcPr>
          <w:p w14:paraId="23C09BDE" w14:textId="77777777" w:rsidR="00533C93" w:rsidRDefault="00BD36AF">
            <w:pPr>
              <w:rPr>
                <w:lang w:eastAsia="en-US"/>
              </w:rPr>
            </w:pPr>
            <w:r>
              <w:rPr>
                <w:lang w:eastAsia="en-US"/>
              </w:rPr>
              <w:t>3</w:t>
            </w:r>
          </w:p>
        </w:tc>
        <w:tc>
          <w:tcPr>
            <w:tcW w:w="1340" w:type="dxa"/>
          </w:tcPr>
          <w:p w14:paraId="2F286B3E" w14:textId="77777777" w:rsidR="00533C93" w:rsidRDefault="00BD36AF">
            <w:pPr>
              <w:rPr>
                <w:lang w:eastAsia="en-US"/>
              </w:rPr>
            </w:pPr>
            <w:r>
              <w:rPr>
                <w:lang w:eastAsia="en-US"/>
              </w:rPr>
              <w:t>14 µW</w:t>
            </w:r>
          </w:p>
        </w:tc>
        <w:tc>
          <w:tcPr>
            <w:tcW w:w="1359" w:type="dxa"/>
          </w:tcPr>
          <w:p w14:paraId="3CA6E9F6" w14:textId="77777777" w:rsidR="00533C93" w:rsidRDefault="00BD36AF">
            <w:pPr>
              <w:rPr>
                <w:lang w:eastAsia="en-US"/>
              </w:rPr>
            </w:pPr>
            <w:r>
              <w:rPr>
                <w:lang w:eastAsia="en-US"/>
              </w:rPr>
              <w:t>7Å</w:t>
            </w:r>
          </w:p>
        </w:tc>
        <w:tc>
          <w:tcPr>
            <w:tcW w:w="1376" w:type="dxa"/>
            <w:vAlign w:val="center"/>
          </w:tcPr>
          <w:p w14:paraId="6A6A644C" w14:textId="77777777" w:rsidR="00533C93" w:rsidRDefault="00BD36AF">
            <w:pPr>
              <w:rPr>
                <w:lang w:eastAsia="en-US"/>
              </w:rPr>
            </w:pPr>
            <w:r>
              <w:rPr>
                <w:lang w:eastAsia="en-US"/>
              </w:rPr>
              <w:t>0.51</w:t>
            </w:r>
          </w:p>
        </w:tc>
        <w:tc>
          <w:tcPr>
            <w:tcW w:w="1176" w:type="dxa"/>
            <w:vAlign w:val="center"/>
          </w:tcPr>
          <w:p w14:paraId="0E96A0F6" w14:textId="77777777" w:rsidR="00533C93" w:rsidRDefault="00BD36AF">
            <w:pPr>
              <w:rPr>
                <w:lang w:eastAsia="en-US"/>
              </w:rPr>
            </w:pPr>
            <w:r>
              <w:rPr>
                <w:lang w:eastAsia="en-US"/>
              </w:rPr>
              <w:t>1.80</w:t>
            </w:r>
          </w:p>
        </w:tc>
        <w:tc>
          <w:tcPr>
            <w:tcW w:w="1260" w:type="dxa"/>
          </w:tcPr>
          <w:p w14:paraId="43A9BFAE" w14:textId="77777777" w:rsidR="00533C93" w:rsidRDefault="00BD36AF">
            <w:pPr>
              <w:rPr>
                <w:lang w:eastAsia="en-US"/>
              </w:rPr>
            </w:pPr>
            <w:r>
              <w:rPr>
                <w:lang w:eastAsia="en-US"/>
              </w:rPr>
              <w:t>10.1</w:t>
            </w:r>
          </w:p>
        </w:tc>
        <w:tc>
          <w:tcPr>
            <w:tcW w:w="1310" w:type="dxa"/>
          </w:tcPr>
          <w:p w14:paraId="622B4688" w14:textId="77777777" w:rsidR="00533C93" w:rsidRDefault="00BD36AF">
            <w:pPr>
              <w:rPr>
                <w:lang w:eastAsia="en-US"/>
              </w:rPr>
            </w:pPr>
            <w:r>
              <w:rPr>
                <w:lang w:eastAsia="en-US"/>
              </w:rPr>
              <w:t>5</w:t>
            </w:r>
          </w:p>
        </w:tc>
      </w:tr>
      <w:tr w:rsidR="00533C93" w14:paraId="6A10B2A5" w14:textId="77777777">
        <w:trPr>
          <w:jc w:val="center"/>
        </w:trPr>
        <w:tc>
          <w:tcPr>
            <w:tcW w:w="1195" w:type="dxa"/>
          </w:tcPr>
          <w:p w14:paraId="29B477F8" w14:textId="77777777" w:rsidR="00533C93" w:rsidRDefault="00BD36AF">
            <w:pPr>
              <w:rPr>
                <w:lang w:eastAsia="en-US"/>
              </w:rPr>
            </w:pPr>
            <w:r>
              <w:rPr>
                <w:lang w:eastAsia="en-US"/>
              </w:rPr>
              <w:t>4</w:t>
            </w:r>
          </w:p>
        </w:tc>
        <w:tc>
          <w:tcPr>
            <w:tcW w:w="1340" w:type="dxa"/>
          </w:tcPr>
          <w:p w14:paraId="0B6B2A1B" w14:textId="77777777" w:rsidR="00533C93" w:rsidRDefault="00BD36AF">
            <w:pPr>
              <w:rPr>
                <w:lang w:eastAsia="en-US"/>
              </w:rPr>
            </w:pPr>
            <w:r>
              <w:rPr>
                <w:lang w:eastAsia="en-US"/>
              </w:rPr>
              <w:t>14 µW</w:t>
            </w:r>
          </w:p>
        </w:tc>
        <w:tc>
          <w:tcPr>
            <w:tcW w:w="1359" w:type="dxa"/>
          </w:tcPr>
          <w:p w14:paraId="293B0C73" w14:textId="77777777" w:rsidR="00533C93" w:rsidRDefault="00BD36AF">
            <w:pPr>
              <w:rPr>
                <w:lang w:eastAsia="en-US"/>
              </w:rPr>
            </w:pPr>
            <w:r>
              <w:rPr>
                <w:lang w:eastAsia="en-US"/>
              </w:rPr>
              <w:t>7Å</w:t>
            </w:r>
          </w:p>
        </w:tc>
        <w:tc>
          <w:tcPr>
            <w:tcW w:w="1376" w:type="dxa"/>
            <w:vAlign w:val="center"/>
          </w:tcPr>
          <w:p w14:paraId="59596BEC" w14:textId="77777777" w:rsidR="00533C93" w:rsidRDefault="00BD36AF">
            <w:pPr>
              <w:rPr>
                <w:lang w:eastAsia="en-US"/>
              </w:rPr>
            </w:pPr>
            <w:r>
              <w:rPr>
                <w:lang w:eastAsia="en-US"/>
              </w:rPr>
              <w:t>0.50</w:t>
            </w:r>
          </w:p>
        </w:tc>
        <w:tc>
          <w:tcPr>
            <w:tcW w:w="1176" w:type="dxa"/>
            <w:vAlign w:val="center"/>
          </w:tcPr>
          <w:p w14:paraId="568E15E6" w14:textId="77777777" w:rsidR="00533C93" w:rsidRDefault="00BD36AF">
            <w:pPr>
              <w:rPr>
                <w:lang w:eastAsia="en-US"/>
              </w:rPr>
            </w:pPr>
            <w:r>
              <w:rPr>
                <w:lang w:eastAsia="en-US"/>
              </w:rPr>
              <w:t>1.70</w:t>
            </w:r>
          </w:p>
        </w:tc>
        <w:tc>
          <w:tcPr>
            <w:tcW w:w="1260" w:type="dxa"/>
          </w:tcPr>
          <w:p w14:paraId="23EAF83D" w14:textId="77777777" w:rsidR="00533C93" w:rsidRDefault="00BD36AF">
            <w:pPr>
              <w:rPr>
                <w:lang w:eastAsia="en-US"/>
              </w:rPr>
            </w:pPr>
            <w:r>
              <w:rPr>
                <w:lang w:eastAsia="en-US"/>
              </w:rPr>
              <w:t>9</w:t>
            </w:r>
          </w:p>
        </w:tc>
        <w:tc>
          <w:tcPr>
            <w:tcW w:w="1310" w:type="dxa"/>
          </w:tcPr>
          <w:p w14:paraId="08421448" w14:textId="77777777" w:rsidR="00533C93" w:rsidRDefault="00BD36AF">
            <w:pPr>
              <w:rPr>
                <w:lang w:eastAsia="en-US"/>
              </w:rPr>
            </w:pPr>
            <w:r>
              <w:rPr>
                <w:lang w:eastAsia="en-US"/>
              </w:rPr>
              <w:t>6</w:t>
            </w:r>
          </w:p>
        </w:tc>
      </w:tr>
      <w:tr w:rsidR="00533C93" w14:paraId="09408787" w14:textId="77777777">
        <w:trPr>
          <w:jc w:val="center"/>
        </w:trPr>
        <w:tc>
          <w:tcPr>
            <w:tcW w:w="1195" w:type="dxa"/>
          </w:tcPr>
          <w:p w14:paraId="1DA24F64" w14:textId="77777777" w:rsidR="00533C93" w:rsidRDefault="00BD36AF">
            <w:pPr>
              <w:rPr>
                <w:lang w:eastAsia="en-US"/>
              </w:rPr>
            </w:pPr>
            <w:r>
              <w:rPr>
                <w:lang w:eastAsia="en-US"/>
              </w:rPr>
              <w:t>5</w:t>
            </w:r>
          </w:p>
        </w:tc>
        <w:tc>
          <w:tcPr>
            <w:tcW w:w="1340" w:type="dxa"/>
          </w:tcPr>
          <w:p w14:paraId="76CC74EF" w14:textId="77777777" w:rsidR="00533C93" w:rsidRDefault="00BD36AF">
            <w:pPr>
              <w:rPr>
                <w:lang w:eastAsia="en-US"/>
              </w:rPr>
            </w:pPr>
            <w:r>
              <w:rPr>
                <w:lang w:eastAsia="en-US"/>
              </w:rPr>
              <w:t>14 µW</w:t>
            </w:r>
          </w:p>
        </w:tc>
        <w:tc>
          <w:tcPr>
            <w:tcW w:w="1359" w:type="dxa"/>
          </w:tcPr>
          <w:p w14:paraId="1CAEEB37" w14:textId="77777777" w:rsidR="00533C93" w:rsidRDefault="00BD36AF">
            <w:pPr>
              <w:rPr>
                <w:lang w:eastAsia="en-US"/>
              </w:rPr>
            </w:pPr>
            <w:r>
              <w:rPr>
                <w:lang w:eastAsia="en-US"/>
              </w:rPr>
              <w:t>7Å</w:t>
            </w:r>
          </w:p>
        </w:tc>
        <w:tc>
          <w:tcPr>
            <w:tcW w:w="1376" w:type="dxa"/>
            <w:vAlign w:val="center"/>
          </w:tcPr>
          <w:p w14:paraId="7D825027" w14:textId="77777777" w:rsidR="00533C93" w:rsidRDefault="00BD36AF">
            <w:pPr>
              <w:rPr>
                <w:lang w:eastAsia="en-US"/>
              </w:rPr>
            </w:pPr>
            <w:r>
              <w:rPr>
                <w:lang w:eastAsia="en-US"/>
              </w:rPr>
              <w:t>0.52</w:t>
            </w:r>
          </w:p>
        </w:tc>
        <w:tc>
          <w:tcPr>
            <w:tcW w:w="1176" w:type="dxa"/>
            <w:vAlign w:val="center"/>
          </w:tcPr>
          <w:p w14:paraId="0B49EAB2" w14:textId="77777777" w:rsidR="00533C93" w:rsidRDefault="00BD36AF">
            <w:pPr>
              <w:rPr>
                <w:lang w:eastAsia="en-US"/>
              </w:rPr>
            </w:pPr>
            <w:r>
              <w:rPr>
                <w:lang w:eastAsia="en-US"/>
              </w:rPr>
              <w:t>1.60</w:t>
            </w:r>
          </w:p>
        </w:tc>
        <w:tc>
          <w:tcPr>
            <w:tcW w:w="1260" w:type="dxa"/>
          </w:tcPr>
          <w:p w14:paraId="2DBD7253" w14:textId="77777777" w:rsidR="00533C93" w:rsidRDefault="00BD36AF">
            <w:pPr>
              <w:rPr>
                <w:lang w:eastAsia="en-US"/>
              </w:rPr>
            </w:pPr>
            <w:r>
              <w:rPr>
                <w:lang w:eastAsia="en-US"/>
              </w:rPr>
              <w:t>9.7</w:t>
            </w:r>
          </w:p>
        </w:tc>
        <w:tc>
          <w:tcPr>
            <w:tcW w:w="1310" w:type="dxa"/>
          </w:tcPr>
          <w:p w14:paraId="57D7B4D0" w14:textId="77777777" w:rsidR="00533C93" w:rsidRDefault="00BD36AF">
            <w:pPr>
              <w:rPr>
                <w:lang w:eastAsia="en-US"/>
              </w:rPr>
            </w:pPr>
            <w:r>
              <w:rPr>
                <w:lang w:eastAsia="en-US"/>
              </w:rPr>
              <w:t>7</w:t>
            </w:r>
          </w:p>
        </w:tc>
      </w:tr>
      <w:tr w:rsidR="00533C93" w14:paraId="056D7FAC" w14:textId="77777777">
        <w:trPr>
          <w:jc w:val="center"/>
        </w:trPr>
        <w:tc>
          <w:tcPr>
            <w:tcW w:w="1195" w:type="dxa"/>
          </w:tcPr>
          <w:p w14:paraId="0B9BF21B" w14:textId="77777777" w:rsidR="00533C93" w:rsidRDefault="00BD36AF">
            <w:pPr>
              <w:rPr>
                <w:lang w:eastAsia="en-US"/>
              </w:rPr>
            </w:pPr>
            <w:r>
              <w:rPr>
                <w:lang w:eastAsia="en-US"/>
              </w:rPr>
              <w:t>6</w:t>
            </w:r>
          </w:p>
        </w:tc>
        <w:tc>
          <w:tcPr>
            <w:tcW w:w="1340" w:type="dxa"/>
          </w:tcPr>
          <w:p w14:paraId="78A3A1CA" w14:textId="77777777" w:rsidR="00533C93" w:rsidRDefault="00BD36AF">
            <w:pPr>
              <w:rPr>
                <w:lang w:eastAsia="en-US"/>
              </w:rPr>
            </w:pPr>
            <w:r>
              <w:rPr>
                <w:lang w:eastAsia="en-US"/>
              </w:rPr>
              <w:t>14 µW</w:t>
            </w:r>
          </w:p>
        </w:tc>
        <w:tc>
          <w:tcPr>
            <w:tcW w:w="1359" w:type="dxa"/>
          </w:tcPr>
          <w:p w14:paraId="3882B420" w14:textId="77777777" w:rsidR="00533C93" w:rsidRDefault="00BD36AF">
            <w:pPr>
              <w:rPr>
                <w:lang w:eastAsia="en-US"/>
              </w:rPr>
            </w:pPr>
            <w:r>
              <w:rPr>
                <w:lang w:eastAsia="en-US"/>
              </w:rPr>
              <w:t>7Å</w:t>
            </w:r>
          </w:p>
        </w:tc>
        <w:tc>
          <w:tcPr>
            <w:tcW w:w="1376" w:type="dxa"/>
            <w:vAlign w:val="center"/>
          </w:tcPr>
          <w:p w14:paraId="0944FF47" w14:textId="77777777" w:rsidR="00533C93" w:rsidRDefault="00BD36AF">
            <w:pPr>
              <w:rPr>
                <w:lang w:eastAsia="en-US"/>
              </w:rPr>
            </w:pPr>
            <w:r>
              <w:rPr>
                <w:lang w:eastAsia="en-US"/>
              </w:rPr>
              <w:t>0.49</w:t>
            </w:r>
          </w:p>
        </w:tc>
        <w:tc>
          <w:tcPr>
            <w:tcW w:w="1176" w:type="dxa"/>
            <w:vAlign w:val="center"/>
          </w:tcPr>
          <w:p w14:paraId="3701FD7E" w14:textId="77777777" w:rsidR="00533C93" w:rsidRDefault="00BD36AF">
            <w:pPr>
              <w:rPr>
                <w:lang w:eastAsia="en-US"/>
              </w:rPr>
            </w:pPr>
            <w:r>
              <w:rPr>
                <w:lang w:eastAsia="en-US"/>
              </w:rPr>
              <w:t>1.50</w:t>
            </w:r>
          </w:p>
        </w:tc>
        <w:tc>
          <w:tcPr>
            <w:tcW w:w="1260" w:type="dxa"/>
          </w:tcPr>
          <w:p w14:paraId="6266952D" w14:textId="77777777" w:rsidR="00533C93" w:rsidRDefault="00BD36AF">
            <w:pPr>
              <w:rPr>
                <w:lang w:eastAsia="en-US"/>
              </w:rPr>
            </w:pPr>
            <w:r>
              <w:rPr>
                <w:lang w:eastAsia="en-US"/>
              </w:rPr>
              <w:t>9.3</w:t>
            </w:r>
          </w:p>
        </w:tc>
        <w:tc>
          <w:tcPr>
            <w:tcW w:w="1310" w:type="dxa"/>
          </w:tcPr>
          <w:p w14:paraId="1475C75A" w14:textId="77777777" w:rsidR="00533C93" w:rsidRDefault="00BD36AF">
            <w:pPr>
              <w:rPr>
                <w:lang w:eastAsia="en-US"/>
              </w:rPr>
            </w:pPr>
            <w:r>
              <w:rPr>
                <w:lang w:eastAsia="en-US"/>
              </w:rPr>
              <w:t>8</w:t>
            </w:r>
          </w:p>
        </w:tc>
      </w:tr>
      <w:tr w:rsidR="00533C93" w14:paraId="13E436F8" w14:textId="77777777">
        <w:trPr>
          <w:jc w:val="center"/>
        </w:trPr>
        <w:tc>
          <w:tcPr>
            <w:tcW w:w="1195" w:type="dxa"/>
          </w:tcPr>
          <w:p w14:paraId="54C790E5" w14:textId="77777777" w:rsidR="00533C93" w:rsidRDefault="00BD36AF">
            <w:pPr>
              <w:rPr>
                <w:lang w:eastAsia="en-US"/>
              </w:rPr>
            </w:pPr>
            <w:r>
              <w:rPr>
                <w:lang w:eastAsia="en-US"/>
              </w:rPr>
              <w:t>7</w:t>
            </w:r>
          </w:p>
        </w:tc>
        <w:tc>
          <w:tcPr>
            <w:tcW w:w="1340" w:type="dxa"/>
          </w:tcPr>
          <w:p w14:paraId="070E8FDD" w14:textId="77777777" w:rsidR="00533C93" w:rsidRDefault="00BD36AF">
            <w:pPr>
              <w:rPr>
                <w:lang w:eastAsia="en-US"/>
              </w:rPr>
            </w:pPr>
            <w:r>
              <w:rPr>
                <w:lang w:eastAsia="en-US"/>
              </w:rPr>
              <w:t>14 µW</w:t>
            </w:r>
          </w:p>
        </w:tc>
        <w:tc>
          <w:tcPr>
            <w:tcW w:w="1359" w:type="dxa"/>
          </w:tcPr>
          <w:p w14:paraId="54B1CFA0" w14:textId="77777777" w:rsidR="00533C93" w:rsidRDefault="00BD36AF">
            <w:pPr>
              <w:rPr>
                <w:lang w:eastAsia="en-US"/>
              </w:rPr>
            </w:pPr>
            <w:r>
              <w:rPr>
                <w:lang w:eastAsia="en-US"/>
              </w:rPr>
              <w:t>7Å</w:t>
            </w:r>
          </w:p>
        </w:tc>
        <w:tc>
          <w:tcPr>
            <w:tcW w:w="1376" w:type="dxa"/>
            <w:vAlign w:val="center"/>
          </w:tcPr>
          <w:p w14:paraId="44770BC2" w14:textId="77777777" w:rsidR="00533C93" w:rsidRDefault="00BD36AF">
            <w:pPr>
              <w:rPr>
                <w:lang w:eastAsia="en-US"/>
              </w:rPr>
            </w:pPr>
            <w:r>
              <w:rPr>
                <w:lang w:eastAsia="en-US"/>
              </w:rPr>
              <w:t>0.65</w:t>
            </w:r>
          </w:p>
        </w:tc>
        <w:tc>
          <w:tcPr>
            <w:tcW w:w="1176" w:type="dxa"/>
            <w:vAlign w:val="center"/>
          </w:tcPr>
          <w:p w14:paraId="260AFB21" w14:textId="77777777" w:rsidR="00533C93" w:rsidRDefault="00BD36AF">
            <w:pPr>
              <w:rPr>
                <w:lang w:eastAsia="en-US"/>
              </w:rPr>
            </w:pPr>
            <w:r>
              <w:rPr>
                <w:lang w:eastAsia="en-US"/>
              </w:rPr>
              <w:t>1.50</w:t>
            </w:r>
          </w:p>
        </w:tc>
        <w:tc>
          <w:tcPr>
            <w:tcW w:w="1260" w:type="dxa"/>
          </w:tcPr>
          <w:p w14:paraId="0E50D8D0" w14:textId="77777777" w:rsidR="00533C93" w:rsidRDefault="00BD36AF">
            <w:pPr>
              <w:rPr>
                <w:lang w:eastAsia="en-US"/>
              </w:rPr>
            </w:pPr>
            <w:r>
              <w:rPr>
                <w:lang w:eastAsia="en-US"/>
              </w:rPr>
              <w:t>2.2</w:t>
            </w:r>
          </w:p>
        </w:tc>
        <w:tc>
          <w:tcPr>
            <w:tcW w:w="1310" w:type="dxa"/>
          </w:tcPr>
          <w:p w14:paraId="4E9A6367" w14:textId="77777777" w:rsidR="00533C93" w:rsidRDefault="00BD36AF">
            <w:pPr>
              <w:rPr>
                <w:lang w:eastAsia="en-US"/>
              </w:rPr>
            </w:pPr>
            <w:r>
              <w:rPr>
                <w:lang w:eastAsia="en-US"/>
              </w:rPr>
              <w:t>5</w:t>
            </w:r>
          </w:p>
        </w:tc>
      </w:tr>
      <w:tr w:rsidR="00533C93" w14:paraId="76D6D858" w14:textId="77777777">
        <w:trPr>
          <w:jc w:val="center"/>
        </w:trPr>
        <w:tc>
          <w:tcPr>
            <w:tcW w:w="1195" w:type="dxa"/>
          </w:tcPr>
          <w:p w14:paraId="351D85B0" w14:textId="77777777" w:rsidR="00533C93" w:rsidRDefault="00BD36AF">
            <w:pPr>
              <w:rPr>
                <w:lang w:eastAsia="en-US"/>
              </w:rPr>
            </w:pPr>
            <w:r>
              <w:rPr>
                <w:lang w:eastAsia="en-US"/>
              </w:rPr>
              <w:t>8</w:t>
            </w:r>
          </w:p>
        </w:tc>
        <w:tc>
          <w:tcPr>
            <w:tcW w:w="1340" w:type="dxa"/>
          </w:tcPr>
          <w:p w14:paraId="489E7040" w14:textId="77777777" w:rsidR="00533C93" w:rsidRDefault="00BD36AF">
            <w:pPr>
              <w:rPr>
                <w:lang w:eastAsia="en-US"/>
              </w:rPr>
            </w:pPr>
            <w:r>
              <w:rPr>
                <w:lang w:eastAsia="en-US"/>
              </w:rPr>
              <w:t>14 µW</w:t>
            </w:r>
          </w:p>
        </w:tc>
        <w:tc>
          <w:tcPr>
            <w:tcW w:w="1359" w:type="dxa"/>
          </w:tcPr>
          <w:p w14:paraId="014533C0" w14:textId="77777777" w:rsidR="00533C93" w:rsidRDefault="00BD36AF">
            <w:pPr>
              <w:rPr>
                <w:lang w:eastAsia="en-US"/>
              </w:rPr>
            </w:pPr>
            <w:r>
              <w:rPr>
                <w:lang w:eastAsia="en-US"/>
              </w:rPr>
              <w:t>7Å</w:t>
            </w:r>
          </w:p>
        </w:tc>
        <w:tc>
          <w:tcPr>
            <w:tcW w:w="1376" w:type="dxa"/>
            <w:vAlign w:val="center"/>
          </w:tcPr>
          <w:p w14:paraId="56DF00D3" w14:textId="77777777" w:rsidR="00533C93" w:rsidRDefault="00BD36AF">
            <w:pPr>
              <w:rPr>
                <w:lang w:eastAsia="en-US"/>
              </w:rPr>
            </w:pPr>
            <w:r>
              <w:rPr>
                <w:lang w:eastAsia="en-US"/>
              </w:rPr>
              <w:t>0.58</w:t>
            </w:r>
          </w:p>
        </w:tc>
        <w:tc>
          <w:tcPr>
            <w:tcW w:w="1176" w:type="dxa"/>
            <w:vAlign w:val="center"/>
          </w:tcPr>
          <w:p w14:paraId="442F81B5" w14:textId="77777777" w:rsidR="00533C93" w:rsidRDefault="00BD36AF">
            <w:pPr>
              <w:rPr>
                <w:lang w:eastAsia="en-US"/>
              </w:rPr>
            </w:pPr>
            <w:r>
              <w:rPr>
                <w:lang w:eastAsia="en-US"/>
              </w:rPr>
              <w:t>1.70</w:t>
            </w:r>
          </w:p>
        </w:tc>
        <w:tc>
          <w:tcPr>
            <w:tcW w:w="1260" w:type="dxa"/>
          </w:tcPr>
          <w:p w14:paraId="6D8FE700" w14:textId="77777777" w:rsidR="00533C93" w:rsidRDefault="00BD36AF">
            <w:pPr>
              <w:rPr>
                <w:lang w:eastAsia="en-US"/>
              </w:rPr>
            </w:pPr>
            <w:r>
              <w:rPr>
                <w:lang w:eastAsia="en-US"/>
              </w:rPr>
              <w:t>4.1</w:t>
            </w:r>
          </w:p>
        </w:tc>
        <w:tc>
          <w:tcPr>
            <w:tcW w:w="1310" w:type="dxa"/>
          </w:tcPr>
          <w:p w14:paraId="449DDA91" w14:textId="77777777" w:rsidR="00533C93" w:rsidRDefault="00BD36AF">
            <w:pPr>
              <w:rPr>
                <w:lang w:eastAsia="en-US"/>
              </w:rPr>
            </w:pPr>
            <w:r>
              <w:rPr>
                <w:lang w:eastAsia="en-US"/>
              </w:rPr>
              <w:t>5</w:t>
            </w:r>
          </w:p>
        </w:tc>
      </w:tr>
      <w:tr w:rsidR="00533C93" w14:paraId="16205010" w14:textId="77777777">
        <w:trPr>
          <w:jc w:val="center"/>
        </w:trPr>
        <w:tc>
          <w:tcPr>
            <w:tcW w:w="1195" w:type="dxa"/>
          </w:tcPr>
          <w:p w14:paraId="2B36A8D9" w14:textId="77777777" w:rsidR="00533C93" w:rsidRDefault="00BD36AF">
            <w:pPr>
              <w:rPr>
                <w:lang w:eastAsia="en-US"/>
              </w:rPr>
            </w:pPr>
            <w:r>
              <w:rPr>
                <w:lang w:eastAsia="en-US"/>
              </w:rPr>
              <w:t>9</w:t>
            </w:r>
          </w:p>
        </w:tc>
        <w:tc>
          <w:tcPr>
            <w:tcW w:w="1340" w:type="dxa"/>
          </w:tcPr>
          <w:p w14:paraId="6AF8507D" w14:textId="77777777" w:rsidR="00533C93" w:rsidRDefault="00BD36AF">
            <w:pPr>
              <w:rPr>
                <w:lang w:eastAsia="en-US"/>
              </w:rPr>
            </w:pPr>
            <w:r>
              <w:rPr>
                <w:lang w:eastAsia="en-US"/>
              </w:rPr>
              <w:t>14 µW</w:t>
            </w:r>
          </w:p>
        </w:tc>
        <w:tc>
          <w:tcPr>
            <w:tcW w:w="1359" w:type="dxa"/>
          </w:tcPr>
          <w:p w14:paraId="5334CC70" w14:textId="77777777" w:rsidR="00533C93" w:rsidRDefault="00BD36AF">
            <w:pPr>
              <w:rPr>
                <w:lang w:eastAsia="en-US"/>
              </w:rPr>
            </w:pPr>
            <w:r>
              <w:rPr>
                <w:lang w:eastAsia="en-US"/>
              </w:rPr>
              <w:t>7Å</w:t>
            </w:r>
          </w:p>
        </w:tc>
        <w:tc>
          <w:tcPr>
            <w:tcW w:w="1376" w:type="dxa"/>
            <w:vAlign w:val="center"/>
          </w:tcPr>
          <w:p w14:paraId="2B93B670" w14:textId="77777777" w:rsidR="00533C93" w:rsidRDefault="00BD36AF">
            <w:pPr>
              <w:rPr>
                <w:lang w:eastAsia="en-US"/>
              </w:rPr>
            </w:pPr>
            <w:r>
              <w:rPr>
                <w:lang w:eastAsia="en-US"/>
              </w:rPr>
              <w:t>0.63</w:t>
            </w:r>
          </w:p>
        </w:tc>
        <w:tc>
          <w:tcPr>
            <w:tcW w:w="1176" w:type="dxa"/>
            <w:vAlign w:val="center"/>
          </w:tcPr>
          <w:p w14:paraId="5CCAA0AE" w14:textId="77777777" w:rsidR="00533C93" w:rsidRDefault="00BD36AF">
            <w:pPr>
              <w:rPr>
                <w:lang w:eastAsia="en-US"/>
              </w:rPr>
            </w:pPr>
            <w:r>
              <w:rPr>
                <w:lang w:eastAsia="en-US"/>
              </w:rPr>
              <w:t>1.70</w:t>
            </w:r>
          </w:p>
        </w:tc>
        <w:tc>
          <w:tcPr>
            <w:tcW w:w="1260" w:type="dxa"/>
          </w:tcPr>
          <w:p w14:paraId="648323AD" w14:textId="77777777" w:rsidR="00533C93" w:rsidRDefault="00BD36AF">
            <w:pPr>
              <w:rPr>
                <w:lang w:eastAsia="en-US"/>
              </w:rPr>
            </w:pPr>
            <w:r>
              <w:rPr>
                <w:lang w:eastAsia="en-US"/>
              </w:rPr>
              <w:t>6</w:t>
            </w:r>
          </w:p>
        </w:tc>
        <w:tc>
          <w:tcPr>
            <w:tcW w:w="1310" w:type="dxa"/>
          </w:tcPr>
          <w:p w14:paraId="15FC9657" w14:textId="77777777" w:rsidR="00533C93" w:rsidRDefault="00BD36AF">
            <w:pPr>
              <w:rPr>
                <w:lang w:eastAsia="en-US"/>
              </w:rPr>
            </w:pPr>
            <w:r>
              <w:rPr>
                <w:lang w:eastAsia="en-US"/>
              </w:rPr>
              <w:t>5</w:t>
            </w:r>
          </w:p>
        </w:tc>
      </w:tr>
      <w:tr w:rsidR="00533C93" w14:paraId="0D783EEF" w14:textId="77777777">
        <w:trPr>
          <w:jc w:val="center"/>
        </w:trPr>
        <w:tc>
          <w:tcPr>
            <w:tcW w:w="1195" w:type="dxa"/>
          </w:tcPr>
          <w:p w14:paraId="70AC4216" w14:textId="77777777" w:rsidR="00533C93" w:rsidRDefault="00BD36AF">
            <w:pPr>
              <w:rPr>
                <w:lang w:eastAsia="en-US"/>
              </w:rPr>
            </w:pPr>
            <w:r>
              <w:rPr>
                <w:lang w:eastAsia="en-US"/>
              </w:rPr>
              <w:t>10</w:t>
            </w:r>
          </w:p>
        </w:tc>
        <w:tc>
          <w:tcPr>
            <w:tcW w:w="1340" w:type="dxa"/>
          </w:tcPr>
          <w:p w14:paraId="1B7042C0" w14:textId="77777777" w:rsidR="00533C93" w:rsidRDefault="00BD36AF">
            <w:pPr>
              <w:rPr>
                <w:lang w:eastAsia="en-US"/>
              </w:rPr>
            </w:pPr>
            <w:r>
              <w:rPr>
                <w:lang w:eastAsia="en-US"/>
              </w:rPr>
              <w:t>14 µW</w:t>
            </w:r>
          </w:p>
        </w:tc>
        <w:tc>
          <w:tcPr>
            <w:tcW w:w="1359" w:type="dxa"/>
          </w:tcPr>
          <w:p w14:paraId="3CBD83DC" w14:textId="77777777" w:rsidR="00533C93" w:rsidRDefault="00BD36AF">
            <w:pPr>
              <w:rPr>
                <w:lang w:eastAsia="en-US"/>
              </w:rPr>
            </w:pPr>
            <w:r>
              <w:rPr>
                <w:lang w:eastAsia="en-US"/>
              </w:rPr>
              <w:t>7Å</w:t>
            </w:r>
          </w:p>
        </w:tc>
        <w:tc>
          <w:tcPr>
            <w:tcW w:w="1376" w:type="dxa"/>
            <w:vAlign w:val="center"/>
          </w:tcPr>
          <w:p w14:paraId="4D786D08" w14:textId="77777777" w:rsidR="00533C93" w:rsidRDefault="00BD36AF">
            <w:pPr>
              <w:rPr>
                <w:lang w:eastAsia="en-US"/>
              </w:rPr>
            </w:pPr>
            <w:r>
              <w:rPr>
                <w:lang w:eastAsia="en-US"/>
              </w:rPr>
              <w:t>0.50</w:t>
            </w:r>
          </w:p>
        </w:tc>
        <w:tc>
          <w:tcPr>
            <w:tcW w:w="1176" w:type="dxa"/>
            <w:vAlign w:val="center"/>
          </w:tcPr>
          <w:p w14:paraId="1FFBAB24" w14:textId="77777777" w:rsidR="00533C93" w:rsidRDefault="00BD36AF">
            <w:pPr>
              <w:rPr>
                <w:lang w:eastAsia="en-US"/>
              </w:rPr>
            </w:pPr>
            <w:r>
              <w:rPr>
                <w:lang w:eastAsia="en-US"/>
              </w:rPr>
              <w:t>1.80</w:t>
            </w:r>
          </w:p>
        </w:tc>
        <w:tc>
          <w:tcPr>
            <w:tcW w:w="1260" w:type="dxa"/>
          </w:tcPr>
          <w:p w14:paraId="14E158C0" w14:textId="77777777" w:rsidR="00533C93" w:rsidRDefault="00BD36AF">
            <w:pPr>
              <w:rPr>
                <w:lang w:eastAsia="en-US"/>
              </w:rPr>
            </w:pPr>
            <w:r>
              <w:rPr>
                <w:lang w:eastAsia="en-US"/>
              </w:rPr>
              <w:t>7</w:t>
            </w:r>
          </w:p>
        </w:tc>
        <w:tc>
          <w:tcPr>
            <w:tcW w:w="1310" w:type="dxa"/>
          </w:tcPr>
          <w:p w14:paraId="24167AF8" w14:textId="77777777" w:rsidR="00533C93" w:rsidRDefault="00BD36AF">
            <w:pPr>
              <w:rPr>
                <w:lang w:eastAsia="en-US"/>
              </w:rPr>
            </w:pPr>
            <w:r>
              <w:rPr>
                <w:lang w:eastAsia="en-US"/>
              </w:rPr>
              <w:t>5</w:t>
            </w:r>
          </w:p>
        </w:tc>
      </w:tr>
      <w:tr w:rsidR="00533C93" w14:paraId="08EFA38B" w14:textId="77777777">
        <w:trPr>
          <w:jc w:val="center"/>
        </w:trPr>
        <w:tc>
          <w:tcPr>
            <w:tcW w:w="1195" w:type="dxa"/>
          </w:tcPr>
          <w:p w14:paraId="59130B33" w14:textId="77777777" w:rsidR="00533C93" w:rsidRDefault="00BD36AF">
            <w:pPr>
              <w:rPr>
                <w:lang w:eastAsia="en-US"/>
              </w:rPr>
            </w:pPr>
            <w:r>
              <w:rPr>
                <w:lang w:eastAsia="en-US"/>
              </w:rPr>
              <w:t>11</w:t>
            </w:r>
          </w:p>
        </w:tc>
        <w:tc>
          <w:tcPr>
            <w:tcW w:w="1340" w:type="dxa"/>
          </w:tcPr>
          <w:p w14:paraId="4AA17C18" w14:textId="77777777" w:rsidR="00533C93" w:rsidRDefault="00BD36AF">
            <w:pPr>
              <w:rPr>
                <w:lang w:eastAsia="en-US"/>
              </w:rPr>
            </w:pPr>
            <w:r>
              <w:rPr>
                <w:lang w:eastAsia="en-US"/>
              </w:rPr>
              <w:t>14 µW</w:t>
            </w:r>
          </w:p>
        </w:tc>
        <w:tc>
          <w:tcPr>
            <w:tcW w:w="1359" w:type="dxa"/>
          </w:tcPr>
          <w:p w14:paraId="30227305" w14:textId="77777777" w:rsidR="00533C93" w:rsidRDefault="00BD36AF">
            <w:pPr>
              <w:rPr>
                <w:lang w:eastAsia="en-US"/>
              </w:rPr>
            </w:pPr>
            <w:r>
              <w:rPr>
                <w:lang w:eastAsia="en-US"/>
              </w:rPr>
              <w:t>7Å</w:t>
            </w:r>
          </w:p>
        </w:tc>
        <w:tc>
          <w:tcPr>
            <w:tcW w:w="1376" w:type="dxa"/>
            <w:vAlign w:val="center"/>
          </w:tcPr>
          <w:p w14:paraId="34A3598A" w14:textId="77777777" w:rsidR="00533C93" w:rsidRDefault="00BD36AF">
            <w:pPr>
              <w:rPr>
                <w:lang w:eastAsia="en-US"/>
              </w:rPr>
            </w:pPr>
            <w:r>
              <w:rPr>
                <w:lang w:eastAsia="en-US"/>
              </w:rPr>
              <w:t>0.49</w:t>
            </w:r>
          </w:p>
        </w:tc>
        <w:tc>
          <w:tcPr>
            <w:tcW w:w="1176" w:type="dxa"/>
            <w:vAlign w:val="center"/>
          </w:tcPr>
          <w:p w14:paraId="79AECAFC" w14:textId="77777777" w:rsidR="00533C93" w:rsidRDefault="00BD36AF">
            <w:pPr>
              <w:rPr>
                <w:lang w:eastAsia="en-US"/>
              </w:rPr>
            </w:pPr>
            <w:r>
              <w:rPr>
                <w:lang w:eastAsia="en-US"/>
              </w:rPr>
              <w:t>2.04</w:t>
            </w:r>
          </w:p>
        </w:tc>
        <w:tc>
          <w:tcPr>
            <w:tcW w:w="1260" w:type="dxa"/>
          </w:tcPr>
          <w:p w14:paraId="41AE2D2B" w14:textId="77777777" w:rsidR="00533C93" w:rsidRDefault="00BD36AF">
            <w:pPr>
              <w:rPr>
                <w:lang w:eastAsia="en-US"/>
              </w:rPr>
            </w:pPr>
            <w:r>
              <w:rPr>
                <w:lang w:eastAsia="en-US"/>
              </w:rPr>
              <w:t>8.7</w:t>
            </w:r>
          </w:p>
        </w:tc>
        <w:tc>
          <w:tcPr>
            <w:tcW w:w="1310" w:type="dxa"/>
          </w:tcPr>
          <w:p w14:paraId="52079BC5" w14:textId="77777777" w:rsidR="00533C93" w:rsidRDefault="00BD36AF">
            <w:pPr>
              <w:rPr>
                <w:lang w:eastAsia="en-US"/>
              </w:rPr>
            </w:pPr>
            <w:r>
              <w:rPr>
                <w:lang w:eastAsia="en-US"/>
              </w:rPr>
              <w:t>5</w:t>
            </w:r>
          </w:p>
        </w:tc>
      </w:tr>
      <w:tr w:rsidR="00533C93" w14:paraId="3C19E284" w14:textId="77777777">
        <w:trPr>
          <w:jc w:val="center"/>
        </w:trPr>
        <w:tc>
          <w:tcPr>
            <w:tcW w:w="1195" w:type="dxa"/>
          </w:tcPr>
          <w:p w14:paraId="6C61D034" w14:textId="77777777" w:rsidR="00533C93" w:rsidRDefault="00BD36AF">
            <w:pPr>
              <w:rPr>
                <w:lang w:eastAsia="en-US"/>
              </w:rPr>
            </w:pPr>
            <w:r>
              <w:rPr>
                <w:lang w:eastAsia="en-US"/>
              </w:rPr>
              <w:t>12</w:t>
            </w:r>
          </w:p>
        </w:tc>
        <w:tc>
          <w:tcPr>
            <w:tcW w:w="1340" w:type="dxa"/>
          </w:tcPr>
          <w:p w14:paraId="7F7D4A61" w14:textId="77777777" w:rsidR="00533C93" w:rsidRDefault="00BD36AF">
            <w:pPr>
              <w:rPr>
                <w:lang w:eastAsia="en-US"/>
              </w:rPr>
            </w:pPr>
            <w:r>
              <w:rPr>
                <w:lang w:eastAsia="en-US"/>
              </w:rPr>
              <w:t>14 µW</w:t>
            </w:r>
          </w:p>
        </w:tc>
        <w:tc>
          <w:tcPr>
            <w:tcW w:w="1359" w:type="dxa"/>
          </w:tcPr>
          <w:p w14:paraId="049B763C" w14:textId="77777777" w:rsidR="00533C93" w:rsidRDefault="00BD36AF">
            <w:pPr>
              <w:rPr>
                <w:lang w:eastAsia="en-US"/>
              </w:rPr>
            </w:pPr>
            <w:r>
              <w:rPr>
                <w:lang w:eastAsia="en-US"/>
              </w:rPr>
              <w:t>7Å</w:t>
            </w:r>
          </w:p>
        </w:tc>
        <w:tc>
          <w:tcPr>
            <w:tcW w:w="1376" w:type="dxa"/>
            <w:vAlign w:val="center"/>
          </w:tcPr>
          <w:p w14:paraId="5B138D2C" w14:textId="77777777" w:rsidR="00533C93" w:rsidRDefault="00BD36AF">
            <w:pPr>
              <w:rPr>
                <w:lang w:eastAsia="en-US"/>
              </w:rPr>
            </w:pPr>
            <w:r>
              <w:rPr>
                <w:lang w:eastAsia="en-US"/>
              </w:rPr>
              <w:t>0.47</w:t>
            </w:r>
          </w:p>
        </w:tc>
        <w:tc>
          <w:tcPr>
            <w:tcW w:w="1176" w:type="dxa"/>
            <w:vAlign w:val="center"/>
          </w:tcPr>
          <w:p w14:paraId="181BC5BA" w14:textId="77777777" w:rsidR="00533C93" w:rsidRDefault="00BD36AF">
            <w:pPr>
              <w:rPr>
                <w:lang w:eastAsia="en-US"/>
              </w:rPr>
            </w:pPr>
            <w:r>
              <w:rPr>
                <w:lang w:eastAsia="en-US"/>
              </w:rPr>
              <w:t>1.60</w:t>
            </w:r>
          </w:p>
        </w:tc>
        <w:tc>
          <w:tcPr>
            <w:tcW w:w="1260" w:type="dxa"/>
          </w:tcPr>
          <w:p w14:paraId="7C7D23E5" w14:textId="77777777" w:rsidR="00533C93" w:rsidRDefault="00BD36AF">
            <w:pPr>
              <w:rPr>
                <w:lang w:eastAsia="en-US"/>
              </w:rPr>
            </w:pPr>
            <w:r>
              <w:rPr>
                <w:lang w:eastAsia="en-US"/>
              </w:rPr>
              <w:t>10.7</w:t>
            </w:r>
          </w:p>
        </w:tc>
        <w:tc>
          <w:tcPr>
            <w:tcW w:w="1310" w:type="dxa"/>
          </w:tcPr>
          <w:p w14:paraId="67D6F24A" w14:textId="77777777" w:rsidR="00533C93" w:rsidRDefault="00BD36AF">
            <w:pPr>
              <w:rPr>
                <w:lang w:eastAsia="en-US"/>
              </w:rPr>
            </w:pPr>
            <w:r>
              <w:rPr>
                <w:lang w:eastAsia="en-US"/>
              </w:rPr>
              <w:t>5</w:t>
            </w:r>
          </w:p>
        </w:tc>
      </w:tr>
      <w:tr w:rsidR="00533C93" w14:paraId="653415F2" w14:textId="77777777">
        <w:trPr>
          <w:jc w:val="center"/>
        </w:trPr>
        <w:tc>
          <w:tcPr>
            <w:tcW w:w="1195" w:type="dxa"/>
          </w:tcPr>
          <w:p w14:paraId="4813AF6E" w14:textId="77777777" w:rsidR="00533C93" w:rsidRDefault="00BD36AF">
            <w:pPr>
              <w:rPr>
                <w:lang w:eastAsia="en-US"/>
              </w:rPr>
            </w:pPr>
            <w:r>
              <w:rPr>
                <w:lang w:eastAsia="en-US"/>
              </w:rPr>
              <w:t>13</w:t>
            </w:r>
          </w:p>
        </w:tc>
        <w:tc>
          <w:tcPr>
            <w:tcW w:w="1340" w:type="dxa"/>
          </w:tcPr>
          <w:p w14:paraId="363DE1C2" w14:textId="77777777" w:rsidR="00533C93" w:rsidRDefault="00BD36AF">
            <w:pPr>
              <w:rPr>
                <w:lang w:eastAsia="en-US"/>
              </w:rPr>
            </w:pPr>
            <w:r>
              <w:rPr>
                <w:lang w:eastAsia="en-US"/>
              </w:rPr>
              <w:t>14 µW</w:t>
            </w:r>
          </w:p>
        </w:tc>
        <w:tc>
          <w:tcPr>
            <w:tcW w:w="1359" w:type="dxa"/>
          </w:tcPr>
          <w:p w14:paraId="7F0A9E4C" w14:textId="77777777" w:rsidR="00533C93" w:rsidRDefault="00BD36AF">
            <w:pPr>
              <w:rPr>
                <w:lang w:eastAsia="en-US"/>
              </w:rPr>
            </w:pPr>
            <w:r>
              <w:rPr>
                <w:lang w:eastAsia="en-US"/>
              </w:rPr>
              <w:t>7Å</w:t>
            </w:r>
          </w:p>
        </w:tc>
        <w:tc>
          <w:tcPr>
            <w:tcW w:w="1376" w:type="dxa"/>
            <w:vAlign w:val="center"/>
          </w:tcPr>
          <w:p w14:paraId="5567CD1C" w14:textId="77777777" w:rsidR="00533C93" w:rsidRDefault="00BD36AF">
            <w:pPr>
              <w:rPr>
                <w:lang w:eastAsia="en-US"/>
              </w:rPr>
            </w:pPr>
            <w:r>
              <w:rPr>
                <w:lang w:eastAsia="en-US"/>
              </w:rPr>
              <w:t>0.55</w:t>
            </w:r>
          </w:p>
        </w:tc>
        <w:tc>
          <w:tcPr>
            <w:tcW w:w="1176" w:type="dxa"/>
            <w:vAlign w:val="center"/>
          </w:tcPr>
          <w:p w14:paraId="0A347C9F" w14:textId="77777777" w:rsidR="00533C93" w:rsidRDefault="00BD36AF">
            <w:pPr>
              <w:rPr>
                <w:lang w:eastAsia="en-US"/>
              </w:rPr>
            </w:pPr>
            <w:r>
              <w:rPr>
                <w:lang w:eastAsia="en-US"/>
              </w:rPr>
              <w:t>1.81</w:t>
            </w:r>
          </w:p>
        </w:tc>
        <w:tc>
          <w:tcPr>
            <w:tcW w:w="1260" w:type="dxa"/>
          </w:tcPr>
          <w:p w14:paraId="1A9DA440" w14:textId="77777777" w:rsidR="00533C93" w:rsidRDefault="00BD36AF">
            <w:pPr>
              <w:rPr>
                <w:lang w:eastAsia="en-US"/>
              </w:rPr>
            </w:pPr>
            <w:r>
              <w:rPr>
                <w:lang w:eastAsia="en-US"/>
              </w:rPr>
              <w:t>11.6</w:t>
            </w:r>
          </w:p>
        </w:tc>
        <w:tc>
          <w:tcPr>
            <w:tcW w:w="1310" w:type="dxa"/>
          </w:tcPr>
          <w:p w14:paraId="2CB2DF7A" w14:textId="77777777" w:rsidR="00533C93" w:rsidRDefault="00BD36AF">
            <w:pPr>
              <w:rPr>
                <w:lang w:eastAsia="en-US"/>
              </w:rPr>
            </w:pPr>
            <w:r>
              <w:rPr>
                <w:lang w:eastAsia="en-US"/>
              </w:rPr>
              <w:t>5</w:t>
            </w:r>
          </w:p>
        </w:tc>
      </w:tr>
      <w:tr w:rsidR="00533C93" w14:paraId="23C78241" w14:textId="77777777">
        <w:trPr>
          <w:jc w:val="center"/>
        </w:trPr>
        <w:tc>
          <w:tcPr>
            <w:tcW w:w="1195" w:type="dxa"/>
          </w:tcPr>
          <w:p w14:paraId="1A3AE1D2" w14:textId="77777777" w:rsidR="00533C93" w:rsidRDefault="00BD36AF">
            <w:pPr>
              <w:rPr>
                <w:lang w:eastAsia="en-US"/>
              </w:rPr>
            </w:pPr>
            <w:r>
              <w:rPr>
                <w:lang w:eastAsia="en-US"/>
              </w:rPr>
              <w:t>14</w:t>
            </w:r>
          </w:p>
        </w:tc>
        <w:tc>
          <w:tcPr>
            <w:tcW w:w="1340" w:type="dxa"/>
          </w:tcPr>
          <w:p w14:paraId="5FF60742" w14:textId="77777777" w:rsidR="00533C93" w:rsidRDefault="00BD36AF">
            <w:pPr>
              <w:rPr>
                <w:lang w:eastAsia="en-US"/>
              </w:rPr>
            </w:pPr>
            <w:r>
              <w:rPr>
                <w:lang w:eastAsia="en-US"/>
              </w:rPr>
              <w:t>14 µW</w:t>
            </w:r>
          </w:p>
        </w:tc>
        <w:tc>
          <w:tcPr>
            <w:tcW w:w="1359" w:type="dxa"/>
          </w:tcPr>
          <w:p w14:paraId="7C81643C" w14:textId="77777777" w:rsidR="00533C93" w:rsidRDefault="00BD36AF">
            <w:pPr>
              <w:rPr>
                <w:lang w:eastAsia="en-US"/>
              </w:rPr>
            </w:pPr>
            <w:r>
              <w:rPr>
                <w:lang w:eastAsia="en-US"/>
              </w:rPr>
              <w:t>7Å</w:t>
            </w:r>
          </w:p>
        </w:tc>
        <w:tc>
          <w:tcPr>
            <w:tcW w:w="1376" w:type="dxa"/>
            <w:vAlign w:val="center"/>
          </w:tcPr>
          <w:p w14:paraId="0AEF5C45" w14:textId="77777777" w:rsidR="00533C93" w:rsidRDefault="00BD36AF">
            <w:pPr>
              <w:rPr>
                <w:lang w:eastAsia="en-US"/>
              </w:rPr>
            </w:pPr>
            <w:r>
              <w:rPr>
                <w:lang w:eastAsia="en-US"/>
              </w:rPr>
              <w:t>0.52</w:t>
            </w:r>
          </w:p>
        </w:tc>
        <w:tc>
          <w:tcPr>
            <w:tcW w:w="1176" w:type="dxa"/>
            <w:vAlign w:val="center"/>
          </w:tcPr>
          <w:p w14:paraId="1BB369F5" w14:textId="77777777" w:rsidR="00533C93" w:rsidRDefault="00BD36AF">
            <w:pPr>
              <w:rPr>
                <w:lang w:eastAsia="en-US"/>
              </w:rPr>
            </w:pPr>
            <w:r>
              <w:rPr>
                <w:lang w:eastAsia="en-US"/>
              </w:rPr>
              <w:t>1.78</w:t>
            </w:r>
          </w:p>
        </w:tc>
        <w:tc>
          <w:tcPr>
            <w:tcW w:w="1260" w:type="dxa"/>
          </w:tcPr>
          <w:p w14:paraId="4CF499E5" w14:textId="77777777" w:rsidR="00533C93" w:rsidRDefault="00BD36AF">
            <w:pPr>
              <w:rPr>
                <w:lang w:eastAsia="en-US"/>
              </w:rPr>
            </w:pPr>
            <w:r>
              <w:rPr>
                <w:lang w:eastAsia="en-US"/>
              </w:rPr>
              <w:t>12.2</w:t>
            </w:r>
          </w:p>
        </w:tc>
        <w:tc>
          <w:tcPr>
            <w:tcW w:w="1310" w:type="dxa"/>
          </w:tcPr>
          <w:p w14:paraId="5EC0C161" w14:textId="77777777" w:rsidR="00533C93" w:rsidRDefault="00BD36AF">
            <w:pPr>
              <w:rPr>
                <w:lang w:eastAsia="en-US"/>
              </w:rPr>
            </w:pPr>
            <w:r>
              <w:rPr>
                <w:lang w:eastAsia="en-US"/>
              </w:rPr>
              <w:t>5</w:t>
            </w:r>
          </w:p>
        </w:tc>
      </w:tr>
    </w:tbl>
    <w:p w14:paraId="37DCAD30" w14:textId="77777777" w:rsidR="00533C93" w:rsidRDefault="00533C93">
      <w:pPr>
        <w:pStyle w:val="Figure"/>
        <w:rPr>
          <w:u w:val="single"/>
          <w:lang w:val="en-US" w:eastAsia="en-US"/>
        </w:rPr>
      </w:pPr>
    </w:p>
    <w:p w14:paraId="27ECDF68" w14:textId="77777777" w:rsidR="00533C93" w:rsidRDefault="00533C93">
      <w:pPr>
        <w:rPr>
          <w:lang w:val="en-US" w:eastAsia="en-US"/>
        </w:rPr>
      </w:pPr>
    </w:p>
    <w:p w14:paraId="454371DF" w14:textId="77777777" w:rsidR="00533C93" w:rsidRDefault="00533C93">
      <w:pPr>
        <w:rPr>
          <w:lang w:val="en-US" w:eastAsia="en-US"/>
        </w:rPr>
      </w:pPr>
    </w:p>
    <w:p w14:paraId="477450BA" w14:textId="77777777" w:rsidR="00533C93" w:rsidRDefault="00BD36AF">
      <w:r>
        <w:br w:type="page"/>
      </w:r>
    </w:p>
    <w:p w14:paraId="5449CBCE" w14:textId="77777777" w:rsidR="00533C93" w:rsidRDefault="00BD36AF">
      <w:pPr>
        <w:pStyle w:val="Heading1"/>
      </w:pPr>
      <w:r>
        <w:lastRenderedPageBreak/>
        <w:t>S9 Resolutions of lenses fabricated in different monolayer TMDC materials</w:t>
      </w:r>
    </w:p>
    <w:p w14:paraId="2E1C8EAE" w14:textId="77777777" w:rsidR="00533C93" w:rsidRDefault="00BD36AF">
      <w:r>
        <w:t xml:space="preserve">The intensity distributions along the x-direction of lenses in different monolayer TMDC materials are shown in Fig. S10 and the full width at half maximum (FWHM) are plotted in Fig. </w:t>
      </w:r>
      <w:proofErr w:type="gramStart"/>
      <w:r>
        <w:t>S10 (e).</w:t>
      </w:r>
      <w:proofErr w:type="gramEnd"/>
      <w:r>
        <w:t xml:space="preserve"> As one can see in the figure, all the lenses are able to achieve </w:t>
      </w:r>
      <w:proofErr w:type="spellStart"/>
      <w:r>
        <w:t>subwavelength</w:t>
      </w:r>
      <w:proofErr w:type="spellEnd"/>
      <w:r>
        <w:t xml:space="preserve"> resolutions, suggesting the universality of the femtosecond laser fabrication method. </w:t>
      </w:r>
    </w:p>
    <w:p w14:paraId="189A71D2" w14:textId="77777777" w:rsidR="00533C93" w:rsidRDefault="00BD36AF">
      <w:pPr>
        <w:pStyle w:val="Figure"/>
      </w:pPr>
      <w:r>
        <w:rPr>
          <w:noProof/>
          <w:lang w:val="en-US" w:eastAsia="en-US"/>
        </w:rPr>
        <w:drawing>
          <wp:inline distT="0" distB="0" distL="0" distR="0" wp14:anchorId="73F16FB6" wp14:editId="10578B76">
            <wp:extent cx="4319905" cy="5447665"/>
            <wp:effectExtent l="0" t="0" r="4445"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4320000" cy="5447769"/>
                    </a:xfrm>
                    <a:prstGeom prst="rect">
                      <a:avLst/>
                    </a:prstGeom>
                    <a:noFill/>
                    <a:ln>
                      <a:noFill/>
                    </a:ln>
                  </pic:spPr>
                </pic:pic>
              </a:graphicData>
            </a:graphic>
          </wp:inline>
        </w:drawing>
      </w:r>
    </w:p>
    <w:p w14:paraId="780D3923" w14:textId="77777777" w:rsidR="00533C93" w:rsidRDefault="00BD36AF">
      <w:pPr>
        <w:jc w:val="center"/>
      </w:pPr>
      <w:r>
        <w:rPr>
          <w:b/>
          <w:bCs/>
        </w:rPr>
        <w:t>Fig. S11</w:t>
      </w:r>
      <w:r>
        <w:t xml:space="preserve"> Resolutions of lenses fabricated in different TMDC materials. </w:t>
      </w:r>
      <w:proofErr w:type="gramStart"/>
      <w:r>
        <w:t>Intensity distributions along the x-axis direction of lenses made in MoS</w:t>
      </w:r>
      <w:r>
        <w:rPr>
          <w:vertAlign w:val="subscript"/>
        </w:rPr>
        <w:t>2</w:t>
      </w:r>
      <w:r>
        <w:t xml:space="preserve"> (a) WS</w:t>
      </w:r>
      <w:r>
        <w:rPr>
          <w:vertAlign w:val="subscript"/>
        </w:rPr>
        <w:t xml:space="preserve">2 </w:t>
      </w:r>
      <w:r>
        <w:t>(b) PtSe</w:t>
      </w:r>
      <w:r>
        <w:rPr>
          <w:vertAlign w:val="subscript"/>
        </w:rPr>
        <w:t>2</w:t>
      </w:r>
      <w:r>
        <w:t xml:space="preserve"> (c) and PtS</w:t>
      </w:r>
      <w:r>
        <w:rPr>
          <w:vertAlign w:val="subscript"/>
        </w:rPr>
        <w:t>2</w:t>
      </w:r>
      <w:r>
        <w:t xml:space="preserve"> (d).</w:t>
      </w:r>
      <w:proofErr w:type="gramEnd"/>
      <w:r>
        <w:t xml:space="preserve"> (e) Full width at half maximum of focal intensities of different monolayer TMDC materials.</w:t>
      </w:r>
    </w:p>
    <w:p w14:paraId="2E55E83B" w14:textId="77777777" w:rsidR="00533C93" w:rsidRDefault="00BD36AF">
      <w:pPr>
        <w:spacing w:after="160" w:line="259" w:lineRule="auto"/>
        <w:jc w:val="left"/>
        <w:rPr>
          <w:b/>
          <w:bCs/>
          <w:sz w:val="28"/>
          <w:szCs w:val="28"/>
        </w:rPr>
      </w:pPr>
      <w:r>
        <w:br w:type="page"/>
      </w:r>
    </w:p>
    <w:p w14:paraId="30BAE44B" w14:textId="77777777" w:rsidR="00533C93" w:rsidRDefault="00BD36AF">
      <w:pPr>
        <w:pStyle w:val="Heading1"/>
      </w:pPr>
      <w:r>
        <w:lastRenderedPageBreak/>
        <w:t xml:space="preserve">S10 Imaging using large-scale TMDC lens </w:t>
      </w:r>
    </w:p>
    <w:p w14:paraId="0CD4E851" w14:textId="77777777" w:rsidR="00533C93" w:rsidRDefault="00BD36AF">
      <w:r>
        <w:t xml:space="preserve">In the design process, we consider only the first order diffraction as the main focal position, and </w:t>
      </w:r>
      <w:r>
        <w:rPr>
          <w:i/>
          <w:iCs/>
        </w:rPr>
        <w:t>f</w:t>
      </w:r>
      <w:r>
        <w:rPr>
          <w:i/>
          <w:iCs/>
          <w:vertAlign w:val="subscript"/>
        </w:rPr>
        <w:t>1</w:t>
      </w:r>
      <w:r>
        <w:t xml:space="preserve">=300 </w:t>
      </w:r>
      <w:proofErr w:type="spellStart"/>
      <w:r>
        <w:t>μm</w:t>
      </w:r>
      <w:proofErr w:type="spellEnd"/>
      <w:r>
        <w:t xml:space="preserve">. According to our measurement, the </w:t>
      </w:r>
      <w:r>
        <w:rPr>
          <w:i/>
          <w:iCs/>
        </w:rPr>
        <w:t>f</w:t>
      </w:r>
      <w:r>
        <w:rPr>
          <w:i/>
          <w:iCs/>
          <w:vertAlign w:val="subscript"/>
        </w:rPr>
        <w:t>2</w:t>
      </w:r>
      <w:r>
        <w:t xml:space="preserve"> is about 200 </w:t>
      </w:r>
      <w:proofErr w:type="spellStart"/>
      <w:r>
        <w:t>μm</w:t>
      </w:r>
      <w:proofErr w:type="spellEnd"/>
      <w:r>
        <w:t>. The higher diffraction order results in a shorter focal length and image distance, because the diffraction angle of the higher order is larger than the lower order</w:t>
      </w:r>
      <w:r>
        <w:fldChar w:fldCharType="begin"/>
      </w:r>
      <w:r>
        <w:instrText xml:space="preserve"> ADDIN EN.CITE &lt;EndNote&gt;&lt;Cite&gt;&lt;Author&gt;Born&lt;/Author&gt;&lt;Year&gt;2000&lt;/Year&gt;&lt;RecNum&gt;452&lt;/RecNum&gt;&lt;DisplayText&gt;&lt;style face="superscript"&gt;10&lt;/style&gt;&lt;/DisplayText&gt;&lt;record&gt;&lt;rec-number&gt;452&lt;/rec-number&gt;&lt;foreign-keys&gt;&lt;key app="EN" db-id="x2zwzsxtiapx5iev0x0vzd2zrt99paf0zv20" timestamp="1456441097" guid="ab9e1da0-7209-4fd4-83c8-312618de5b14"&gt;452&lt;/key&gt;&lt;/foreign-keys&gt;&lt;ref-type name="Book"&gt;6&lt;/ref-type&gt;&lt;contributors&gt;&lt;authors&gt;&lt;author&gt;Born, Max&lt;/author&gt;&lt;author&gt;Wolf, Emil&lt;/author&gt;&lt;/authors&gt;&lt;/contributors&gt;&lt;titles&gt;&lt;title&gt;Principles of optics: electromagnetic theory of propagation, interference and diffraction of light&lt;/title&gt;&lt;/titles&gt;&lt;dates&gt;&lt;year&gt;2000&lt;/year&gt;&lt;/dates&gt;&lt;publisher&gt;CUP Archive&lt;/publisher&gt;&lt;isbn&gt;0521784492&lt;/isbn&gt;&lt;urls&gt;&lt;/urls&gt;&lt;/record&gt;&lt;/Cite&gt;&lt;/EndNote&gt;</w:instrText>
      </w:r>
      <w:r>
        <w:fldChar w:fldCharType="separate"/>
      </w:r>
      <w:r>
        <w:rPr>
          <w:vertAlign w:val="superscript"/>
        </w:rPr>
        <w:t>10</w:t>
      </w:r>
      <w:r>
        <w:fldChar w:fldCharType="end"/>
      </w:r>
      <w:r>
        <w:rPr>
          <w:rFonts w:hint="eastAsia"/>
        </w:rPr>
        <w:t xml:space="preserve"> </w:t>
      </w:r>
      <w:r>
        <w:t xml:space="preserve">as shown in Fig. </w:t>
      </w:r>
      <w:proofErr w:type="gramStart"/>
      <w:r>
        <w:t>S11, thus resulting in a small magnification rate.</w:t>
      </w:r>
      <w:proofErr w:type="gramEnd"/>
      <w:r>
        <w:t xml:space="preserve"> </w:t>
      </w:r>
      <w:proofErr w:type="gramStart"/>
      <w:r>
        <w:t>In Fig.</w:t>
      </w:r>
      <w:proofErr w:type="gramEnd"/>
      <w:r>
        <w:t xml:space="preserve"> S11 one can see that the </w:t>
      </w:r>
      <m:oMath>
        <m:r>
          <w:rPr>
            <w:rFonts w:ascii="Cambria Math" w:hAnsi="Cambria Math"/>
          </w:rPr>
          <m:t>f</m:t>
        </m:r>
        <m:r>
          <m:rPr>
            <m:sty m:val="p"/>
          </m:rPr>
          <w:rPr>
            <w:rFonts w:ascii="Cambria Math" w:hAnsi="Cambria Math"/>
          </w:rPr>
          <m:t>∝</m:t>
        </m:r>
        <m:r>
          <w:rPr>
            <w:rFonts w:ascii="Cambria Math" w:hAnsi="Cambria Math"/>
          </w:rPr>
          <m:t>cosθ</m:t>
        </m:r>
      </m:oMath>
      <w:r>
        <w:rPr>
          <w:iCs/>
        </w:rPr>
        <w:t xml:space="preserve">. </w:t>
      </w:r>
    </w:p>
    <w:p w14:paraId="5EE12173" w14:textId="77777777" w:rsidR="00533C93" w:rsidRDefault="00BD36AF">
      <w:pPr>
        <w:jc w:val="center"/>
      </w:pPr>
      <w:r>
        <w:rPr>
          <w:noProof/>
          <w:lang w:val="en-US" w:eastAsia="en-US"/>
        </w:rPr>
        <w:drawing>
          <wp:inline distT="0" distB="0" distL="0" distR="0" wp14:anchorId="098DE88A" wp14:editId="241EB23A">
            <wp:extent cx="4770120" cy="19450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4770120" cy="1945005"/>
                    </a:xfrm>
                    <a:prstGeom prst="rect">
                      <a:avLst/>
                    </a:prstGeom>
                    <a:noFill/>
                    <a:ln>
                      <a:noFill/>
                    </a:ln>
                  </pic:spPr>
                </pic:pic>
              </a:graphicData>
            </a:graphic>
          </wp:inline>
        </w:drawing>
      </w:r>
    </w:p>
    <w:p w14:paraId="7DCD1130" w14:textId="77777777" w:rsidR="00533C93" w:rsidRDefault="00BD36AF">
      <w:pPr>
        <w:jc w:val="center"/>
      </w:pPr>
      <w:r>
        <w:rPr>
          <w:b/>
          <w:bCs/>
        </w:rPr>
        <w:t>Fig. S12</w:t>
      </w:r>
      <w:r>
        <w:t xml:space="preserve"> Schematic of the imaging scheme of the monolayer TMDC lens</w:t>
      </w:r>
    </w:p>
    <w:p w14:paraId="3F196B87" w14:textId="77777777" w:rsidR="00533C93" w:rsidRDefault="00BD36AF">
      <w:r>
        <w:t xml:space="preserve">The schematic of the imaging process is shown in Fig. S12, in which the images from the TMDC </w:t>
      </w:r>
      <w:proofErr w:type="gramStart"/>
      <w:r>
        <w:t>lens</w:t>
      </w:r>
      <w:proofErr w:type="gramEnd"/>
      <w:r>
        <w:t xml:space="preserve"> is further magnified by a 4f microscopic imaging system composing of an objective (NA=0.8, 100 ×) and a tube lens (</w:t>
      </w:r>
      <w:r>
        <w:rPr>
          <w:i/>
          <w:iCs/>
        </w:rPr>
        <w:t>f</w:t>
      </w:r>
      <w:r>
        <w:t xml:space="preserve">=200 mm) and collected using a CCD camera. The objective lens is scanned along the axial direction to obtain images at different positions. The object is illuminated by a white light source (Philips Essential 35W GU10 Dichroic Halogen Globe). </w:t>
      </w:r>
    </w:p>
    <w:p w14:paraId="4D3EF515" w14:textId="77777777" w:rsidR="00533C93" w:rsidRDefault="00BD36AF">
      <w:pPr>
        <w:pStyle w:val="Figure"/>
      </w:pPr>
      <w:r>
        <w:rPr>
          <w:noProof/>
          <w:lang w:val="en-US" w:eastAsia="en-US"/>
        </w:rPr>
        <w:drawing>
          <wp:inline distT="0" distB="0" distL="0" distR="0" wp14:anchorId="48A82879" wp14:editId="762575C8">
            <wp:extent cx="4913630" cy="1723390"/>
            <wp:effectExtent l="0" t="0" r="127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4913630" cy="1723390"/>
                    </a:xfrm>
                    <a:prstGeom prst="rect">
                      <a:avLst/>
                    </a:prstGeom>
                    <a:noFill/>
                    <a:ln>
                      <a:noFill/>
                    </a:ln>
                  </pic:spPr>
                </pic:pic>
              </a:graphicData>
            </a:graphic>
          </wp:inline>
        </w:drawing>
      </w:r>
    </w:p>
    <w:p w14:paraId="034CF4B5" w14:textId="77777777" w:rsidR="00533C93" w:rsidRDefault="00BD36AF">
      <w:pPr>
        <w:jc w:val="center"/>
      </w:pPr>
      <w:r>
        <w:rPr>
          <w:b/>
          <w:bCs/>
        </w:rPr>
        <w:t>Fig. S13</w:t>
      </w:r>
      <w:r>
        <w:t xml:space="preserve"> Schematic of the imaging experiment setup</w:t>
      </w:r>
    </w:p>
    <w:p w14:paraId="3A548192" w14:textId="77777777" w:rsidR="00533C93" w:rsidRDefault="00BD36AF">
      <w:r>
        <w:lastRenderedPageBreak/>
        <w:t xml:space="preserve"> Here we used two types of objects to demonstrate the imaging capability, namely the letter “F” and USAF standard target, which are used to test the imaging resolution of the lens. The objects are placed at the designed focal position of the lens, thus </w:t>
      </w:r>
      <w:r>
        <w:rPr>
          <w:i/>
          <w:iCs/>
        </w:rPr>
        <w:t>o</w:t>
      </w:r>
      <w:r>
        <w:t xml:space="preserve">=300 </w:t>
      </w:r>
      <w:proofErr w:type="spellStart"/>
      <w:r>
        <w:t>μm</w:t>
      </w:r>
      <w:proofErr w:type="spellEnd"/>
      <w:r>
        <w:t xml:space="preserve">. Due to the high diffraction efficiency, both the first and the second order images can be clearly seen in the figure.  From Eq. (3) </w:t>
      </w:r>
      <w:r>
        <w:rPr>
          <w:rFonts w:hint="eastAsia"/>
        </w:rPr>
        <w:t>in</w:t>
      </w:r>
      <w:r>
        <w:t xml:space="preserve"> the manuscript, we can calculate the distance of the first order image is at 300 </w:t>
      </w:r>
      <w:proofErr w:type="spellStart"/>
      <w:r>
        <w:t>μm</w:t>
      </w:r>
      <w:proofErr w:type="spellEnd"/>
      <w:r>
        <w:t xml:space="preserve">, which is the same as the object distance. The magnification rate is 1. In the meantime, the distance of the second order image is around 150 </w:t>
      </w:r>
      <w:proofErr w:type="spellStart"/>
      <w:r>
        <w:t>μm</w:t>
      </w:r>
      <w:proofErr w:type="spellEnd"/>
      <w:r>
        <w:t xml:space="preserve">, and the magnification rate is 0.5. The minimal distance between bars in the USAF stand targe board in this experiment is 1.1 </w:t>
      </w:r>
      <w:proofErr w:type="spellStart"/>
      <w:r>
        <w:t>μm</w:t>
      </w:r>
      <w:proofErr w:type="spellEnd"/>
      <w:r>
        <w:t xml:space="preserve"> (Fig. 5f), which can be clearly identified in the first order image confirming the achievement of diffraction limited resolution. Furthermore, in the second order the distance between the bars is </w:t>
      </w:r>
      <w:proofErr w:type="spellStart"/>
      <w:r>
        <w:t>demagnified</w:t>
      </w:r>
      <w:proofErr w:type="spellEnd"/>
      <w:r>
        <w:t xml:space="preserve"> by 0.5 times, which gives a distance around 550 nm. Given the </w:t>
      </w:r>
      <w:r>
        <w:rPr>
          <w:i/>
          <w:iCs/>
        </w:rPr>
        <w:t>NA</w:t>
      </w:r>
      <w:r>
        <w:t xml:space="preserve"> of the 4f imaging microscopic system is 0.8, the 550 nm feature cannot be clearly distinguished by the microscopic system. With a lens with multiple focal length, it is possible to achieve different zoom images with a single lens by putting the collecting images at different positions, which has not been demonstrated by other ultrathin flat lens according to our knowledge. Although currently the first order diffraction is stronger than the second order based on our design, it is possible to design a lens with arbitrary strength from different orders based on optimization method</w:t>
      </w:r>
      <w:r>
        <w:fldChar w:fldCharType="begin"/>
      </w:r>
      <w:r>
        <w:instrText xml:space="preserve"> ADDIN EN.CITE &lt;EndNote&gt;&lt;Cite&gt;&lt;Author&gt;Nie&lt;/Author&gt;&lt;Year&gt;2017&lt;/Year&gt;&lt;RecNum&gt;820&lt;/RecNum&gt;&lt;DisplayText&gt;&lt;style face="superscript"&gt;11&lt;/style&gt;&lt;/DisplayText&gt;&lt;record&gt;&lt;rec-number&gt;820&lt;/rec-number&gt;&lt;foreign-keys&gt;&lt;key app="EN" db-id="x2zwzsxtiapx5iev0x0vzd2zrt99paf0zv20" timestamp="1571121407" guid="cbddb2be-471f-48fb-acfd-7d2e7c9c2bde"&gt;820&lt;/key&gt;&lt;/foreign-keys&gt;&lt;ref-type name="Journal Article"&gt;17&lt;/ref-type&gt;&lt;contributors&gt;&lt;authors&gt;&lt;author&gt;Nie, Zhong-Quan&lt;/author&gt;&lt;author&gt;Lin, Han&lt;/author&gt;&lt;author&gt;Liu, Xiao-Fei&lt;/author&gt;&lt;author&gt;Zhai, Ai-Ping&lt;/author&gt;&lt;author&gt;Tian, Yan-Ting&lt;/author&gt;&lt;author&gt;Wang, Wen-Jie&lt;/author&gt;&lt;author&gt;Li, Dong-Yu&lt;/author&gt;&lt;author&gt;Ding, Wei-Qiang&lt;/author&gt;&lt;author&gt;Zhang, Xue-Ru&lt;/author&gt;&lt;author&gt;Song, Ying-Lin&lt;/author&gt;&lt;/authors&gt;&lt;/contributors&gt;&lt;titles&gt;&lt;title&gt;Three-dimensional super-resolution longitudinal magnetization spot arrays&lt;/title&gt;&lt;secondary-title&gt;Light: Science &amp;amp; Applications&lt;/secondary-title&gt;&lt;/titles&gt;&lt;periodical&gt;&lt;full-title&gt;Light: Science &amp;amp; Applications&lt;/full-title&gt;&lt;/periodical&gt;&lt;pages&gt;e17032&lt;/pages&gt;&lt;volume&gt;6&lt;/volume&gt;&lt;number&gt;8&lt;/number&gt;&lt;dates&gt;&lt;year&gt;2017&lt;/year&gt;&lt;/dates&gt;&lt;isbn&gt;2047-7538&lt;/isbn&gt;&lt;urls&gt;&lt;/urls&gt;&lt;/record&gt;&lt;/Cite&gt;&lt;/EndNote&gt;</w:instrText>
      </w:r>
      <w:r>
        <w:fldChar w:fldCharType="separate"/>
      </w:r>
      <w:r>
        <w:rPr>
          <w:vertAlign w:val="superscript"/>
        </w:rPr>
        <w:t>11</w:t>
      </w:r>
      <w:r>
        <w:fldChar w:fldCharType="end"/>
      </w:r>
      <w:r>
        <w:t xml:space="preserve"> to meet application requirements.</w:t>
      </w:r>
    </w:p>
    <w:p w14:paraId="56FB9242" w14:textId="77777777" w:rsidR="00533C93" w:rsidRDefault="00BD36AF">
      <w:pPr>
        <w:spacing w:after="160" w:line="259" w:lineRule="auto"/>
        <w:jc w:val="left"/>
        <w:rPr>
          <w:b/>
          <w:bCs/>
          <w:sz w:val="28"/>
          <w:szCs w:val="28"/>
        </w:rPr>
      </w:pPr>
      <w:r>
        <w:br w:type="page"/>
      </w:r>
    </w:p>
    <w:p w14:paraId="0C26E51E" w14:textId="77777777" w:rsidR="00533C93" w:rsidRDefault="00BD36AF">
      <w:pPr>
        <w:pStyle w:val="Heading1"/>
      </w:pPr>
      <w:r>
        <w:lastRenderedPageBreak/>
        <w:t xml:space="preserve">S11 Derivation of imaging rule of diffractive lenses based on geometric optics </w:t>
      </w:r>
    </w:p>
    <w:p w14:paraId="4B305C08" w14:textId="77777777" w:rsidR="00533C93" w:rsidRDefault="00BD36AF">
      <w:r>
        <w:t>Geometric optics can be considered as the limitation the Maxwell’s Theory of asymmetry that the wavelength is considered to be infinitely small</w:t>
      </w:r>
      <w:bookmarkStart w:id="21" w:name="_Hlk36334959"/>
      <w:r>
        <w:fldChar w:fldCharType="begin"/>
      </w:r>
      <w:r>
        <w:instrText xml:space="preserve"> ADDIN EN.CITE &lt;EndNote&gt;&lt;Cite&gt;&lt;Author&gt;Gloge&lt;/Author&gt;&lt;Year&gt;1969&lt;/Year&gt;&lt;RecNum&gt;15&lt;/RecNum&gt;&lt;DisplayText&gt;&lt;style face="superscript"&gt;12&lt;/style&gt;&lt;/DisplayText&gt;&lt;record&gt;&lt;rec-number&gt;15&lt;/rec-number&gt;&lt;foreign-keys&gt;&lt;key app="EN" db-id="zzxa5ss0gwrx0nexzaox5e5gpv0x0x9efz5z" timestamp="1571626701"&gt;15&lt;/key&gt;&lt;/foreign-keys&gt;&lt;ref-type name="Journal Article"&gt;17&lt;/ref-type&gt;&lt;contributors&gt;&lt;authors&gt;&lt;author&gt;Gloge, D&lt;/author&gt;&lt;author&gt;Marcuse, D %J JOSA&lt;/author&gt;&lt;/authors&gt;&lt;/contributors&gt;&lt;titles&gt;&lt;title&gt;Formal quantum theory of light rays&lt;/title&gt;&lt;/titles&gt;&lt;pages&gt;1629-1631&lt;/pages&gt;&lt;volume&gt;59&lt;/volume&gt;&lt;number&gt;12&lt;/number&gt;&lt;dates&gt;&lt;year&gt;1969&lt;/year&gt;&lt;/dates&gt;&lt;urls&gt;&lt;/urls&gt;&lt;/record&gt;&lt;/Cite&gt;&lt;/EndNote&gt;</w:instrText>
      </w:r>
      <w:r>
        <w:fldChar w:fldCharType="separate"/>
      </w:r>
      <w:r>
        <w:rPr>
          <w:vertAlign w:val="superscript"/>
        </w:rPr>
        <w:t>12</w:t>
      </w:r>
      <w:r>
        <w:fldChar w:fldCharType="end"/>
      </w:r>
      <w:bookmarkEnd w:id="21"/>
      <w:r>
        <w:t xml:space="preserve">. The key of expressing the geometric optical phenomenon is to determine the optical path. A diffractive flat lens bends the ray trace based on diffraction. The ray-tracing schematic of the refractive and diffractive lenses are shown in Fig. </w:t>
      </w:r>
      <w:r>
        <w:rPr>
          <w:rFonts w:hint="eastAsia"/>
        </w:rPr>
        <w:t>S</w:t>
      </w:r>
      <w:r>
        <w:t>14.</w:t>
      </w:r>
    </w:p>
    <w:p w14:paraId="19477839" w14:textId="77777777" w:rsidR="00533C93" w:rsidRDefault="00BD36AF">
      <w:pPr>
        <w:pStyle w:val="Figure"/>
      </w:pPr>
      <w:r>
        <w:rPr>
          <w:noProof/>
          <w:lang w:val="en-US" w:eastAsia="en-US"/>
        </w:rPr>
        <w:drawing>
          <wp:inline distT="0" distB="0" distL="0" distR="0" wp14:anchorId="162472F8" wp14:editId="0F5B4A92">
            <wp:extent cx="6172835" cy="1969135"/>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26"/>
                    <a:stretch>
                      <a:fillRect/>
                    </a:stretch>
                  </pic:blipFill>
                  <pic:spPr>
                    <a:xfrm>
                      <a:off x="0" y="0"/>
                      <a:ext cx="6172835" cy="1969135"/>
                    </a:xfrm>
                    <a:prstGeom prst="rect">
                      <a:avLst/>
                    </a:prstGeom>
                  </pic:spPr>
                </pic:pic>
              </a:graphicData>
            </a:graphic>
          </wp:inline>
        </w:drawing>
      </w:r>
    </w:p>
    <w:p w14:paraId="65DBE9F6" w14:textId="77777777" w:rsidR="00533C93" w:rsidRDefault="00BD36AF">
      <w:pPr>
        <w:pStyle w:val="Figure"/>
      </w:pPr>
      <w:r>
        <w:rPr>
          <w:b/>
          <w:bCs/>
        </w:rPr>
        <w:t>Fig. S14</w:t>
      </w:r>
      <w:r>
        <w:t xml:space="preserve"> Comparison between (a) refractive lens and (b) diffractive lens.</w:t>
      </w:r>
    </w:p>
    <w:p w14:paraId="40AB789B" w14:textId="77777777" w:rsidR="00533C93" w:rsidRDefault="00BD36AF">
      <w:r>
        <w:t xml:space="preserve">In geometric optics, for paraxial region, the </w:t>
      </w:r>
      <w:proofErr w:type="spellStart"/>
      <w:r>
        <w:t>Eikonal</w:t>
      </w:r>
      <w:proofErr w:type="spellEnd"/>
      <w:r>
        <w:t xml:space="preserve"> equation can be regarded as:</w:t>
      </w:r>
    </w:p>
    <w:p w14:paraId="0D3E9DEA" w14:textId="77777777" w:rsidR="00533C93" w:rsidRDefault="00476CDC">
      <w:pPr>
        <w:pStyle w:val="Equation"/>
      </w:pPr>
      <m:oMathPara>
        <m:oMathParaPr>
          <m:jc m:val="right"/>
        </m:oMathParaPr>
        <m:oMath>
          <m:sSup>
            <m:sSupPr>
              <m:ctrlPr>
                <w:rPr>
                  <w:rFonts w:ascii="Cambria Math" w:hAnsi="Cambria Math"/>
                </w:rPr>
              </m:ctrlPr>
            </m:sSupPr>
            <m:e>
              <m:d>
                <m:dPr>
                  <m:ctrlPr>
                    <w:rPr>
                      <w:rFonts w:ascii="Cambria Math" w:hAnsi="Cambria Math"/>
                    </w:rPr>
                  </m:ctrlPr>
                </m:dPr>
                <m:e>
                  <m:r>
                    <m:rPr>
                      <m:sty m:val="p"/>
                    </m:rPr>
                    <w:rPr>
                      <w:rFonts w:ascii="Cambria Math" w:hAnsi="Cambria Math"/>
                    </w:rPr>
                    <m:t>∇</m:t>
                  </m:r>
                  <m:r>
                    <w:rPr>
                      <w:rFonts w:ascii="Cambria Math" w:hAnsi="Cambria Math"/>
                    </w:rPr>
                    <m:t>L</m:t>
                  </m:r>
                </m:e>
              </m:d>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w:rPr>
                  <w:rFonts w:ascii="Cambria Math" w:hAnsi="Cambria Math"/>
                </w:rPr>
                <m:t>n</m:t>
              </m:r>
            </m:e>
            <m:sup>
              <m:r>
                <m:rPr>
                  <m:sty m:val="p"/>
                </m:rPr>
                <w:rPr>
                  <w:rFonts w:ascii="Cambria Math" w:hAnsi="Cambria Math"/>
                </w:rPr>
                <m:t>2</m:t>
              </m:r>
            </m:sup>
          </m:sSup>
          <m:r>
            <m:rPr>
              <m:sty m:val="p"/>
            </m:rPr>
            <w:rPr>
              <w:rFonts w:ascii="Cambria Math" w:hAnsi="Cambria Math"/>
            </w:rPr>
            <m:t xml:space="preserve">                                                                         (2)</m:t>
          </m:r>
        </m:oMath>
      </m:oMathPara>
    </w:p>
    <w:p w14:paraId="363CD80D" w14:textId="77777777" w:rsidR="00533C93" w:rsidRDefault="00BD36AF">
      <w:r>
        <w:t xml:space="preserve">Where </w:t>
      </w:r>
      <w:r>
        <w:rPr>
          <w:i/>
          <w:iCs/>
        </w:rPr>
        <w:t>L</w:t>
      </w:r>
      <w:r>
        <w:t xml:space="preserve"> is the optical path and </w:t>
      </w:r>
      <w:r>
        <w:rPr>
          <w:i/>
          <w:iCs/>
        </w:rPr>
        <w:t>n</w:t>
      </w:r>
      <w:r>
        <w:t xml:space="preserve"> is the refractive index of the medium. </w:t>
      </w:r>
      <w:r>
        <w:rPr>
          <w:rFonts w:hint="eastAsia"/>
        </w:rPr>
        <w:t xml:space="preserve">The direction of </w:t>
      </w:r>
      <m:oMath>
        <m:r>
          <m:rPr>
            <m:sty m:val="p"/>
          </m:rPr>
          <w:rPr>
            <w:rFonts w:ascii="Cambria Math" w:hAnsi="Cambria Math"/>
          </w:rPr>
          <m:t>∇</m:t>
        </m:r>
        <m:r>
          <w:rPr>
            <w:rFonts w:ascii="Cambria Math" w:hAnsi="Cambria Math"/>
          </w:rPr>
          <m:t>L</m:t>
        </m:r>
      </m:oMath>
      <w:r>
        <w:rPr>
          <w:rFonts w:hint="eastAsia"/>
        </w:rPr>
        <w:t xml:space="preserve"> is optical path direction.</w:t>
      </w:r>
      <w:r>
        <w:t xml:space="preserve"> Take the square root of both side of the formula, we can get:</w:t>
      </w:r>
    </w:p>
    <w:p w14:paraId="57392D7C" w14:textId="77777777" w:rsidR="00533C93" w:rsidRDefault="00BD36AF">
      <m:oMathPara>
        <m:oMathParaPr>
          <m:jc m:val="right"/>
        </m:oMathParaPr>
        <m:oMath>
          <m:r>
            <m:rPr>
              <m:sty m:val="p"/>
            </m:rPr>
            <w:rPr>
              <w:rFonts w:ascii="Cambria Math" w:hAnsi="Cambria Math"/>
            </w:rPr>
            <m:t>∇</m:t>
          </m:r>
          <m:r>
            <w:rPr>
              <w:rFonts w:ascii="Cambria Math" w:hAnsi="Cambria Math"/>
            </w:rPr>
            <m:t>L</m:t>
          </m:r>
          <m:r>
            <m:rPr>
              <m:sty m:val="p"/>
            </m:rPr>
            <w:rPr>
              <w:rFonts w:ascii="Cambria Math" w:hAnsi="Cambria Math"/>
            </w:rPr>
            <m:t>=</m:t>
          </m:r>
          <m:r>
            <w:rPr>
              <w:rFonts w:ascii="Cambria Math" w:hAnsi="Cambria Math"/>
            </w:rPr>
            <m:t>n</m:t>
          </m:r>
          <m:f>
            <m:fPr>
              <m:ctrlPr>
                <w:rPr>
                  <w:rFonts w:ascii="Cambria Math" w:hAnsi="Cambria Math"/>
                </w:rPr>
              </m:ctrlPr>
            </m:fPr>
            <m:num>
              <m:r>
                <m:rPr>
                  <m:sty m:val="p"/>
                </m:rPr>
                <w:rPr>
                  <w:rFonts w:ascii="Cambria Math" w:hAnsi="Cambria Math"/>
                </w:rPr>
                <m:t>d</m:t>
              </m:r>
              <m:r>
                <w:rPr>
                  <w:rFonts w:ascii="Cambria Math" w:hAnsi="Cambria Math"/>
                </w:rPr>
                <m:t>r</m:t>
              </m:r>
            </m:num>
            <m:den>
              <m:r>
                <m:rPr>
                  <m:sty m:val="p"/>
                </m:rPr>
                <w:rPr>
                  <w:rFonts w:ascii="Cambria Math" w:hAnsi="Cambria Math"/>
                  <w:sz w:val="18"/>
                  <w:szCs w:val="18"/>
                </w:rPr>
                <m:t>d</m:t>
              </m:r>
              <m:r>
                <w:rPr>
                  <w:rFonts w:ascii="Cambria Math" w:hAnsi="Cambria Math"/>
                  <w:sz w:val="18"/>
                  <w:szCs w:val="18"/>
                </w:rPr>
                <m:t>s</m:t>
              </m:r>
            </m:den>
          </m:f>
          <m:r>
            <m:rPr>
              <m:sty m:val="p"/>
            </m:rPr>
            <w:rPr>
              <w:rFonts w:ascii="Cambria Math" w:hAnsi="Cambria Math"/>
            </w:rPr>
            <m:t xml:space="preserve">                                                                        (3)</m:t>
          </m:r>
        </m:oMath>
      </m:oMathPara>
    </w:p>
    <w:p w14:paraId="4792C1D1" w14:textId="77777777" w:rsidR="00533C93" w:rsidRDefault="00BD36AF">
      <w:r>
        <w:t xml:space="preserve">Where </w:t>
      </w:r>
      <w:r>
        <w:rPr>
          <w:i/>
          <w:iCs/>
        </w:rPr>
        <w:t>r</w:t>
      </w:r>
      <w:r>
        <w:t xml:space="preserve"> is the position vector of any point on the light, </w:t>
      </w:r>
      <m:oMath>
        <m:r>
          <m:rPr>
            <m:sty m:val="p"/>
          </m:rPr>
          <w:rPr>
            <w:rFonts w:ascii="Cambria Math" w:hAnsi="Cambria Math"/>
            <w:sz w:val="18"/>
            <w:szCs w:val="18"/>
          </w:rPr>
          <m:t>d</m:t>
        </m:r>
        <m:r>
          <w:rPr>
            <w:rFonts w:ascii="Cambria Math" w:hAnsi="Cambria Math"/>
            <w:sz w:val="18"/>
            <w:szCs w:val="18"/>
          </w:rPr>
          <m:t>s</m:t>
        </m:r>
      </m:oMath>
      <w:r>
        <w:t xml:space="preserve"> is the arc element of the extended light, the component equation of </w:t>
      </w:r>
      <m:oMath>
        <m:r>
          <w:rPr>
            <w:rFonts w:ascii="Cambria Math" w:hAnsi="Cambria Math"/>
            <w:szCs w:val="20"/>
          </w:rPr>
          <m:t>x</m:t>
        </m:r>
      </m:oMath>
      <w:r>
        <w:t xml:space="preserve"> is:</w:t>
      </w:r>
    </w:p>
    <w:p w14:paraId="64224B9C" w14:textId="77777777" w:rsidR="00533C93" w:rsidRDefault="00476CDC">
      <w:pPr>
        <w:pStyle w:val="Equation"/>
      </w:pPr>
      <m:oMathPara>
        <m:oMathParaPr>
          <m:jc m:val="right"/>
        </m:oMathParaPr>
        <m:oMath>
          <m:f>
            <m:fPr>
              <m:ctrlPr>
                <w:rPr>
                  <w:rFonts w:ascii="Cambria Math" w:hAnsi="Cambria Math"/>
                </w:rPr>
              </m:ctrlPr>
            </m:fPr>
            <m:num>
              <m:r>
                <w:rPr>
                  <w:rFonts w:ascii="Cambria Math" w:hAnsi="Cambria Math"/>
                </w:rPr>
                <m:t>∂L</m:t>
              </m:r>
            </m:num>
            <m:den>
              <m:r>
                <w:rPr>
                  <w:rFonts w:ascii="Cambria Math" w:hAnsi="Cambria Math"/>
                </w:rPr>
                <m:t>∂x</m:t>
              </m:r>
            </m:den>
          </m:f>
          <m:r>
            <m:rPr>
              <m:sty m:val="p"/>
            </m:rPr>
            <w:rPr>
              <w:rFonts w:ascii="Cambria Math" w:hAnsi="Cambria Math"/>
            </w:rPr>
            <m:t>=</m:t>
          </m:r>
          <m:r>
            <w:rPr>
              <w:rFonts w:ascii="Cambria Math" w:hAnsi="Cambria Math"/>
            </w:rPr>
            <m:t>n</m:t>
          </m:r>
          <m:f>
            <m:fPr>
              <m:ctrlPr>
                <w:rPr>
                  <w:rFonts w:ascii="Cambria Math" w:hAnsi="Cambria Math"/>
                </w:rPr>
              </m:ctrlPr>
            </m:fPr>
            <m:num>
              <m:r>
                <m:rPr>
                  <m:sty m:val="p"/>
                </m:rPr>
                <w:rPr>
                  <w:rFonts w:ascii="Cambria Math" w:hAnsi="Cambria Math"/>
                </w:rPr>
                <m:t>d</m:t>
              </m:r>
              <m:r>
                <w:rPr>
                  <w:rFonts w:ascii="Cambria Math" w:hAnsi="Cambria Math"/>
                </w:rPr>
                <m:t>x</m:t>
              </m:r>
            </m:num>
            <m:den>
              <m:r>
                <m:rPr>
                  <m:sty m:val="p"/>
                </m:rPr>
                <w:rPr>
                  <w:rFonts w:ascii="Cambria Math" w:hAnsi="Cambria Math"/>
                </w:rPr>
                <m:t>d</m:t>
              </m:r>
              <m:r>
                <w:rPr>
                  <w:rFonts w:ascii="Cambria Math" w:hAnsi="Cambria Math"/>
                </w:rPr>
                <m:t>s</m:t>
              </m:r>
            </m:den>
          </m:f>
          <m:r>
            <m:rPr>
              <m:sty m:val="p"/>
            </m:rPr>
            <w:rPr>
              <w:rFonts w:ascii="Cambria Math" w:hAnsi="Cambria Math"/>
            </w:rPr>
            <m:t xml:space="preserve">                                                                      (</m:t>
          </m:r>
          <m:r>
            <m:rPr>
              <m:sty m:val="p"/>
            </m:rPr>
            <w:rPr>
              <w:rStyle w:val="EquationChar"/>
              <w:rFonts w:ascii="Cambria Math" w:hAnsi="Cambria Math"/>
            </w:rPr>
            <m:t>4</m:t>
          </m:r>
          <m:r>
            <m:rPr>
              <m:sty m:val="p"/>
            </m:rPr>
            <w:rPr>
              <w:rFonts w:ascii="Cambria Math" w:hAnsi="Cambria Math"/>
            </w:rPr>
            <m:t>)</m:t>
          </m:r>
        </m:oMath>
      </m:oMathPara>
    </w:p>
    <w:p w14:paraId="12BB93F7" w14:textId="77777777" w:rsidR="00533C93" w:rsidRDefault="00BD36AF">
      <w:proofErr w:type="gramStart"/>
      <w:r>
        <w:t>As shown in Fig.</w:t>
      </w:r>
      <w:proofErr w:type="gramEnd"/>
      <w:r>
        <w:t xml:space="preserve"> S13,</w:t>
      </w:r>
      <m:oMath>
        <m:r>
          <m:rPr>
            <m:sty m:val="p"/>
          </m:rPr>
          <w:rPr>
            <w:rFonts w:ascii="Cambria Math" w:hAnsi="Cambria Math"/>
          </w:rPr>
          <m:t xml:space="preserve"> </m:t>
        </m:r>
        <m:sSub>
          <m:sSubPr>
            <m:ctrlPr>
              <w:rPr>
                <w:rFonts w:ascii="Cambria Math" w:hAnsi="Cambria Math"/>
              </w:rPr>
            </m:ctrlPr>
          </m:sSubPr>
          <m:e>
            <m:r>
              <w:rPr>
                <w:rFonts w:ascii="Cambria Math" w:hAnsi="Cambria Math"/>
              </w:rPr>
              <m:t>l</m:t>
            </m:r>
          </m:e>
          <m:sub>
            <m:r>
              <m:rPr>
                <m:sty m:val="p"/>
              </m:rPr>
              <w:rPr>
                <w:rFonts w:ascii="Cambria Math" w:hAnsi="Cambria Math"/>
              </w:rPr>
              <m:t>1</m:t>
            </m:r>
          </m:sub>
        </m:sSub>
        <m:r>
          <m:rPr>
            <m:sty m:val="p"/>
          </m:rPr>
          <w:rPr>
            <w:rFonts w:ascii="Cambria Math" w:hAnsi="Cambria Math"/>
          </w:rPr>
          <m:t>=</m:t>
        </m:r>
        <m:acc>
          <m:accPr>
            <m:chr m:val="̅"/>
            <m:ctrlPr>
              <w:rPr>
                <w:rFonts w:ascii="Cambria Math" w:hAnsi="Cambria Math"/>
              </w:rPr>
            </m:ctrlPr>
          </m:accPr>
          <m:e>
            <m:r>
              <w:rPr>
                <w:rFonts w:ascii="Cambria Math" w:hAnsi="Cambria Math"/>
              </w:rPr>
              <m:t>AM</m:t>
            </m:r>
          </m:e>
        </m:acc>
        <m:r>
          <m:rPr>
            <m:sty m:val="p"/>
          </m:rPr>
          <w:rPr>
            <w:rFonts w:ascii="Cambria Math" w:hAnsi="Cambria Math"/>
          </w:rPr>
          <m:t>=</m:t>
        </m:r>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r>
                      <w:rPr>
                        <w:rFonts w:ascii="Cambria Math" w:hAnsi="Cambria Math"/>
                      </w:rPr>
                      <m:t>x</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z</m:t>
                            </m:r>
                            <m:r>
                              <m:rPr>
                                <m:sty m:val="p"/>
                              </m:rPr>
                              <w:rPr>
                                <w:rFonts w:ascii="Cambria Math" w:hAnsi="Cambria Math"/>
                              </w:rPr>
                              <m:t>-</m:t>
                            </m:r>
                            <m:r>
                              <w:rPr>
                                <w:rFonts w:ascii="Cambria Math" w:hAnsi="Cambria Math"/>
                              </w:rPr>
                              <m:t>z</m:t>
                            </m:r>
                          </m:e>
                          <m:sub>
                            <m:r>
                              <m:rPr>
                                <m:sty m:val="p"/>
                              </m:rPr>
                              <w:rPr>
                                <w:rFonts w:ascii="Cambria Math" w:hAnsi="Cambria Math"/>
                              </w:rPr>
                              <m:t>1</m:t>
                            </m:r>
                          </m:sub>
                        </m:sSub>
                      </m:e>
                    </m:d>
                  </m:e>
                  <m:sup>
                    <m:r>
                      <m:rPr>
                        <m:sty m:val="p"/>
                      </m:rPr>
                      <w:rPr>
                        <w:rFonts w:ascii="Cambria Math" w:hAnsi="Cambria Math"/>
                      </w:rPr>
                      <m:t>2</m:t>
                    </m:r>
                  </m:sup>
                </m:sSup>
              </m:e>
            </m:d>
          </m:e>
          <m:sup>
            <m:r>
              <m:rPr>
                <m:sty m:val="p"/>
              </m:rPr>
              <w:rPr>
                <w:rFonts w:ascii="Cambria Math" w:hAnsi="Cambria Math"/>
              </w:rPr>
              <m:t>1/2</m:t>
            </m:r>
          </m:sup>
        </m:sSup>
        <m:r>
          <m:rPr>
            <m:sty m:val="p"/>
          </m:rPr>
          <w:rPr>
            <w:rFonts w:ascii="Cambria Math" w:hAnsi="Cambria Math"/>
          </w:rPr>
          <m:t>,</m:t>
        </m:r>
        <m:sSub>
          <m:sSubPr>
            <m:ctrlPr>
              <w:rPr>
                <w:rFonts w:ascii="Cambria Math" w:hAnsi="Cambria Math"/>
              </w:rPr>
            </m:ctrlPr>
          </m:sSubPr>
          <m:e>
            <m:r>
              <m:rPr>
                <m:sty m:val="p"/>
              </m:rPr>
              <w:rPr>
                <w:rFonts w:ascii="Cambria Math" w:hAnsi="Cambria Math"/>
              </w:rPr>
              <m:t xml:space="preserve"> </m:t>
            </m:r>
            <m:r>
              <w:rPr>
                <w:rFonts w:ascii="Cambria Math" w:hAnsi="Cambria Math"/>
              </w:rPr>
              <m:t>l</m:t>
            </m:r>
          </m:e>
          <m:sub>
            <m:r>
              <m:rPr>
                <m:sty m:val="p"/>
              </m:rPr>
              <w:rPr>
                <w:rFonts w:ascii="Cambria Math" w:hAnsi="Cambria Math"/>
              </w:rPr>
              <m:t>2</m:t>
            </m:r>
          </m:sub>
        </m:sSub>
        <m:r>
          <m:rPr>
            <m:sty m:val="p"/>
          </m:rPr>
          <w:rPr>
            <w:rFonts w:ascii="Cambria Math" w:hAnsi="Cambria Math"/>
          </w:rPr>
          <m:t>=</m:t>
        </m:r>
        <m:acc>
          <m:accPr>
            <m:chr m:val="̅"/>
            <m:ctrlPr>
              <w:rPr>
                <w:rFonts w:ascii="Cambria Math" w:hAnsi="Cambria Math"/>
              </w:rPr>
            </m:ctrlPr>
          </m:accPr>
          <m:e>
            <m:r>
              <w:rPr>
                <w:rFonts w:ascii="Cambria Math" w:hAnsi="Cambria Math"/>
              </w:rPr>
              <m:t>MB</m:t>
            </m:r>
          </m:e>
        </m:acc>
        <m:r>
          <m:rPr>
            <m:sty m:val="p"/>
          </m:rPr>
          <w:rPr>
            <w:rFonts w:ascii="Cambria Math" w:hAnsi="Cambria Math"/>
          </w:rPr>
          <m:t>=</m:t>
        </m:r>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r>
                      <w:rPr>
                        <w:rFonts w:ascii="Cambria Math" w:hAnsi="Cambria Math"/>
                      </w:rPr>
                      <m:t>x</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z</m:t>
                            </m:r>
                          </m:e>
                          <m:sub>
                            <m:r>
                              <m:rPr>
                                <m:sty m:val="p"/>
                              </m:rPr>
                              <w:rPr>
                                <w:rFonts w:ascii="Cambria Math" w:hAnsi="Cambria Math"/>
                              </w:rPr>
                              <m:t>2</m:t>
                            </m:r>
                          </m:sub>
                        </m:sSub>
                        <m:r>
                          <m:rPr>
                            <m:sty m:val="p"/>
                          </m:rPr>
                          <w:rPr>
                            <w:rFonts w:ascii="Cambria Math" w:hAnsi="Cambria Math"/>
                          </w:rPr>
                          <m:t>-</m:t>
                        </m:r>
                        <m:r>
                          <w:rPr>
                            <w:rFonts w:ascii="Cambria Math" w:hAnsi="Cambria Math"/>
                          </w:rPr>
                          <m:t>z</m:t>
                        </m:r>
                      </m:e>
                    </m:d>
                  </m:e>
                  <m:sup>
                    <m:r>
                      <m:rPr>
                        <m:sty m:val="p"/>
                      </m:rPr>
                      <w:rPr>
                        <w:rFonts w:ascii="Cambria Math" w:hAnsi="Cambria Math"/>
                      </w:rPr>
                      <m:t>2</m:t>
                    </m:r>
                  </m:sup>
                </m:sSup>
              </m:e>
            </m:d>
          </m:e>
          <m:sup>
            <m:r>
              <m:rPr>
                <m:sty m:val="p"/>
              </m:rPr>
              <w:rPr>
                <w:rFonts w:ascii="Cambria Math" w:hAnsi="Cambria Math"/>
              </w:rPr>
              <m:t>1/2</m:t>
            </m:r>
          </m:sup>
        </m:sSup>
      </m:oMath>
      <w:r>
        <w:t xml:space="preserve">. </w:t>
      </w:r>
    </w:p>
    <w:p w14:paraId="41281A9C" w14:textId="77777777" w:rsidR="00533C93" w:rsidRDefault="00BD36AF">
      <w:r>
        <w:t>We can obtain the optical path L:</w:t>
      </w:r>
    </w:p>
    <w:p w14:paraId="3A91AF22" w14:textId="77777777" w:rsidR="00533C93" w:rsidRDefault="00BD36AF">
      <w:pPr>
        <w:pStyle w:val="Equation"/>
      </w:pPr>
      <m:oMathPara>
        <m:oMathParaPr>
          <m:jc m:val="right"/>
        </m:oMathParaPr>
        <m:oMath>
          <m:r>
            <w:rPr>
              <w:rFonts w:ascii="Cambria Math" w:hAnsi="Cambria Math"/>
            </w:rPr>
            <w:lastRenderedPageBreak/>
            <m:t>L</m:t>
          </m:r>
          <m:r>
            <m:rPr>
              <m:sty m:val="p"/>
            </m:rPr>
            <w:rPr>
              <w:rFonts w:ascii="Cambria Math" w:hAnsi="Cambria Math"/>
            </w:rPr>
            <m:t>=</m:t>
          </m:r>
          <m:sSub>
            <m:sSubPr>
              <m:ctrlPr>
                <w:rPr>
                  <w:rFonts w:ascii="Cambria Math" w:hAnsi="Cambria Math"/>
                </w:rPr>
              </m:ctrlPr>
            </m:sSubPr>
            <m:e>
              <m:r>
                <w:rPr>
                  <w:rFonts w:ascii="Cambria Math" w:hAnsi="Cambria Math"/>
                </w:rPr>
                <m:t>n</m:t>
              </m:r>
            </m:e>
            <m:sub>
              <m:r>
                <m:rPr>
                  <m:sty m:val="p"/>
                </m:rPr>
                <w:rPr>
                  <w:rFonts w:ascii="Cambria Math" w:hAnsi="Cambria Math"/>
                </w:rPr>
                <m:t>1</m:t>
              </m:r>
            </m:sub>
          </m:sSub>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r>
                        <w:rPr>
                          <w:rFonts w:ascii="Cambria Math" w:hAnsi="Cambria Math"/>
                        </w:rPr>
                        <m:t>x</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z</m:t>
                              </m:r>
                              <m:r>
                                <m:rPr>
                                  <m:sty m:val="p"/>
                                </m:rPr>
                                <w:rPr>
                                  <w:rFonts w:ascii="Cambria Math" w:hAnsi="Cambria Math"/>
                                </w:rPr>
                                <m:t>-</m:t>
                              </m:r>
                              <m:r>
                                <w:rPr>
                                  <w:rFonts w:ascii="Cambria Math" w:hAnsi="Cambria Math"/>
                                </w:rPr>
                                <m:t>z</m:t>
                              </m:r>
                            </m:e>
                            <m:sub>
                              <m:r>
                                <m:rPr>
                                  <m:sty m:val="p"/>
                                </m:rPr>
                                <w:rPr>
                                  <w:rFonts w:ascii="Cambria Math" w:hAnsi="Cambria Math"/>
                                </w:rPr>
                                <m:t>1</m:t>
                              </m:r>
                            </m:sub>
                          </m:sSub>
                        </m:e>
                      </m:d>
                    </m:e>
                    <m:sup>
                      <m:r>
                        <m:rPr>
                          <m:sty m:val="p"/>
                        </m:rPr>
                        <w:rPr>
                          <w:rFonts w:ascii="Cambria Math" w:hAnsi="Cambria Math"/>
                        </w:rPr>
                        <m:t>2</m:t>
                      </m:r>
                    </m:sup>
                  </m:sSup>
                </m:e>
              </m:d>
            </m:e>
            <m:sup>
              <m:r>
                <m:rPr>
                  <m:sty m:val="p"/>
                </m:rPr>
                <w:rPr>
                  <w:rFonts w:ascii="Cambria Math" w:hAnsi="Cambria Math"/>
                </w:rPr>
                <m:t>1/2</m:t>
              </m:r>
            </m:sup>
          </m:sSup>
          <m:r>
            <m:rPr>
              <m:sty m:val="p"/>
            </m:rPr>
            <w:rPr>
              <w:rFonts w:ascii="Cambria Math" w:hAnsi="Cambria Math"/>
            </w:rPr>
            <m:t>+</m:t>
          </m:r>
          <m:sSub>
            <m:sSubPr>
              <m:ctrlPr>
                <w:rPr>
                  <w:rFonts w:ascii="Cambria Math" w:hAnsi="Cambria Math"/>
                </w:rPr>
              </m:ctrlPr>
            </m:sSubPr>
            <m:e>
              <m:r>
                <w:rPr>
                  <w:rFonts w:ascii="Cambria Math" w:hAnsi="Cambria Math"/>
                </w:rPr>
                <m:t>n</m:t>
              </m:r>
            </m:e>
            <m:sub>
              <m:r>
                <m:rPr>
                  <m:sty m:val="p"/>
                </m:rPr>
                <w:rPr>
                  <w:rFonts w:ascii="Cambria Math" w:hAnsi="Cambria Math"/>
                </w:rPr>
                <m:t>2</m:t>
              </m:r>
            </m:sub>
          </m:sSub>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r>
                        <w:rPr>
                          <w:rFonts w:ascii="Cambria Math" w:hAnsi="Cambria Math"/>
                        </w:rPr>
                        <m:t>x</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z</m:t>
                              </m:r>
                            </m:e>
                            <m:sub>
                              <m:r>
                                <m:rPr>
                                  <m:sty m:val="p"/>
                                </m:rPr>
                                <w:rPr>
                                  <w:rFonts w:ascii="Cambria Math" w:hAnsi="Cambria Math"/>
                                </w:rPr>
                                <m:t>2</m:t>
                              </m:r>
                            </m:sub>
                          </m:sSub>
                          <m:r>
                            <m:rPr>
                              <m:sty m:val="p"/>
                            </m:rPr>
                            <w:rPr>
                              <w:rFonts w:ascii="Cambria Math" w:hAnsi="Cambria Math"/>
                            </w:rPr>
                            <m:t>-</m:t>
                          </m:r>
                          <m:r>
                            <w:rPr>
                              <w:rFonts w:ascii="Cambria Math" w:hAnsi="Cambria Math"/>
                            </w:rPr>
                            <m:t>z</m:t>
                          </m:r>
                        </m:e>
                      </m:d>
                    </m:e>
                    <m:sup>
                      <m:r>
                        <m:rPr>
                          <m:sty m:val="p"/>
                        </m:rPr>
                        <w:rPr>
                          <w:rFonts w:ascii="Cambria Math" w:hAnsi="Cambria Math"/>
                        </w:rPr>
                        <m:t>2</m:t>
                      </m:r>
                    </m:sup>
                  </m:sSup>
                </m:e>
              </m:d>
            </m:e>
            <m:sup>
              <m:r>
                <m:rPr>
                  <m:sty m:val="p"/>
                </m:rPr>
                <w:rPr>
                  <w:rFonts w:ascii="Cambria Math" w:hAnsi="Cambria Math"/>
                </w:rPr>
                <m:t>1/2</m:t>
              </m:r>
            </m:sup>
          </m:sSup>
          <m:r>
            <m:rPr>
              <m:sty m:val="p"/>
            </m:rPr>
            <w:rPr>
              <w:rFonts w:ascii="Cambria Math" w:hAnsi="Cambria Math"/>
            </w:rPr>
            <m:t xml:space="preserve">                             (5)</m:t>
          </m:r>
        </m:oMath>
      </m:oMathPara>
    </w:p>
    <w:p w14:paraId="01F88ABD" w14:textId="77777777" w:rsidR="00533C93" w:rsidRDefault="00BD36AF">
      <w:r>
        <w:t xml:space="preserve">In the case of a paraxial approximation, </w:t>
      </w:r>
      <m:oMath>
        <m:r>
          <w:rPr>
            <w:rFonts w:ascii="Cambria Math" w:hAnsi="Cambria Math"/>
          </w:rPr>
          <m:t>z</m:t>
        </m:r>
        <m:r>
          <m:rPr>
            <m:sty m:val="p"/>
          </m:rPr>
          <w:rPr>
            <w:rFonts w:ascii="Cambria Math" w:hAnsi="Cambria Math"/>
          </w:rPr>
          <m:t>=</m:t>
        </m:r>
        <m:sSup>
          <m:sSupPr>
            <m:ctrlPr>
              <w:rPr>
                <w:rFonts w:ascii="Cambria Math" w:hAnsi="Cambria Math"/>
              </w:rPr>
            </m:ctrlPr>
          </m:sSupPr>
          <m:e>
            <m:r>
              <w:rPr>
                <w:rFonts w:ascii="Cambria Math" w:hAnsi="Cambria Math"/>
              </w:rPr>
              <m:t>x</m:t>
            </m:r>
          </m:e>
          <m:sup>
            <m:r>
              <m:rPr>
                <m:sty m:val="p"/>
              </m:rPr>
              <w:rPr>
                <w:rFonts w:ascii="Cambria Math" w:hAnsi="Cambria Math"/>
              </w:rPr>
              <m:t>2</m:t>
            </m:r>
          </m:sup>
        </m:sSup>
        <m:r>
          <m:rPr>
            <m:sty m:val="p"/>
          </m:rPr>
          <w:rPr>
            <w:rFonts w:ascii="Cambria Math" w:hAnsi="Cambria Math"/>
          </w:rPr>
          <m:t>/2R</m:t>
        </m:r>
      </m:oMath>
      <w:r>
        <w:t>,</w:t>
      </w:r>
      <m:oMath>
        <m:r>
          <m:rPr>
            <m:sty m:val="p"/>
          </m:rPr>
          <w:rPr>
            <w:rFonts w:ascii="Cambria Math" w:hAnsi="Cambria Math"/>
          </w:rPr>
          <m:t xml:space="preserve"> d</m:t>
        </m:r>
        <m:r>
          <w:rPr>
            <w:rFonts w:ascii="Cambria Math" w:hAnsi="Cambria Math"/>
          </w:rPr>
          <m:t>x</m:t>
        </m:r>
        <m:r>
          <m:rPr>
            <m:sty m:val="p"/>
          </m:rPr>
          <w:rPr>
            <w:rFonts w:ascii="Cambria Math" w:hAnsi="Cambria Math"/>
          </w:rPr>
          <m:t>/d</m:t>
        </m:r>
        <m:r>
          <w:rPr>
            <w:rFonts w:ascii="Cambria Math" w:hAnsi="Cambria Math"/>
          </w:rPr>
          <m:t>s</m:t>
        </m:r>
        <m:r>
          <m:rPr>
            <m:sty m:val="p"/>
          </m:rPr>
          <w:rPr>
            <w:rFonts w:ascii="Cambria Math" w:hAnsi="Cambria Math"/>
          </w:rPr>
          <m:t>=</m:t>
        </m:r>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1-</m:t>
                </m:r>
                <m:sSup>
                  <m:sSupPr>
                    <m:ctrlPr>
                      <w:rPr>
                        <w:rFonts w:ascii="Cambria Math" w:hAnsi="Cambria Math"/>
                      </w:rPr>
                    </m:ctrlPr>
                  </m:sSupPr>
                  <m:e>
                    <m:d>
                      <m:dPr>
                        <m:ctrlPr>
                          <w:rPr>
                            <w:rFonts w:ascii="Cambria Math" w:hAnsi="Cambria Math"/>
                          </w:rPr>
                        </m:ctrlPr>
                      </m:dPr>
                      <m:e>
                        <m:r>
                          <m:rPr>
                            <m:sty m:val="p"/>
                          </m:rPr>
                          <w:rPr>
                            <w:rFonts w:ascii="Cambria Math" w:hAnsi="Cambria Math"/>
                          </w:rPr>
                          <m:t>d</m:t>
                        </m:r>
                        <m:r>
                          <w:rPr>
                            <w:rFonts w:ascii="Cambria Math" w:hAnsi="Cambria Math"/>
                          </w:rPr>
                          <m:t>z</m:t>
                        </m:r>
                        <m:r>
                          <m:rPr>
                            <m:sty m:val="p"/>
                          </m:rPr>
                          <w:rPr>
                            <w:rFonts w:ascii="Cambria Math" w:hAnsi="Cambria Math"/>
                          </w:rPr>
                          <m:t>/d</m:t>
                        </m:r>
                        <m:r>
                          <w:rPr>
                            <w:rFonts w:ascii="Cambria Math" w:hAnsi="Cambria Math"/>
                          </w:rPr>
                          <m:t>s</m:t>
                        </m:r>
                      </m:e>
                    </m:d>
                  </m:e>
                  <m:sup>
                    <m:r>
                      <m:rPr>
                        <m:sty m:val="p"/>
                      </m:rPr>
                      <w:rPr>
                        <w:rFonts w:ascii="Cambria Math" w:hAnsi="Cambria Math"/>
                      </w:rPr>
                      <m:t>2</m:t>
                    </m:r>
                  </m:sup>
                </m:sSup>
              </m:e>
            </m:d>
          </m:e>
          <m:sup>
            <m:r>
              <m:rPr>
                <m:sty m:val="p"/>
              </m:rPr>
              <w:rPr>
                <w:rFonts w:ascii="Cambria Math" w:hAnsi="Cambria Math"/>
              </w:rPr>
              <m:t>1/2</m:t>
            </m:r>
          </m:sup>
        </m:sSup>
        <m:r>
          <m:rPr>
            <m:sty m:val="p"/>
          </m:rPr>
          <w:rPr>
            <w:rFonts w:ascii="Cambria Math" w:hAnsi="Cambria Math"/>
          </w:rPr>
          <m:t>≈0</m:t>
        </m:r>
      </m:oMath>
      <w:r>
        <w:rPr>
          <w:rFonts w:hint="eastAsia"/>
        </w:rPr>
        <w:t xml:space="preserve">. </w:t>
      </w:r>
      <w:r>
        <w:t>The formula is taken into:</w:t>
      </w:r>
    </w:p>
    <w:p w14:paraId="36EF30E7" w14:textId="77777777" w:rsidR="00533C93" w:rsidRDefault="00476CDC">
      <w:pPr>
        <w:pStyle w:val="Equation"/>
      </w:pPr>
      <m:oMathPara>
        <m:oMathParaPr>
          <m:jc m:val="right"/>
        </m:oMathParaPr>
        <m:oMath>
          <m:sSub>
            <m:sSubPr>
              <m:ctrlPr>
                <w:rPr>
                  <w:rFonts w:ascii="Cambria Math" w:hAnsi="Cambria Math"/>
                </w:rPr>
              </m:ctrlPr>
            </m:sSubPr>
            <m:e>
              <m:r>
                <w:rPr>
                  <w:rFonts w:ascii="Cambria Math" w:hAnsi="Cambria Math"/>
                </w:rPr>
                <m:t>n</m:t>
              </m:r>
            </m:e>
            <m:sub>
              <m:r>
                <m:rPr>
                  <m:sty m:val="p"/>
                </m:rPr>
                <w:rPr>
                  <w:rFonts w:ascii="Cambria Math" w:hAnsi="Cambria Math"/>
                </w:rPr>
                <m:t>1</m:t>
              </m:r>
            </m:sub>
          </m:sSub>
          <m:f>
            <m:fPr>
              <m:ctrlPr>
                <w:rPr>
                  <w:rFonts w:ascii="Cambria Math" w:hAnsi="Cambria Math"/>
                </w:rPr>
              </m:ctrlPr>
            </m:fPr>
            <m:num>
              <m:r>
                <w:rPr>
                  <w:rFonts w:ascii="Cambria Math" w:hAnsi="Cambria Math"/>
                </w:rPr>
                <m:t>x</m:t>
              </m:r>
            </m:num>
            <m:den>
              <m:sSub>
                <m:sSubPr>
                  <m:ctrlPr>
                    <w:rPr>
                      <w:rFonts w:ascii="Cambria Math" w:hAnsi="Cambria Math"/>
                    </w:rPr>
                  </m:ctrlPr>
                </m:sSubPr>
                <m:e>
                  <m:r>
                    <w:rPr>
                      <w:rFonts w:ascii="Cambria Math" w:hAnsi="Cambria Math"/>
                    </w:rPr>
                    <m:t>l</m:t>
                  </m:r>
                </m:e>
                <m:sub>
                  <m:r>
                    <m:rPr>
                      <m:sty m:val="p"/>
                    </m:rPr>
                    <w:rPr>
                      <w:rFonts w:ascii="Cambria Math" w:hAnsi="Cambria Math"/>
                    </w:rPr>
                    <m:t>1</m:t>
                  </m:r>
                </m:sub>
              </m:sSub>
            </m:den>
          </m:f>
          <m:r>
            <m:rPr>
              <m:sty m:val="p"/>
            </m:rPr>
            <w:rPr>
              <w:rFonts w:ascii="Cambria Math" w:hAnsi="Cambria Math"/>
            </w:rPr>
            <m:t>+</m:t>
          </m:r>
          <m:sSub>
            <m:sSubPr>
              <m:ctrlPr>
                <w:rPr>
                  <w:rFonts w:ascii="Cambria Math" w:hAnsi="Cambria Math"/>
                </w:rPr>
              </m:ctrlPr>
            </m:sSubPr>
            <m:e>
              <m:r>
                <w:rPr>
                  <w:rFonts w:ascii="Cambria Math" w:hAnsi="Cambria Math"/>
                </w:rPr>
                <m:t>n</m:t>
              </m:r>
            </m:e>
            <m:sub>
              <m:r>
                <m:rPr>
                  <m:sty m:val="p"/>
                </m:rPr>
                <w:rPr>
                  <w:rFonts w:ascii="Cambria Math" w:hAnsi="Cambria Math"/>
                </w:rPr>
                <m:t>1</m:t>
              </m:r>
            </m:sub>
          </m:sSub>
          <m:f>
            <m:fPr>
              <m:ctrlPr>
                <w:rPr>
                  <w:rFonts w:ascii="Cambria Math" w:hAnsi="Cambria Math"/>
                </w:rPr>
              </m:ctrlPr>
            </m:fPr>
            <m:num>
              <m:r>
                <w:rPr>
                  <w:rFonts w:ascii="Cambria Math" w:hAnsi="Cambria Math"/>
                </w:rPr>
                <m:t>z</m:t>
              </m:r>
            </m:num>
            <m:den>
              <m:sSub>
                <m:sSubPr>
                  <m:ctrlPr>
                    <w:rPr>
                      <w:rFonts w:ascii="Cambria Math" w:hAnsi="Cambria Math"/>
                    </w:rPr>
                  </m:ctrlPr>
                </m:sSubPr>
                <m:e>
                  <m:r>
                    <w:rPr>
                      <w:rFonts w:ascii="Cambria Math" w:hAnsi="Cambria Math"/>
                    </w:rPr>
                    <m:t>l</m:t>
                  </m:r>
                </m:e>
                <m:sub>
                  <m:r>
                    <m:rPr>
                      <m:sty m:val="p"/>
                    </m:rPr>
                    <w:rPr>
                      <w:rFonts w:ascii="Cambria Math" w:hAnsi="Cambria Math"/>
                    </w:rPr>
                    <m:t>1</m:t>
                  </m:r>
                </m:sub>
              </m:sSub>
            </m:den>
          </m:f>
          <m:f>
            <m:fPr>
              <m:ctrlPr>
                <w:rPr>
                  <w:rFonts w:ascii="Cambria Math" w:hAnsi="Cambria Math"/>
                </w:rPr>
              </m:ctrlPr>
            </m:fPr>
            <m:num>
              <m:r>
                <w:rPr>
                  <w:rFonts w:ascii="Cambria Math" w:hAnsi="Cambria Math"/>
                </w:rPr>
                <m:t>x</m:t>
              </m:r>
            </m:num>
            <m:den>
              <m:r>
                <w:rPr>
                  <w:rFonts w:ascii="Cambria Math" w:hAnsi="Cambria Math"/>
                </w:rPr>
                <m:t>R</m:t>
              </m:r>
            </m:den>
          </m:f>
          <m:r>
            <m:rPr>
              <m:sty m:val="p"/>
            </m:rPr>
            <w:rPr>
              <w:rFonts w:ascii="Cambria Math" w:hAnsi="Cambria Math"/>
            </w:rPr>
            <m:t>-</m:t>
          </m:r>
          <m:sSub>
            <m:sSubPr>
              <m:ctrlPr>
                <w:rPr>
                  <w:rFonts w:ascii="Cambria Math" w:hAnsi="Cambria Math"/>
                </w:rPr>
              </m:ctrlPr>
            </m:sSubPr>
            <m:e>
              <m:r>
                <w:rPr>
                  <w:rFonts w:ascii="Cambria Math" w:hAnsi="Cambria Math"/>
                </w:rPr>
                <m:t>n</m:t>
              </m:r>
            </m:e>
            <m:sub>
              <m:r>
                <m:rPr>
                  <m:sty m:val="p"/>
                </m:rPr>
                <w:rPr>
                  <w:rFonts w:ascii="Cambria Math" w:hAnsi="Cambria Math"/>
                </w:rPr>
                <m:t>1</m:t>
              </m:r>
            </m:sub>
          </m:sSub>
          <m:f>
            <m:fPr>
              <m:ctrlPr>
                <w:rPr>
                  <w:rFonts w:ascii="Cambria Math" w:hAnsi="Cambria Math"/>
                </w:rPr>
              </m:ctrlPr>
            </m:fPr>
            <m:num>
              <m:sSub>
                <m:sSubPr>
                  <m:ctrlPr>
                    <w:rPr>
                      <w:rFonts w:ascii="Cambria Math" w:hAnsi="Cambria Math"/>
                    </w:rPr>
                  </m:ctrlPr>
                </m:sSubPr>
                <m:e>
                  <m:r>
                    <w:rPr>
                      <w:rFonts w:ascii="Cambria Math" w:hAnsi="Cambria Math"/>
                    </w:rPr>
                    <m:t>z</m:t>
                  </m:r>
                </m:e>
                <m:sub>
                  <m:r>
                    <m:rPr>
                      <m:sty m:val="p"/>
                    </m:rPr>
                    <w:rPr>
                      <w:rFonts w:ascii="Cambria Math" w:hAnsi="Cambria Math"/>
                    </w:rPr>
                    <m:t>1</m:t>
                  </m:r>
                </m:sub>
              </m:sSub>
            </m:num>
            <m:den>
              <m:sSub>
                <m:sSubPr>
                  <m:ctrlPr>
                    <w:rPr>
                      <w:rFonts w:ascii="Cambria Math" w:hAnsi="Cambria Math"/>
                    </w:rPr>
                  </m:ctrlPr>
                </m:sSubPr>
                <m:e>
                  <m:r>
                    <w:rPr>
                      <w:rFonts w:ascii="Cambria Math" w:hAnsi="Cambria Math"/>
                    </w:rPr>
                    <m:t>l</m:t>
                  </m:r>
                </m:e>
                <m:sub>
                  <m:r>
                    <m:rPr>
                      <m:sty m:val="p"/>
                    </m:rPr>
                    <w:rPr>
                      <w:rFonts w:ascii="Cambria Math" w:hAnsi="Cambria Math"/>
                    </w:rPr>
                    <m:t>1</m:t>
                  </m:r>
                </m:sub>
              </m:sSub>
            </m:den>
          </m:f>
          <m:f>
            <m:fPr>
              <m:ctrlPr>
                <w:rPr>
                  <w:rFonts w:ascii="Cambria Math" w:hAnsi="Cambria Math"/>
                </w:rPr>
              </m:ctrlPr>
            </m:fPr>
            <m:num>
              <m:r>
                <w:rPr>
                  <w:rFonts w:ascii="Cambria Math" w:hAnsi="Cambria Math"/>
                </w:rPr>
                <m:t>x</m:t>
              </m:r>
            </m:num>
            <m:den>
              <m:r>
                <w:rPr>
                  <w:rFonts w:ascii="Cambria Math" w:hAnsi="Cambria Math"/>
                </w:rPr>
                <m:t>R</m:t>
              </m:r>
            </m:den>
          </m:f>
          <m:r>
            <m:rPr>
              <m:sty m:val="p"/>
            </m:rPr>
            <w:rPr>
              <w:rFonts w:ascii="Cambria Math" w:hAnsi="Cambria Math"/>
            </w:rPr>
            <m:t>+</m:t>
          </m:r>
          <m:sSub>
            <m:sSubPr>
              <m:ctrlPr>
                <w:rPr>
                  <w:rFonts w:ascii="Cambria Math" w:hAnsi="Cambria Math"/>
                </w:rPr>
              </m:ctrlPr>
            </m:sSubPr>
            <m:e>
              <m:r>
                <w:rPr>
                  <w:rFonts w:ascii="Cambria Math" w:hAnsi="Cambria Math"/>
                </w:rPr>
                <m:t>n</m:t>
              </m:r>
            </m:e>
            <m:sub>
              <m:r>
                <m:rPr>
                  <m:sty m:val="p"/>
                </m:rPr>
                <w:rPr>
                  <w:rFonts w:ascii="Cambria Math" w:hAnsi="Cambria Math"/>
                </w:rPr>
                <m:t>2</m:t>
              </m:r>
            </m:sub>
          </m:sSub>
          <m:f>
            <m:fPr>
              <m:ctrlPr>
                <w:rPr>
                  <w:rFonts w:ascii="Cambria Math" w:hAnsi="Cambria Math"/>
                </w:rPr>
              </m:ctrlPr>
            </m:fPr>
            <m:num>
              <m:r>
                <w:rPr>
                  <w:rFonts w:ascii="Cambria Math" w:hAnsi="Cambria Math"/>
                </w:rPr>
                <m:t>x</m:t>
              </m:r>
            </m:num>
            <m:den>
              <m:sSub>
                <m:sSubPr>
                  <m:ctrlPr>
                    <w:rPr>
                      <w:rFonts w:ascii="Cambria Math" w:hAnsi="Cambria Math"/>
                    </w:rPr>
                  </m:ctrlPr>
                </m:sSubPr>
                <m:e>
                  <m:r>
                    <w:rPr>
                      <w:rFonts w:ascii="Cambria Math" w:hAnsi="Cambria Math"/>
                    </w:rPr>
                    <m:t>l</m:t>
                  </m:r>
                </m:e>
                <m:sub>
                  <m:r>
                    <m:rPr>
                      <m:sty m:val="p"/>
                    </m:rPr>
                    <w:rPr>
                      <w:rFonts w:ascii="Cambria Math" w:hAnsi="Cambria Math"/>
                    </w:rPr>
                    <m:t>2</m:t>
                  </m:r>
                </m:sub>
              </m:sSub>
            </m:den>
          </m:f>
          <m:r>
            <m:rPr>
              <m:sty m:val="p"/>
            </m:rPr>
            <w:rPr>
              <w:rFonts w:ascii="Cambria Math" w:hAnsi="Cambria Math"/>
            </w:rPr>
            <m:t>+</m:t>
          </m:r>
          <m:sSub>
            <m:sSubPr>
              <m:ctrlPr>
                <w:rPr>
                  <w:rFonts w:ascii="Cambria Math" w:hAnsi="Cambria Math"/>
                </w:rPr>
              </m:ctrlPr>
            </m:sSubPr>
            <m:e>
              <m:r>
                <w:rPr>
                  <w:rFonts w:ascii="Cambria Math" w:hAnsi="Cambria Math"/>
                </w:rPr>
                <m:t>n</m:t>
              </m:r>
            </m:e>
            <m:sub>
              <m:r>
                <m:rPr>
                  <m:sty m:val="p"/>
                </m:rPr>
                <w:rPr>
                  <w:rFonts w:ascii="Cambria Math" w:hAnsi="Cambria Math"/>
                </w:rPr>
                <m:t>2</m:t>
              </m:r>
            </m:sub>
          </m:sSub>
          <m:f>
            <m:fPr>
              <m:ctrlPr>
                <w:rPr>
                  <w:rFonts w:ascii="Cambria Math" w:hAnsi="Cambria Math"/>
                </w:rPr>
              </m:ctrlPr>
            </m:fPr>
            <m:num>
              <m:r>
                <w:rPr>
                  <w:rFonts w:ascii="Cambria Math" w:hAnsi="Cambria Math"/>
                </w:rPr>
                <m:t>z</m:t>
              </m:r>
            </m:num>
            <m:den>
              <m:sSub>
                <m:sSubPr>
                  <m:ctrlPr>
                    <w:rPr>
                      <w:rFonts w:ascii="Cambria Math" w:hAnsi="Cambria Math"/>
                    </w:rPr>
                  </m:ctrlPr>
                </m:sSubPr>
                <m:e>
                  <m:r>
                    <w:rPr>
                      <w:rFonts w:ascii="Cambria Math" w:hAnsi="Cambria Math"/>
                    </w:rPr>
                    <m:t>l</m:t>
                  </m:r>
                </m:e>
                <m:sub>
                  <m:r>
                    <m:rPr>
                      <m:sty m:val="p"/>
                    </m:rPr>
                    <w:rPr>
                      <w:rFonts w:ascii="Cambria Math" w:hAnsi="Cambria Math"/>
                    </w:rPr>
                    <m:t>2</m:t>
                  </m:r>
                </m:sub>
              </m:sSub>
            </m:den>
          </m:f>
          <m:f>
            <m:fPr>
              <m:ctrlPr>
                <w:rPr>
                  <w:rFonts w:ascii="Cambria Math" w:hAnsi="Cambria Math"/>
                </w:rPr>
              </m:ctrlPr>
            </m:fPr>
            <m:num>
              <m:r>
                <w:rPr>
                  <w:rFonts w:ascii="Cambria Math" w:hAnsi="Cambria Math"/>
                </w:rPr>
                <m:t>x</m:t>
              </m:r>
            </m:num>
            <m:den>
              <m:r>
                <w:rPr>
                  <w:rFonts w:ascii="Cambria Math" w:hAnsi="Cambria Math"/>
                </w:rPr>
                <m:t>R</m:t>
              </m:r>
            </m:den>
          </m:f>
          <m:r>
            <m:rPr>
              <m:sty m:val="p"/>
            </m:rPr>
            <w:rPr>
              <w:rFonts w:ascii="Cambria Math" w:hAnsi="Cambria Math"/>
            </w:rPr>
            <m:t>-</m:t>
          </m:r>
          <m:sSub>
            <m:sSubPr>
              <m:ctrlPr>
                <w:rPr>
                  <w:rFonts w:ascii="Cambria Math" w:hAnsi="Cambria Math"/>
                </w:rPr>
              </m:ctrlPr>
            </m:sSubPr>
            <m:e>
              <m:r>
                <w:rPr>
                  <w:rFonts w:ascii="Cambria Math" w:hAnsi="Cambria Math"/>
                </w:rPr>
                <m:t>n</m:t>
              </m:r>
            </m:e>
            <m:sub>
              <m:r>
                <m:rPr>
                  <m:sty m:val="p"/>
                </m:rPr>
                <w:rPr>
                  <w:rFonts w:ascii="Cambria Math" w:hAnsi="Cambria Math"/>
                </w:rPr>
                <m:t>2</m:t>
              </m:r>
            </m:sub>
          </m:sSub>
          <m:f>
            <m:fPr>
              <m:ctrlPr>
                <w:rPr>
                  <w:rFonts w:ascii="Cambria Math" w:hAnsi="Cambria Math"/>
                </w:rPr>
              </m:ctrlPr>
            </m:fPr>
            <m:num>
              <m:sSub>
                <m:sSubPr>
                  <m:ctrlPr>
                    <w:rPr>
                      <w:rFonts w:ascii="Cambria Math" w:hAnsi="Cambria Math"/>
                    </w:rPr>
                  </m:ctrlPr>
                </m:sSubPr>
                <m:e>
                  <m:r>
                    <w:rPr>
                      <w:rFonts w:ascii="Cambria Math" w:hAnsi="Cambria Math"/>
                    </w:rPr>
                    <m:t>z</m:t>
                  </m:r>
                </m:e>
                <m:sub>
                  <m:r>
                    <m:rPr>
                      <m:sty m:val="p"/>
                    </m:rPr>
                    <w:rPr>
                      <w:rFonts w:ascii="Cambria Math" w:hAnsi="Cambria Math"/>
                    </w:rPr>
                    <m:t>1</m:t>
                  </m:r>
                </m:sub>
              </m:sSub>
            </m:num>
            <m:den>
              <m:sSub>
                <m:sSubPr>
                  <m:ctrlPr>
                    <w:rPr>
                      <w:rFonts w:ascii="Cambria Math" w:hAnsi="Cambria Math"/>
                    </w:rPr>
                  </m:ctrlPr>
                </m:sSubPr>
                <m:e>
                  <m:r>
                    <w:rPr>
                      <w:rFonts w:ascii="Cambria Math" w:hAnsi="Cambria Math"/>
                    </w:rPr>
                    <m:t>l</m:t>
                  </m:r>
                </m:e>
                <m:sub>
                  <m:r>
                    <m:rPr>
                      <m:sty m:val="p"/>
                    </m:rPr>
                    <w:rPr>
                      <w:rFonts w:ascii="Cambria Math" w:hAnsi="Cambria Math"/>
                    </w:rPr>
                    <m:t>2</m:t>
                  </m:r>
                </m:sub>
              </m:sSub>
            </m:den>
          </m:f>
          <m:f>
            <m:fPr>
              <m:ctrlPr>
                <w:rPr>
                  <w:rFonts w:ascii="Cambria Math" w:hAnsi="Cambria Math"/>
                </w:rPr>
              </m:ctrlPr>
            </m:fPr>
            <m:num>
              <m:r>
                <w:rPr>
                  <w:rFonts w:ascii="Cambria Math" w:hAnsi="Cambria Math"/>
                </w:rPr>
                <m:t>x</m:t>
              </m:r>
            </m:num>
            <m:den>
              <m:r>
                <w:rPr>
                  <w:rFonts w:ascii="Cambria Math" w:hAnsi="Cambria Math"/>
                </w:rPr>
                <m:t>R</m:t>
              </m:r>
            </m:den>
          </m:f>
          <m:r>
            <m:rPr>
              <m:sty m:val="p"/>
            </m:rPr>
            <w:rPr>
              <w:rFonts w:ascii="Cambria Math" w:hAnsi="Cambria Math"/>
            </w:rPr>
            <m:t>=0                                 (6)</m:t>
          </m:r>
        </m:oMath>
      </m:oMathPara>
    </w:p>
    <w:p w14:paraId="1133E943" w14:textId="77777777" w:rsidR="00533C93" w:rsidRDefault="00BD36AF">
      <w:r>
        <w:t xml:space="preserve">According to the paraxial approximation, </w:t>
      </w:r>
      <m:oMath>
        <m:sSub>
          <m:sSubPr>
            <m:ctrlPr>
              <w:rPr>
                <w:rFonts w:ascii="Cambria Math" w:hAnsi="Cambria Math"/>
              </w:rPr>
            </m:ctrlPr>
          </m:sSubPr>
          <m:e>
            <m:r>
              <w:rPr>
                <w:rFonts w:ascii="Cambria Math" w:hAnsi="Cambria Math"/>
              </w:rPr>
              <m:t>l</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m:t>
            </m:r>
            <m:r>
              <w:rPr>
                <w:rFonts w:ascii="Cambria Math" w:hAnsi="Cambria Math"/>
              </w:rPr>
              <m:t>z</m:t>
            </m:r>
          </m:e>
          <m:sub>
            <m:r>
              <m:rPr>
                <m:sty m:val="p"/>
              </m:rPr>
              <w:rPr>
                <w:rFonts w:ascii="Cambria Math" w:hAnsi="Cambria Math"/>
              </w:rPr>
              <m:t>1</m:t>
            </m:r>
          </m:sub>
        </m:sSub>
        <m:r>
          <m:rPr>
            <m:sty m:val="p"/>
          </m:rPr>
          <w:rPr>
            <w:rFonts w:ascii="Cambria Math" w:hAnsi="Cambria Math" w:hint="eastAsia"/>
          </w:rPr>
          <m:t>，</m:t>
        </m:r>
        <m:sSub>
          <m:sSubPr>
            <m:ctrlPr>
              <w:rPr>
                <w:rFonts w:ascii="Cambria Math" w:hAnsi="Cambria Math"/>
              </w:rPr>
            </m:ctrlPr>
          </m:sSubPr>
          <m:e>
            <m:r>
              <w:rPr>
                <w:rFonts w:ascii="Cambria Math" w:hAnsi="Cambria Math"/>
              </w:rPr>
              <m:t>l</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z</m:t>
            </m:r>
          </m:e>
          <m:sub>
            <m:r>
              <m:rPr>
                <m:sty m:val="p"/>
              </m:rPr>
              <w:rPr>
                <w:rFonts w:ascii="Cambria Math" w:hAnsi="Cambria Math"/>
              </w:rPr>
              <m:t>2</m:t>
            </m:r>
          </m:sub>
        </m:sSub>
      </m:oMath>
      <w:r>
        <w:rPr>
          <w:rFonts w:hint="eastAsia"/>
        </w:rPr>
        <w:t>，</w:t>
      </w:r>
      <w:r>
        <w:rPr>
          <w:rFonts w:hint="eastAsia"/>
        </w:rPr>
        <w:t xml:space="preserve"> and</w:t>
      </w:r>
      <w:r>
        <w:t xml:space="preserve"> ignore the </w:t>
      </w:r>
      <m:oMath>
        <m:sSup>
          <m:sSupPr>
            <m:ctrlPr>
              <w:rPr>
                <w:rFonts w:ascii="Cambria Math" w:hAnsi="Cambria Math"/>
              </w:rPr>
            </m:ctrlPr>
          </m:sSupPr>
          <m:e>
            <m:r>
              <w:rPr>
                <w:rFonts w:ascii="Cambria Math" w:hAnsi="Cambria Math"/>
              </w:rPr>
              <m:t>x</m:t>
            </m:r>
          </m:e>
          <m:sup>
            <m:r>
              <m:rPr>
                <m:sty m:val="p"/>
              </m:rPr>
              <w:rPr>
                <w:rFonts w:ascii="Cambria Math" w:hAnsi="Cambria Math"/>
              </w:rPr>
              <m:t>3</m:t>
            </m:r>
          </m:sup>
        </m:sSup>
      </m:oMath>
      <w:r>
        <w:rPr>
          <w:rFonts w:hint="eastAsia"/>
        </w:rPr>
        <w:t>，</w:t>
      </w:r>
      <w:r>
        <w:t>and finally obtain the equation:</w:t>
      </w:r>
    </w:p>
    <w:p w14:paraId="0F886391" w14:textId="77777777" w:rsidR="00533C93" w:rsidRDefault="00476CDC">
      <w:pPr>
        <w:pStyle w:val="Equation"/>
      </w:pPr>
      <m:oMathPara>
        <m:oMathParaPr>
          <m:jc m:val="right"/>
        </m:oMathParaPr>
        <m:oMath>
          <m:f>
            <m:fPr>
              <m:ctrlPr>
                <w:rPr>
                  <w:rFonts w:ascii="Cambria Math" w:hAnsi="Cambria Math"/>
                </w:rPr>
              </m:ctrlPr>
            </m:fPr>
            <m:num>
              <m:sSub>
                <m:sSubPr>
                  <m:ctrlPr>
                    <w:rPr>
                      <w:rFonts w:ascii="Cambria Math" w:hAnsi="Cambria Math"/>
                    </w:rPr>
                  </m:ctrlPr>
                </m:sSubPr>
                <m:e>
                  <m:r>
                    <w:rPr>
                      <w:rFonts w:ascii="Cambria Math" w:hAnsi="Cambria Math"/>
                    </w:rPr>
                    <m:t>n</m:t>
                  </m:r>
                </m:e>
                <m:sub>
                  <m:r>
                    <m:rPr>
                      <m:sty m:val="p"/>
                    </m:rPr>
                    <w:rPr>
                      <w:rFonts w:ascii="Cambria Math" w:hAnsi="Cambria Math"/>
                    </w:rPr>
                    <m:t>2</m:t>
                  </m:r>
                </m:sub>
              </m:sSub>
            </m:num>
            <m:den>
              <m:sSub>
                <m:sSubPr>
                  <m:ctrlPr>
                    <w:rPr>
                      <w:rFonts w:ascii="Cambria Math" w:hAnsi="Cambria Math"/>
                    </w:rPr>
                  </m:ctrlPr>
                </m:sSubPr>
                <m:e>
                  <m:r>
                    <w:rPr>
                      <w:rFonts w:ascii="Cambria Math" w:hAnsi="Cambria Math"/>
                    </w:rPr>
                    <m:t>z</m:t>
                  </m:r>
                </m:e>
                <m:sub>
                  <m:r>
                    <m:rPr>
                      <m:sty m:val="p"/>
                    </m:rPr>
                    <w:rPr>
                      <w:rFonts w:ascii="Cambria Math" w:hAnsi="Cambria Math"/>
                    </w:rPr>
                    <m:t>2</m:t>
                  </m:r>
                </m:sub>
              </m:sSub>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n</m:t>
                  </m:r>
                </m:e>
                <m:sub>
                  <m:r>
                    <m:rPr>
                      <m:sty m:val="p"/>
                    </m:rPr>
                    <w:rPr>
                      <w:rFonts w:ascii="Cambria Math" w:hAnsi="Cambria Math"/>
                    </w:rPr>
                    <m:t>1</m:t>
                  </m:r>
                </m:sub>
              </m:sSub>
            </m:num>
            <m:den>
              <m:sSub>
                <m:sSubPr>
                  <m:ctrlPr>
                    <w:rPr>
                      <w:rFonts w:ascii="Cambria Math" w:hAnsi="Cambria Math"/>
                    </w:rPr>
                  </m:ctrlPr>
                </m:sSubPr>
                <m:e>
                  <m:r>
                    <w:rPr>
                      <w:rFonts w:ascii="Cambria Math" w:hAnsi="Cambria Math"/>
                    </w:rPr>
                    <m:t>z</m:t>
                  </m:r>
                </m:e>
                <m:sub>
                  <m:r>
                    <m:rPr>
                      <m:sty m:val="p"/>
                    </m:rPr>
                    <w:rPr>
                      <w:rFonts w:ascii="Cambria Math" w:hAnsi="Cambria Math"/>
                    </w:rPr>
                    <m:t>1</m:t>
                  </m:r>
                </m:sub>
              </m:sSub>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n</m:t>
                  </m:r>
                </m:e>
                <m:sub>
                  <m:r>
                    <m:rPr>
                      <m:sty m:val="p"/>
                    </m:rPr>
                    <w:rPr>
                      <w:rFonts w:ascii="Cambria Math" w:hAnsi="Cambria Math"/>
                    </w:rPr>
                    <m:t>2</m:t>
                  </m:r>
                </m:sub>
              </m:sSub>
              <m:sSub>
                <m:sSubPr>
                  <m:ctrlPr>
                    <w:rPr>
                      <w:rFonts w:ascii="Cambria Math" w:hAnsi="Cambria Math"/>
                    </w:rPr>
                  </m:ctrlPr>
                </m:sSubPr>
                <m:e>
                  <m:r>
                    <m:rPr>
                      <m:sty m:val="p"/>
                    </m:rPr>
                    <w:rPr>
                      <w:rFonts w:ascii="Cambria Math" w:hAnsi="Cambria Math"/>
                    </w:rPr>
                    <m:t>-</m:t>
                  </m:r>
                  <m:r>
                    <w:rPr>
                      <w:rFonts w:ascii="Cambria Math" w:hAnsi="Cambria Math"/>
                    </w:rPr>
                    <m:t>n</m:t>
                  </m:r>
                </m:e>
                <m:sub>
                  <m:r>
                    <m:rPr>
                      <m:sty m:val="p"/>
                    </m:rPr>
                    <w:rPr>
                      <w:rFonts w:ascii="Cambria Math" w:hAnsi="Cambria Math"/>
                    </w:rPr>
                    <m:t>1</m:t>
                  </m:r>
                </m:sub>
              </m:sSub>
            </m:num>
            <m:den>
              <m:r>
                <w:rPr>
                  <w:rFonts w:ascii="Cambria Math" w:hAnsi="Cambria Math"/>
                </w:rPr>
                <m:t>R</m:t>
              </m:r>
            </m:den>
          </m:f>
          <m:r>
            <m:rPr>
              <m:sty m:val="p"/>
            </m:rPr>
            <w:rPr>
              <w:rFonts w:ascii="Cambria Math" w:hAnsi="Cambria Math"/>
            </w:rPr>
            <m:t xml:space="preserve">                                                                 (7)</m:t>
          </m:r>
        </m:oMath>
      </m:oMathPara>
    </w:p>
    <w:p w14:paraId="7E607C4D" w14:textId="77777777" w:rsidR="00533C93" w:rsidRDefault="00BD36AF">
      <w:r>
        <w:t>For the refractive lens, w</w:t>
      </w:r>
      <w:r>
        <w:rPr>
          <w:rFonts w:hint="eastAsia"/>
        </w:rPr>
        <w:t>e can regard as:</w:t>
      </w:r>
      <w:r>
        <w:t xml:space="preserve"> </w:t>
      </w:r>
      <m:oMath>
        <m:r>
          <w:rPr>
            <w:rFonts w:ascii="Cambria Math" w:hAnsi="Cambria Math"/>
            <w:szCs w:val="20"/>
          </w:rPr>
          <m:t>f</m:t>
        </m:r>
        <m:r>
          <m:rPr>
            <m:sty m:val="p"/>
          </m:rPr>
          <w:rPr>
            <w:rFonts w:ascii="Cambria Math" w:hAnsi="Cambria Math"/>
            <w:szCs w:val="20"/>
          </w:rPr>
          <m:t>=2</m:t>
        </m:r>
        <m:r>
          <w:rPr>
            <w:rFonts w:ascii="Cambria Math" w:hAnsi="Cambria Math"/>
            <w:szCs w:val="20"/>
          </w:rPr>
          <m:t>R</m:t>
        </m:r>
        <m:r>
          <m:rPr>
            <m:sty m:val="p"/>
          </m:rPr>
          <w:rPr>
            <w:rFonts w:ascii="Cambria Math" w:hAnsi="Cambria Math"/>
            <w:szCs w:val="20"/>
          </w:rPr>
          <m:t xml:space="preserve">, </m:t>
        </m:r>
        <m:sSub>
          <m:sSubPr>
            <m:ctrlPr>
              <w:rPr>
                <w:rFonts w:ascii="Cambria Math" w:hAnsi="Cambria Math"/>
                <w:szCs w:val="20"/>
              </w:rPr>
            </m:ctrlPr>
          </m:sSubPr>
          <m:e>
            <m:r>
              <w:rPr>
                <w:rFonts w:ascii="Cambria Math" w:hAnsi="Cambria Math"/>
                <w:szCs w:val="20"/>
              </w:rPr>
              <m:t>n</m:t>
            </m:r>
          </m:e>
          <m:sub>
            <m:r>
              <m:rPr>
                <m:sty m:val="p"/>
              </m:rPr>
              <w:rPr>
                <w:rFonts w:ascii="Cambria Math" w:hAnsi="Cambria Math"/>
                <w:szCs w:val="20"/>
              </w:rPr>
              <m:t>2</m:t>
            </m:r>
          </m:sub>
        </m:sSub>
        <m:r>
          <m:rPr>
            <m:sty m:val="p"/>
          </m:rPr>
          <w:rPr>
            <w:rFonts w:ascii="Cambria Math" w:hAnsi="Cambria Math"/>
            <w:szCs w:val="20"/>
          </w:rPr>
          <m:t>=-</m:t>
        </m:r>
        <m:sSub>
          <m:sSubPr>
            <m:ctrlPr>
              <w:rPr>
                <w:rFonts w:ascii="Cambria Math" w:hAnsi="Cambria Math"/>
                <w:szCs w:val="20"/>
              </w:rPr>
            </m:ctrlPr>
          </m:sSubPr>
          <m:e>
            <m:r>
              <w:rPr>
                <w:rFonts w:ascii="Cambria Math" w:hAnsi="Cambria Math"/>
                <w:szCs w:val="20"/>
              </w:rPr>
              <m:t>n</m:t>
            </m:r>
          </m:e>
          <m:sub>
            <m:r>
              <m:rPr>
                <m:sty m:val="p"/>
              </m:rPr>
              <w:rPr>
                <w:rFonts w:ascii="Cambria Math" w:hAnsi="Cambria Math"/>
                <w:szCs w:val="20"/>
              </w:rPr>
              <m:t>1</m:t>
            </m:r>
          </m:sub>
        </m:sSub>
      </m:oMath>
      <w:r>
        <w:rPr>
          <w:szCs w:val="20"/>
        </w:rPr>
        <w:t xml:space="preserve">, </w:t>
      </w:r>
      <w:r>
        <w:t xml:space="preserve">where </w:t>
      </w:r>
      <m:oMath>
        <m:r>
          <w:rPr>
            <w:rFonts w:ascii="Cambria Math" w:hAnsi="Cambria Math"/>
          </w:rPr>
          <m:t>f</m:t>
        </m:r>
      </m:oMath>
      <w:r>
        <w:t xml:space="preserve"> is the focal length, and </w:t>
      </w:r>
      <w:r>
        <w:rPr>
          <w:i/>
          <w:iCs/>
        </w:rPr>
        <w:t>R</w:t>
      </w:r>
      <w:r>
        <w:t xml:space="preserve"> is the radius of the refractive spherical lens. And then, w</w:t>
      </w:r>
      <w:r>
        <w:rPr>
          <w:rFonts w:hint="eastAsia"/>
        </w:rPr>
        <w:t>e can obtain that:</w:t>
      </w:r>
    </w:p>
    <w:p w14:paraId="568D92E1" w14:textId="77777777" w:rsidR="00533C93" w:rsidRDefault="00476CDC">
      <w:pPr>
        <w:pStyle w:val="Equation"/>
      </w:pPr>
      <m:oMathPara>
        <m:oMathParaPr>
          <m:jc m:val="right"/>
        </m:oMathParaPr>
        <m:oMath>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w:rPr>
                      <w:rFonts w:ascii="Cambria Math" w:hAnsi="Cambria Math"/>
                    </w:rPr>
                    <m:t>l</m:t>
                  </m:r>
                </m:e>
                <m:sub>
                  <m:r>
                    <m:rPr>
                      <m:sty m:val="p"/>
                    </m:rPr>
                    <w:rPr>
                      <w:rFonts w:ascii="Cambria Math" w:hAnsi="Cambria Math"/>
                    </w:rPr>
                    <m:t>1</m:t>
                  </m:r>
                </m:sub>
              </m:sSub>
            </m:den>
          </m:f>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w:rPr>
                      <w:rFonts w:ascii="Cambria Math" w:hAnsi="Cambria Math"/>
                    </w:rPr>
                    <m:t>l</m:t>
                  </m:r>
                </m:e>
                <m:sub>
                  <m:r>
                    <m:rPr>
                      <m:sty m:val="p"/>
                    </m:rPr>
                    <w:rPr>
                      <w:rFonts w:ascii="Cambria Math" w:hAnsi="Cambria Math"/>
                    </w:rPr>
                    <m:t>2</m:t>
                  </m:r>
                </m:sub>
              </m:sSub>
            </m:den>
          </m:f>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f</m:t>
              </m:r>
            </m:den>
          </m:f>
          <m:r>
            <m:rPr>
              <m:sty m:val="p"/>
            </m:rPr>
            <w:rPr>
              <w:rFonts w:ascii="Cambria Math" w:hAnsi="Cambria Math"/>
            </w:rPr>
            <m:t xml:space="preserve">                                                                       (8)</m:t>
          </m:r>
        </m:oMath>
      </m:oMathPara>
    </w:p>
    <w:p w14:paraId="104893CA" w14:textId="77777777" w:rsidR="00533C93" w:rsidRDefault="00BD36AF">
      <w:pPr>
        <w:rPr>
          <w:rFonts w:ascii="Cambria Math" w:hAnsi="Cambria Math"/>
        </w:rPr>
      </w:pPr>
      <w:r>
        <w:t xml:space="preserve">But in the diffraction theory model: </w:t>
      </w:r>
      <m:oMath>
        <m:d>
          <m:dPr>
            <m:ctrlPr>
              <w:rPr>
                <w:rFonts w:ascii="Cambria Math" w:hAnsi="Cambria Math"/>
                <w:szCs w:val="20"/>
              </w:rPr>
            </m:ctrlPr>
          </m:dPr>
          <m:e>
            <m:sSub>
              <m:sSubPr>
                <m:ctrlPr>
                  <w:rPr>
                    <w:rFonts w:ascii="Cambria Math" w:hAnsi="Cambria Math"/>
                    <w:szCs w:val="20"/>
                  </w:rPr>
                </m:ctrlPr>
              </m:sSubPr>
              <m:e>
                <m:r>
                  <w:rPr>
                    <w:rFonts w:ascii="Cambria Math" w:hAnsi="Cambria Math"/>
                    <w:szCs w:val="20"/>
                  </w:rPr>
                  <m:t>R</m:t>
                </m:r>
              </m:e>
              <m:sub>
                <m:r>
                  <w:rPr>
                    <w:rFonts w:ascii="Cambria Math" w:hAnsi="Cambria Math"/>
                    <w:szCs w:val="20"/>
                  </w:rPr>
                  <m:t>m</m:t>
                </m:r>
              </m:sub>
            </m:sSub>
            <m:r>
              <m:rPr>
                <m:sty m:val="p"/>
              </m:rPr>
              <w:rPr>
                <w:rFonts w:ascii="Cambria Math" w:hAnsi="Cambria Math"/>
                <w:szCs w:val="20"/>
              </w:rPr>
              <m:t>+∆∅</m:t>
            </m:r>
          </m:e>
        </m:d>
        <m:r>
          <m:rPr>
            <m:sty m:val="p"/>
          </m:rPr>
          <w:rPr>
            <w:rFonts w:ascii="Cambria Math" w:hAnsi="Cambria Math"/>
            <w:szCs w:val="20"/>
          </w:rPr>
          <m:t>-</m:t>
        </m:r>
        <m:r>
          <w:rPr>
            <w:rFonts w:ascii="Cambria Math" w:hAnsi="Cambria Math"/>
            <w:szCs w:val="20"/>
          </w:rPr>
          <m:t>f</m:t>
        </m:r>
        <m:r>
          <m:rPr>
            <m:sty m:val="p"/>
          </m:rPr>
          <w:rPr>
            <w:rFonts w:ascii="Cambria Math" w:hAnsi="Cambria Math"/>
            <w:szCs w:val="20"/>
          </w:rPr>
          <m:t>=</m:t>
        </m:r>
        <m:f>
          <m:fPr>
            <m:ctrlPr>
              <w:rPr>
                <w:rFonts w:ascii="Cambria Math" w:hAnsi="Cambria Math"/>
                <w:szCs w:val="20"/>
              </w:rPr>
            </m:ctrlPr>
          </m:fPr>
          <m:num>
            <m:r>
              <w:rPr>
                <w:rFonts w:ascii="Cambria Math" w:hAnsi="Cambria Math"/>
                <w:szCs w:val="20"/>
              </w:rPr>
              <m:t>mλ</m:t>
            </m:r>
          </m:num>
          <m:den>
            <m:r>
              <m:rPr>
                <m:sty m:val="p"/>
              </m:rPr>
              <w:rPr>
                <w:rFonts w:ascii="Cambria Math" w:hAnsi="Cambria Math"/>
                <w:szCs w:val="20"/>
              </w:rPr>
              <m:t>2</m:t>
            </m:r>
            <m:r>
              <w:rPr>
                <w:rFonts w:ascii="Cambria Math" w:hAnsi="Cambria Math"/>
                <w:szCs w:val="20"/>
              </w:rPr>
              <m:t>π</m:t>
            </m:r>
          </m:den>
        </m:f>
        <m:r>
          <m:rPr>
            <m:sty m:val="p"/>
          </m:rPr>
          <w:rPr>
            <w:rFonts w:ascii="Cambria Math" w:hAnsi="Cambria Math"/>
            <w:szCs w:val="20"/>
          </w:rPr>
          <m:t xml:space="preserve">, </m:t>
        </m:r>
        <m:sSub>
          <m:sSubPr>
            <m:ctrlPr>
              <w:rPr>
                <w:rFonts w:ascii="Cambria Math" w:hAnsi="Cambria Math"/>
                <w:szCs w:val="20"/>
              </w:rPr>
            </m:ctrlPr>
          </m:sSubPr>
          <m:e>
            <m:r>
              <w:rPr>
                <w:rFonts w:ascii="Cambria Math" w:hAnsi="Cambria Math"/>
                <w:szCs w:val="20"/>
              </w:rPr>
              <m:t>n</m:t>
            </m:r>
          </m:e>
          <m:sub>
            <m:r>
              <m:rPr>
                <m:sty m:val="p"/>
              </m:rPr>
              <w:rPr>
                <w:rFonts w:ascii="Cambria Math" w:hAnsi="Cambria Math"/>
                <w:szCs w:val="20"/>
              </w:rPr>
              <m:t>2</m:t>
            </m:r>
          </m:sub>
        </m:sSub>
        <m:r>
          <m:rPr>
            <m:sty m:val="p"/>
          </m:rPr>
          <w:rPr>
            <w:rFonts w:ascii="Cambria Math" w:hAnsi="Cambria Math"/>
            <w:szCs w:val="20"/>
          </w:rPr>
          <m:t>=-</m:t>
        </m:r>
        <m:sSub>
          <m:sSubPr>
            <m:ctrlPr>
              <w:rPr>
                <w:rFonts w:ascii="Cambria Math" w:hAnsi="Cambria Math"/>
                <w:szCs w:val="20"/>
              </w:rPr>
            </m:ctrlPr>
          </m:sSubPr>
          <m:e>
            <m:r>
              <w:rPr>
                <w:rFonts w:ascii="Cambria Math" w:hAnsi="Cambria Math"/>
                <w:szCs w:val="20"/>
              </w:rPr>
              <m:t>n</m:t>
            </m:r>
          </m:e>
          <m:sub>
            <m:r>
              <m:rPr>
                <m:sty m:val="p"/>
              </m:rPr>
              <w:rPr>
                <w:rFonts w:ascii="Cambria Math" w:hAnsi="Cambria Math"/>
                <w:szCs w:val="20"/>
              </w:rPr>
              <m:t>1</m:t>
            </m:r>
          </m:sub>
        </m:sSub>
        <m:r>
          <m:rPr>
            <m:sty m:val="p"/>
          </m:rPr>
          <w:rPr>
            <w:rFonts w:ascii="Cambria Math" w:hAnsi="Cambria Math"/>
            <w:szCs w:val="20"/>
          </w:rPr>
          <m:t>,∆∅=</m:t>
        </m:r>
        <m:r>
          <w:rPr>
            <w:rFonts w:ascii="Cambria Math" w:hAnsi="Cambria Math"/>
            <w:szCs w:val="20"/>
          </w:rPr>
          <m:t>x</m:t>
        </m:r>
        <m:r>
          <m:rPr>
            <m:sty m:val="p"/>
          </m:rPr>
          <w:rPr>
            <w:rFonts w:ascii="Cambria Math" w:hAnsi="Cambria Math"/>
            <w:szCs w:val="20"/>
          </w:rPr>
          <m:t>+</m:t>
        </m:r>
        <m:r>
          <w:rPr>
            <w:rFonts w:ascii="Cambria Math" w:hAnsi="Cambria Math"/>
            <w:szCs w:val="20"/>
          </w:rPr>
          <m:t>z</m:t>
        </m:r>
        <m:r>
          <m:rPr>
            <m:sty m:val="p"/>
          </m:rPr>
          <w:rPr>
            <w:rFonts w:ascii="Cambria Math" w:hAnsi="Cambria Math"/>
            <w:szCs w:val="20"/>
          </w:rPr>
          <m:t>=</m:t>
        </m:r>
        <m:f>
          <m:fPr>
            <m:ctrlPr>
              <w:rPr>
                <w:rFonts w:ascii="Cambria Math" w:hAnsi="Cambria Math"/>
                <w:szCs w:val="20"/>
              </w:rPr>
            </m:ctrlPr>
          </m:fPr>
          <m:num>
            <m:r>
              <w:rPr>
                <w:rFonts w:ascii="Cambria Math" w:hAnsi="Cambria Math"/>
                <w:szCs w:val="20"/>
              </w:rPr>
              <m:t>mλ</m:t>
            </m:r>
          </m:num>
          <m:den>
            <m:r>
              <m:rPr>
                <m:sty m:val="p"/>
              </m:rPr>
              <w:rPr>
                <w:rFonts w:ascii="Cambria Math" w:hAnsi="Cambria Math"/>
                <w:szCs w:val="20"/>
              </w:rPr>
              <m:t>2</m:t>
            </m:r>
            <m:r>
              <w:rPr>
                <w:rFonts w:ascii="Cambria Math" w:hAnsi="Cambria Math"/>
                <w:szCs w:val="20"/>
              </w:rPr>
              <m:t>π</m:t>
            </m:r>
          </m:den>
        </m:f>
      </m:oMath>
      <w:r>
        <w:rPr>
          <w:szCs w:val="20"/>
        </w:rPr>
        <w:t xml:space="preserve">, where </w:t>
      </w:r>
      <m:oMath>
        <m:r>
          <m:rPr>
            <m:sty m:val="p"/>
          </m:rPr>
          <w:rPr>
            <w:rFonts w:ascii="Cambria Math" w:hAnsi="Cambria Math"/>
            <w:szCs w:val="20"/>
          </w:rPr>
          <m:t>∅</m:t>
        </m:r>
      </m:oMath>
      <w:r>
        <w:rPr>
          <w:rFonts w:ascii="Cambria Math" w:hAnsi="Cambria Math"/>
        </w:rPr>
        <w:t xml:space="preserve"> </w:t>
      </w:r>
      <w:r>
        <w:t>is the optical path from lens to focal plane.</w:t>
      </w:r>
    </w:p>
    <w:p w14:paraId="4B5A5BE3" w14:textId="77777777" w:rsidR="00533C93" w:rsidRDefault="00BD36AF">
      <w:pPr>
        <w:rPr>
          <w:rFonts w:ascii="Cambria Math" w:hAnsi="Cambria Math"/>
        </w:rPr>
      </w:pPr>
      <w:r>
        <w:t>The imaging rule of a diffractive lens can be defined as follows</w:t>
      </w:r>
      <w:r>
        <w:rPr>
          <w:rFonts w:hint="eastAsia"/>
        </w:rPr>
        <w:t>:</w:t>
      </w:r>
    </w:p>
    <w:p w14:paraId="6483F372" w14:textId="77777777" w:rsidR="00533C93" w:rsidRDefault="00476CDC">
      <w:pPr>
        <w:pStyle w:val="Equation"/>
      </w:pPr>
      <m:oMathPara>
        <m:oMathParaPr>
          <m:jc m:val="right"/>
        </m:oMathParaPr>
        <m:oMath>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w:rPr>
                      <w:rFonts w:ascii="Cambria Math" w:hAnsi="Cambria Math"/>
                    </w:rPr>
                    <m:t>l</m:t>
                  </m:r>
                </m:e>
                <m:sub>
                  <m:r>
                    <m:rPr>
                      <m:sty m:val="p"/>
                    </m:rPr>
                    <w:rPr>
                      <w:rFonts w:ascii="Cambria Math" w:hAnsi="Cambria Math"/>
                    </w:rPr>
                    <m:t>1</m:t>
                  </m:r>
                </m:sub>
              </m:sSub>
            </m:den>
          </m:f>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w:rPr>
                      <w:rFonts w:ascii="Cambria Math" w:hAnsi="Cambria Math"/>
                    </w:rPr>
                    <m:t>l</m:t>
                  </m:r>
                </m:e>
                <m:sub>
                  <m:r>
                    <m:rPr>
                      <m:sty m:val="p"/>
                    </m:rPr>
                    <w:rPr>
                      <w:rFonts w:ascii="Cambria Math" w:hAnsi="Cambria Math"/>
                    </w:rPr>
                    <m:t>2</m:t>
                  </m:r>
                </m:sub>
              </m:sSub>
            </m:den>
          </m:f>
          <m:r>
            <m:rPr>
              <m:sty m:val="p"/>
            </m:rPr>
            <w:rPr>
              <w:rFonts w:ascii="Cambria Math" w:hAnsi="Cambria Math"/>
            </w:rPr>
            <m:t>=</m:t>
          </m:r>
          <m:f>
            <m:fPr>
              <m:ctrlPr>
                <w:rPr>
                  <w:rFonts w:ascii="Cambria Math" w:hAnsi="Cambria Math"/>
                </w:rPr>
              </m:ctrlPr>
            </m:fPr>
            <m:num>
              <m:r>
                <m:rPr>
                  <m:sty m:val="p"/>
                </m:rPr>
                <w:rPr>
                  <w:rFonts w:ascii="Cambria Math" w:hAnsi="Cambria Math"/>
                </w:rPr>
                <m:t>2</m:t>
              </m:r>
            </m:num>
            <m:den>
              <m:r>
                <w:rPr>
                  <w:rFonts w:ascii="Cambria Math" w:hAnsi="Cambria Math"/>
                </w:rPr>
                <m:t>f</m:t>
              </m:r>
            </m:den>
          </m:f>
          <m:r>
            <m:rPr>
              <m:sty m:val="p"/>
            </m:rPr>
            <w:rPr>
              <w:rFonts w:ascii="Cambria Math" w:hAnsi="Cambria Math"/>
            </w:rPr>
            <m:t xml:space="preserve">                                                                         (9)</m:t>
          </m:r>
        </m:oMath>
      </m:oMathPara>
    </w:p>
    <w:p w14:paraId="351F5067" w14:textId="77777777" w:rsidR="00533C93" w:rsidRDefault="00BD36AF">
      <w:pPr>
        <w:spacing w:after="160" w:line="259" w:lineRule="auto"/>
        <w:jc w:val="left"/>
      </w:pPr>
      <w:r>
        <w:br w:type="page"/>
      </w:r>
    </w:p>
    <w:p w14:paraId="0D5C6027" w14:textId="77777777" w:rsidR="00533C93" w:rsidRDefault="00BD36AF">
      <w:pPr>
        <w:pStyle w:val="Heading1"/>
      </w:pPr>
      <w:r>
        <w:lastRenderedPageBreak/>
        <w:t>S12 Supplementary movies</w:t>
      </w:r>
    </w:p>
    <w:p w14:paraId="2BE17EC1" w14:textId="77777777" w:rsidR="00533C93" w:rsidRDefault="00BD36AF">
      <w:pPr>
        <w:pStyle w:val="SMHeading"/>
      </w:pPr>
      <w:r>
        <w:t>Movie S1.</w:t>
      </w:r>
    </w:p>
    <w:p w14:paraId="04C869A4" w14:textId="77777777" w:rsidR="00533C93" w:rsidRDefault="00BD36AF">
      <w:pPr>
        <w:pStyle w:val="SMcaption"/>
      </w:pPr>
      <w:r>
        <w:t>Femtosecond laser fabrication of lens structure in monolayer 2D material.</w:t>
      </w:r>
    </w:p>
    <w:p w14:paraId="17895C8C" w14:textId="77777777" w:rsidR="00533C93" w:rsidRDefault="00533C93">
      <w:pPr>
        <w:pStyle w:val="SMcaption"/>
      </w:pPr>
    </w:p>
    <w:p w14:paraId="0BB02188" w14:textId="77777777" w:rsidR="00533C93" w:rsidRDefault="00BD36AF">
      <w:pPr>
        <w:pStyle w:val="SMHeading"/>
      </w:pPr>
      <w:r>
        <w:t>Movie S2.</w:t>
      </w:r>
    </w:p>
    <w:p w14:paraId="7F031A7F" w14:textId="77777777" w:rsidR="00533C93" w:rsidRDefault="00BD36AF">
      <w:pPr>
        <w:pStyle w:val="SMcaption"/>
      </w:pPr>
      <w:proofErr w:type="gramStart"/>
      <w:r>
        <w:t>Focal spot characterization of the fabricated lens.</w:t>
      </w:r>
      <w:proofErr w:type="gramEnd"/>
    </w:p>
    <w:p w14:paraId="351C6DE7" w14:textId="77777777" w:rsidR="00533C93" w:rsidRDefault="00533C93">
      <w:pPr>
        <w:pStyle w:val="SMcaption"/>
      </w:pPr>
    </w:p>
    <w:p w14:paraId="1EB102D3" w14:textId="77777777" w:rsidR="00533C93" w:rsidRDefault="00BD36AF">
      <w:pPr>
        <w:pStyle w:val="SMHeading"/>
      </w:pPr>
      <w:r>
        <w:t>Movie S3.</w:t>
      </w:r>
    </w:p>
    <w:p w14:paraId="07C60C35" w14:textId="77777777" w:rsidR="00533C93" w:rsidRDefault="00BD36AF">
      <w:pPr>
        <w:pStyle w:val="SMcaption"/>
      </w:pPr>
      <w:r>
        <w:t>Imaging characterization using an object of letter “F”.</w:t>
      </w:r>
    </w:p>
    <w:p w14:paraId="53CEFF88" w14:textId="77777777" w:rsidR="00533C93" w:rsidRDefault="00533C93">
      <w:pPr>
        <w:pStyle w:val="SMcaption"/>
      </w:pPr>
    </w:p>
    <w:p w14:paraId="472DD9AD" w14:textId="77777777" w:rsidR="00533C93" w:rsidRDefault="00BD36AF">
      <w:pPr>
        <w:pStyle w:val="SMHeading"/>
      </w:pPr>
      <w:r>
        <w:t>Movie S4.</w:t>
      </w:r>
    </w:p>
    <w:p w14:paraId="45049073" w14:textId="77777777" w:rsidR="00533C93" w:rsidRDefault="00BD36AF">
      <w:pPr>
        <w:pStyle w:val="SMcaption"/>
      </w:pPr>
      <w:r>
        <w:t xml:space="preserve">Imaging characterization using an object of USAF standard target. </w:t>
      </w:r>
    </w:p>
    <w:p w14:paraId="5B265402" w14:textId="77777777" w:rsidR="00533C93" w:rsidRDefault="00533C93">
      <w:pPr>
        <w:rPr>
          <w:lang w:val="en-US"/>
        </w:rPr>
      </w:pPr>
    </w:p>
    <w:p w14:paraId="6871AE76" w14:textId="77777777" w:rsidR="00533C93" w:rsidRDefault="00533C93"/>
    <w:p w14:paraId="6C3EC79F" w14:textId="77777777" w:rsidR="00533C93" w:rsidRDefault="00533C93">
      <w:pPr>
        <w:rPr>
          <w:lang w:val="en-US"/>
        </w:rPr>
      </w:pPr>
    </w:p>
    <w:p w14:paraId="3F7D0809" w14:textId="77777777" w:rsidR="00533C93" w:rsidRDefault="00BD36AF">
      <w:r>
        <w:br w:type="page"/>
      </w:r>
    </w:p>
    <w:p w14:paraId="3AAA230D" w14:textId="77777777" w:rsidR="00533C93" w:rsidRDefault="00BD36AF">
      <w:pPr>
        <w:pStyle w:val="Heading1"/>
      </w:pPr>
      <w:r>
        <w:rPr>
          <w:rFonts w:hint="eastAsia"/>
        </w:rPr>
        <w:lastRenderedPageBreak/>
        <w:t>Reference</w:t>
      </w:r>
    </w:p>
    <w:bookmarkStart w:id="22" w:name="_Hlk36328291"/>
    <w:p w14:paraId="2C0F8523" w14:textId="77777777" w:rsidR="00533C93" w:rsidRDefault="00BD36AF">
      <w:pPr>
        <w:pStyle w:val="EndNoteBibliography"/>
        <w:ind w:left="720" w:hanging="720"/>
        <w:jc w:val="left"/>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EN.REFLIST </w:instrText>
      </w:r>
      <w:r>
        <w:rPr>
          <w:rFonts w:ascii="Times New Roman" w:hAnsi="Times New Roman" w:cs="Times New Roman"/>
          <w:sz w:val="20"/>
          <w:szCs w:val="20"/>
        </w:rPr>
        <w:fldChar w:fldCharType="separate"/>
      </w:r>
      <w:r>
        <w:t>1</w:t>
      </w:r>
      <w:r>
        <w:tab/>
        <w:t>Xu, Z. Q.</w:t>
      </w:r>
      <w:r>
        <w:rPr>
          <w:i/>
        </w:rPr>
        <w:t xml:space="preserve"> et al.</w:t>
      </w:r>
      <w:r>
        <w:t xml:space="preserve"> Synthesis and Transfer of Large-Area Monolayer WS2 Crystals: Moving Toward the Recyclable Use of Sapphire Substrates. </w:t>
      </w:r>
      <w:r>
        <w:rPr>
          <w:i/>
        </w:rPr>
        <w:t>ACS nano</w:t>
      </w:r>
      <w:r>
        <w:t xml:space="preserve"> </w:t>
      </w:r>
      <w:r>
        <w:rPr>
          <w:b/>
        </w:rPr>
        <w:t>9</w:t>
      </w:r>
      <w:r>
        <w:t>, 6178-6187, doi:10.1021/acsnano.5b01480 (2015).</w:t>
      </w:r>
    </w:p>
    <w:p w14:paraId="6A735A44" w14:textId="77777777" w:rsidR="00533C93" w:rsidRDefault="00BD36AF">
      <w:pPr>
        <w:pStyle w:val="EndNoteBibliography"/>
        <w:ind w:left="720" w:hanging="720"/>
        <w:jc w:val="left"/>
      </w:pPr>
      <w:r>
        <w:t>2</w:t>
      </w:r>
      <w:r>
        <w:tab/>
        <w:t>Peimyoo, N.</w:t>
      </w:r>
      <w:r>
        <w:rPr>
          <w:i/>
        </w:rPr>
        <w:t xml:space="preserve"> et al.</w:t>
      </w:r>
      <w:r>
        <w:t xml:space="preserve"> Nonblinking, intense two-dimensional light emitter: monolayer WS2 triangles. </w:t>
      </w:r>
      <w:r>
        <w:rPr>
          <w:i/>
        </w:rPr>
        <w:t>ACS nano</w:t>
      </w:r>
      <w:r>
        <w:t xml:space="preserve"> </w:t>
      </w:r>
      <w:r>
        <w:rPr>
          <w:b/>
        </w:rPr>
        <w:t>7</w:t>
      </w:r>
      <w:r>
        <w:t>, 10985-10994, doi:10.1021/nn4046002 (2013).</w:t>
      </w:r>
    </w:p>
    <w:p w14:paraId="665AD8A3" w14:textId="77777777" w:rsidR="00533C93" w:rsidRDefault="00BD36AF">
      <w:pPr>
        <w:pStyle w:val="EndNoteBibliography"/>
        <w:ind w:left="720" w:hanging="720"/>
        <w:jc w:val="left"/>
      </w:pPr>
      <w:r>
        <w:t>3</w:t>
      </w:r>
      <w:r>
        <w:tab/>
        <w:t>Zhou, J.</w:t>
      </w:r>
      <w:r>
        <w:rPr>
          <w:i/>
        </w:rPr>
        <w:t xml:space="preserve"> et al.</w:t>
      </w:r>
      <w:r>
        <w:t xml:space="preserve"> A library of atomically thin metal chalcogenides. </w:t>
      </w:r>
      <w:r>
        <w:rPr>
          <w:i/>
        </w:rPr>
        <w:t>Nature</w:t>
      </w:r>
      <w:r>
        <w:t xml:space="preserve"> </w:t>
      </w:r>
      <w:r>
        <w:rPr>
          <w:b/>
        </w:rPr>
        <w:t>556</w:t>
      </w:r>
      <w:r>
        <w:t>, 355-359 (2018).</w:t>
      </w:r>
    </w:p>
    <w:p w14:paraId="4635E1AC" w14:textId="77777777" w:rsidR="00533C93" w:rsidRDefault="00BD36AF">
      <w:pPr>
        <w:pStyle w:val="EndNoteBibliography"/>
        <w:ind w:left="720" w:hanging="720"/>
        <w:jc w:val="left"/>
      </w:pPr>
      <w:r>
        <w:t>4</w:t>
      </w:r>
      <w:r>
        <w:tab/>
        <w:t>Yim, C.</w:t>
      </w:r>
      <w:r>
        <w:rPr>
          <w:i/>
        </w:rPr>
        <w:t xml:space="preserve"> et al.</w:t>
      </w:r>
      <w:r>
        <w:t xml:space="preserve"> High-performance hybrid electronic devices from layered PtSe2 films grown at low temperature. </w:t>
      </w:r>
      <w:r>
        <w:rPr>
          <w:i/>
        </w:rPr>
        <w:t>ACS nano</w:t>
      </w:r>
      <w:r>
        <w:t xml:space="preserve"> </w:t>
      </w:r>
      <w:r>
        <w:rPr>
          <w:b/>
        </w:rPr>
        <w:t>10</w:t>
      </w:r>
      <w:r>
        <w:t>, 9550-9558 (2016).</w:t>
      </w:r>
    </w:p>
    <w:p w14:paraId="1C1F5203" w14:textId="77777777" w:rsidR="00533C93" w:rsidRDefault="00BD36AF">
      <w:pPr>
        <w:pStyle w:val="EndNoteBibliography"/>
        <w:ind w:left="720" w:hanging="720"/>
        <w:jc w:val="left"/>
      </w:pPr>
      <w:r>
        <w:t>5</w:t>
      </w:r>
      <w:r>
        <w:tab/>
        <w:t xml:space="preserve">Huang, J.-K. &amp; Li, L.-J. Large-Area Synthesis of Highly Crystalline WSe2 Monolayers and Device Applications. </w:t>
      </w:r>
      <w:r>
        <w:rPr>
          <w:i/>
        </w:rPr>
        <w:t>ACS nano</w:t>
      </w:r>
      <w:r>
        <w:t xml:space="preserve"> </w:t>
      </w:r>
      <w:r>
        <w:rPr>
          <w:b/>
        </w:rPr>
        <w:t>DOI: 10.1021/nn405719x</w:t>
      </w:r>
      <w:r>
        <w:t>, doi:10.1021/nn405719x (2013).</w:t>
      </w:r>
    </w:p>
    <w:p w14:paraId="7899FE59" w14:textId="77777777" w:rsidR="00533C93" w:rsidRDefault="00BD36AF">
      <w:pPr>
        <w:pStyle w:val="EndNoteBibliography"/>
        <w:ind w:left="720" w:hanging="720"/>
        <w:jc w:val="left"/>
      </w:pPr>
      <w:r>
        <w:t>6</w:t>
      </w:r>
      <w:r>
        <w:tab/>
        <w:t>Huang, J.</w:t>
      </w:r>
      <w:r>
        <w:rPr>
          <w:i/>
        </w:rPr>
        <w:t xml:space="preserve"> et al.</w:t>
      </w:r>
      <w:r>
        <w:t xml:space="preserve"> Large-area synthesis of monolayer WSe(2) on a SiO(2)/Si substrate and its device applications. </w:t>
      </w:r>
      <w:r>
        <w:rPr>
          <w:i/>
        </w:rPr>
        <w:t>Nanoscale</w:t>
      </w:r>
      <w:r>
        <w:t xml:space="preserve"> </w:t>
      </w:r>
      <w:r>
        <w:rPr>
          <w:b/>
        </w:rPr>
        <w:t>7</w:t>
      </w:r>
      <w:r>
        <w:t>, 4193-4198, doi:10.1039/c4nr07045c (2015).</w:t>
      </w:r>
    </w:p>
    <w:p w14:paraId="46BFA48D" w14:textId="77777777" w:rsidR="00533C93" w:rsidRDefault="00BD36AF">
      <w:pPr>
        <w:pStyle w:val="EndNoteBibliography"/>
        <w:ind w:left="720" w:hanging="720"/>
        <w:jc w:val="left"/>
      </w:pPr>
      <w:r>
        <w:t>7</w:t>
      </w:r>
      <w:r>
        <w:tab/>
        <w:t>Zhou, H.</w:t>
      </w:r>
      <w:r>
        <w:rPr>
          <w:i/>
        </w:rPr>
        <w:t xml:space="preserve"> et al.</w:t>
      </w:r>
      <w:r>
        <w:t xml:space="preserve"> Large Area Growth and Electrical Properties of p-Type WSe2 Atomic Layers. </w:t>
      </w:r>
      <w:r>
        <w:rPr>
          <w:i/>
        </w:rPr>
        <w:t>Nano letters</w:t>
      </w:r>
      <w:r>
        <w:t xml:space="preserve"> </w:t>
      </w:r>
      <w:r>
        <w:rPr>
          <w:b/>
        </w:rPr>
        <w:t>15</w:t>
      </w:r>
      <w:r>
        <w:t>, 709-713, doi:10.1021/nl504256y (2014).</w:t>
      </w:r>
    </w:p>
    <w:p w14:paraId="411897C1" w14:textId="77777777" w:rsidR="00533C93" w:rsidRDefault="00BD36AF">
      <w:pPr>
        <w:pStyle w:val="EndNoteBibliography"/>
        <w:ind w:left="720" w:hanging="720"/>
        <w:jc w:val="left"/>
      </w:pPr>
      <w:r>
        <w:t>8</w:t>
      </w:r>
      <w:r>
        <w:tab/>
        <w:t>Lin, H.</w:t>
      </w:r>
      <w:r>
        <w:rPr>
          <w:i/>
        </w:rPr>
        <w:t xml:space="preserve"> et al.</w:t>
      </w:r>
      <w:r>
        <w:t xml:space="preserve"> A 90-nm-thick graphene metamaterial for strong and extremely broadband absorption of unpolarized light. </w:t>
      </w:r>
      <w:r>
        <w:rPr>
          <w:i/>
        </w:rPr>
        <w:t>Nature Photonics</w:t>
      </w:r>
      <w:r>
        <w:t xml:space="preserve"> </w:t>
      </w:r>
      <w:r>
        <w:rPr>
          <w:b/>
        </w:rPr>
        <w:t>13</w:t>
      </w:r>
      <w:r>
        <w:t>, 270-276, doi:10.1038/s41566-019-0389-3 (2019).</w:t>
      </w:r>
    </w:p>
    <w:p w14:paraId="67829B7B" w14:textId="77777777" w:rsidR="00533C93" w:rsidRDefault="00BD36AF">
      <w:pPr>
        <w:pStyle w:val="EndNoteBibliography"/>
        <w:ind w:left="720" w:hanging="720"/>
        <w:jc w:val="left"/>
      </w:pPr>
      <w:r>
        <w:t>9</w:t>
      </w:r>
      <w:r>
        <w:tab/>
        <w:t xml:space="preserve">Morozov, Y. V. &amp; Kuno, M. Optical constants and dynamic conductivities of single layer MoS2, MoSe2, and WSe2. </w:t>
      </w:r>
      <w:r>
        <w:rPr>
          <w:i/>
        </w:rPr>
        <w:t>Applied Physics Letters</w:t>
      </w:r>
      <w:r>
        <w:t xml:space="preserve"> </w:t>
      </w:r>
      <w:r>
        <w:rPr>
          <w:b/>
        </w:rPr>
        <w:t>107</w:t>
      </w:r>
      <w:r>
        <w:t>, 083103, doi:10.1063/1.4929700 (2015).</w:t>
      </w:r>
    </w:p>
    <w:p w14:paraId="1893ABC2" w14:textId="77777777" w:rsidR="00533C93" w:rsidRDefault="00BD36AF">
      <w:pPr>
        <w:pStyle w:val="EndNoteBibliography"/>
        <w:ind w:left="720" w:hanging="720"/>
        <w:jc w:val="left"/>
      </w:pPr>
      <w:r>
        <w:t>10</w:t>
      </w:r>
      <w:r>
        <w:tab/>
        <w:t xml:space="preserve">Born, M. &amp; Wolf, E. </w:t>
      </w:r>
      <w:r>
        <w:rPr>
          <w:i/>
        </w:rPr>
        <w:t>Principles of optics: electromagnetic theory of propagation, interference and diffraction of light</w:t>
      </w:r>
      <w:r>
        <w:t>.  (CUP Archive, 2000).</w:t>
      </w:r>
    </w:p>
    <w:p w14:paraId="7430DE6E" w14:textId="77777777" w:rsidR="00533C93" w:rsidRDefault="00BD36AF">
      <w:pPr>
        <w:pStyle w:val="EndNoteBibliography"/>
        <w:ind w:left="720" w:hanging="720"/>
        <w:jc w:val="left"/>
      </w:pPr>
      <w:r>
        <w:t>11</w:t>
      </w:r>
      <w:r>
        <w:tab/>
        <w:t>Nie, Z.-Q.</w:t>
      </w:r>
      <w:r>
        <w:rPr>
          <w:i/>
        </w:rPr>
        <w:t xml:space="preserve"> et al.</w:t>
      </w:r>
      <w:r>
        <w:t xml:space="preserve"> Three-dimensional super-resolution longitudinal magnetization spot arrays. </w:t>
      </w:r>
      <w:r>
        <w:rPr>
          <w:i/>
        </w:rPr>
        <w:t>Light: Science &amp; Applications</w:t>
      </w:r>
      <w:r>
        <w:t xml:space="preserve"> </w:t>
      </w:r>
      <w:r>
        <w:rPr>
          <w:b/>
        </w:rPr>
        <w:t>6</w:t>
      </w:r>
      <w:r>
        <w:t>, e17032 (2017).</w:t>
      </w:r>
    </w:p>
    <w:p w14:paraId="11D22191" w14:textId="77777777" w:rsidR="00533C93" w:rsidRDefault="00BD36AF">
      <w:pPr>
        <w:pStyle w:val="EndNoteBibliography"/>
        <w:ind w:left="720" w:hanging="720"/>
        <w:jc w:val="left"/>
      </w:pPr>
      <w:r>
        <w:t>12</w:t>
      </w:r>
      <w:r>
        <w:tab/>
        <w:t xml:space="preserve">Gloge, D. &amp; Marcuse, D. J. J. Formal quantum theory of light rays.  </w:t>
      </w:r>
      <w:r>
        <w:rPr>
          <w:b/>
        </w:rPr>
        <w:t>59</w:t>
      </w:r>
      <w:r>
        <w:t>, 1629-1631 (1969).</w:t>
      </w:r>
    </w:p>
    <w:p w14:paraId="455E780A" w14:textId="77777777" w:rsidR="00533C93" w:rsidRDefault="00BD36AF">
      <w:pPr>
        <w:jc w:val="left"/>
        <w:rPr>
          <w:sz w:val="20"/>
          <w:szCs w:val="20"/>
        </w:rPr>
      </w:pPr>
      <w:r>
        <w:rPr>
          <w:sz w:val="20"/>
          <w:szCs w:val="20"/>
        </w:rPr>
        <w:fldChar w:fldCharType="end"/>
      </w:r>
      <w:bookmarkEnd w:id="1"/>
      <w:bookmarkEnd w:id="22"/>
    </w:p>
    <w:sectPr w:rsidR="00533C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宋体">
    <w:charset w:val="50"/>
    <w:family w:val="auto"/>
    <w:pitch w:val="variable"/>
    <w:sig w:usb0="00000003" w:usb1="288F0000" w:usb2="00000016" w:usb3="00000000" w:csb0="00040001" w:csb1="00000000"/>
  </w:font>
  <w:font w:name="Times New Roman">
    <w:panose1 w:val="02020603050405020304"/>
    <w:charset w:val="00"/>
    <w:family w:val="auto"/>
    <w:pitch w:val="variable"/>
    <w:sig w:usb0="E0002AFF" w:usb1="C0007841" w:usb2="00000009" w:usb3="00000000" w:csb0="000001FF" w:csb1="00000000"/>
  </w:font>
  <w:font w:name="Segoe UI">
    <w:charset w:val="00"/>
    <w:family w:val="swiss"/>
    <w:pitch w:val="variable"/>
    <w:sig w:usb0="E4002EFF" w:usb1="C000E47F" w:usb2="00000009" w:usb3="00000000" w:csb0="000001FF" w:csb1="00000000"/>
  </w:font>
  <w:font w:name="Times">
    <w:panose1 w:val="02000500000000000000"/>
    <w:charset w:val="00"/>
    <w:family w:val="auto"/>
    <w:pitch w:val="variable"/>
    <w:sig w:usb0="00000003" w:usb1="00000000" w:usb2="00000000" w:usb3="00000000" w:csb0="00000001" w:csb1="00000000"/>
  </w:font>
  <w:font w:name="MS Gothic">
    <w:altName w:val="ＭＳ ゴシック"/>
    <w:charset w:val="80"/>
    <w:family w:val="modern"/>
    <w:pitch w:val="fixed"/>
    <w:sig w:usb0="E00002FF" w:usb1="6AC7FDFB" w:usb2="08000012" w:usb3="00000000" w:csb0="0002009F" w:csb1="00000000"/>
  </w:font>
  <w:font w:name="Cambria Math">
    <w:panose1 w:val="02040503050406030204"/>
    <w:charset w:val="00"/>
    <w:family w:val="auto"/>
    <w:pitch w:val="variable"/>
    <w:sig w:usb0="E00002FF" w:usb1="420024FF"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2zwzsxtiapx5iev0x0vzd2zrt99paf0zv20&quot;&gt;Graphene_Oxide_project-Converted&lt;record-ids&gt;&lt;item&gt;452&lt;/item&gt;&lt;item&gt;770&lt;/item&gt;&lt;item&gt;820&lt;/item&gt;&lt;item&gt;834&lt;/item&gt;&lt;item&gt;835&lt;/item&gt;&lt;item&gt;936&lt;/item&gt;&lt;/record-ids&gt;&lt;/item&gt;&lt;/Libraries&gt;"/>
  </w:docVars>
  <w:rsids>
    <w:rsidRoot w:val="00AF7F04"/>
    <w:rsid w:val="00006253"/>
    <w:rsid w:val="00013E9D"/>
    <w:rsid w:val="00016CC9"/>
    <w:rsid w:val="00017178"/>
    <w:rsid w:val="00061D9B"/>
    <w:rsid w:val="00074B13"/>
    <w:rsid w:val="00080F43"/>
    <w:rsid w:val="0008771C"/>
    <w:rsid w:val="000B464F"/>
    <w:rsid w:val="000B6F97"/>
    <w:rsid w:val="000C062E"/>
    <w:rsid w:val="000C2A71"/>
    <w:rsid w:val="000C6855"/>
    <w:rsid w:val="000C7E23"/>
    <w:rsid w:val="000D7FC1"/>
    <w:rsid w:val="000F0222"/>
    <w:rsid w:val="000F028A"/>
    <w:rsid w:val="000F262F"/>
    <w:rsid w:val="000F40F7"/>
    <w:rsid w:val="00101B1B"/>
    <w:rsid w:val="00104302"/>
    <w:rsid w:val="001064EA"/>
    <w:rsid w:val="00113C09"/>
    <w:rsid w:val="00117D92"/>
    <w:rsid w:val="001215F0"/>
    <w:rsid w:val="001353BE"/>
    <w:rsid w:val="00135917"/>
    <w:rsid w:val="00141310"/>
    <w:rsid w:val="00142B41"/>
    <w:rsid w:val="00142E68"/>
    <w:rsid w:val="00144E95"/>
    <w:rsid w:val="001625A7"/>
    <w:rsid w:val="0016392C"/>
    <w:rsid w:val="00172AC6"/>
    <w:rsid w:val="00175928"/>
    <w:rsid w:val="001819C2"/>
    <w:rsid w:val="00186B4E"/>
    <w:rsid w:val="00195A3F"/>
    <w:rsid w:val="00196599"/>
    <w:rsid w:val="001A19E8"/>
    <w:rsid w:val="001A37FE"/>
    <w:rsid w:val="001B059F"/>
    <w:rsid w:val="001B117A"/>
    <w:rsid w:val="001B6F9C"/>
    <w:rsid w:val="001D20BF"/>
    <w:rsid w:val="001D4DE0"/>
    <w:rsid w:val="001F35B6"/>
    <w:rsid w:val="002016D2"/>
    <w:rsid w:val="00201DD7"/>
    <w:rsid w:val="00207705"/>
    <w:rsid w:val="0020798D"/>
    <w:rsid w:val="002105DF"/>
    <w:rsid w:val="00215CC2"/>
    <w:rsid w:val="00217A93"/>
    <w:rsid w:val="0022208B"/>
    <w:rsid w:val="00225846"/>
    <w:rsid w:val="00240000"/>
    <w:rsid w:val="0024166B"/>
    <w:rsid w:val="00253368"/>
    <w:rsid w:val="002630C7"/>
    <w:rsid w:val="00272CF7"/>
    <w:rsid w:val="00274B54"/>
    <w:rsid w:val="0027644B"/>
    <w:rsid w:val="0029079F"/>
    <w:rsid w:val="00295BCC"/>
    <w:rsid w:val="002A3235"/>
    <w:rsid w:val="002A3520"/>
    <w:rsid w:val="002A4097"/>
    <w:rsid w:val="002B105C"/>
    <w:rsid w:val="002B15B6"/>
    <w:rsid w:val="002B2EAE"/>
    <w:rsid w:val="002D4E0D"/>
    <w:rsid w:val="002D5CCE"/>
    <w:rsid w:val="002E1371"/>
    <w:rsid w:val="002E37E5"/>
    <w:rsid w:val="002F191E"/>
    <w:rsid w:val="003029BE"/>
    <w:rsid w:val="00320825"/>
    <w:rsid w:val="00321465"/>
    <w:rsid w:val="0032431D"/>
    <w:rsid w:val="003314B0"/>
    <w:rsid w:val="00332C4F"/>
    <w:rsid w:val="00336C08"/>
    <w:rsid w:val="00340660"/>
    <w:rsid w:val="00352771"/>
    <w:rsid w:val="00362895"/>
    <w:rsid w:val="00372486"/>
    <w:rsid w:val="00373FB0"/>
    <w:rsid w:val="003843F0"/>
    <w:rsid w:val="003A16C4"/>
    <w:rsid w:val="003A3284"/>
    <w:rsid w:val="003B43AB"/>
    <w:rsid w:val="003C07BF"/>
    <w:rsid w:val="003C2717"/>
    <w:rsid w:val="003C3146"/>
    <w:rsid w:val="003D3865"/>
    <w:rsid w:val="003D3A39"/>
    <w:rsid w:val="003E7676"/>
    <w:rsid w:val="003F09E5"/>
    <w:rsid w:val="003F2A7B"/>
    <w:rsid w:val="003F67DB"/>
    <w:rsid w:val="00401AD2"/>
    <w:rsid w:val="004065E9"/>
    <w:rsid w:val="004142CC"/>
    <w:rsid w:val="0041648B"/>
    <w:rsid w:val="004173C0"/>
    <w:rsid w:val="00430832"/>
    <w:rsid w:val="004339C5"/>
    <w:rsid w:val="004352C8"/>
    <w:rsid w:val="00437C71"/>
    <w:rsid w:val="00445EA2"/>
    <w:rsid w:val="00457F9B"/>
    <w:rsid w:val="00472F4B"/>
    <w:rsid w:val="00474C57"/>
    <w:rsid w:val="00476CDC"/>
    <w:rsid w:val="004773B0"/>
    <w:rsid w:val="00477A4F"/>
    <w:rsid w:val="004872DD"/>
    <w:rsid w:val="00492DE6"/>
    <w:rsid w:val="004A2CC6"/>
    <w:rsid w:val="004A3BA1"/>
    <w:rsid w:val="004C0512"/>
    <w:rsid w:val="004D2A60"/>
    <w:rsid w:val="004D6BF3"/>
    <w:rsid w:val="004F7BA7"/>
    <w:rsid w:val="005131F9"/>
    <w:rsid w:val="00525C49"/>
    <w:rsid w:val="00533C93"/>
    <w:rsid w:val="00547F6E"/>
    <w:rsid w:val="00553D12"/>
    <w:rsid w:val="00554E17"/>
    <w:rsid w:val="0055605D"/>
    <w:rsid w:val="005642B5"/>
    <w:rsid w:val="00564551"/>
    <w:rsid w:val="00577E5A"/>
    <w:rsid w:val="00580EC0"/>
    <w:rsid w:val="00585A46"/>
    <w:rsid w:val="005A1E45"/>
    <w:rsid w:val="005A5C4F"/>
    <w:rsid w:val="005B4CD1"/>
    <w:rsid w:val="005C0A06"/>
    <w:rsid w:val="005D0022"/>
    <w:rsid w:val="005D5878"/>
    <w:rsid w:val="005D7FF5"/>
    <w:rsid w:val="005E518B"/>
    <w:rsid w:val="006104D4"/>
    <w:rsid w:val="006220C7"/>
    <w:rsid w:val="00623454"/>
    <w:rsid w:val="00624B2A"/>
    <w:rsid w:val="00630E8B"/>
    <w:rsid w:val="0063312D"/>
    <w:rsid w:val="00636DA5"/>
    <w:rsid w:val="00637D73"/>
    <w:rsid w:val="00645431"/>
    <w:rsid w:val="00660E93"/>
    <w:rsid w:val="00665664"/>
    <w:rsid w:val="00667D3F"/>
    <w:rsid w:val="00673BB4"/>
    <w:rsid w:val="00681CEA"/>
    <w:rsid w:val="006828E3"/>
    <w:rsid w:val="00685DA3"/>
    <w:rsid w:val="00693BAC"/>
    <w:rsid w:val="006957F8"/>
    <w:rsid w:val="00696036"/>
    <w:rsid w:val="006964AE"/>
    <w:rsid w:val="006B3F48"/>
    <w:rsid w:val="006B4929"/>
    <w:rsid w:val="006C0358"/>
    <w:rsid w:val="006C172D"/>
    <w:rsid w:val="006D4CFE"/>
    <w:rsid w:val="006E7645"/>
    <w:rsid w:val="006F390F"/>
    <w:rsid w:val="00703122"/>
    <w:rsid w:val="007108B6"/>
    <w:rsid w:val="00720252"/>
    <w:rsid w:val="00723788"/>
    <w:rsid w:val="00725D85"/>
    <w:rsid w:val="00730BE3"/>
    <w:rsid w:val="00734E45"/>
    <w:rsid w:val="00734ECC"/>
    <w:rsid w:val="00752EB5"/>
    <w:rsid w:val="007563B7"/>
    <w:rsid w:val="00765EF8"/>
    <w:rsid w:val="007856EB"/>
    <w:rsid w:val="007951FD"/>
    <w:rsid w:val="007A3D69"/>
    <w:rsid w:val="007B113D"/>
    <w:rsid w:val="007C2793"/>
    <w:rsid w:val="007C31C8"/>
    <w:rsid w:val="007D575D"/>
    <w:rsid w:val="007E059B"/>
    <w:rsid w:val="007E39F5"/>
    <w:rsid w:val="007E7B72"/>
    <w:rsid w:val="007F2926"/>
    <w:rsid w:val="007F421B"/>
    <w:rsid w:val="00804B1C"/>
    <w:rsid w:val="008104E9"/>
    <w:rsid w:val="008144EB"/>
    <w:rsid w:val="008202A5"/>
    <w:rsid w:val="008275C2"/>
    <w:rsid w:val="00841047"/>
    <w:rsid w:val="0084703A"/>
    <w:rsid w:val="00857F80"/>
    <w:rsid w:val="00870747"/>
    <w:rsid w:val="00873ED0"/>
    <w:rsid w:val="008863D6"/>
    <w:rsid w:val="008976F1"/>
    <w:rsid w:val="008A6C42"/>
    <w:rsid w:val="008C7B9C"/>
    <w:rsid w:val="008D2ABF"/>
    <w:rsid w:val="008E1C7A"/>
    <w:rsid w:val="008F3901"/>
    <w:rsid w:val="00906878"/>
    <w:rsid w:val="0091192A"/>
    <w:rsid w:val="009131E3"/>
    <w:rsid w:val="0091570F"/>
    <w:rsid w:val="009166A6"/>
    <w:rsid w:val="00916834"/>
    <w:rsid w:val="00924F27"/>
    <w:rsid w:val="00934878"/>
    <w:rsid w:val="00957D22"/>
    <w:rsid w:val="00961538"/>
    <w:rsid w:val="00965041"/>
    <w:rsid w:val="0096542A"/>
    <w:rsid w:val="009731DE"/>
    <w:rsid w:val="00974266"/>
    <w:rsid w:val="00985670"/>
    <w:rsid w:val="00997F4F"/>
    <w:rsid w:val="009A64F6"/>
    <w:rsid w:val="009C380B"/>
    <w:rsid w:val="009C5136"/>
    <w:rsid w:val="009C56AE"/>
    <w:rsid w:val="009D1BC0"/>
    <w:rsid w:val="009D2528"/>
    <w:rsid w:val="009E10F3"/>
    <w:rsid w:val="009E5F6E"/>
    <w:rsid w:val="009E72B1"/>
    <w:rsid w:val="009F1424"/>
    <w:rsid w:val="00A02698"/>
    <w:rsid w:val="00A05539"/>
    <w:rsid w:val="00A15498"/>
    <w:rsid w:val="00A16456"/>
    <w:rsid w:val="00A24D2E"/>
    <w:rsid w:val="00A27599"/>
    <w:rsid w:val="00A3142E"/>
    <w:rsid w:val="00A35F21"/>
    <w:rsid w:val="00A400BD"/>
    <w:rsid w:val="00A4306A"/>
    <w:rsid w:val="00A4681C"/>
    <w:rsid w:val="00A55894"/>
    <w:rsid w:val="00A573B7"/>
    <w:rsid w:val="00A66A09"/>
    <w:rsid w:val="00A738F3"/>
    <w:rsid w:val="00A87357"/>
    <w:rsid w:val="00A94F96"/>
    <w:rsid w:val="00AA561F"/>
    <w:rsid w:val="00AB7AB9"/>
    <w:rsid w:val="00AC2F6D"/>
    <w:rsid w:val="00AC42DA"/>
    <w:rsid w:val="00AC46D8"/>
    <w:rsid w:val="00AE1F5A"/>
    <w:rsid w:val="00AE64CB"/>
    <w:rsid w:val="00AF7F04"/>
    <w:rsid w:val="00B14434"/>
    <w:rsid w:val="00B222BE"/>
    <w:rsid w:val="00B224FF"/>
    <w:rsid w:val="00B32948"/>
    <w:rsid w:val="00B404B0"/>
    <w:rsid w:val="00B41ECB"/>
    <w:rsid w:val="00B43622"/>
    <w:rsid w:val="00B46D3C"/>
    <w:rsid w:val="00B56B75"/>
    <w:rsid w:val="00B56D6C"/>
    <w:rsid w:val="00B7604E"/>
    <w:rsid w:val="00B82F6D"/>
    <w:rsid w:val="00B94132"/>
    <w:rsid w:val="00BA1B4A"/>
    <w:rsid w:val="00BA750A"/>
    <w:rsid w:val="00BA7744"/>
    <w:rsid w:val="00BC1CA8"/>
    <w:rsid w:val="00BC2B0F"/>
    <w:rsid w:val="00BC54AB"/>
    <w:rsid w:val="00BD36AF"/>
    <w:rsid w:val="00BF1430"/>
    <w:rsid w:val="00BF3021"/>
    <w:rsid w:val="00C04B99"/>
    <w:rsid w:val="00C04D55"/>
    <w:rsid w:val="00C05936"/>
    <w:rsid w:val="00C11577"/>
    <w:rsid w:val="00C21813"/>
    <w:rsid w:val="00C258BF"/>
    <w:rsid w:val="00C27292"/>
    <w:rsid w:val="00C409F9"/>
    <w:rsid w:val="00C45840"/>
    <w:rsid w:val="00C526A7"/>
    <w:rsid w:val="00C53917"/>
    <w:rsid w:val="00C65F2C"/>
    <w:rsid w:val="00C7168F"/>
    <w:rsid w:val="00C91D61"/>
    <w:rsid w:val="00C92ABB"/>
    <w:rsid w:val="00C946BE"/>
    <w:rsid w:val="00CB3053"/>
    <w:rsid w:val="00CB31A2"/>
    <w:rsid w:val="00CC083A"/>
    <w:rsid w:val="00CC3E4A"/>
    <w:rsid w:val="00CC6E17"/>
    <w:rsid w:val="00CD4617"/>
    <w:rsid w:val="00CD7A0D"/>
    <w:rsid w:val="00CF0EE8"/>
    <w:rsid w:val="00D10FBF"/>
    <w:rsid w:val="00D15BD7"/>
    <w:rsid w:val="00D22592"/>
    <w:rsid w:val="00D36696"/>
    <w:rsid w:val="00D41E71"/>
    <w:rsid w:val="00D4676E"/>
    <w:rsid w:val="00D538C7"/>
    <w:rsid w:val="00D7621E"/>
    <w:rsid w:val="00D778C9"/>
    <w:rsid w:val="00D82B14"/>
    <w:rsid w:val="00D82BEB"/>
    <w:rsid w:val="00D862C7"/>
    <w:rsid w:val="00D91374"/>
    <w:rsid w:val="00D9456F"/>
    <w:rsid w:val="00DB62B5"/>
    <w:rsid w:val="00DD02FF"/>
    <w:rsid w:val="00DD102D"/>
    <w:rsid w:val="00DF4270"/>
    <w:rsid w:val="00E01D9C"/>
    <w:rsid w:val="00E025A2"/>
    <w:rsid w:val="00E02F7E"/>
    <w:rsid w:val="00E25FE0"/>
    <w:rsid w:val="00E338B2"/>
    <w:rsid w:val="00E34E50"/>
    <w:rsid w:val="00E412D2"/>
    <w:rsid w:val="00E4456C"/>
    <w:rsid w:val="00E4616D"/>
    <w:rsid w:val="00E54F2D"/>
    <w:rsid w:val="00E65CB4"/>
    <w:rsid w:val="00E66857"/>
    <w:rsid w:val="00E76351"/>
    <w:rsid w:val="00E9405C"/>
    <w:rsid w:val="00E948E1"/>
    <w:rsid w:val="00EA677C"/>
    <w:rsid w:val="00EB4B1B"/>
    <w:rsid w:val="00EC3885"/>
    <w:rsid w:val="00EC75E9"/>
    <w:rsid w:val="00ED21E7"/>
    <w:rsid w:val="00ED7571"/>
    <w:rsid w:val="00EE38EB"/>
    <w:rsid w:val="00F02F25"/>
    <w:rsid w:val="00F033A8"/>
    <w:rsid w:val="00F20A31"/>
    <w:rsid w:val="00F20EB3"/>
    <w:rsid w:val="00F2109D"/>
    <w:rsid w:val="00F27838"/>
    <w:rsid w:val="00F57107"/>
    <w:rsid w:val="00F614F9"/>
    <w:rsid w:val="00F65CFB"/>
    <w:rsid w:val="00F72320"/>
    <w:rsid w:val="00F97DF8"/>
    <w:rsid w:val="00FA0EBE"/>
    <w:rsid w:val="00FA51D7"/>
    <w:rsid w:val="00FB5EAA"/>
    <w:rsid w:val="00FB765C"/>
    <w:rsid w:val="00FB7F4B"/>
    <w:rsid w:val="00FE7BA0"/>
    <w:rsid w:val="00FF2C8D"/>
    <w:rsid w:val="06DD6561"/>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3451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lsdException w:name="footer" w:semiHidden="0"/>
    <w:lsdException w:name="caption" w:uiPriority="35" w:qFormat="1"/>
    <w:lsdException w:name="annotation reference"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uiPriority="0" w:unhideWhenUsed="0"/>
    <w:lsdException w:name="Strong" w:semiHidden="0" w:uiPriority="22" w:unhideWhenUsed="0" w:qFormat="1"/>
    <w:lsdException w:name="Emphasis" w:semiHidden="0" w:uiPriority="20" w:unhideWhenUsed="0" w:qFormat="1"/>
    <w:lsdException w:name="Normal (Web)" w:qFormat="1"/>
    <w:lsdException w:name="Normal Table" w:qFormat="1"/>
    <w:lsdException w:name="annotation subject" w:qFormat="1"/>
    <w:lsdException w:name="Table Grid" w:semiHidden="0" w:uiPriority="59" w:unhideWhenUsed="0" w:qFormat="1"/>
    <w:lsdException w:name="Placeholder Text"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480" w:lineRule="auto"/>
      <w:jc w:val="both"/>
    </w:pPr>
    <w:rPr>
      <w:rFonts w:ascii="Times New Roman" w:hAnsi="Times New Roman" w:cs="Times New Roman"/>
      <w:sz w:val="24"/>
      <w:szCs w:val="24"/>
      <w:lang w:eastAsia="zh-CN"/>
    </w:rPr>
  </w:style>
  <w:style w:type="paragraph" w:styleId="Heading1">
    <w:name w:val="heading 1"/>
    <w:basedOn w:val="Normal"/>
    <w:next w:val="Normal"/>
    <w:link w:val="Heading1Char"/>
    <w:uiPriority w:val="9"/>
    <w:qFormat/>
    <w:pPr>
      <w:outlineLvl w:val="0"/>
    </w:pPr>
    <w:rPr>
      <w:b/>
      <w:bCs/>
      <w:sz w:val="28"/>
      <w:szCs w:val="28"/>
    </w:rPr>
  </w:style>
  <w:style w:type="paragraph" w:styleId="Heading2">
    <w:name w:val="heading 2"/>
    <w:basedOn w:val="Normal"/>
    <w:next w:val="Normal"/>
    <w:link w:val="Heading2Char"/>
    <w:uiPriority w:val="9"/>
    <w:unhideWhenUsed/>
    <w:qFormat/>
    <w:pP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pPr>
      <w:spacing w:line="240" w:lineRule="auto"/>
    </w:pPr>
    <w:rPr>
      <w:sz w:val="20"/>
      <w:szCs w:val="20"/>
    </w:rPr>
  </w:style>
  <w:style w:type="paragraph" w:styleId="BalloonText">
    <w:name w:val="Balloon Text"/>
    <w:basedOn w:val="Normal"/>
    <w:link w:val="BalloonTextChar"/>
    <w:uiPriority w:val="99"/>
    <w:semiHidden/>
    <w:unhideWhenUsed/>
    <w:pPr>
      <w:spacing w:line="240" w:lineRule="auto"/>
    </w:pPr>
    <w:rPr>
      <w:rFonts w:ascii="Segoe UI" w:hAnsi="Segoe UI" w:cs="Segoe UI"/>
      <w:sz w:val="18"/>
      <w:szCs w:val="18"/>
    </w:rPr>
  </w:style>
  <w:style w:type="paragraph" w:styleId="Footer">
    <w:name w:val="footer"/>
    <w:basedOn w:val="Normal"/>
    <w:link w:val="FooterChar"/>
    <w:uiPriority w:val="99"/>
    <w:unhideWhenUsed/>
    <w:pPr>
      <w:tabs>
        <w:tab w:val="center" w:pos="4153"/>
        <w:tab w:val="right" w:pos="8306"/>
      </w:tabs>
      <w:snapToGrid w:val="0"/>
      <w:spacing w:line="240" w:lineRule="auto"/>
    </w:pPr>
    <w:rPr>
      <w:sz w:val="18"/>
      <w:szCs w:val="18"/>
    </w:rPr>
  </w:style>
  <w:style w:type="paragraph" w:styleId="Header">
    <w:name w:val="header"/>
    <w:basedOn w:val="Normal"/>
    <w:link w:val="HeaderChar"/>
    <w:uiPriority w:val="99"/>
    <w:unhideWhenUsed/>
    <w:pPr>
      <w:pBdr>
        <w:bottom w:val="single" w:sz="6" w:space="1" w:color="auto"/>
      </w:pBdr>
      <w:tabs>
        <w:tab w:val="center" w:pos="4153"/>
        <w:tab w:val="right" w:pos="8306"/>
      </w:tabs>
      <w:snapToGrid w:val="0"/>
      <w:spacing w:line="240" w:lineRule="auto"/>
      <w:jc w:val="center"/>
    </w:pPr>
    <w:rPr>
      <w:sz w:val="18"/>
      <w:szCs w:val="18"/>
    </w:rPr>
  </w:style>
  <w:style w:type="paragraph" w:styleId="NormalWeb">
    <w:name w:val="Normal (Web)"/>
    <w:basedOn w:val="Normal"/>
    <w:uiPriority w:val="99"/>
    <w:semiHidden/>
    <w:unhideWhenUsed/>
    <w:qFormat/>
    <w:pPr>
      <w:spacing w:before="100" w:beforeAutospacing="1" w:after="100" w:afterAutospacing="1" w:line="240" w:lineRule="auto"/>
    </w:pPr>
  </w:style>
  <w:style w:type="paragraph" w:styleId="Title">
    <w:name w:val="Title"/>
    <w:basedOn w:val="MCTitle"/>
    <w:next w:val="Normal"/>
    <w:link w:val="TitleChar"/>
    <w:uiPriority w:val="10"/>
    <w:qFormat/>
    <w:pPr>
      <w:adjustRightInd/>
      <w:snapToGrid/>
      <w:ind w:firstLineChars="0" w:firstLine="0"/>
    </w:pPr>
  </w:style>
  <w:style w:type="paragraph" w:customStyle="1" w:styleId="MCTitle">
    <w:name w:val="MC Title"/>
    <w:basedOn w:val="Normal"/>
    <w:next w:val="Normal"/>
    <w:pPr>
      <w:adjustRightInd w:val="0"/>
      <w:snapToGrid w:val="0"/>
      <w:spacing w:before="120" w:line="240" w:lineRule="auto"/>
      <w:ind w:firstLineChars="200" w:firstLine="480"/>
      <w:jc w:val="center"/>
    </w:pPr>
    <w:rPr>
      <w:rFonts w:eastAsia="Times New Roman"/>
      <w:b/>
      <w:sz w:val="36"/>
      <w:szCs w:val="20"/>
      <w:lang w:val="en-US" w:eastAsia="en-US"/>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uiPriority w:val="59"/>
    <w:qFormat/>
    <w:rPr>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rPr>
      <w:color w:val="0000FF"/>
      <w:u w:val="single"/>
    </w:rPr>
  </w:style>
  <w:style w:type="character" w:styleId="CommentReference">
    <w:name w:val="annotation reference"/>
    <w:basedOn w:val="DefaultParagraphFont"/>
    <w:uiPriority w:val="99"/>
    <w:semiHidden/>
    <w:unhideWhenUsed/>
    <w:qFormat/>
    <w:rPr>
      <w:sz w:val="16"/>
      <w:szCs w:val="16"/>
    </w:rPr>
  </w:style>
  <w:style w:type="paragraph" w:styleId="ListParagraph">
    <w:name w:val="List Paragraph"/>
    <w:basedOn w:val="Normal"/>
    <w:uiPriority w:val="34"/>
    <w:qFormat/>
    <w:pPr>
      <w:ind w:left="720"/>
      <w:contextualSpacing/>
    </w:pPr>
  </w:style>
  <w:style w:type="paragraph" w:customStyle="1" w:styleId="MCBody">
    <w:name w:val="MC Body"/>
    <w:next w:val="Normal"/>
    <w:link w:val="MCBodyChar"/>
    <w:qFormat/>
    <w:pPr>
      <w:spacing w:before="120"/>
      <w:jc w:val="both"/>
    </w:pPr>
    <w:rPr>
      <w:rFonts w:ascii="Times New Roman" w:eastAsia="Times New Roman" w:hAnsi="Times New Roman" w:cs="Times New Roman"/>
      <w:lang w:val="en-US"/>
    </w:rPr>
  </w:style>
  <w:style w:type="character" w:customStyle="1" w:styleId="MCBodyChar">
    <w:name w:val="MC Body Char"/>
    <w:basedOn w:val="DefaultParagraphFont"/>
    <w:link w:val="MCBody"/>
    <w:qFormat/>
    <w:rPr>
      <w:rFonts w:ascii="Times New Roman" w:eastAsia="Times New Roman" w:hAnsi="Times New Roman" w:cs="Times New Roman"/>
      <w:sz w:val="20"/>
      <w:szCs w:val="20"/>
      <w:lang w:val="en-US" w:eastAsia="en-US"/>
    </w:rPr>
  </w:style>
  <w:style w:type="paragraph" w:customStyle="1" w:styleId="EndNoteBibliographyTitle">
    <w:name w:val="EndNote Bibliography Title"/>
    <w:basedOn w:val="Normal"/>
    <w:link w:val="EndNoteBibliographyTitleChar"/>
    <w:qFormat/>
    <w:pPr>
      <w:jc w:val="center"/>
    </w:pPr>
    <w:rPr>
      <w:rFonts w:ascii="Calibri" w:hAnsi="Calibri" w:cs="Calibri"/>
      <w:sz w:val="22"/>
    </w:rPr>
  </w:style>
  <w:style w:type="character" w:customStyle="1" w:styleId="EndNoteBibliographyTitleChar">
    <w:name w:val="EndNote Bibliography Title Char"/>
    <w:basedOn w:val="DefaultParagraphFont"/>
    <w:link w:val="EndNoteBibliographyTitle"/>
    <w:qFormat/>
    <w:rPr>
      <w:rFonts w:ascii="Calibri" w:hAnsi="Calibri" w:cs="Calibri"/>
      <w:szCs w:val="24"/>
    </w:rPr>
  </w:style>
  <w:style w:type="paragraph" w:customStyle="1" w:styleId="EndNoteBibliography">
    <w:name w:val="EndNote Bibliography"/>
    <w:basedOn w:val="Normal"/>
    <w:link w:val="EndNoteBibliographyChar"/>
    <w:qFormat/>
    <w:pPr>
      <w:spacing w:line="240" w:lineRule="auto"/>
      <w:jc w:val="center"/>
    </w:pPr>
    <w:rPr>
      <w:rFonts w:ascii="Calibri" w:hAnsi="Calibri" w:cs="Calibri"/>
      <w:sz w:val="22"/>
    </w:rPr>
  </w:style>
  <w:style w:type="character" w:customStyle="1" w:styleId="EndNoteBibliographyChar">
    <w:name w:val="EndNote Bibliography Char"/>
    <w:basedOn w:val="DefaultParagraphFont"/>
    <w:link w:val="EndNoteBibliography"/>
    <w:qFormat/>
    <w:rPr>
      <w:rFonts w:ascii="Calibri" w:hAnsi="Calibri" w:cs="Calibri"/>
      <w:szCs w:val="24"/>
    </w:rPr>
  </w:style>
  <w:style w:type="character" w:customStyle="1" w:styleId="CommentTextChar">
    <w:name w:val="Comment Text Char"/>
    <w:basedOn w:val="DefaultParagraphFont"/>
    <w:link w:val="CommentText"/>
    <w:uiPriority w:val="99"/>
    <w:rPr>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customStyle="1" w:styleId="MCBodySP">
    <w:name w:val="MC Body SP"/>
    <w:basedOn w:val="MCBody"/>
    <w:pPr>
      <w:spacing w:before="0"/>
      <w:ind w:firstLine="288"/>
      <w:jc w:val="left"/>
    </w:pPr>
  </w:style>
  <w:style w:type="paragraph" w:customStyle="1" w:styleId="MCSectionHead">
    <w:name w:val="MC Section Head"/>
    <w:basedOn w:val="MCBody"/>
    <w:next w:val="Normal"/>
    <w:qFormat/>
    <w:rPr>
      <w:b/>
    </w:rPr>
  </w:style>
  <w:style w:type="character" w:customStyle="1" w:styleId="HeaderChar">
    <w:name w:val="Header Char"/>
    <w:basedOn w:val="DefaultParagraphFont"/>
    <w:link w:val="Header"/>
    <w:uiPriority w:val="99"/>
    <w:rPr>
      <w:sz w:val="18"/>
      <w:szCs w:val="18"/>
    </w:rPr>
  </w:style>
  <w:style w:type="character" w:customStyle="1" w:styleId="FooterChar">
    <w:name w:val="Footer Char"/>
    <w:basedOn w:val="DefaultParagraphFont"/>
    <w:link w:val="Footer"/>
    <w:uiPriority w:val="99"/>
    <w:rPr>
      <w:sz w:val="18"/>
      <w:szCs w:val="18"/>
    </w:rPr>
  </w:style>
  <w:style w:type="paragraph" w:customStyle="1" w:styleId="MCAuthor">
    <w:name w:val="MC Author"/>
    <w:basedOn w:val="Normal"/>
    <w:next w:val="MCAuthorAffiliation"/>
    <w:pPr>
      <w:adjustRightInd w:val="0"/>
      <w:snapToGrid w:val="0"/>
      <w:spacing w:before="120" w:line="240" w:lineRule="auto"/>
      <w:ind w:firstLineChars="200" w:firstLine="480"/>
      <w:jc w:val="center"/>
    </w:pPr>
    <w:rPr>
      <w:rFonts w:eastAsia="Times New Roman"/>
      <w:b/>
      <w:sz w:val="20"/>
      <w:szCs w:val="20"/>
      <w:lang w:val="en-US" w:eastAsia="en-US"/>
    </w:rPr>
  </w:style>
  <w:style w:type="paragraph" w:customStyle="1" w:styleId="MCAuthorAffiliation">
    <w:name w:val="MC Author Affiliation"/>
    <w:basedOn w:val="Normal"/>
    <w:next w:val="Normal"/>
    <w:link w:val="MCAuthorAffiliationChar"/>
    <w:pPr>
      <w:adjustRightInd w:val="0"/>
      <w:snapToGrid w:val="0"/>
      <w:spacing w:before="120" w:line="240" w:lineRule="auto"/>
      <w:ind w:firstLineChars="200" w:firstLine="480"/>
      <w:jc w:val="center"/>
    </w:pPr>
    <w:rPr>
      <w:rFonts w:ascii="Times" w:eastAsia="Times New Roman" w:hAnsi="Times"/>
      <w:i/>
      <w:sz w:val="16"/>
      <w:szCs w:val="20"/>
      <w:lang w:val="en-US" w:eastAsia="en-US"/>
    </w:rPr>
  </w:style>
  <w:style w:type="paragraph" w:customStyle="1" w:styleId="Affiliation">
    <w:name w:val="Affiliation"/>
    <w:basedOn w:val="MCAuthorAffiliation"/>
    <w:link w:val="AffiliationChar"/>
    <w:qFormat/>
    <w:pPr>
      <w:ind w:firstLine="320"/>
    </w:pPr>
  </w:style>
  <w:style w:type="character" w:customStyle="1" w:styleId="MCAuthorAffiliationChar">
    <w:name w:val="MC Author Affiliation Char"/>
    <w:basedOn w:val="DefaultParagraphFont"/>
    <w:link w:val="MCAuthorAffiliation"/>
    <w:rPr>
      <w:rFonts w:ascii="Times" w:eastAsia="Times New Roman" w:hAnsi="Times" w:cs="Times New Roman"/>
      <w:i/>
      <w:sz w:val="16"/>
      <w:szCs w:val="20"/>
      <w:lang w:val="en-US" w:eastAsia="en-US"/>
    </w:rPr>
  </w:style>
  <w:style w:type="character" w:customStyle="1" w:styleId="AffiliationChar">
    <w:name w:val="Affiliation Char"/>
    <w:basedOn w:val="MCAuthorAffiliationChar"/>
    <w:link w:val="Affiliation"/>
    <w:qFormat/>
    <w:rPr>
      <w:rFonts w:ascii="Times" w:eastAsia="Times New Roman" w:hAnsi="Times" w:cs="Times New Roman"/>
      <w:i/>
      <w:sz w:val="16"/>
      <w:szCs w:val="20"/>
      <w:lang w:val="en-US" w:eastAsia="en-US"/>
    </w:rPr>
  </w:style>
  <w:style w:type="paragraph" w:customStyle="1" w:styleId="Figure">
    <w:name w:val="Figure"/>
    <w:basedOn w:val="Normal"/>
    <w:link w:val="FigureChar"/>
    <w:qFormat/>
    <w:pPr>
      <w:jc w:val="center"/>
    </w:pPr>
  </w:style>
  <w:style w:type="character" w:customStyle="1" w:styleId="Heading1Char">
    <w:name w:val="Heading 1 Char"/>
    <w:basedOn w:val="DefaultParagraphFont"/>
    <w:link w:val="Heading1"/>
    <w:uiPriority w:val="9"/>
    <w:rPr>
      <w:rFonts w:ascii="Times New Roman" w:hAnsi="Times New Roman" w:cs="Times New Roman"/>
      <w:b/>
      <w:bCs/>
      <w:sz w:val="28"/>
      <w:szCs w:val="28"/>
    </w:rPr>
  </w:style>
  <w:style w:type="character" w:customStyle="1" w:styleId="FigureChar">
    <w:name w:val="Figure Char"/>
    <w:basedOn w:val="DefaultParagraphFont"/>
    <w:link w:val="Figure"/>
    <w:rPr>
      <w:rFonts w:ascii="Times New Roman" w:hAnsi="Times New Roman" w:cs="Times New Roman"/>
      <w:sz w:val="24"/>
      <w:szCs w:val="24"/>
    </w:rPr>
  </w:style>
  <w:style w:type="character" w:customStyle="1" w:styleId="Heading2Char">
    <w:name w:val="Heading 2 Char"/>
    <w:basedOn w:val="DefaultParagraphFont"/>
    <w:link w:val="Heading2"/>
    <w:uiPriority w:val="9"/>
    <w:qFormat/>
    <w:rPr>
      <w:rFonts w:ascii="Times New Roman" w:hAnsi="Times New Roman" w:cs="Times New Roman"/>
      <w:b/>
      <w:bCs/>
      <w:sz w:val="24"/>
      <w:szCs w:val="24"/>
    </w:rPr>
  </w:style>
  <w:style w:type="paragraph" w:customStyle="1" w:styleId="Equation">
    <w:name w:val="Equation"/>
    <w:basedOn w:val="Normal"/>
    <w:link w:val="EquationChar"/>
    <w:qFormat/>
    <w:pPr>
      <w:jc w:val="right"/>
    </w:pPr>
  </w:style>
  <w:style w:type="character" w:customStyle="1" w:styleId="EquationChar">
    <w:name w:val="Equation Char"/>
    <w:basedOn w:val="DefaultParagraphFont"/>
    <w:link w:val="Equation"/>
    <w:rPr>
      <w:rFonts w:ascii="Times New Roman" w:hAnsi="Times New Roman" w:cs="Times New Roman"/>
      <w:sz w:val="24"/>
      <w:szCs w:val="24"/>
    </w:rPr>
  </w:style>
  <w:style w:type="paragraph" w:customStyle="1" w:styleId="SPIEfigurecaption">
    <w:name w:val="SPIE figure caption"/>
    <w:basedOn w:val="Normal"/>
    <w:next w:val="Normal"/>
    <w:link w:val="SPIEfigurecaptionChar"/>
    <w:qFormat/>
    <w:pPr>
      <w:spacing w:after="120" w:line="240" w:lineRule="auto"/>
      <w:ind w:left="357" w:right="357"/>
      <w:jc w:val="left"/>
    </w:pPr>
    <w:rPr>
      <w:rFonts w:eastAsia="宋体"/>
      <w:sz w:val="18"/>
      <w:szCs w:val="20"/>
      <w:lang w:val="en-US" w:eastAsia="en-US"/>
    </w:rPr>
  </w:style>
  <w:style w:type="character" w:customStyle="1" w:styleId="SPIEfigurecaptionChar">
    <w:name w:val="SPIE figure caption Char"/>
    <w:link w:val="SPIEfigurecaption"/>
    <w:rPr>
      <w:rFonts w:ascii="Times New Roman" w:eastAsia="宋体" w:hAnsi="Times New Roman" w:cs="Times New Roman"/>
      <w:sz w:val="18"/>
      <w:szCs w:val="20"/>
      <w:lang w:val="en-US" w:eastAsia="en-US"/>
    </w:rPr>
  </w:style>
  <w:style w:type="paragraph" w:customStyle="1" w:styleId="SPIEabstractbodytext">
    <w:name w:val="SPIE abstract body text"/>
    <w:basedOn w:val="Normal"/>
    <w:link w:val="SPIEabstractbodytextCharChar"/>
    <w:pPr>
      <w:spacing w:after="120" w:line="240" w:lineRule="auto"/>
    </w:pPr>
    <w:rPr>
      <w:rFonts w:eastAsia="宋体"/>
      <w:sz w:val="20"/>
      <w:lang w:val="en-US" w:eastAsia="en-US"/>
    </w:rPr>
  </w:style>
  <w:style w:type="character" w:customStyle="1" w:styleId="SPIEabstractbodytextCharChar">
    <w:name w:val="SPIE abstract body text Char Char"/>
    <w:link w:val="SPIEabstractbodytext"/>
    <w:qFormat/>
    <w:rPr>
      <w:rFonts w:ascii="Times New Roman" w:eastAsia="宋体" w:hAnsi="Times New Roman" w:cs="Times New Roman"/>
      <w:sz w:val="20"/>
      <w:szCs w:val="24"/>
      <w:lang w:val="en-US" w:eastAsia="en-US"/>
    </w:rPr>
  </w:style>
  <w:style w:type="character" w:styleId="PlaceholderText">
    <w:name w:val="Placeholder Text"/>
    <w:basedOn w:val="DefaultParagraphFont"/>
    <w:uiPriority w:val="99"/>
    <w:semiHidden/>
    <w:rPr>
      <w:color w:val="808080"/>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rPr>
  </w:style>
  <w:style w:type="character" w:customStyle="1" w:styleId="TitleChar">
    <w:name w:val="Title Char"/>
    <w:basedOn w:val="DefaultParagraphFont"/>
    <w:link w:val="Title"/>
    <w:uiPriority w:val="10"/>
    <w:rPr>
      <w:rFonts w:ascii="Times New Roman" w:eastAsia="Times New Roman" w:hAnsi="Times New Roman" w:cs="Times New Roman"/>
      <w:b/>
      <w:sz w:val="36"/>
      <w:szCs w:val="20"/>
      <w:lang w:val="en-US" w:eastAsia="en-US"/>
    </w:rPr>
  </w:style>
  <w:style w:type="paragraph" w:customStyle="1" w:styleId="SMHeading">
    <w:name w:val="SM Heading"/>
    <w:basedOn w:val="Heading1"/>
    <w:qFormat/>
    <w:pPr>
      <w:keepNext/>
      <w:spacing w:before="240" w:after="60" w:line="240" w:lineRule="auto"/>
      <w:jc w:val="left"/>
    </w:pPr>
    <w:rPr>
      <w:rFonts w:eastAsia="宋体"/>
      <w:kern w:val="32"/>
      <w:sz w:val="24"/>
      <w:szCs w:val="24"/>
      <w:lang w:val="en-US" w:eastAsia="en-US"/>
    </w:rPr>
  </w:style>
  <w:style w:type="paragraph" w:customStyle="1" w:styleId="SMcaption">
    <w:name w:val="SM caption"/>
    <w:basedOn w:val="Normal"/>
    <w:qFormat/>
    <w:pPr>
      <w:spacing w:line="240" w:lineRule="auto"/>
      <w:jc w:val="left"/>
    </w:pPr>
    <w:rPr>
      <w:rFonts w:eastAsia="宋体"/>
      <w:szCs w:val="20"/>
      <w:lang w:val="en-US"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lsdException w:name="footer" w:semiHidden="0"/>
    <w:lsdException w:name="caption" w:uiPriority="35" w:qFormat="1"/>
    <w:lsdException w:name="annotation reference"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uiPriority="0" w:unhideWhenUsed="0"/>
    <w:lsdException w:name="Strong" w:semiHidden="0" w:uiPriority="22" w:unhideWhenUsed="0" w:qFormat="1"/>
    <w:lsdException w:name="Emphasis" w:semiHidden="0" w:uiPriority="20" w:unhideWhenUsed="0" w:qFormat="1"/>
    <w:lsdException w:name="Normal (Web)" w:qFormat="1"/>
    <w:lsdException w:name="Normal Table" w:qFormat="1"/>
    <w:lsdException w:name="annotation subject" w:qFormat="1"/>
    <w:lsdException w:name="Table Grid" w:semiHidden="0" w:uiPriority="59" w:unhideWhenUsed="0" w:qFormat="1"/>
    <w:lsdException w:name="Placeholder Text"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480" w:lineRule="auto"/>
      <w:jc w:val="both"/>
    </w:pPr>
    <w:rPr>
      <w:rFonts w:ascii="Times New Roman" w:hAnsi="Times New Roman" w:cs="Times New Roman"/>
      <w:sz w:val="24"/>
      <w:szCs w:val="24"/>
      <w:lang w:eastAsia="zh-CN"/>
    </w:rPr>
  </w:style>
  <w:style w:type="paragraph" w:styleId="Heading1">
    <w:name w:val="heading 1"/>
    <w:basedOn w:val="Normal"/>
    <w:next w:val="Normal"/>
    <w:link w:val="Heading1Char"/>
    <w:uiPriority w:val="9"/>
    <w:qFormat/>
    <w:pPr>
      <w:outlineLvl w:val="0"/>
    </w:pPr>
    <w:rPr>
      <w:b/>
      <w:bCs/>
      <w:sz w:val="28"/>
      <w:szCs w:val="28"/>
    </w:rPr>
  </w:style>
  <w:style w:type="paragraph" w:styleId="Heading2">
    <w:name w:val="heading 2"/>
    <w:basedOn w:val="Normal"/>
    <w:next w:val="Normal"/>
    <w:link w:val="Heading2Char"/>
    <w:uiPriority w:val="9"/>
    <w:unhideWhenUsed/>
    <w:qFormat/>
    <w:pP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pPr>
      <w:spacing w:line="240" w:lineRule="auto"/>
    </w:pPr>
    <w:rPr>
      <w:sz w:val="20"/>
      <w:szCs w:val="20"/>
    </w:rPr>
  </w:style>
  <w:style w:type="paragraph" w:styleId="BalloonText">
    <w:name w:val="Balloon Text"/>
    <w:basedOn w:val="Normal"/>
    <w:link w:val="BalloonTextChar"/>
    <w:uiPriority w:val="99"/>
    <w:semiHidden/>
    <w:unhideWhenUsed/>
    <w:pPr>
      <w:spacing w:line="240" w:lineRule="auto"/>
    </w:pPr>
    <w:rPr>
      <w:rFonts w:ascii="Segoe UI" w:hAnsi="Segoe UI" w:cs="Segoe UI"/>
      <w:sz w:val="18"/>
      <w:szCs w:val="18"/>
    </w:rPr>
  </w:style>
  <w:style w:type="paragraph" w:styleId="Footer">
    <w:name w:val="footer"/>
    <w:basedOn w:val="Normal"/>
    <w:link w:val="FooterChar"/>
    <w:uiPriority w:val="99"/>
    <w:unhideWhenUsed/>
    <w:pPr>
      <w:tabs>
        <w:tab w:val="center" w:pos="4153"/>
        <w:tab w:val="right" w:pos="8306"/>
      </w:tabs>
      <w:snapToGrid w:val="0"/>
      <w:spacing w:line="240" w:lineRule="auto"/>
    </w:pPr>
    <w:rPr>
      <w:sz w:val="18"/>
      <w:szCs w:val="18"/>
    </w:rPr>
  </w:style>
  <w:style w:type="paragraph" w:styleId="Header">
    <w:name w:val="header"/>
    <w:basedOn w:val="Normal"/>
    <w:link w:val="HeaderChar"/>
    <w:uiPriority w:val="99"/>
    <w:unhideWhenUsed/>
    <w:pPr>
      <w:pBdr>
        <w:bottom w:val="single" w:sz="6" w:space="1" w:color="auto"/>
      </w:pBdr>
      <w:tabs>
        <w:tab w:val="center" w:pos="4153"/>
        <w:tab w:val="right" w:pos="8306"/>
      </w:tabs>
      <w:snapToGrid w:val="0"/>
      <w:spacing w:line="240" w:lineRule="auto"/>
      <w:jc w:val="center"/>
    </w:pPr>
    <w:rPr>
      <w:sz w:val="18"/>
      <w:szCs w:val="18"/>
    </w:rPr>
  </w:style>
  <w:style w:type="paragraph" w:styleId="NormalWeb">
    <w:name w:val="Normal (Web)"/>
    <w:basedOn w:val="Normal"/>
    <w:uiPriority w:val="99"/>
    <w:semiHidden/>
    <w:unhideWhenUsed/>
    <w:qFormat/>
    <w:pPr>
      <w:spacing w:before="100" w:beforeAutospacing="1" w:after="100" w:afterAutospacing="1" w:line="240" w:lineRule="auto"/>
    </w:pPr>
  </w:style>
  <w:style w:type="paragraph" w:styleId="Title">
    <w:name w:val="Title"/>
    <w:basedOn w:val="MCTitle"/>
    <w:next w:val="Normal"/>
    <w:link w:val="TitleChar"/>
    <w:uiPriority w:val="10"/>
    <w:qFormat/>
    <w:pPr>
      <w:adjustRightInd/>
      <w:snapToGrid/>
      <w:ind w:firstLineChars="0" w:firstLine="0"/>
    </w:pPr>
  </w:style>
  <w:style w:type="paragraph" w:customStyle="1" w:styleId="MCTitle">
    <w:name w:val="MC Title"/>
    <w:basedOn w:val="Normal"/>
    <w:next w:val="Normal"/>
    <w:pPr>
      <w:adjustRightInd w:val="0"/>
      <w:snapToGrid w:val="0"/>
      <w:spacing w:before="120" w:line="240" w:lineRule="auto"/>
      <w:ind w:firstLineChars="200" w:firstLine="480"/>
      <w:jc w:val="center"/>
    </w:pPr>
    <w:rPr>
      <w:rFonts w:eastAsia="Times New Roman"/>
      <w:b/>
      <w:sz w:val="36"/>
      <w:szCs w:val="20"/>
      <w:lang w:val="en-US" w:eastAsia="en-US"/>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uiPriority w:val="59"/>
    <w:qFormat/>
    <w:rPr>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rPr>
      <w:color w:val="0000FF"/>
      <w:u w:val="single"/>
    </w:rPr>
  </w:style>
  <w:style w:type="character" w:styleId="CommentReference">
    <w:name w:val="annotation reference"/>
    <w:basedOn w:val="DefaultParagraphFont"/>
    <w:uiPriority w:val="99"/>
    <w:semiHidden/>
    <w:unhideWhenUsed/>
    <w:qFormat/>
    <w:rPr>
      <w:sz w:val="16"/>
      <w:szCs w:val="16"/>
    </w:rPr>
  </w:style>
  <w:style w:type="paragraph" w:styleId="ListParagraph">
    <w:name w:val="List Paragraph"/>
    <w:basedOn w:val="Normal"/>
    <w:uiPriority w:val="34"/>
    <w:qFormat/>
    <w:pPr>
      <w:ind w:left="720"/>
      <w:contextualSpacing/>
    </w:pPr>
  </w:style>
  <w:style w:type="paragraph" w:customStyle="1" w:styleId="MCBody">
    <w:name w:val="MC Body"/>
    <w:next w:val="Normal"/>
    <w:link w:val="MCBodyChar"/>
    <w:qFormat/>
    <w:pPr>
      <w:spacing w:before="120"/>
      <w:jc w:val="both"/>
    </w:pPr>
    <w:rPr>
      <w:rFonts w:ascii="Times New Roman" w:eastAsia="Times New Roman" w:hAnsi="Times New Roman" w:cs="Times New Roman"/>
      <w:lang w:val="en-US"/>
    </w:rPr>
  </w:style>
  <w:style w:type="character" w:customStyle="1" w:styleId="MCBodyChar">
    <w:name w:val="MC Body Char"/>
    <w:basedOn w:val="DefaultParagraphFont"/>
    <w:link w:val="MCBody"/>
    <w:qFormat/>
    <w:rPr>
      <w:rFonts w:ascii="Times New Roman" w:eastAsia="Times New Roman" w:hAnsi="Times New Roman" w:cs="Times New Roman"/>
      <w:sz w:val="20"/>
      <w:szCs w:val="20"/>
      <w:lang w:val="en-US" w:eastAsia="en-US"/>
    </w:rPr>
  </w:style>
  <w:style w:type="paragraph" w:customStyle="1" w:styleId="EndNoteBibliographyTitle">
    <w:name w:val="EndNote Bibliography Title"/>
    <w:basedOn w:val="Normal"/>
    <w:link w:val="EndNoteBibliographyTitleChar"/>
    <w:qFormat/>
    <w:pPr>
      <w:jc w:val="center"/>
    </w:pPr>
    <w:rPr>
      <w:rFonts w:ascii="Calibri" w:hAnsi="Calibri" w:cs="Calibri"/>
      <w:sz w:val="22"/>
    </w:rPr>
  </w:style>
  <w:style w:type="character" w:customStyle="1" w:styleId="EndNoteBibliographyTitleChar">
    <w:name w:val="EndNote Bibliography Title Char"/>
    <w:basedOn w:val="DefaultParagraphFont"/>
    <w:link w:val="EndNoteBibliographyTitle"/>
    <w:qFormat/>
    <w:rPr>
      <w:rFonts w:ascii="Calibri" w:hAnsi="Calibri" w:cs="Calibri"/>
      <w:szCs w:val="24"/>
    </w:rPr>
  </w:style>
  <w:style w:type="paragraph" w:customStyle="1" w:styleId="EndNoteBibliography">
    <w:name w:val="EndNote Bibliography"/>
    <w:basedOn w:val="Normal"/>
    <w:link w:val="EndNoteBibliographyChar"/>
    <w:qFormat/>
    <w:pPr>
      <w:spacing w:line="240" w:lineRule="auto"/>
      <w:jc w:val="center"/>
    </w:pPr>
    <w:rPr>
      <w:rFonts w:ascii="Calibri" w:hAnsi="Calibri" w:cs="Calibri"/>
      <w:sz w:val="22"/>
    </w:rPr>
  </w:style>
  <w:style w:type="character" w:customStyle="1" w:styleId="EndNoteBibliographyChar">
    <w:name w:val="EndNote Bibliography Char"/>
    <w:basedOn w:val="DefaultParagraphFont"/>
    <w:link w:val="EndNoteBibliography"/>
    <w:qFormat/>
    <w:rPr>
      <w:rFonts w:ascii="Calibri" w:hAnsi="Calibri" w:cs="Calibri"/>
      <w:szCs w:val="24"/>
    </w:rPr>
  </w:style>
  <w:style w:type="character" w:customStyle="1" w:styleId="CommentTextChar">
    <w:name w:val="Comment Text Char"/>
    <w:basedOn w:val="DefaultParagraphFont"/>
    <w:link w:val="CommentText"/>
    <w:uiPriority w:val="99"/>
    <w:rPr>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customStyle="1" w:styleId="MCBodySP">
    <w:name w:val="MC Body SP"/>
    <w:basedOn w:val="MCBody"/>
    <w:pPr>
      <w:spacing w:before="0"/>
      <w:ind w:firstLine="288"/>
      <w:jc w:val="left"/>
    </w:pPr>
  </w:style>
  <w:style w:type="paragraph" w:customStyle="1" w:styleId="MCSectionHead">
    <w:name w:val="MC Section Head"/>
    <w:basedOn w:val="MCBody"/>
    <w:next w:val="Normal"/>
    <w:qFormat/>
    <w:rPr>
      <w:b/>
    </w:rPr>
  </w:style>
  <w:style w:type="character" w:customStyle="1" w:styleId="HeaderChar">
    <w:name w:val="Header Char"/>
    <w:basedOn w:val="DefaultParagraphFont"/>
    <w:link w:val="Header"/>
    <w:uiPriority w:val="99"/>
    <w:rPr>
      <w:sz w:val="18"/>
      <w:szCs w:val="18"/>
    </w:rPr>
  </w:style>
  <w:style w:type="character" w:customStyle="1" w:styleId="FooterChar">
    <w:name w:val="Footer Char"/>
    <w:basedOn w:val="DefaultParagraphFont"/>
    <w:link w:val="Footer"/>
    <w:uiPriority w:val="99"/>
    <w:rPr>
      <w:sz w:val="18"/>
      <w:szCs w:val="18"/>
    </w:rPr>
  </w:style>
  <w:style w:type="paragraph" w:customStyle="1" w:styleId="MCAuthor">
    <w:name w:val="MC Author"/>
    <w:basedOn w:val="Normal"/>
    <w:next w:val="MCAuthorAffiliation"/>
    <w:pPr>
      <w:adjustRightInd w:val="0"/>
      <w:snapToGrid w:val="0"/>
      <w:spacing w:before="120" w:line="240" w:lineRule="auto"/>
      <w:ind w:firstLineChars="200" w:firstLine="480"/>
      <w:jc w:val="center"/>
    </w:pPr>
    <w:rPr>
      <w:rFonts w:eastAsia="Times New Roman"/>
      <w:b/>
      <w:sz w:val="20"/>
      <w:szCs w:val="20"/>
      <w:lang w:val="en-US" w:eastAsia="en-US"/>
    </w:rPr>
  </w:style>
  <w:style w:type="paragraph" w:customStyle="1" w:styleId="MCAuthorAffiliation">
    <w:name w:val="MC Author Affiliation"/>
    <w:basedOn w:val="Normal"/>
    <w:next w:val="Normal"/>
    <w:link w:val="MCAuthorAffiliationChar"/>
    <w:pPr>
      <w:adjustRightInd w:val="0"/>
      <w:snapToGrid w:val="0"/>
      <w:spacing w:before="120" w:line="240" w:lineRule="auto"/>
      <w:ind w:firstLineChars="200" w:firstLine="480"/>
      <w:jc w:val="center"/>
    </w:pPr>
    <w:rPr>
      <w:rFonts w:ascii="Times" w:eastAsia="Times New Roman" w:hAnsi="Times"/>
      <w:i/>
      <w:sz w:val="16"/>
      <w:szCs w:val="20"/>
      <w:lang w:val="en-US" w:eastAsia="en-US"/>
    </w:rPr>
  </w:style>
  <w:style w:type="paragraph" w:customStyle="1" w:styleId="Affiliation">
    <w:name w:val="Affiliation"/>
    <w:basedOn w:val="MCAuthorAffiliation"/>
    <w:link w:val="AffiliationChar"/>
    <w:qFormat/>
    <w:pPr>
      <w:ind w:firstLine="320"/>
    </w:pPr>
  </w:style>
  <w:style w:type="character" w:customStyle="1" w:styleId="MCAuthorAffiliationChar">
    <w:name w:val="MC Author Affiliation Char"/>
    <w:basedOn w:val="DefaultParagraphFont"/>
    <w:link w:val="MCAuthorAffiliation"/>
    <w:rPr>
      <w:rFonts w:ascii="Times" w:eastAsia="Times New Roman" w:hAnsi="Times" w:cs="Times New Roman"/>
      <w:i/>
      <w:sz w:val="16"/>
      <w:szCs w:val="20"/>
      <w:lang w:val="en-US" w:eastAsia="en-US"/>
    </w:rPr>
  </w:style>
  <w:style w:type="character" w:customStyle="1" w:styleId="AffiliationChar">
    <w:name w:val="Affiliation Char"/>
    <w:basedOn w:val="MCAuthorAffiliationChar"/>
    <w:link w:val="Affiliation"/>
    <w:qFormat/>
    <w:rPr>
      <w:rFonts w:ascii="Times" w:eastAsia="Times New Roman" w:hAnsi="Times" w:cs="Times New Roman"/>
      <w:i/>
      <w:sz w:val="16"/>
      <w:szCs w:val="20"/>
      <w:lang w:val="en-US" w:eastAsia="en-US"/>
    </w:rPr>
  </w:style>
  <w:style w:type="paragraph" w:customStyle="1" w:styleId="Figure">
    <w:name w:val="Figure"/>
    <w:basedOn w:val="Normal"/>
    <w:link w:val="FigureChar"/>
    <w:qFormat/>
    <w:pPr>
      <w:jc w:val="center"/>
    </w:pPr>
  </w:style>
  <w:style w:type="character" w:customStyle="1" w:styleId="Heading1Char">
    <w:name w:val="Heading 1 Char"/>
    <w:basedOn w:val="DefaultParagraphFont"/>
    <w:link w:val="Heading1"/>
    <w:uiPriority w:val="9"/>
    <w:rPr>
      <w:rFonts w:ascii="Times New Roman" w:hAnsi="Times New Roman" w:cs="Times New Roman"/>
      <w:b/>
      <w:bCs/>
      <w:sz w:val="28"/>
      <w:szCs w:val="28"/>
    </w:rPr>
  </w:style>
  <w:style w:type="character" w:customStyle="1" w:styleId="FigureChar">
    <w:name w:val="Figure Char"/>
    <w:basedOn w:val="DefaultParagraphFont"/>
    <w:link w:val="Figure"/>
    <w:rPr>
      <w:rFonts w:ascii="Times New Roman" w:hAnsi="Times New Roman" w:cs="Times New Roman"/>
      <w:sz w:val="24"/>
      <w:szCs w:val="24"/>
    </w:rPr>
  </w:style>
  <w:style w:type="character" w:customStyle="1" w:styleId="Heading2Char">
    <w:name w:val="Heading 2 Char"/>
    <w:basedOn w:val="DefaultParagraphFont"/>
    <w:link w:val="Heading2"/>
    <w:uiPriority w:val="9"/>
    <w:qFormat/>
    <w:rPr>
      <w:rFonts w:ascii="Times New Roman" w:hAnsi="Times New Roman" w:cs="Times New Roman"/>
      <w:b/>
      <w:bCs/>
      <w:sz w:val="24"/>
      <w:szCs w:val="24"/>
    </w:rPr>
  </w:style>
  <w:style w:type="paragraph" w:customStyle="1" w:styleId="Equation">
    <w:name w:val="Equation"/>
    <w:basedOn w:val="Normal"/>
    <w:link w:val="EquationChar"/>
    <w:qFormat/>
    <w:pPr>
      <w:jc w:val="right"/>
    </w:pPr>
  </w:style>
  <w:style w:type="character" w:customStyle="1" w:styleId="EquationChar">
    <w:name w:val="Equation Char"/>
    <w:basedOn w:val="DefaultParagraphFont"/>
    <w:link w:val="Equation"/>
    <w:rPr>
      <w:rFonts w:ascii="Times New Roman" w:hAnsi="Times New Roman" w:cs="Times New Roman"/>
      <w:sz w:val="24"/>
      <w:szCs w:val="24"/>
    </w:rPr>
  </w:style>
  <w:style w:type="paragraph" w:customStyle="1" w:styleId="SPIEfigurecaption">
    <w:name w:val="SPIE figure caption"/>
    <w:basedOn w:val="Normal"/>
    <w:next w:val="Normal"/>
    <w:link w:val="SPIEfigurecaptionChar"/>
    <w:qFormat/>
    <w:pPr>
      <w:spacing w:after="120" w:line="240" w:lineRule="auto"/>
      <w:ind w:left="357" w:right="357"/>
      <w:jc w:val="left"/>
    </w:pPr>
    <w:rPr>
      <w:rFonts w:eastAsia="宋体"/>
      <w:sz w:val="18"/>
      <w:szCs w:val="20"/>
      <w:lang w:val="en-US" w:eastAsia="en-US"/>
    </w:rPr>
  </w:style>
  <w:style w:type="character" w:customStyle="1" w:styleId="SPIEfigurecaptionChar">
    <w:name w:val="SPIE figure caption Char"/>
    <w:link w:val="SPIEfigurecaption"/>
    <w:rPr>
      <w:rFonts w:ascii="Times New Roman" w:eastAsia="宋体" w:hAnsi="Times New Roman" w:cs="Times New Roman"/>
      <w:sz w:val="18"/>
      <w:szCs w:val="20"/>
      <w:lang w:val="en-US" w:eastAsia="en-US"/>
    </w:rPr>
  </w:style>
  <w:style w:type="paragraph" w:customStyle="1" w:styleId="SPIEabstractbodytext">
    <w:name w:val="SPIE abstract body text"/>
    <w:basedOn w:val="Normal"/>
    <w:link w:val="SPIEabstractbodytextCharChar"/>
    <w:pPr>
      <w:spacing w:after="120" w:line="240" w:lineRule="auto"/>
    </w:pPr>
    <w:rPr>
      <w:rFonts w:eastAsia="宋体"/>
      <w:sz w:val="20"/>
      <w:lang w:val="en-US" w:eastAsia="en-US"/>
    </w:rPr>
  </w:style>
  <w:style w:type="character" w:customStyle="1" w:styleId="SPIEabstractbodytextCharChar">
    <w:name w:val="SPIE abstract body text Char Char"/>
    <w:link w:val="SPIEabstractbodytext"/>
    <w:qFormat/>
    <w:rPr>
      <w:rFonts w:ascii="Times New Roman" w:eastAsia="宋体" w:hAnsi="Times New Roman" w:cs="Times New Roman"/>
      <w:sz w:val="20"/>
      <w:szCs w:val="24"/>
      <w:lang w:val="en-US" w:eastAsia="en-US"/>
    </w:rPr>
  </w:style>
  <w:style w:type="character" w:styleId="PlaceholderText">
    <w:name w:val="Placeholder Text"/>
    <w:basedOn w:val="DefaultParagraphFont"/>
    <w:uiPriority w:val="99"/>
    <w:semiHidden/>
    <w:rPr>
      <w:color w:val="808080"/>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rPr>
  </w:style>
  <w:style w:type="character" w:customStyle="1" w:styleId="TitleChar">
    <w:name w:val="Title Char"/>
    <w:basedOn w:val="DefaultParagraphFont"/>
    <w:link w:val="Title"/>
    <w:uiPriority w:val="10"/>
    <w:rPr>
      <w:rFonts w:ascii="Times New Roman" w:eastAsia="Times New Roman" w:hAnsi="Times New Roman" w:cs="Times New Roman"/>
      <w:b/>
      <w:sz w:val="36"/>
      <w:szCs w:val="20"/>
      <w:lang w:val="en-US" w:eastAsia="en-US"/>
    </w:rPr>
  </w:style>
  <w:style w:type="paragraph" w:customStyle="1" w:styleId="SMHeading">
    <w:name w:val="SM Heading"/>
    <w:basedOn w:val="Heading1"/>
    <w:qFormat/>
    <w:pPr>
      <w:keepNext/>
      <w:spacing w:before="240" w:after="60" w:line="240" w:lineRule="auto"/>
      <w:jc w:val="left"/>
    </w:pPr>
    <w:rPr>
      <w:rFonts w:eastAsia="宋体"/>
      <w:kern w:val="32"/>
      <w:sz w:val="24"/>
      <w:szCs w:val="24"/>
      <w:lang w:val="en-US" w:eastAsia="en-US"/>
    </w:rPr>
  </w:style>
  <w:style w:type="paragraph" w:customStyle="1" w:styleId="SMcaption">
    <w:name w:val="SM caption"/>
    <w:basedOn w:val="Normal"/>
    <w:qFormat/>
    <w:pPr>
      <w:spacing w:line="240" w:lineRule="auto"/>
      <w:jc w:val="left"/>
    </w:pPr>
    <w:rPr>
      <w:rFonts w:eastAsia="宋体"/>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9" Type="http://schemas.openxmlformats.org/officeDocument/2006/relationships/webSettings" Target="webSettings.xml"/><Relationship Id="rId20" Type="http://schemas.openxmlformats.org/officeDocument/2006/relationships/image" Target="media/image8.png"/><Relationship Id="rId21" Type="http://schemas.openxmlformats.org/officeDocument/2006/relationships/image" Target="media/image9.png"/><Relationship Id="rId22" Type="http://schemas.openxmlformats.org/officeDocument/2006/relationships/image" Target="media/image10.png"/><Relationship Id="rId23" Type="http://schemas.openxmlformats.org/officeDocument/2006/relationships/image" Target="media/image11.png"/><Relationship Id="rId24" Type="http://schemas.openxmlformats.org/officeDocument/2006/relationships/image" Target="media/image12.png"/><Relationship Id="rId25" Type="http://schemas.openxmlformats.org/officeDocument/2006/relationships/image" Target="media/image13.png"/><Relationship Id="rId26" Type="http://schemas.openxmlformats.org/officeDocument/2006/relationships/image" Target="media/image14.png"/><Relationship Id="rId27" Type="http://schemas.openxmlformats.org/officeDocument/2006/relationships/fontTable" Target="fontTable.xml"/><Relationship Id="rId28" Type="http://schemas.openxmlformats.org/officeDocument/2006/relationships/theme" Target="theme/theme1.xml"/><Relationship Id="rId10" Type="http://schemas.openxmlformats.org/officeDocument/2006/relationships/hyperlink" Target="mailto:chengwei.qiu@nus.edu.sg" TargetMode="External"/><Relationship Id="rId11" Type="http://schemas.openxmlformats.org/officeDocument/2006/relationships/hyperlink" Target="mailto:qiaoliang.bao@gmail.com" TargetMode="External"/><Relationship Id="rId12" Type="http://schemas.openxmlformats.org/officeDocument/2006/relationships/hyperlink" Target="mailto:bjia@swin.edu.au" TargetMode="External"/><Relationship Id="rId13" Type="http://schemas.openxmlformats.org/officeDocument/2006/relationships/image" Target="media/image1.png"/><Relationship Id="rId14" Type="http://schemas.openxmlformats.org/officeDocument/2006/relationships/image" Target="media/image2.png"/><Relationship Id="rId15" Type="http://schemas.openxmlformats.org/officeDocument/2006/relationships/image" Target="media/image3.png"/><Relationship Id="rId16" Type="http://schemas.openxmlformats.org/officeDocument/2006/relationships/image" Target="media/image4.png"/><Relationship Id="rId17" Type="http://schemas.openxmlformats.org/officeDocument/2006/relationships/image" Target="media/image5.png"/><Relationship Id="rId18" Type="http://schemas.openxmlformats.org/officeDocument/2006/relationships/image" Target="media/image6.emf"/><Relationship Id="rId19" Type="http://schemas.openxmlformats.org/officeDocument/2006/relationships/image" Target="media/image7.png"/><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customXml" Target="../customXml/item5.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AA1561C7AC61740AC0C42373ECAF626" ma:contentTypeVersion="15" ma:contentTypeDescription="Create a new document." ma:contentTypeScope="" ma:versionID="f3764cc69b78d82563c818d68224bc99">
  <xsd:schema xmlns:xsd="http://www.w3.org/2001/XMLSchema" xmlns:xs="http://www.w3.org/2001/XMLSchema" xmlns:p="http://schemas.microsoft.com/office/2006/metadata/properties" xmlns:ns1="http://schemas.microsoft.com/sharepoint/v3" xmlns:ns3="0fb774b7-0571-4e61-9f02-9eb8691563b7" xmlns:ns4="4a3a446d-7f3a-4d3c-9240-ab7cb2625859" targetNamespace="http://schemas.microsoft.com/office/2006/metadata/properties" ma:root="true" ma:fieldsID="b953fcf93a32fd5f9432958d3781c7b9" ns1:_="" ns3:_="" ns4:_="">
    <xsd:import namespace="http://schemas.microsoft.com/sharepoint/v3"/>
    <xsd:import namespace="0fb774b7-0571-4e61-9f02-9eb8691563b7"/>
    <xsd:import namespace="4a3a446d-7f3a-4d3c-9240-ab7cb262585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1:_ip_UnifiedCompliancePolicyProperties" minOccurs="0"/>
                <xsd:element ref="ns1:_ip_UnifiedCompliancePolicyUIAc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b774b7-0571-4e61-9f02-9eb8691563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3a446d-7f3a-4d3c-9240-ab7cb262585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s:customData xmlns="http://www.wps.cn/officeDocument/2013/wpsCustomData" xmlns:s="http://www.wps.cn/officeDocument/2013/wpsCustomData">
  <customSectProps>
    <customSectPr/>
  </customSectProps>
</s:customDat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2FF60B-1F78-4DE1-B0C9-EE848AE30AC9}">
  <ds:schemaRefs/>
</ds:datastoreItem>
</file>

<file path=customXml/itemProps2.xml><?xml version="1.0" encoding="utf-8"?>
<ds:datastoreItem xmlns:ds="http://schemas.openxmlformats.org/officeDocument/2006/customXml" ds:itemID="{0513DCAD-7572-4D40-AD0B-84F6DEA85075}">
  <ds:schemaRefs/>
</ds:datastoreItem>
</file>

<file path=customXml/itemProps3.xml><?xml version="1.0" encoding="utf-8"?>
<ds:datastoreItem xmlns:ds="http://schemas.openxmlformats.org/officeDocument/2006/customXml" ds:itemID="{CEB15F84-11B3-4CF2-8EEE-FAC2693BAE06}">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5.xml><?xml version="1.0" encoding="utf-8"?>
<ds:datastoreItem xmlns:ds="http://schemas.openxmlformats.org/officeDocument/2006/customXml" ds:itemID="{61DB7D0F-9153-F54E-92CE-6B7361485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Pages>
  <Words>4204</Words>
  <Characters>23963</Characters>
  <Application>Microsoft Macintosh Word</Application>
  <DocSecurity>0</DocSecurity>
  <Lines>199</Lines>
  <Paragraphs>56</Paragraphs>
  <ScaleCrop>false</ScaleCrop>
  <Company>Razer</Company>
  <LinksUpToDate>false</LinksUpToDate>
  <CharactersWithSpaces>28111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 Lin</dc:creator>
  <cp:lastModifiedBy>Swinburne University of Technology</cp:lastModifiedBy>
  <cp:revision>6</cp:revision>
  <dcterms:created xsi:type="dcterms:W3CDTF">2020-07-13T08:09:00Z</dcterms:created>
  <dcterms:modified xsi:type="dcterms:W3CDTF">2020-07-13T12:45:00Z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0x010100EAA1561C7AC61740AC0C42373ECAF626</vt:lpwstr>
  </property>
  <property fmtid="{D5CDD505-2E9C-101B-9397-08002B2CF9AE}" pid="4" name="KSOProductBuildVer">
    <vt:lpwstr>2052-11.1.0.9828</vt:lpwstr>
  </property>
</Properties>
</file>