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2.png" ContentType="image/png"/>
  <Override PartName="/word/media/image1.png" ContentType="image/png"/>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eastAsia="Times New Roman" w:cs="Times New Roman"/>
          <w:b/>
          <w:b/>
        </w:rPr>
      </w:pPr>
      <w:r>
        <w:rPr>
          <w:rFonts w:eastAsia="Times New Roman" w:cs="Times New Roman" w:ascii="Times New Roman" w:hAnsi="Times New Roman"/>
          <w:b/>
        </w:rPr>
        <w:tab/>
        <w:t xml:space="preserve"> </w:t>
        <w:tab/>
        <w:t xml:space="preserve"> </w:t>
        <w:tab/>
        <w:t xml:space="preserve"> </w:t>
        <w:tab/>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sz w:val="30"/>
          <w:szCs w:val="30"/>
        </w:rPr>
        <w:t>Supplementary information for tunable rainbow light trapping in ultrathin resonator arrays</w:t>
      </w:r>
    </w:p>
    <w:p>
      <w:pPr>
        <w:pStyle w:val="Normal"/>
        <w:spacing w:lineRule="auto" w:line="360" w:before="240" w:after="0"/>
        <w:jc w:val="center"/>
        <w:rPr>
          <w:rFonts w:ascii="Times New Roman" w:hAnsi="Times New Roman" w:eastAsia="Times New Roman" w:cs="Times New Roman"/>
          <w:vertAlign w:val="superscript"/>
        </w:rPr>
      </w:pPr>
      <w:r>
        <w:rPr>
          <w:rFonts w:eastAsia="Times New Roman" w:cs="Times New Roman" w:ascii="Times New Roman" w:hAnsi="Times New Roman"/>
        </w:rPr>
        <w:t>Katelyn Dixon</w:t>
      </w:r>
      <w:r>
        <w:rPr>
          <w:rFonts w:eastAsia="Times New Roman" w:cs="Times New Roman" w:ascii="Times New Roman" w:hAnsi="Times New Roman"/>
          <w:vertAlign w:val="superscript"/>
        </w:rPr>
        <w:t>1</w:t>
      </w:r>
      <w:r>
        <w:rPr>
          <w:rFonts w:eastAsia="Times New Roman" w:cs="Times New Roman" w:ascii="Times New Roman" w:hAnsi="Times New Roman"/>
        </w:rPr>
        <w:t>, Arthur O. Montazeri</w:t>
      </w:r>
      <w:r>
        <w:rPr>
          <w:rFonts w:eastAsia="Times New Roman" w:cs="Times New Roman" w:ascii="Times New Roman" w:hAnsi="Times New Roman"/>
          <w:vertAlign w:val="superscript"/>
        </w:rPr>
        <w:t>2</w:t>
      </w:r>
      <w:r>
        <w:rPr>
          <w:rFonts w:eastAsia="Times New Roman" w:cs="Times New Roman" w:ascii="Times New Roman" w:hAnsi="Times New Roman"/>
        </w:rPr>
        <w:t>, Moein Shayegannia</w:t>
      </w:r>
      <w:r>
        <w:rPr>
          <w:rFonts w:eastAsia="Times New Roman" w:cs="Times New Roman" w:ascii="Times New Roman" w:hAnsi="Times New Roman"/>
          <w:vertAlign w:val="superscript"/>
        </w:rPr>
        <w:t>3</w:t>
      </w:r>
      <w:r>
        <w:rPr>
          <w:rFonts w:eastAsia="Times New Roman" w:cs="Times New Roman" w:ascii="Times New Roman" w:hAnsi="Times New Roman"/>
        </w:rPr>
        <w:t>, Edward S. Barnard</w:t>
      </w:r>
      <w:r>
        <w:rPr>
          <w:rFonts w:eastAsia="Times New Roman" w:cs="Times New Roman" w:ascii="Times New Roman" w:hAnsi="Times New Roman"/>
          <w:vertAlign w:val="superscript"/>
        </w:rPr>
        <w:t>4</w:t>
      </w:r>
      <w:r>
        <w:rPr>
          <w:rFonts w:eastAsia="Times New Roman" w:cs="Times New Roman" w:ascii="Times New Roman" w:hAnsi="Times New Roman"/>
        </w:rPr>
        <w:t>, Stefano Cabrini</w:t>
      </w:r>
      <w:r>
        <w:rPr>
          <w:rFonts w:eastAsia="Times New Roman" w:cs="Times New Roman" w:ascii="Times New Roman" w:hAnsi="Times New Roman"/>
          <w:vertAlign w:val="superscript"/>
        </w:rPr>
        <w:t>5</w:t>
      </w:r>
      <w:r>
        <w:rPr>
          <w:rFonts w:eastAsia="Times New Roman" w:cs="Times New Roman" w:ascii="Times New Roman" w:hAnsi="Times New Roman"/>
        </w:rPr>
        <w:t>, Naomi Matsuura</w:t>
      </w:r>
      <w:r>
        <w:rPr>
          <w:rFonts w:eastAsia="Times New Roman" w:cs="Times New Roman" w:ascii="Times New Roman" w:hAnsi="Times New Roman"/>
          <w:vertAlign w:val="superscript"/>
        </w:rPr>
        <w:t>6</w:t>
      </w:r>
      <w:r>
        <w:rPr>
          <w:rFonts w:eastAsia="Times New Roman" w:cs="Times New Roman" w:ascii="Times New Roman" w:hAnsi="Times New Roman"/>
        </w:rPr>
        <w:t>, Hoi-Ying Holman</w:t>
      </w:r>
      <w:r>
        <w:rPr>
          <w:rFonts w:eastAsia="Times New Roman" w:cs="Times New Roman" w:ascii="Times New Roman" w:hAnsi="Times New Roman"/>
          <w:vertAlign w:val="superscript"/>
        </w:rPr>
        <w:t>7</w:t>
      </w:r>
      <w:r>
        <w:rPr>
          <w:rFonts w:eastAsia="Times New Roman" w:cs="Times New Roman" w:ascii="Times New Roman" w:hAnsi="Times New Roman"/>
        </w:rPr>
        <w:t>, and Nazir P. Kherani</w:t>
      </w:r>
      <w:r>
        <w:rPr>
          <w:rFonts w:eastAsia="Times New Roman" w:cs="Times New Roman" w:ascii="Times New Roman" w:hAnsi="Times New Roman"/>
          <w:vertAlign w:val="superscript"/>
        </w:rPr>
        <w:t>8*</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1</w:t>
      </w:r>
      <w:r>
        <w:rPr>
          <w:rFonts w:eastAsia="Times New Roman" w:cs="Times New Roman" w:ascii="Times New Roman" w:hAnsi="Times New Roman"/>
        </w:rPr>
        <w:t>Department of Electrical &amp; Computer Engineering, University of Toronto, Toronto, Ontario, M5S 3G4, Canada. E-mail: katelyn.dixon@mail.utoronto.ca</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2</w:t>
      </w:r>
      <w:r>
        <w:rPr>
          <w:rFonts w:eastAsia="Times New Roman" w:cs="Times New Roman" w:ascii="Times New Roman" w:hAnsi="Times New Roman"/>
        </w:rPr>
        <w:t>Lawrence Berkeley National Laboratory, 1 Cyclotron Rd., Berkeley, CA, 94720, USA. E-mail: arthur.montazeri@gmail.com</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3</w:t>
      </w:r>
      <w:r>
        <w:rPr>
          <w:rFonts w:eastAsia="Times New Roman" w:cs="Times New Roman" w:ascii="Times New Roman" w:hAnsi="Times New Roman"/>
        </w:rPr>
        <w:t>Department of Electrical &amp; Computer Engineering, University of Toronto, Toronto, Ontario, M5S 3G4, Canada. E-mail: moein.shayegannia@mail.utoronto.ca</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4</w:t>
      </w:r>
      <w:r>
        <w:rPr>
          <w:rFonts w:eastAsia="Times New Roman" w:cs="Times New Roman" w:ascii="Times New Roman" w:hAnsi="Times New Roman"/>
        </w:rPr>
        <w:t>Lawrence Berkeley National Laboratory, 1 Cyclotron Rd., Berkeley, CA, 94720, USA. E-mail: esbarnard@lbl.gov</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5</w:t>
      </w:r>
      <w:r>
        <w:rPr>
          <w:rFonts w:eastAsia="Times New Roman" w:cs="Times New Roman" w:ascii="Times New Roman" w:hAnsi="Times New Roman"/>
        </w:rPr>
        <w:t>Lawrence Berkeley National Laboratory, 1 Cyclotron Rd., Berkeley, CA, 94720, USA. E-mail: scabrini@lbl.gov</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6</w:t>
      </w:r>
      <w:r>
        <w:rPr>
          <w:rFonts w:eastAsia="Times New Roman" w:cs="Times New Roman" w:ascii="Times New Roman" w:hAnsi="Times New Roman"/>
        </w:rPr>
        <w:t>Department of Materials Science &amp; Engineering, University of Toronto, Toronto, Ontario, M5S 3G4, Canada. E-mail: naomi.matsuura@utoronto.ca</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7</w:t>
      </w:r>
      <w:r>
        <w:rPr>
          <w:rFonts w:eastAsia="Times New Roman" w:cs="Times New Roman" w:ascii="Times New Roman" w:hAnsi="Times New Roman"/>
        </w:rPr>
        <w:t>Lawrence Berkeley National Laboratory, 1 Cyclotron Rd., Berkeley, CA, 94720, USA. E-mail: hyholman@lbl.gov</w:t>
      </w:r>
    </w:p>
    <w:p>
      <w:pPr>
        <w:pStyle w:val="Normal"/>
        <w:spacing w:lineRule="auto" w:line="360" w:before="240" w:after="0"/>
        <w:jc w:val="center"/>
        <w:rPr>
          <w:rFonts w:ascii="Times New Roman" w:hAnsi="Times New Roman" w:eastAsia="Times New Roman" w:cs="Times New Roman"/>
        </w:rPr>
      </w:pPr>
      <w:r>
        <w:rPr>
          <w:rFonts w:eastAsia="Times New Roman" w:cs="Times New Roman" w:ascii="Times New Roman" w:hAnsi="Times New Roman"/>
          <w:vertAlign w:val="superscript"/>
        </w:rPr>
        <w:t>8</w:t>
      </w:r>
      <w:r>
        <w:rPr>
          <w:rFonts w:eastAsia="Times New Roman" w:cs="Times New Roman" w:ascii="Times New Roman" w:hAnsi="Times New Roman"/>
        </w:rPr>
        <w:t>Department of Materials Science &amp; Engineering and Department of Electrical &amp; Computer Engineering, University of Toronto, Toronto, Ontario, M5S 3G4, Canada. E-mail: nazir.kherani@utoronto.ca Telephone: 416-618-2654</w:t>
      </w:r>
    </w:p>
    <w:p>
      <w:pPr>
        <w:pStyle w:val="Normal"/>
        <w:jc w:val="center"/>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b/>
          <w:b/>
        </w:rPr>
      </w:pPr>
      <w:r>
        <w:rPr>
          <w:rFonts w:eastAsia="Times New Roman" w:cs="Times New Roman" w:ascii="Times New Roman" w:hAnsi="Times New Roman"/>
          <w:b/>
        </w:rPr>
      </w:r>
    </w:p>
    <w:p>
      <w:pPr>
        <w:pStyle w:val="Normal"/>
        <w:rPr>
          <w:rFonts w:ascii="Times New Roman" w:hAnsi="Times New Roman" w:eastAsia="Times New Roman" w:cs="Times New Roman"/>
          <w:b/>
          <w:b/>
        </w:rPr>
      </w:pPr>
      <w:r>
        <w:rPr>
          <w:rFonts w:eastAsia="Times New Roman" w:cs="Times New Roman" w:ascii="Times New Roman" w:hAnsi="Times New Roman"/>
          <w:b/>
        </w:rPr>
      </w:r>
    </w:p>
    <w:p>
      <w:pPr>
        <w:pStyle w:val="Normal"/>
        <w:rPr>
          <w:rFonts w:ascii="Times New Roman" w:hAnsi="Times New Roman" w:eastAsia="Times New Roman" w:cs="Times New Roman"/>
          <w:b/>
          <w:b/>
        </w:rPr>
      </w:pPr>
      <w:r>
        <w:rPr>
          <w:rFonts w:eastAsia="Times New Roman" w:cs="Times New Roman" w:ascii="Times New Roman" w:hAnsi="Times New Roman"/>
          <w:b/>
        </w:rPr>
      </w:r>
    </w:p>
    <w:p>
      <w:pPr>
        <w:pStyle w:val="Normal"/>
        <w:rPr>
          <w:rFonts w:ascii="Times New Roman" w:hAnsi="Times New Roman" w:eastAsia="Times New Roman" w:cs="Times New Roman"/>
          <w:b/>
          <w:b/>
        </w:rPr>
      </w:pPr>
      <w:r>
        <w:rPr>
          <w:rFonts w:eastAsia="Times New Roman" w:cs="Times New Roman" w:ascii="Times New Roman" w:hAnsi="Times New Roman"/>
          <w:b/>
        </w:rPr>
      </w:r>
    </w:p>
    <w:p>
      <w:pPr>
        <w:pStyle w:val="Normal"/>
        <w:rPr>
          <w:rFonts w:ascii="Times New Roman" w:hAnsi="Times New Roman" w:eastAsia="Times New Roman" w:cs="Times New Roman"/>
          <w:b/>
          <w:b/>
        </w:rPr>
      </w:pPr>
      <w:r>
        <w:rPr>
          <w:rFonts w:eastAsia="Times New Roman" w:cs="Times New Roman" w:ascii="Times New Roman" w:hAnsi="Times New Roman"/>
          <w:b/>
        </w:rPr>
      </w:r>
    </w:p>
    <w:p>
      <w:pPr>
        <w:pStyle w:val="Normal"/>
        <w:rPr>
          <w:rFonts w:ascii="Times New Roman" w:hAnsi="Times New Roman" w:eastAsia="Times New Roman" w:cs="Times New Roman"/>
          <w:b/>
          <w:b/>
        </w:rPr>
      </w:pPr>
      <w:r>
        <w:rPr>
          <w:rFonts w:eastAsia="Times New Roman" w:cs="Times New Roman" w:ascii="Times New Roman" w:hAnsi="Times New Roman"/>
          <w:b/>
        </w:rPr>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b/>
        </w:rPr>
        <w:t>Design of arrays for single and multi-wavelength field enhancement</w:t>
      </w:r>
    </w:p>
    <w:p>
      <w:pPr>
        <w:pStyle w:val="Normal"/>
        <w:rPr>
          <w:rFonts w:ascii="Times New Roman" w:hAnsi="Times New Roman" w:eastAsia="Times New Roman" w:cs="Times New Roman"/>
        </w:rPr>
      </w:pPr>
      <w:r>
        <w:rPr>
          <w:rFonts w:eastAsia="Times New Roman" w:cs="Times New Roman" w:ascii="Times New Roman" w:hAnsi="Times New Roman"/>
        </w:rPr>
        <w:t>In order to demonstrate the precision design capabilities of the analytical paradigm, we have designed and simulated three groove arrays for the enhancement of a single wavelength, two wavelengths, and three wavelengths. Figure S1a shows the first order resonant modes for four wavelengths in the visible regime. We target the first order modes here as designing grooves with these geometries reduces the presence of higher order modes which broaden the spectral response. We first design an array for the enhancement of a single wavelength, 500 nm, selecting a groove length of 60 nm and groove width of 16 nm as illustrated in Figure S1a. We then simulate an array composed of twelve identical 60 by 16 nm magnesium fluoride grooves each separated by 100 nm of silver. Figure S1b and e show the spectral and spatial field enhancement within this array, with an enhancement peak at 500 nm. We can similarly design an array to enhance two select wavelengths, in this case 500 and 600 nm, by adding grooves with a length of 60 nm and a width of 8 nm, as shown in Figure S1a. We then simulate an array of 12 grooves with length 60 nm and width alternating between 16 and 8 nm of magnesium fluoride, with 100 nm of silver in between. The resulting field enhancement is shown in Figure S1c and f, with enhancement peaks at 500 and 600 nm. Lastly, we expand this technique to enhance a third wavelength, 700 nm, by incorporating grooves of length 60 nm and width 5 nm into the array. The field enhancement, shown in Figure S1d and g, shows peaks at all three wavelengths. This design technique can be adapted to enhance any number of select wavelengths within a width-graded array. Additionally, the spatial response can be altered simply by changing the order of the grooves of different widths, and the spectral response can be adjusted by changing the number of grooves of each dimension. While we have used a width-graded array to demonstrate this principle, similar techniques can be used to design multi-wavelength arrays with a length gradient or bigradient.</w:t>
      </w:r>
    </w:p>
    <w:p>
      <w:pPr>
        <w:pStyle w:val="Normal"/>
        <w:rPr>
          <w:rFonts w:ascii="Times New Roman" w:hAnsi="Times New Roman" w:eastAsia="Times New Roman" w:cs="Times New Roman"/>
        </w:rPr>
      </w:pPr>
      <w:r>
        <w:rPr/>
        <w:drawing>
          <wp:inline distT="0" distB="0" distL="0" distR="0">
            <wp:extent cx="5192395" cy="5796280"/>
            <wp:effectExtent l="0" t="0" r="0" b="0"/>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2"/>
                    <a:stretch>
                      <a:fillRect/>
                    </a:stretch>
                  </pic:blipFill>
                  <pic:spPr bwMode="auto">
                    <a:xfrm>
                      <a:off x="0" y="0"/>
                      <a:ext cx="5192395" cy="5796280"/>
                    </a:xfrm>
                    <a:prstGeom prst="rect">
                      <a:avLst/>
                    </a:prstGeom>
                  </pic:spPr>
                </pic:pic>
              </a:graphicData>
            </a:graphic>
          </wp:inline>
        </w:drawing>
      </w:r>
    </w:p>
    <w:p>
      <w:pPr>
        <w:pStyle w:val="Normal"/>
        <w:rPr>
          <w:rFonts w:ascii="Times New Roman" w:hAnsi="Times New Roman" w:eastAsia="Times New Roman" w:cs="Times New Roman"/>
        </w:rPr>
      </w:pPr>
      <w:r>
        <w:rPr>
          <w:rFonts w:eastAsia="Times New Roman" w:cs="Times New Roman" w:ascii="Times New Roman" w:hAnsi="Times New Roman"/>
        </w:rPr>
        <w:t>Figure S1: (a) Analytical calculation of the first resonant mode of an Ag-MgF</w:t>
      </w:r>
      <w:r>
        <w:rPr>
          <w:rFonts w:eastAsia="Times New Roman" w:cs="Times New Roman" w:ascii="Times New Roman" w:hAnsi="Times New Roman"/>
          <w:vertAlign w:val="subscript"/>
        </w:rPr>
        <w:t>2</w:t>
      </w:r>
      <w:r>
        <w:rPr>
          <w:rFonts w:eastAsia="Times New Roman" w:cs="Times New Roman" w:ascii="Times New Roman" w:hAnsi="Times New Roman"/>
        </w:rPr>
        <w:t>-Ag cavity in the visible regime. Black circles represent the three groove geometries used in the simulations. (b, c, d) COMSOL simulation of average field intensity inside the grooves across the entire visible spectrum for (b) single wavelength, (c) two wavelength, and (d) three wavelength enhancing arrays. (e, f, g) COMSOL simulation of electric field intensity at the surface of the three arrays at select wavelengths in the visible regime along with illustrations of the array geometries.</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b/>
          <w:b/>
        </w:rPr>
      </w:pPr>
      <w:r>
        <w:rPr>
          <w:rFonts w:eastAsia="Times New Roman" w:cs="Times New Roman" w:ascii="Times New Roman" w:hAnsi="Times New Roman"/>
          <w:b/>
        </w:rPr>
        <w:t>Effect of the number of grooves in an array</w:t>
      </w:r>
    </w:p>
    <w:p>
      <w:pPr>
        <w:pStyle w:val="Normal"/>
        <w:rPr>
          <w:rFonts w:ascii="Times New Roman" w:hAnsi="Times New Roman" w:eastAsia="Times New Roman" w:cs="Times New Roman"/>
        </w:rPr>
      </w:pPr>
      <w:r>
        <w:rPr>
          <w:rFonts w:eastAsia="Times New Roman" w:cs="Times New Roman" w:ascii="Times New Roman" w:hAnsi="Times New Roman"/>
        </w:rPr>
        <w:t>While we have so far dealt with arrays containing a constant number of grooves, increasing the number of grooves in a given array broadens the spectral response by increasing the number of resonators and decreasing the resonance gradient. To demonstrate this, we simulated three rainbow trapping arrays with a groove length of 120 nm and groove widths ranging from 5 to 35 nm of magnesium fluoride, with 70 nm of silver in between, as illustrated in Figure S2a. The number of grooves was set to 10, 20 and 30, with the gradient in the groove width adjusted to span the 5 to 35 nm range in each case. Figure S2b shows the spectral response of each array in which it can be seen that the number of peaks increases with the number of grooves, gradually broadening the field enhancement. While ultra-broad uniform field enhancement is advantageous for many applications, it requires a larger total array size, which often increases the time and cost involved in fabrication. Additionally, increasing the number of grooves reduces the spatial uniformity, which may not be compatible with applications which require illumination with a small focal area which may not encompass the entire array and therefore will not excite the full spectral response. All these considerations must be taken into account when designing rainbow trapping arrays for various applications.</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drawing>
          <wp:inline distT="0" distB="0" distL="0" distR="0">
            <wp:extent cx="5734050" cy="2628900"/>
            <wp:effectExtent l="0" t="0" r="0" b="0"/>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3"/>
                    <a:stretch>
                      <a:fillRect/>
                    </a:stretch>
                  </pic:blipFill>
                  <pic:spPr bwMode="auto">
                    <a:xfrm>
                      <a:off x="0" y="0"/>
                      <a:ext cx="5734050" cy="2628900"/>
                    </a:xfrm>
                    <a:prstGeom prst="rect">
                      <a:avLst/>
                    </a:prstGeom>
                  </pic:spPr>
                </pic:pic>
              </a:graphicData>
            </a:graphic>
          </wp:inline>
        </w:drawing>
      </w:r>
    </w:p>
    <w:p>
      <w:pPr>
        <w:pStyle w:val="Normal"/>
        <w:rPr/>
      </w:pPr>
      <w:r>
        <w:rPr>
          <w:rFonts w:eastAsia="Times New Roman" w:cs="Times New Roman" w:ascii="Times New Roman" w:hAnsi="Times New Roman"/>
        </w:rPr>
        <w:t>Figure S2: (a) Analytical calculation of the first four resonant modes of an Ag-MgF</w:t>
      </w:r>
      <w:r>
        <w:rPr>
          <w:rFonts w:eastAsia="Times New Roman" w:cs="Times New Roman" w:ascii="Times New Roman" w:hAnsi="Times New Roman"/>
          <w:vertAlign w:val="subscript"/>
        </w:rPr>
        <w:t>2</w:t>
      </w:r>
      <w:r>
        <w:rPr>
          <w:rFonts w:eastAsia="Times New Roman" w:cs="Times New Roman" w:ascii="Times New Roman" w:hAnsi="Times New Roman"/>
        </w:rPr>
        <w:t>-Ag cavity in the visible regime. The black line illustrates the groove geometries used in the three array designs. (b) COMSOL simulation of the average field intensity inside the grooves across the visible spectrum for arrays composed of 10 grooves, 20 grooves and 30 grooves.</w:t>
      </w:r>
    </w:p>
    <w:sectPr>
      <w:type w:val="nextPage"/>
      <w:pgSz w:w="11906" w:h="16838"/>
      <w:pgMar w:left="1440" w:right="1440" w:header="0" w:top="1440" w:footer="0" w:bottom="1440" w:gutter="0"/>
      <w:pgNumType w:start="1"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pPrDefault>
  </w:docDefaults>
  <w:style w:type="paragraph" w:styleId="Normal">
    <w:name w:val="Normal"/>
    <w:qFormat/>
    <w:pPr>
      <w:widowControl w:val="false"/>
      <w:spacing w:lineRule="auto" w:line="276"/>
    </w:pPr>
    <w:rPr>
      <w:rFonts w:ascii="Arial" w:hAnsi="Arial" w:eastAsia="Arial" w:cs="Arial"/>
      <w:color w:val="auto"/>
      <w:sz w:val="22"/>
      <w:szCs w:val="22"/>
      <w:lang w:val="en-US" w:eastAsia="zh-CN" w:bidi="hi-IN"/>
    </w:rPr>
  </w:style>
  <w:style w:type="paragraph" w:styleId="Heading1">
    <w:name w:val="Heading 1"/>
    <w:basedOn w:val="Normal1"/>
    <w:next w:val="Normal"/>
    <w:qFormat/>
    <w:pPr>
      <w:keepNext/>
      <w:keepLines/>
      <w:spacing w:lineRule="auto" w:line="240" w:before="400" w:after="120"/>
    </w:pPr>
    <w:rPr>
      <w:sz w:val="40"/>
      <w:szCs w:val="40"/>
    </w:rPr>
  </w:style>
  <w:style w:type="paragraph" w:styleId="Heading2">
    <w:name w:val="Heading 2"/>
    <w:basedOn w:val="Normal1"/>
    <w:next w:val="Normal"/>
    <w:qFormat/>
    <w:pPr>
      <w:keepNext/>
      <w:keepLines/>
      <w:spacing w:lineRule="auto" w:line="240" w:before="360" w:after="120"/>
    </w:pPr>
    <w:rPr>
      <w:b w:val="false"/>
      <w:sz w:val="32"/>
      <w:szCs w:val="32"/>
    </w:rPr>
  </w:style>
  <w:style w:type="paragraph" w:styleId="Heading3">
    <w:name w:val="Heading 3"/>
    <w:basedOn w:val="Normal1"/>
    <w:next w:val="Normal"/>
    <w:qFormat/>
    <w:pPr>
      <w:keepNext/>
      <w:keepLines/>
      <w:spacing w:lineRule="auto" w:line="240" w:before="320" w:after="80"/>
    </w:pPr>
    <w:rPr>
      <w:b w:val="false"/>
      <w:color w:val="434343"/>
      <w:sz w:val="28"/>
      <w:szCs w:val="28"/>
    </w:rPr>
  </w:style>
  <w:style w:type="paragraph" w:styleId="Heading4">
    <w:name w:val="Heading 4"/>
    <w:basedOn w:val="Normal1"/>
    <w:next w:val="Normal"/>
    <w:qFormat/>
    <w:pPr>
      <w:keepNext/>
      <w:keepLines/>
      <w:spacing w:lineRule="auto" w:line="240" w:before="280" w:after="80"/>
    </w:pPr>
    <w:rPr>
      <w:color w:val="666666"/>
      <w:sz w:val="24"/>
      <w:szCs w:val="24"/>
    </w:rPr>
  </w:style>
  <w:style w:type="paragraph" w:styleId="Heading5">
    <w:name w:val="Heading 5"/>
    <w:basedOn w:val="Normal1"/>
    <w:next w:val="Normal"/>
    <w:qFormat/>
    <w:pPr>
      <w:keepNext/>
      <w:keepLines/>
      <w:spacing w:lineRule="auto" w:line="240" w:before="240" w:after="80"/>
    </w:pPr>
    <w:rPr>
      <w:color w:val="666666"/>
      <w:sz w:val="22"/>
      <w:szCs w:val="22"/>
    </w:rPr>
  </w:style>
  <w:style w:type="paragraph" w:styleId="Heading6">
    <w:name w:val="Heading 6"/>
    <w:basedOn w:val="Normal1"/>
    <w:next w:val="Normal"/>
    <w:qFormat/>
    <w:pPr>
      <w:keepNext/>
      <w:keepLines/>
      <w:spacing w:lineRule="auto" w:line="240" w:before="240" w:after="80"/>
    </w:pPr>
    <w:rPr>
      <w:i/>
      <w:color w:val="666666"/>
      <w:sz w:val="22"/>
      <w:szCs w:val="22"/>
    </w:rPr>
  </w:style>
  <w:style w:type="paragraph" w:styleId="Heading">
    <w:name w:val="Heading"/>
    <w:basedOn w:val="Normal"/>
    <w:next w:val="TextBody"/>
    <w:qFormat/>
    <w:pPr>
      <w:keepNext/>
      <w:spacing w:before="240" w:after="120"/>
    </w:pPr>
    <w:rPr>
      <w:rFonts w:ascii="Liberation Sans" w:hAnsi="Liberation Sans" w:eastAsia="WenQuanYi Micro Hei" w:cs="Lohit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jc w:val="left"/>
    </w:pPr>
    <w:rPr>
      <w:rFonts w:ascii="Arial" w:hAnsi="Arial" w:eastAsia="Arial" w:cs="Arial"/>
      <w:color w:val="auto"/>
      <w:sz w:val="22"/>
      <w:szCs w:val="22"/>
      <w:lang w:val="en-US" w:eastAsia="zh-CN" w:bidi="hi-IN"/>
    </w:rPr>
  </w:style>
  <w:style w:type="paragraph" w:styleId="Title">
    <w:name w:val="Title"/>
    <w:basedOn w:val="Normal1"/>
    <w:next w:val="Normal"/>
    <w:qFormat/>
    <w:pPr>
      <w:keepNext/>
      <w:keepLines/>
      <w:spacing w:lineRule="auto" w:line="240" w:before="0" w:after="60"/>
    </w:pPr>
    <w:rPr>
      <w:sz w:val="52"/>
      <w:szCs w:val="52"/>
    </w:rPr>
  </w:style>
  <w:style w:type="paragraph" w:styleId="Subtitle">
    <w:name w:val="Subtitle"/>
    <w:basedOn w:val="Normal1"/>
    <w:next w:val="Normal"/>
    <w:qFormat/>
    <w:pPr>
      <w:keepNext/>
      <w:keepLines/>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LibreOffice/5.1.6.2$Linux_X86_64 LibreOffice_project/10m0$Build-2</Application>
  <Pages>4</Pages>
  <Words>897</Words>
  <Characters>4916</Characters>
  <CharactersWithSpaces>5804</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en-CA</dc:language>
  <cp:lastModifiedBy/>
  <dcterms:modified xsi:type="dcterms:W3CDTF">2020-10-08T15:23:41Z</dcterms:modified>
  <cp:revision>1</cp:revision>
  <dc:subject/>
  <dc:title/>
</cp:coreProperties>
</file>