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D6BE" w14:textId="76FE2C30" w:rsidR="005E0B37" w:rsidRPr="00987984" w:rsidRDefault="00993A21" w:rsidP="005E0B37">
      <w:pPr>
        <w:spacing w:after="120"/>
        <w:rPr>
          <w:rFonts w:cstheme="minorHAnsi"/>
          <w:b/>
          <w:sz w:val="40"/>
          <w:szCs w:val="40"/>
        </w:rPr>
      </w:pPr>
      <w:r w:rsidRPr="00993A21">
        <w:rPr>
          <w:rFonts w:cstheme="minorHAnsi"/>
          <w:b/>
          <w:sz w:val="40"/>
          <w:szCs w:val="40"/>
        </w:rPr>
        <w:t xml:space="preserve">Supplementary Information </w:t>
      </w:r>
      <w:r>
        <w:rPr>
          <w:rFonts w:cstheme="minorHAnsi"/>
          <w:b/>
          <w:sz w:val="40"/>
          <w:szCs w:val="40"/>
        </w:rPr>
        <w:t xml:space="preserve">for </w:t>
      </w:r>
      <w:r w:rsidR="005E0B37" w:rsidRPr="00987984">
        <w:rPr>
          <w:rFonts w:cstheme="minorHAnsi"/>
          <w:b/>
          <w:sz w:val="40"/>
          <w:szCs w:val="40"/>
        </w:rPr>
        <w:t>Augmented reality and virtual reality displays: emerging technologies and future perspectives</w:t>
      </w:r>
    </w:p>
    <w:p w14:paraId="24D7AA0C" w14:textId="77777777" w:rsidR="00087054" w:rsidRPr="007F33CF" w:rsidRDefault="00087054" w:rsidP="00087054">
      <w:pPr>
        <w:spacing w:line="360" w:lineRule="auto"/>
        <w:rPr>
          <w:rFonts w:cstheme="minorHAnsi"/>
          <w:i/>
          <w:sz w:val="28"/>
        </w:rPr>
      </w:pPr>
      <w:r>
        <w:rPr>
          <w:rFonts w:cstheme="minorHAnsi"/>
          <w:i/>
          <w:sz w:val="28"/>
        </w:rPr>
        <w:t xml:space="preserve">Jianghao Xiong, En-Lin Hsiang, </w:t>
      </w:r>
      <w:proofErr w:type="spellStart"/>
      <w:r>
        <w:rPr>
          <w:rFonts w:cstheme="minorHAnsi"/>
          <w:i/>
          <w:sz w:val="28"/>
        </w:rPr>
        <w:t>Ziqian</w:t>
      </w:r>
      <w:proofErr w:type="spellEnd"/>
      <w:r>
        <w:rPr>
          <w:rFonts w:cstheme="minorHAnsi"/>
          <w:i/>
          <w:sz w:val="28"/>
        </w:rPr>
        <w:t xml:space="preserve"> He, Tao Zhan, </w:t>
      </w:r>
      <w:r w:rsidRPr="007F33CF">
        <w:rPr>
          <w:rFonts w:cstheme="minorHAnsi"/>
          <w:i/>
          <w:sz w:val="28"/>
        </w:rPr>
        <w:t>and Shin-</w:t>
      </w:r>
      <w:proofErr w:type="spellStart"/>
      <w:r w:rsidRPr="007F33CF">
        <w:rPr>
          <w:rFonts w:cstheme="minorHAnsi"/>
          <w:i/>
          <w:sz w:val="28"/>
        </w:rPr>
        <w:t>Tson</w:t>
      </w:r>
      <w:proofErr w:type="spellEnd"/>
      <w:r w:rsidRPr="007F33CF">
        <w:rPr>
          <w:rFonts w:cstheme="minorHAnsi"/>
          <w:i/>
          <w:sz w:val="28"/>
        </w:rPr>
        <w:t xml:space="preserve"> Wu</w:t>
      </w:r>
      <w:r w:rsidRPr="007F33CF">
        <w:rPr>
          <w:rFonts w:cstheme="minorHAnsi"/>
          <w:i/>
          <w:sz w:val="28"/>
          <w:vertAlign w:val="superscript"/>
        </w:rPr>
        <w:t>*</w:t>
      </w:r>
    </w:p>
    <w:p w14:paraId="00A36009" w14:textId="77777777" w:rsidR="00087054" w:rsidRPr="009A0A7A" w:rsidRDefault="00087054" w:rsidP="00087054">
      <w:pPr>
        <w:rPr>
          <w:rFonts w:cstheme="minorHAnsi"/>
          <w:i/>
          <w:sz w:val="19"/>
          <w:szCs w:val="19"/>
        </w:rPr>
      </w:pPr>
      <w:r w:rsidRPr="007F33CF">
        <w:rPr>
          <w:rFonts w:cstheme="minorHAnsi"/>
          <w:i/>
          <w:sz w:val="19"/>
          <w:szCs w:val="19"/>
        </w:rPr>
        <w:t>College of Optics and Photonics, University of Central Florida, Orlando, FL 32816, USA</w:t>
      </w:r>
    </w:p>
    <w:p w14:paraId="16A7EC4C" w14:textId="77777777" w:rsidR="00087054" w:rsidRPr="007F33CF" w:rsidRDefault="00087054" w:rsidP="00087054">
      <w:pPr>
        <w:pStyle w:val="04CorrespondingAuthorEmail"/>
        <w:spacing w:after="0"/>
        <w:rPr>
          <w:rStyle w:val="Hyperlink"/>
          <w:rFonts w:asciiTheme="minorHAnsi" w:eastAsia="Malgun Gothic" w:hAnsiTheme="minorHAnsi" w:cstheme="minorHAnsi"/>
          <w:sz w:val="19"/>
          <w:szCs w:val="19"/>
        </w:rPr>
      </w:pPr>
      <w:r w:rsidRPr="007F33CF">
        <w:rPr>
          <w:rFonts w:asciiTheme="minorHAnsi" w:hAnsiTheme="minorHAnsi" w:cstheme="minorHAnsi"/>
          <w:sz w:val="19"/>
          <w:szCs w:val="19"/>
        </w:rPr>
        <w:t xml:space="preserve">*Corresponding author: </w:t>
      </w:r>
      <w:hyperlink r:id="rId4" w:history="1">
        <w:r w:rsidRPr="007F33CF">
          <w:rPr>
            <w:rStyle w:val="Hyperlink"/>
            <w:rFonts w:asciiTheme="minorHAnsi" w:eastAsia="Malgun Gothic" w:hAnsiTheme="minorHAnsi" w:cstheme="minorHAnsi"/>
            <w:sz w:val="19"/>
            <w:szCs w:val="19"/>
          </w:rPr>
          <w:t>swu@creol.ucf.edu</w:t>
        </w:r>
      </w:hyperlink>
    </w:p>
    <w:p w14:paraId="4320EDD6" w14:textId="77777777" w:rsidR="00087054" w:rsidRPr="000D26C1" w:rsidRDefault="00087054" w:rsidP="00087054">
      <w:pPr>
        <w:rPr>
          <w:rFonts w:ascii="Arial" w:hAnsi="Arial" w:cs="Arial"/>
          <w:sz w:val="20"/>
          <w:szCs w:val="20"/>
        </w:rPr>
      </w:pPr>
      <w:r w:rsidRPr="000D26C1">
        <w:rPr>
          <w:rFonts w:ascii="Arial" w:hAnsi="Arial" w:cs="Arial"/>
          <w:sz w:val="20"/>
          <w:szCs w:val="20"/>
        </w:rPr>
        <w:t>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73B581D3" w14:textId="49483869" w:rsidR="005D192A" w:rsidRPr="001C230C" w:rsidRDefault="001D0326" w:rsidP="005E0B37">
      <w:pPr>
        <w:jc w:val="both"/>
        <w:rPr>
          <w:rFonts w:ascii="Arial" w:hAnsi="Arial" w:cs="Arial"/>
          <w:b/>
          <w:bCs/>
        </w:rPr>
      </w:pPr>
      <w:r w:rsidRPr="001C230C">
        <w:rPr>
          <w:rFonts w:ascii="Arial" w:hAnsi="Arial" w:cs="Arial"/>
          <w:b/>
          <w:bCs/>
        </w:rPr>
        <w:t>Table S1 Parameters of gratings in the simulation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389"/>
        <w:gridCol w:w="1049"/>
        <w:gridCol w:w="1343"/>
        <w:gridCol w:w="1349"/>
        <w:gridCol w:w="1977"/>
        <w:gridCol w:w="2068"/>
      </w:tblGrid>
      <w:tr w:rsidR="009419AE" w14:paraId="0FB932F2" w14:textId="77777777" w:rsidTr="008877E8">
        <w:tc>
          <w:tcPr>
            <w:tcW w:w="1390" w:type="dxa"/>
            <w:vAlign w:val="center"/>
          </w:tcPr>
          <w:p w14:paraId="51E847CA" w14:textId="77777777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14:paraId="5716E114" w14:textId="116B2415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Refractive index</w:t>
            </w:r>
          </w:p>
        </w:tc>
        <w:tc>
          <w:tcPr>
            <w:tcW w:w="1344" w:type="dxa"/>
            <w:vAlign w:val="center"/>
          </w:tcPr>
          <w:p w14:paraId="23C5AE29" w14:textId="425D4CA0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Grating pitch (</w:t>
            </w:r>
            <w:proofErr w:type="spellStart"/>
            <w:r w:rsidRPr="00960DCF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E1179B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x</w:t>
            </w:r>
            <w:proofErr w:type="spellEnd"/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vAlign w:val="center"/>
          </w:tcPr>
          <w:p w14:paraId="71B711F7" w14:textId="4E1C9570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Bragg pitch (</w:t>
            </w:r>
            <w:r w:rsidRPr="00960DCF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E1179B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B</w:t>
            </w: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0" w:type="dxa"/>
            <w:vAlign w:val="center"/>
          </w:tcPr>
          <w:p w14:paraId="17391DFB" w14:textId="0BF4FD0B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Bragg surface slant angle</w:t>
            </w:r>
          </w:p>
        </w:tc>
        <w:tc>
          <w:tcPr>
            <w:tcW w:w="2070" w:type="dxa"/>
            <w:vAlign w:val="center"/>
          </w:tcPr>
          <w:p w14:paraId="053FD35F" w14:textId="4BECD2C8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Grating thickness</w:t>
            </w:r>
          </w:p>
        </w:tc>
      </w:tr>
      <w:tr w:rsidR="009419AE" w14:paraId="5FB2734C" w14:textId="77777777" w:rsidTr="008877E8">
        <w:tc>
          <w:tcPr>
            <w:tcW w:w="1390" w:type="dxa"/>
            <w:vAlign w:val="center"/>
          </w:tcPr>
          <w:p w14:paraId="1BAD41AA" w14:textId="77777777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Transmissive</w:t>
            </w:r>
          </w:p>
          <w:p w14:paraId="4EE4358C" w14:textId="2248660A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PPHOE</w:t>
            </w:r>
          </w:p>
        </w:tc>
        <w:tc>
          <w:tcPr>
            <w:tcW w:w="1041" w:type="dxa"/>
            <w:vMerge w:val="restart"/>
            <w:vAlign w:val="center"/>
          </w:tcPr>
          <w:p w14:paraId="23E70837" w14:textId="6542B7CD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7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 xml:space="preserve"> = 1.5, </w:t>
            </w:r>
            <w:proofErr w:type="spellStart"/>
            <w:r w:rsidRPr="00E117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δn</w:t>
            </w:r>
            <w:proofErr w:type="spellEnd"/>
            <w:r w:rsidRPr="009419AE">
              <w:rPr>
                <w:rFonts w:ascii="Times New Roman" w:hAnsi="Times New Roman" w:cs="Times New Roman"/>
                <w:sz w:val="20"/>
                <w:szCs w:val="20"/>
              </w:rPr>
              <w:t xml:space="preserve"> = 0.02</w:t>
            </w:r>
          </w:p>
        </w:tc>
        <w:tc>
          <w:tcPr>
            <w:tcW w:w="1344" w:type="dxa"/>
            <w:vMerge w:val="restart"/>
            <w:vAlign w:val="center"/>
          </w:tcPr>
          <w:p w14:paraId="7132DCFA" w14:textId="6ABD7CC3" w:rsidR="009419AE" w:rsidRPr="009419AE" w:rsidRDefault="009419AE" w:rsidP="00BD2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3000 nm</w:t>
            </w:r>
          </w:p>
        </w:tc>
        <w:tc>
          <w:tcPr>
            <w:tcW w:w="1350" w:type="dxa"/>
            <w:vAlign w:val="center"/>
          </w:tcPr>
          <w:p w14:paraId="47544919" w14:textId="3D7927C1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3000 nm</w:t>
            </w:r>
          </w:p>
        </w:tc>
        <w:tc>
          <w:tcPr>
            <w:tcW w:w="1980" w:type="dxa"/>
            <w:vAlign w:val="center"/>
          </w:tcPr>
          <w:p w14:paraId="07851BAD" w14:textId="12A3CE70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90º</w:t>
            </w:r>
          </w:p>
        </w:tc>
        <w:tc>
          <w:tcPr>
            <w:tcW w:w="2070" w:type="dxa"/>
            <w:vAlign w:val="center"/>
          </w:tcPr>
          <w:p w14:paraId="18837C4A" w14:textId="7662452F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2500 nm</w:t>
            </w:r>
          </w:p>
        </w:tc>
      </w:tr>
      <w:tr w:rsidR="009419AE" w14:paraId="0A4E32F2" w14:textId="77777777" w:rsidTr="008877E8">
        <w:tc>
          <w:tcPr>
            <w:tcW w:w="1390" w:type="dxa"/>
            <w:vAlign w:val="center"/>
          </w:tcPr>
          <w:p w14:paraId="5BFE214B" w14:textId="0C5D1786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Reflective PPHOE</w:t>
            </w:r>
          </w:p>
        </w:tc>
        <w:tc>
          <w:tcPr>
            <w:tcW w:w="1041" w:type="dxa"/>
            <w:vMerge/>
            <w:vAlign w:val="center"/>
          </w:tcPr>
          <w:p w14:paraId="3F502FA9" w14:textId="77777777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Merge/>
            <w:vAlign w:val="center"/>
          </w:tcPr>
          <w:p w14:paraId="02413214" w14:textId="2E4BFBD2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A2AC7EA" w14:textId="6B936B8A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190 nm</w:t>
            </w:r>
          </w:p>
        </w:tc>
        <w:tc>
          <w:tcPr>
            <w:tcW w:w="1980" w:type="dxa"/>
            <w:vAlign w:val="center"/>
          </w:tcPr>
          <w:p w14:paraId="76441AA6" w14:textId="1B1B7B1E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7.3º</w:t>
            </w:r>
          </w:p>
        </w:tc>
        <w:tc>
          <w:tcPr>
            <w:tcW w:w="2070" w:type="dxa"/>
            <w:vAlign w:val="center"/>
          </w:tcPr>
          <w:p w14:paraId="2DBF3D74" w14:textId="461833F0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1667 nm</w:t>
            </w:r>
          </w:p>
        </w:tc>
      </w:tr>
      <w:tr w:rsidR="009419AE" w14:paraId="4CE7A27F" w14:textId="77777777" w:rsidTr="008877E8">
        <w:tc>
          <w:tcPr>
            <w:tcW w:w="1390" w:type="dxa"/>
            <w:vAlign w:val="center"/>
          </w:tcPr>
          <w:p w14:paraId="7505328C" w14:textId="267FC240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Transmissive LCHOE</w:t>
            </w:r>
          </w:p>
        </w:tc>
        <w:tc>
          <w:tcPr>
            <w:tcW w:w="1041" w:type="dxa"/>
            <w:vMerge w:val="restart"/>
            <w:vAlign w:val="center"/>
          </w:tcPr>
          <w:p w14:paraId="3BEEC55B" w14:textId="6E6149EE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7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E1179B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o</w:t>
            </w: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 xml:space="preserve"> = 1.5</w:t>
            </w:r>
            <w:r w:rsidR="00461E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3710D62" w14:textId="7280D097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7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E1179B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e</w:t>
            </w:r>
            <w:r w:rsidRPr="00E117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= 1.65</w:t>
            </w:r>
          </w:p>
        </w:tc>
        <w:tc>
          <w:tcPr>
            <w:tcW w:w="1344" w:type="dxa"/>
            <w:vMerge/>
            <w:vAlign w:val="center"/>
          </w:tcPr>
          <w:p w14:paraId="031B516E" w14:textId="30924877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A0FA0DB" w14:textId="6BF6DFDE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3000 nm</w:t>
            </w:r>
          </w:p>
        </w:tc>
        <w:tc>
          <w:tcPr>
            <w:tcW w:w="1980" w:type="dxa"/>
            <w:vAlign w:val="center"/>
          </w:tcPr>
          <w:p w14:paraId="549ADEBB" w14:textId="7A3E2EF4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90º</w:t>
            </w:r>
          </w:p>
        </w:tc>
        <w:tc>
          <w:tcPr>
            <w:tcW w:w="2070" w:type="dxa"/>
            <w:vAlign w:val="center"/>
          </w:tcPr>
          <w:p w14:paraId="545F8F5D" w14:textId="3BA28047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12500 nm</w:t>
            </w:r>
          </w:p>
        </w:tc>
      </w:tr>
      <w:tr w:rsidR="009419AE" w14:paraId="1AB1F8EF" w14:textId="77777777" w:rsidTr="008877E8">
        <w:tc>
          <w:tcPr>
            <w:tcW w:w="1390" w:type="dxa"/>
            <w:vAlign w:val="center"/>
          </w:tcPr>
          <w:p w14:paraId="6D51BE72" w14:textId="3BBB33C8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Reflective LCHOE</w:t>
            </w:r>
          </w:p>
        </w:tc>
        <w:tc>
          <w:tcPr>
            <w:tcW w:w="1041" w:type="dxa"/>
            <w:vMerge/>
            <w:vAlign w:val="center"/>
          </w:tcPr>
          <w:p w14:paraId="74041339" w14:textId="77777777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Merge/>
            <w:vAlign w:val="center"/>
          </w:tcPr>
          <w:p w14:paraId="5B625CA1" w14:textId="539ED8F7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7886E1E" w14:textId="18F56809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190 nm</w:t>
            </w:r>
          </w:p>
        </w:tc>
        <w:tc>
          <w:tcPr>
            <w:tcW w:w="1980" w:type="dxa"/>
            <w:vAlign w:val="center"/>
          </w:tcPr>
          <w:p w14:paraId="77F568BC" w14:textId="57649462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7.3º</w:t>
            </w:r>
          </w:p>
        </w:tc>
        <w:tc>
          <w:tcPr>
            <w:tcW w:w="2070" w:type="dxa"/>
            <w:vAlign w:val="center"/>
          </w:tcPr>
          <w:p w14:paraId="1CBFED75" w14:textId="4E2C8610" w:rsidR="009419AE" w:rsidRPr="009419AE" w:rsidRDefault="009419AE" w:rsidP="002E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9AE">
              <w:rPr>
                <w:rFonts w:ascii="Times New Roman" w:hAnsi="Times New Roman" w:cs="Times New Roman"/>
                <w:sz w:val="20"/>
                <w:szCs w:val="20"/>
              </w:rPr>
              <w:t>20000 nm</w:t>
            </w:r>
          </w:p>
        </w:tc>
      </w:tr>
    </w:tbl>
    <w:p w14:paraId="33C79CC5" w14:textId="0BD5FAA0" w:rsidR="004807F6" w:rsidRDefault="004807F6" w:rsidP="00F363E9">
      <w:pPr>
        <w:pStyle w:val="BODY"/>
        <w:ind w:firstLine="0"/>
      </w:pPr>
    </w:p>
    <w:p w14:paraId="2AFC836C" w14:textId="4E3B4D76" w:rsidR="004807F6" w:rsidRPr="004807F6" w:rsidRDefault="004807F6" w:rsidP="004807F6">
      <w:pPr>
        <w:pStyle w:val="BODY"/>
        <w:ind w:firstLine="0"/>
        <w:rPr>
          <w:b/>
          <w:bCs/>
          <w:sz w:val="28"/>
          <w:szCs w:val="24"/>
        </w:rPr>
      </w:pPr>
      <w:r w:rsidRPr="004807F6">
        <w:rPr>
          <w:b/>
          <w:bCs/>
          <w:sz w:val="28"/>
          <w:szCs w:val="24"/>
        </w:rPr>
        <w:t>Calculation of luminous efficiency</w:t>
      </w:r>
    </w:p>
    <w:p w14:paraId="642CC6A5" w14:textId="3CD6F319" w:rsidR="00204512" w:rsidRPr="00204512" w:rsidRDefault="00CB7FF9" w:rsidP="002F6FF8">
      <w:pPr>
        <w:pStyle w:val="BODY"/>
      </w:pPr>
      <w:r>
        <w:t>For blue micro-LEDs, we perform two calculations. First, f</w:t>
      </w:r>
      <w:r w:rsidR="00204512">
        <w:t xml:space="preserve">rom Table 1 in </w:t>
      </w:r>
      <w:r w:rsidR="008B1570">
        <w:t>r</w:t>
      </w:r>
      <w:r w:rsidR="00204512">
        <w:t>ef.</w:t>
      </w:r>
      <w:r w:rsidR="008B1570">
        <w:rPr>
          <w:vertAlign w:val="superscript"/>
        </w:rPr>
        <w:t>1</w:t>
      </w:r>
      <w:r w:rsidR="005173AC">
        <w:rPr>
          <w:vertAlign w:val="superscript"/>
        </w:rPr>
        <w:t>33</w:t>
      </w:r>
      <w:r w:rsidR="00204512">
        <w:t>, we can obtain the brightness of 8</w:t>
      </w:r>
      <w:r w:rsidR="003A7C14">
        <w:t>,</w:t>
      </w:r>
      <w:r w:rsidR="00204512">
        <w:t>300</w:t>
      </w:r>
      <w:r w:rsidR="005007DD">
        <w:t xml:space="preserve"> </w:t>
      </w:r>
      <w:r w:rsidR="00204512">
        <w:t>cd</w:t>
      </w:r>
      <w:r w:rsidR="005007DD">
        <w:t xml:space="preserve"> </w:t>
      </w:r>
      <w:r w:rsidR="00204512">
        <w:t>m</w:t>
      </w:r>
      <w:r w:rsidR="005007DD">
        <w:rPr>
          <w:vertAlign w:val="superscript"/>
        </w:rPr>
        <w:t>-2</w:t>
      </w:r>
      <w:r w:rsidR="007D44BB">
        <w:t>, area of 0.384 cm</w:t>
      </w:r>
      <w:r w:rsidR="007D44BB">
        <w:rPr>
          <w:vertAlign w:val="superscript"/>
        </w:rPr>
        <w:t>2</w:t>
      </w:r>
      <w:r w:rsidR="007D44BB">
        <w:t xml:space="preserve"> </w:t>
      </w:r>
      <w:r w:rsidR="00204512">
        <w:t>and power consumption of 1.17</w:t>
      </w:r>
      <w:r w:rsidR="00FD7AD6">
        <w:t xml:space="preserve"> </w:t>
      </w:r>
      <w:r w:rsidR="00204512">
        <w:t xml:space="preserve">W. </w:t>
      </w:r>
      <w:r w:rsidR="004A7E13">
        <w:t>To calculate luminous flux, we assume the emission solid angle is 2</w:t>
      </w:r>
      <w:r w:rsidR="004A7E13" w:rsidRPr="00FB4CC0">
        <w:rPr>
          <w:i/>
          <w:iCs/>
        </w:rPr>
        <w:t>π</w:t>
      </w:r>
      <w:r w:rsidR="004A7E13">
        <w:t>. Therefore, the total luminous flux is</w:t>
      </w:r>
      <w:r w:rsidR="008B051F">
        <w:t xml:space="preserve"> 8300×0.384×10</w:t>
      </w:r>
      <w:r w:rsidR="008B051F">
        <w:rPr>
          <w:vertAlign w:val="superscript"/>
        </w:rPr>
        <w:t>-4</w:t>
      </w:r>
      <w:r w:rsidR="008B051F">
        <w:t>×2</w:t>
      </w:r>
      <w:r w:rsidR="008B051F" w:rsidRPr="00FB4CC0">
        <w:rPr>
          <w:i/>
          <w:iCs/>
        </w:rPr>
        <w:t>π</w:t>
      </w:r>
      <w:r w:rsidR="008B051F">
        <w:t xml:space="preserve"> = 2</w:t>
      </w:r>
      <w:r w:rsidR="00C21D7F">
        <w:t>.0</w:t>
      </w:r>
      <w:r w:rsidR="008B051F">
        <w:t xml:space="preserve"> </w:t>
      </w:r>
      <w:proofErr w:type="spellStart"/>
      <w:r w:rsidR="008B051F">
        <w:t>lm</w:t>
      </w:r>
      <w:proofErr w:type="spellEnd"/>
      <w:r w:rsidR="001B4780">
        <w:t>.</w:t>
      </w:r>
      <w:r w:rsidR="005D7CDA">
        <w:t xml:space="preserve"> The luminous efficacy is 1.7</w:t>
      </w:r>
      <w:r w:rsidR="00BE3444">
        <w:t>1</w:t>
      </w:r>
      <w:r w:rsidR="00874236">
        <w:t xml:space="preserve"> </w:t>
      </w:r>
      <w:proofErr w:type="spellStart"/>
      <w:r w:rsidR="005D7CDA">
        <w:t>lm</w:t>
      </w:r>
      <w:proofErr w:type="spellEnd"/>
      <w:r w:rsidR="000563C3">
        <w:t xml:space="preserve"> </w:t>
      </w:r>
      <w:r w:rsidR="005D7CDA">
        <w:t>W</w:t>
      </w:r>
      <w:r w:rsidR="000563C3">
        <w:rPr>
          <w:vertAlign w:val="superscript"/>
        </w:rPr>
        <w:t>-1</w:t>
      </w:r>
      <w:r w:rsidR="005D7CDA">
        <w:t>.</w:t>
      </w:r>
      <w:r w:rsidR="00A812EE">
        <w:t xml:space="preserve"> Here, the choice of </w:t>
      </w:r>
      <w:r w:rsidR="00A812EE" w:rsidRPr="00A812EE">
        <w:t>2</w:t>
      </w:r>
      <w:r w:rsidR="00A812EE" w:rsidRPr="00FB4CC0">
        <w:rPr>
          <w:i/>
          <w:iCs/>
        </w:rPr>
        <w:t>π</w:t>
      </w:r>
      <w:r w:rsidR="00A812EE">
        <w:t xml:space="preserve"> solid angle mainly comes from the consideration of irregular angular emission profiles of micro-LEDs</w:t>
      </w:r>
      <w:r w:rsidR="009521C7">
        <w:t>, especially for GB</w:t>
      </w:r>
      <w:r w:rsidR="00A10CDA">
        <w:t xml:space="preserve"> colors</w:t>
      </w:r>
      <w:r w:rsidR="009521C7">
        <w:t xml:space="preserve">. </w:t>
      </w:r>
      <w:r w:rsidR="00421DB4">
        <w:t>The actual solid angle averaged by the emission profile is smaller than 2</w:t>
      </w:r>
      <w:r w:rsidR="00421DB4" w:rsidRPr="00FB4CC0">
        <w:rPr>
          <w:i/>
          <w:iCs/>
        </w:rPr>
        <w:t>π</w:t>
      </w:r>
      <w:r w:rsidR="00421DB4">
        <w:t>. Therefore, the final calculated values only serve as a rough estimate.</w:t>
      </w:r>
    </w:p>
    <w:p w14:paraId="763271D4" w14:textId="76A3712E" w:rsidR="004A7E13" w:rsidRPr="00000C7D" w:rsidRDefault="00330C26" w:rsidP="00000C7D">
      <w:pPr>
        <w:pStyle w:val="09Body"/>
        <w:rPr>
          <w:rFonts w:eastAsiaTheme="minorEastAsia"/>
        </w:rPr>
      </w:pPr>
      <w:r>
        <w:t>Second, f</w:t>
      </w:r>
      <w:r w:rsidR="00CF2125">
        <w:t xml:space="preserve">rom Fig. 5 in </w:t>
      </w:r>
      <w:r w:rsidR="008B1570">
        <w:t>r</w:t>
      </w:r>
      <w:r w:rsidR="00CF2125">
        <w:t>ef.</w:t>
      </w:r>
      <w:r w:rsidR="008B1570">
        <w:rPr>
          <w:vertAlign w:val="superscript"/>
        </w:rPr>
        <w:t>1</w:t>
      </w:r>
      <w:r w:rsidR="008400E1">
        <w:rPr>
          <w:vertAlign w:val="superscript"/>
        </w:rPr>
        <w:t>31</w:t>
      </w:r>
      <w:r w:rsidR="00CF2125">
        <w:t>, we can acquire the highest EQE of 6% for 20 µm-LED at current density of 5</w:t>
      </w:r>
      <w:r w:rsidR="004D1649">
        <w:t xml:space="preserve"> </w:t>
      </w:r>
      <w:r w:rsidR="00CF2125">
        <w:t>A</w:t>
      </w:r>
      <w:r w:rsidR="004D1649">
        <w:t xml:space="preserve"> </w:t>
      </w:r>
      <w:r w:rsidR="00CF2125">
        <w:t>cm</w:t>
      </w:r>
      <w:r w:rsidR="004D1649">
        <w:rPr>
          <w:vertAlign w:val="superscript"/>
        </w:rPr>
        <w:t>-2</w:t>
      </w:r>
      <w:r w:rsidR="00CF2125">
        <w:t xml:space="preserve">. </w:t>
      </w:r>
      <w:r w:rsidR="009412A1">
        <w:t xml:space="preserve">To calculate WPE, </w:t>
      </w:r>
      <w:r w:rsidR="00204512">
        <w:t>we assume</w:t>
      </w:r>
      <w:r w:rsidR="001E7238">
        <w:t xml:space="preserve"> the wavelength of 450 nm and voltage of 2.75</w:t>
      </w:r>
      <w:r w:rsidR="00140D33">
        <w:t xml:space="preserve"> </w:t>
      </w:r>
      <w:r w:rsidR="001E7238">
        <w:t>V</w:t>
      </w:r>
      <w:r w:rsidR="00E116E4">
        <w:t xml:space="preserve"> same as </w:t>
      </w:r>
      <w:r w:rsidR="00A94A36">
        <w:t>r</w:t>
      </w:r>
      <w:r w:rsidR="00E116E4">
        <w:t>ef.</w:t>
      </w:r>
      <w:r w:rsidR="00A94A36">
        <w:rPr>
          <w:vertAlign w:val="superscript"/>
        </w:rPr>
        <w:t>1</w:t>
      </w:r>
      <w:r w:rsidR="00665071">
        <w:rPr>
          <w:vertAlign w:val="superscript"/>
        </w:rPr>
        <w:t>33</w:t>
      </w:r>
      <w:r w:rsidR="001E7238">
        <w:t xml:space="preserve"> (the voltage for 5</w:t>
      </w:r>
      <w:r w:rsidR="006F3B15">
        <w:t xml:space="preserve"> </w:t>
      </w:r>
      <w:r w:rsidR="001E7238">
        <w:t>A</w:t>
      </w:r>
      <w:r w:rsidR="006F3B15">
        <w:t xml:space="preserve"> </w:t>
      </w:r>
      <w:r w:rsidR="001E7238">
        <w:t>cm</w:t>
      </w:r>
      <w:r w:rsidR="006F3B15">
        <w:rPr>
          <w:vertAlign w:val="superscript"/>
        </w:rPr>
        <w:t>-2</w:t>
      </w:r>
      <w:r w:rsidR="001E7238">
        <w:t xml:space="preserve"> is hard to read from Fig. 2).</w:t>
      </w:r>
      <w:r w:rsidR="009144B3">
        <w:t xml:space="preserve"> The WPE is calculated as </w:t>
      </w:r>
      <w:r w:rsidR="009144B3" w:rsidRPr="009144B3">
        <w:rPr>
          <w:position w:val="-24"/>
        </w:rPr>
        <w:object w:dxaOrig="4220" w:dyaOrig="620" w14:anchorId="77786B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75pt;height:30.45pt" o:ole="">
            <v:imagedata r:id="rId5" o:title=""/>
          </v:shape>
          <o:OLEObject Type="Embed" ProgID="Equation.DSMT4" ShapeID="_x0000_i1025" DrawAspect="Content" ObjectID="_1694496777" r:id="rId6"/>
        </w:object>
      </w:r>
      <w:r w:rsidR="00E37948">
        <w:t>.</w:t>
      </w:r>
      <w:r w:rsidR="00000C7D">
        <w:rPr>
          <w:rFonts w:eastAsiaTheme="minorEastAsia"/>
        </w:rPr>
        <w:t xml:space="preserve"> </w:t>
      </w:r>
      <w:r w:rsidR="009144B3">
        <w:t>With maximum luminous efficacy of radiation for 450 nm of around 33</w:t>
      </w:r>
      <w:r w:rsidR="00AB4CBC">
        <w:t xml:space="preserve"> </w:t>
      </w:r>
      <w:proofErr w:type="spellStart"/>
      <w:r w:rsidR="009144B3">
        <w:t>lm</w:t>
      </w:r>
      <w:proofErr w:type="spellEnd"/>
      <w:r w:rsidR="00BE2D2D">
        <w:t xml:space="preserve"> </w:t>
      </w:r>
      <w:r w:rsidR="009144B3">
        <w:t>W</w:t>
      </w:r>
      <w:r w:rsidR="00BE2D2D">
        <w:rPr>
          <w:vertAlign w:val="superscript"/>
        </w:rPr>
        <w:t>-1</w:t>
      </w:r>
      <w:r w:rsidR="009144B3">
        <w:t xml:space="preserve">, we can obtain luminous efficacy of 1.98 </w:t>
      </w:r>
      <w:proofErr w:type="spellStart"/>
      <w:r w:rsidR="009144B3">
        <w:t>lm</w:t>
      </w:r>
      <w:proofErr w:type="spellEnd"/>
      <w:r w:rsidR="00BE2D2D">
        <w:t xml:space="preserve"> </w:t>
      </w:r>
      <w:r w:rsidR="009144B3">
        <w:t>W</w:t>
      </w:r>
      <w:r w:rsidR="00BE2D2D">
        <w:rPr>
          <w:vertAlign w:val="superscript"/>
        </w:rPr>
        <w:t>-1</w:t>
      </w:r>
      <w:r w:rsidR="00545D9E">
        <w:t xml:space="preserve">, which is close to the result calculated from </w:t>
      </w:r>
      <w:r w:rsidR="006D6EE2">
        <w:t>ref.</w:t>
      </w:r>
      <w:r w:rsidR="006D6EE2">
        <w:rPr>
          <w:vertAlign w:val="superscript"/>
        </w:rPr>
        <w:t>1</w:t>
      </w:r>
      <w:r w:rsidR="00C31F66">
        <w:rPr>
          <w:vertAlign w:val="superscript"/>
        </w:rPr>
        <w:t>33</w:t>
      </w:r>
      <w:r w:rsidR="00BA6A38">
        <w:t>.</w:t>
      </w:r>
    </w:p>
    <w:p w14:paraId="3450DEF5" w14:textId="4858FC6C" w:rsidR="008F02F4" w:rsidRDefault="002F6FF8" w:rsidP="002F6FF8">
      <w:pPr>
        <w:pStyle w:val="BODY"/>
      </w:pPr>
      <w:r>
        <w:t xml:space="preserve">For green micro-LEDs, we can read from Fig. 2 in </w:t>
      </w:r>
      <w:r w:rsidR="00D75B1E">
        <w:t>r</w:t>
      </w:r>
      <w:r>
        <w:t>ef</w:t>
      </w:r>
      <w:r w:rsidR="00D75B1E">
        <w:t>.</w:t>
      </w:r>
      <w:r w:rsidR="00D75B1E">
        <w:rPr>
          <w:vertAlign w:val="superscript"/>
        </w:rPr>
        <w:t>1</w:t>
      </w:r>
      <w:r w:rsidR="001B7A5D">
        <w:rPr>
          <w:vertAlign w:val="superscript"/>
        </w:rPr>
        <w:t>32</w:t>
      </w:r>
      <w:r>
        <w:t xml:space="preserve"> the brightness of</w:t>
      </w:r>
      <w:r w:rsidR="003932FB">
        <w:t xml:space="preserve"> a</w:t>
      </w:r>
      <w:r w:rsidR="00985AB0">
        <w:t xml:space="preserve"> 25 µm LED to be</w:t>
      </w:r>
      <w:r>
        <w:t xml:space="preserve"> 2</w:t>
      </w:r>
      <w:r w:rsidR="00A65DFF">
        <w:t>×10</w:t>
      </w:r>
      <w:r w:rsidR="00A65DFF">
        <w:rPr>
          <w:vertAlign w:val="superscript"/>
        </w:rPr>
        <w:t>5</w:t>
      </w:r>
      <w:r w:rsidR="00A65DFF">
        <w:t xml:space="preserve"> cd</w:t>
      </w:r>
      <w:r w:rsidR="00BE2D2D">
        <w:t xml:space="preserve"> </w:t>
      </w:r>
      <w:r w:rsidR="00A65DFF">
        <w:t>m</w:t>
      </w:r>
      <w:r w:rsidR="00BE2D2D">
        <w:rPr>
          <w:vertAlign w:val="superscript"/>
        </w:rPr>
        <w:t>-2</w:t>
      </w:r>
      <w:r w:rsidR="00A65DFF">
        <w:t xml:space="preserve"> under current density of 5 A</w:t>
      </w:r>
      <w:r w:rsidR="00B0046E">
        <w:t xml:space="preserve"> </w:t>
      </w:r>
      <w:r w:rsidR="00A65DFF">
        <w:t>cm</w:t>
      </w:r>
      <w:r w:rsidR="00B0046E">
        <w:rPr>
          <w:vertAlign w:val="superscript"/>
        </w:rPr>
        <w:t>-2</w:t>
      </w:r>
      <w:r w:rsidR="00A65DFF">
        <w:t>.</w:t>
      </w:r>
      <w:r w:rsidR="002E57AE">
        <w:t xml:space="preserve"> The luminous flus is 2×10</w:t>
      </w:r>
      <w:r w:rsidR="002E57AE">
        <w:rPr>
          <w:vertAlign w:val="superscript"/>
        </w:rPr>
        <w:t>5</w:t>
      </w:r>
      <w:proofErr w:type="gramStart"/>
      <w:r w:rsidR="002E57AE">
        <w:t>×(</w:t>
      </w:r>
      <w:proofErr w:type="gramEnd"/>
      <w:r w:rsidR="00A15568">
        <w:t>25×10</w:t>
      </w:r>
      <w:r w:rsidR="00A15568">
        <w:rPr>
          <w:vertAlign w:val="superscript"/>
        </w:rPr>
        <w:t>-6</w:t>
      </w:r>
      <w:r w:rsidR="002E57AE">
        <w:t>)</w:t>
      </w:r>
      <w:r w:rsidR="002E57AE">
        <w:rPr>
          <w:vertAlign w:val="superscript"/>
        </w:rPr>
        <w:t>2</w:t>
      </w:r>
      <w:r w:rsidR="002E57AE">
        <w:t>×2</w:t>
      </w:r>
      <w:r w:rsidR="002E57AE" w:rsidRPr="00FB4CC0">
        <w:rPr>
          <w:i/>
          <w:iCs/>
        </w:rPr>
        <w:t>π</w:t>
      </w:r>
      <w:r w:rsidR="00A251BF">
        <w:t xml:space="preserve"> </w:t>
      </w:r>
      <w:r w:rsidR="002E57AE">
        <w:t>=</w:t>
      </w:r>
      <w:r w:rsidR="00A251BF">
        <w:t xml:space="preserve"> </w:t>
      </w:r>
      <w:r w:rsidR="00206A96">
        <w:t>7.85×10</w:t>
      </w:r>
      <w:r w:rsidR="00206A96">
        <w:rPr>
          <w:vertAlign w:val="superscript"/>
        </w:rPr>
        <w:t>-4</w:t>
      </w:r>
      <w:r w:rsidR="00206A96">
        <w:t xml:space="preserve"> lm. </w:t>
      </w:r>
      <w:r w:rsidR="00C61579">
        <w:t>From Fig. 1 we can read the voltage is around 2.3</w:t>
      </w:r>
      <w:r w:rsidR="0041333F">
        <w:t xml:space="preserve"> </w:t>
      </w:r>
      <w:r w:rsidR="00C61579">
        <w:t xml:space="preserve">V. </w:t>
      </w:r>
      <w:r w:rsidR="006B39E0">
        <w:t>T</w:t>
      </w:r>
      <w:r w:rsidR="00C61579">
        <w:t xml:space="preserve">he power consumption is </w:t>
      </w:r>
      <w:r w:rsidR="006B39E0">
        <w:t>calculated as</w:t>
      </w:r>
      <w:r w:rsidR="0089757F">
        <w:t xml:space="preserve"> 2.3×5×10</w:t>
      </w:r>
      <w:r w:rsidR="0089757F">
        <w:rPr>
          <w:vertAlign w:val="superscript"/>
        </w:rPr>
        <w:t>4</w:t>
      </w:r>
      <w:r w:rsidR="0089757F">
        <w:t>×(25×10</w:t>
      </w:r>
      <w:r w:rsidR="0089757F">
        <w:rPr>
          <w:vertAlign w:val="superscript"/>
        </w:rPr>
        <w:t>-6</w:t>
      </w:r>
      <w:r w:rsidR="0089757F">
        <w:t>)</w:t>
      </w:r>
      <w:r w:rsidR="0089757F">
        <w:rPr>
          <w:vertAlign w:val="superscript"/>
        </w:rPr>
        <w:t>2</w:t>
      </w:r>
      <w:r w:rsidR="0089757F">
        <w:t xml:space="preserve"> = 7.19×10</w:t>
      </w:r>
      <w:r w:rsidR="0089757F">
        <w:rPr>
          <w:vertAlign w:val="superscript"/>
        </w:rPr>
        <w:t>-5</w:t>
      </w:r>
      <w:r w:rsidR="00D22486">
        <w:t xml:space="preserve"> </w:t>
      </w:r>
      <w:r w:rsidR="0089757F">
        <w:t>W.</w:t>
      </w:r>
      <w:r w:rsidR="00D22486">
        <w:t xml:space="preserve"> </w:t>
      </w:r>
      <w:r w:rsidR="00D964DB">
        <w:t xml:space="preserve">The luminous efficacy is </w:t>
      </w:r>
      <w:r w:rsidR="00BB77CA">
        <w:t xml:space="preserve">10.9 </w:t>
      </w:r>
      <w:proofErr w:type="spellStart"/>
      <w:r w:rsidR="00BB77CA">
        <w:t>lm</w:t>
      </w:r>
      <w:proofErr w:type="spellEnd"/>
      <w:r w:rsidR="0041333F">
        <w:t xml:space="preserve"> </w:t>
      </w:r>
      <w:r w:rsidR="00BB77CA">
        <w:t>W</w:t>
      </w:r>
      <w:r w:rsidR="0041333F">
        <w:rPr>
          <w:vertAlign w:val="superscript"/>
        </w:rPr>
        <w:t>-1</w:t>
      </w:r>
      <w:r w:rsidR="00BB77CA">
        <w:t>.</w:t>
      </w:r>
    </w:p>
    <w:p w14:paraId="71C154E8" w14:textId="58E5D359" w:rsidR="00D86B83" w:rsidRDefault="002C5498" w:rsidP="001E2327">
      <w:pPr>
        <w:pStyle w:val="BODY"/>
      </w:pPr>
      <w:r>
        <w:t xml:space="preserve">For red micro-LEDs, </w:t>
      </w:r>
      <w:r w:rsidR="001E2327">
        <w:t xml:space="preserve">from Fig. 15 in </w:t>
      </w:r>
      <w:r w:rsidR="00F01153">
        <w:t>r</w:t>
      </w:r>
      <w:r w:rsidR="001E2327">
        <w:t>ef.</w:t>
      </w:r>
      <w:r w:rsidR="00F01153">
        <w:rPr>
          <w:vertAlign w:val="superscript"/>
        </w:rPr>
        <w:t>1</w:t>
      </w:r>
      <w:r w:rsidR="000D6B3F">
        <w:rPr>
          <w:vertAlign w:val="superscript"/>
        </w:rPr>
        <w:t>30</w:t>
      </w:r>
      <w:r w:rsidR="001E2327">
        <w:t>, we can read under current of 10 mA, the light output power is 330 µW</w:t>
      </w:r>
      <w:r w:rsidR="004223E5">
        <w:t xml:space="preserve">, with a voltage of around 2.3 V. </w:t>
      </w:r>
      <w:r w:rsidR="001A19BB">
        <w:t>The WPE is calculated as 330×10</w:t>
      </w:r>
      <w:r w:rsidR="001A19BB">
        <w:rPr>
          <w:vertAlign w:val="superscript"/>
        </w:rPr>
        <w:t>-6</w:t>
      </w:r>
      <w:r w:rsidR="001A19BB">
        <w:t>/(10×10</w:t>
      </w:r>
      <w:r w:rsidR="001A19BB">
        <w:rPr>
          <w:vertAlign w:val="superscript"/>
        </w:rPr>
        <w:t>-3</w:t>
      </w:r>
      <w:r w:rsidR="001A19BB">
        <w:t xml:space="preserve">×2.3) = </w:t>
      </w:r>
      <w:r w:rsidR="00592E12">
        <w:t xml:space="preserve">1.4. With maximum luminous efficacy of radiation for 620 nm of 219 </w:t>
      </w:r>
      <w:proofErr w:type="spellStart"/>
      <w:r w:rsidR="00592E12">
        <w:t>lm</w:t>
      </w:r>
      <w:proofErr w:type="spellEnd"/>
      <w:r w:rsidR="007C1737">
        <w:t xml:space="preserve"> </w:t>
      </w:r>
      <w:r w:rsidR="00592E12">
        <w:t>W</w:t>
      </w:r>
      <w:r w:rsidR="007C1737">
        <w:rPr>
          <w:vertAlign w:val="superscript"/>
        </w:rPr>
        <w:t>-1</w:t>
      </w:r>
      <w:r w:rsidR="00592E12">
        <w:t>. The luminous efficacy is calculated as</w:t>
      </w:r>
      <w:r w:rsidR="00F02EF8">
        <w:t xml:space="preserve"> </w:t>
      </w:r>
      <w:r w:rsidR="006A0D57">
        <w:t xml:space="preserve">3.14 </w:t>
      </w:r>
      <w:proofErr w:type="spellStart"/>
      <w:r w:rsidR="006A0D57">
        <w:t>lm</w:t>
      </w:r>
      <w:proofErr w:type="spellEnd"/>
      <w:r w:rsidR="0082542D">
        <w:t xml:space="preserve"> </w:t>
      </w:r>
      <w:r w:rsidR="006A0D57">
        <w:t>W</w:t>
      </w:r>
      <w:r w:rsidR="0082542D">
        <w:rPr>
          <w:vertAlign w:val="superscript"/>
        </w:rPr>
        <w:t>-1</w:t>
      </w:r>
      <w:r w:rsidR="006A0D57">
        <w:t>.</w:t>
      </w:r>
    </w:p>
    <w:p w14:paraId="7DC3F89A" w14:textId="284CD8E8" w:rsidR="004A7E13" w:rsidRDefault="00126061" w:rsidP="00557D88">
      <w:pPr>
        <w:pStyle w:val="BODY"/>
      </w:pPr>
      <w:r>
        <w:t xml:space="preserve">Here, to calculate the luminous efficacy for white light, we assume the proportion of RGB lights is 3:6:1. </w:t>
      </w:r>
      <w:r w:rsidR="003C7363">
        <w:t>Then the final luminous efficacy for RGB micro-LED</w:t>
      </w:r>
      <w:r w:rsidR="001A2ADA">
        <w:t>s</w:t>
      </w:r>
      <w:r w:rsidR="003C7363">
        <w:t xml:space="preserve"> is </w:t>
      </w:r>
      <w:r w:rsidR="006705DC">
        <w:t xml:space="preserve">calculated as </w:t>
      </w:r>
      <w:r w:rsidR="00C77121">
        <w:t>10</w:t>
      </w:r>
      <w:proofErr w:type="gramStart"/>
      <w:r w:rsidR="00C77121">
        <w:t>/(</w:t>
      </w:r>
      <w:proofErr w:type="gramEnd"/>
      <w:r w:rsidR="00C77121">
        <w:t>3/3.14</w:t>
      </w:r>
      <w:r w:rsidR="00043E6C">
        <w:t xml:space="preserve"> </w:t>
      </w:r>
      <w:r w:rsidR="00C77121">
        <w:t>+</w:t>
      </w:r>
      <w:r w:rsidR="00043E6C">
        <w:t xml:space="preserve"> </w:t>
      </w:r>
      <w:r w:rsidR="00C77121">
        <w:t>6/10.9</w:t>
      </w:r>
      <w:r w:rsidR="00043E6C">
        <w:t xml:space="preserve"> </w:t>
      </w:r>
      <w:r w:rsidR="00C77121">
        <w:t>+</w:t>
      </w:r>
      <w:r w:rsidR="00043E6C">
        <w:t xml:space="preserve"> </w:t>
      </w:r>
      <w:r w:rsidR="00C77121">
        <w:t xml:space="preserve">1/1.71) = </w:t>
      </w:r>
      <w:r w:rsidR="006F74DC">
        <w:t xml:space="preserve">4.78 </w:t>
      </w:r>
      <w:proofErr w:type="spellStart"/>
      <w:r w:rsidR="006F74DC">
        <w:t>lm</w:t>
      </w:r>
      <w:proofErr w:type="spellEnd"/>
      <w:r w:rsidR="0082542D">
        <w:t xml:space="preserve"> </w:t>
      </w:r>
      <w:r w:rsidR="006F74DC">
        <w:t>W</w:t>
      </w:r>
      <w:r w:rsidR="0082542D">
        <w:rPr>
          <w:vertAlign w:val="superscript"/>
        </w:rPr>
        <w:t>-1</w:t>
      </w:r>
      <w:r w:rsidR="006F74DC">
        <w:t>.</w:t>
      </w:r>
      <w:r w:rsidR="00810D84">
        <w:t xml:space="preserve"> For QD micro-LED, </w:t>
      </w:r>
      <w:r w:rsidR="00517CF9">
        <w:t xml:space="preserve">if we assume the color conversion efficiency is 100%. </w:t>
      </w:r>
      <w:r w:rsidR="00E76DBC">
        <w:t>Then the equivalent luminous efficacy for green</w:t>
      </w:r>
      <w:r w:rsidR="0073615C">
        <w:t xml:space="preserve"> (532 nm)</w:t>
      </w:r>
      <w:r w:rsidR="00E76DBC">
        <w:t xml:space="preserve"> and red</w:t>
      </w:r>
      <w:r w:rsidR="0073615C">
        <w:t xml:space="preserve"> (625 nm)</w:t>
      </w:r>
      <w:r w:rsidR="00E76DBC">
        <w:t xml:space="preserve"> light is </w:t>
      </w:r>
      <w:r w:rsidR="00563034">
        <w:t xml:space="preserve">31.2 </w:t>
      </w:r>
      <w:proofErr w:type="spellStart"/>
      <w:r w:rsidR="00563034">
        <w:t>lm</w:t>
      </w:r>
      <w:proofErr w:type="spellEnd"/>
      <w:r w:rsidR="00A77E7B">
        <w:t xml:space="preserve"> </w:t>
      </w:r>
      <w:r w:rsidR="00563034">
        <w:t>W</w:t>
      </w:r>
      <w:r w:rsidR="00A77E7B">
        <w:rPr>
          <w:vertAlign w:val="superscript"/>
        </w:rPr>
        <w:t>-1</w:t>
      </w:r>
      <w:r w:rsidR="00563034">
        <w:t xml:space="preserve"> and </w:t>
      </w:r>
      <w:r w:rsidR="00F360D3">
        <w:t xml:space="preserve">11.3 </w:t>
      </w:r>
      <w:proofErr w:type="spellStart"/>
      <w:r w:rsidR="00F360D3">
        <w:t>lm</w:t>
      </w:r>
      <w:proofErr w:type="spellEnd"/>
      <w:r w:rsidR="00A77E7B">
        <w:t xml:space="preserve"> </w:t>
      </w:r>
      <w:r w:rsidR="00F360D3">
        <w:t>W</w:t>
      </w:r>
      <w:r w:rsidR="00A77E7B">
        <w:rPr>
          <w:vertAlign w:val="superscript"/>
        </w:rPr>
        <w:t>-1</w:t>
      </w:r>
      <w:r w:rsidR="00F360D3">
        <w:t>.</w:t>
      </w:r>
      <w:r w:rsidR="00043E6C">
        <w:t xml:space="preserve"> So the final luminous efficacy for white light is 10</w:t>
      </w:r>
      <w:proofErr w:type="gramStart"/>
      <w:r w:rsidR="00043E6C">
        <w:t>/(</w:t>
      </w:r>
      <w:proofErr w:type="gramEnd"/>
      <w:r w:rsidR="00043E6C">
        <w:t xml:space="preserve">3/11.3 + </w:t>
      </w:r>
      <w:r w:rsidR="00A76F9D">
        <w:t>6/31.2 + 1/1.71</w:t>
      </w:r>
      <w:r w:rsidR="00043E6C">
        <w:t>)</w:t>
      </w:r>
      <w:r w:rsidR="00A76F9D">
        <w:t xml:space="preserve"> = </w:t>
      </w:r>
      <w:r w:rsidR="00D31106">
        <w:t xml:space="preserve">9.59 </w:t>
      </w:r>
      <w:proofErr w:type="spellStart"/>
      <w:r w:rsidR="00D31106">
        <w:t>lm</w:t>
      </w:r>
      <w:proofErr w:type="spellEnd"/>
      <w:r w:rsidR="00A77E7B">
        <w:t xml:space="preserve"> </w:t>
      </w:r>
      <w:r w:rsidR="00D31106">
        <w:t>W</w:t>
      </w:r>
      <w:r w:rsidR="00A77E7B">
        <w:rPr>
          <w:vertAlign w:val="superscript"/>
        </w:rPr>
        <w:t>-1</w:t>
      </w:r>
      <w:r w:rsidR="00D31106">
        <w:t>.</w:t>
      </w:r>
    </w:p>
    <w:p w14:paraId="033F4B8D" w14:textId="5A203DA8" w:rsidR="00195E73" w:rsidRDefault="00A77E7B" w:rsidP="00557D88">
      <w:pPr>
        <w:pStyle w:val="BODY"/>
      </w:pPr>
      <w:r>
        <w:t>From ref.</w:t>
      </w:r>
      <w:r>
        <w:rPr>
          <w:vertAlign w:val="superscript"/>
        </w:rPr>
        <w:t>12</w:t>
      </w:r>
      <w:r w:rsidR="001C4EE9">
        <w:rPr>
          <w:vertAlign w:val="superscript"/>
        </w:rPr>
        <w:t>4</w:t>
      </w:r>
      <w:r w:rsidRPr="001C4EE9">
        <w:rPr>
          <w:vertAlign w:val="superscript"/>
        </w:rPr>
        <w:t>,125</w:t>
      </w:r>
      <w:r>
        <w:t>,</w:t>
      </w:r>
      <w:r w:rsidR="00195E73">
        <w:t xml:space="preserve"> the typical </w:t>
      </w:r>
      <w:r w:rsidR="00AB3585">
        <w:t xml:space="preserve">current </w:t>
      </w:r>
      <w:r w:rsidR="00195E73">
        <w:t>efficiency is around 6 cd</w:t>
      </w:r>
      <w:r>
        <w:t xml:space="preserve"> </w:t>
      </w:r>
      <w:r w:rsidR="00195E73">
        <w:t>A</w:t>
      </w:r>
      <w:r>
        <w:rPr>
          <w:vertAlign w:val="superscript"/>
        </w:rPr>
        <w:t>-1</w:t>
      </w:r>
      <w:r w:rsidR="00195E73">
        <w:t xml:space="preserve">. </w:t>
      </w:r>
      <w:r w:rsidR="000F235B">
        <w:t>Due to the strong cavity of OLED, the angular emission is not Lambertian-type.</w:t>
      </w:r>
      <w:r w:rsidR="00F734A9">
        <w:t xml:space="preserve"> Therefore, we </w:t>
      </w:r>
      <w:r w:rsidR="001D34F0">
        <w:t xml:space="preserve">loosen the solid angle in the range from </w:t>
      </w:r>
      <w:r w:rsidR="001D34F0" w:rsidRPr="00FB4CC0">
        <w:rPr>
          <w:i/>
          <w:iCs/>
        </w:rPr>
        <w:t>π</w:t>
      </w:r>
      <w:r w:rsidR="001D34F0">
        <w:t xml:space="preserve"> to 2</w:t>
      </w:r>
      <w:r w:rsidR="001D34F0" w:rsidRPr="00FB4CC0">
        <w:rPr>
          <w:i/>
          <w:iCs/>
        </w:rPr>
        <w:t>π</w:t>
      </w:r>
      <w:r w:rsidR="001D34F0">
        <w:t>.</w:t>
      </w:r>
      <w:r w:rsidR="000F235B">
        <w:t xml:space="preserve"> </w:t>
      </w:r>
      <w:r w:rsidR="003438B7">
        <w:t>If we use a voltage of 5</w:t>
      </w:r>
      <w:r w:rsidR="00BC584C">
        <w:t xml:space="preserve"> </w:t>
      </w:r>
      <w:r w:rsidR="003438B7">
        <w:t xml:space="preserve">V, then the luminous efficacy is calculated as 3.77 </w:t>
      </w:r>
      <w:proofErr w:type="spellStart"/>
      <w:r w:rsidR="003438B7">
        <w:t>lm</w:t>
      </w:r>
      <w:proofErr w:type="spellEnd"/>
      <w:r w:rsidR="00BC584C">
        <w:t xml:space="preserve"> </w:t>
      </w:r>
      <w:r w:rsidR="003438B7">
        <w:t>W</w:t>
      </w:r>
      <w:r w:rsidR="00BC584C">
        <w:rPr>
          <w:vertAlign w:val="superscript"/>
        </w:rPr>
        <w:t>-1</w:t>
      </w:r>
      <w:r w:rsidR="003438B7">
        <w:t xml:space="preserve"> for emission solid angle of </w:t>
      </w:r>
      <w:r w:rsidR="003438B7" w:rsidRPr="00FB4CC0">
        <w:rPr>
          <w:i/>
          <w:iCs/>
        </w:rPr>
        <w:t>π</w:t>
      </w:r>
      <w:r w:rsidR="003438B7">
        <w:t xml:space="preserve"> and 7.53 </w:t>
      </w:r>
      <w:proofErr w:type="spellStart"/>
      <w:r w:rsidR="003438B7">
        <w:t>lm</w:t>
      </w:r>
      <w:proofErr w:type="spellEnd"/>
      <w:r w:rsidR="00BC584C">
        <w:t xml:space="preserve"> </w:t>
      </w:r>
      <w:r w:rsidR="003438B7">
        <w:t>W</w:t>
      </w:r>
      <w:r w:rsidR="00BC584C">
        <w:rPr>
          <w:vertAlign w:val="superscript"/>
        </w:rPr>
        <w:t>-1</w:t>
      </w:r>
      <w:r w:rsidR="003438B7">
        <w:t xml:space="preserve"> for 2</w:t>
      </w:r>
      <w:r w:rsidR="003438B7" w:rsidRPr="00FB4CC0">
        <w:rPr>
          <w:i/>
          <w:iCs/>
        </w:rPr>
        <w:t>π</w:t>
      </w:r>
      <w:r w:rsidR="003438B7">
        <w:t>.</w:t>
      </w:r>
      <w:r w:rsidR="00183711">
        <w:t xml:space="preserve"> </w:t>
      </w:r>
    </w:p>
    <w:p w14:paraId="40400AEA" w14:textId="258F5E0F" w:rsidR="00DB6C7E" w:rsidRPr="00304D44" w:rsidRDefault="00304D44" w:rsidP="00CC2A18">
      <w:pPr>
        <w:pStyle w:val="BODY"/>
        <w:ind w:firstLine="0"/>
        <w:rPr>
          <w:b/>
          <w:bCs/>
          <w:sz w:val="28"/>
          <w:szCs w:val="24"/>
        </w:rPr>
      </w:pPr>
      <w:r w:rsidRPr="00304D44">
        <w:rPr>
          <w:b/>
          <w:bCs/>
          <w:sz w:val="28"/>
          <w:szCs w:val="24"/>
        </w:rPr>
        <w:t>Calculation of c</w:t>
      </w:r>
      <w:r w:rsidR="00CC2A18" w:rsidRPr="00304D44">
        <w:rPr>
          <w:b/>
          <w:bCs/>
          <w:sz w:val="28"/>
          <w:szCs w:val="24"/>
        </w:rPr>
        <w:t>ombiner efficiency</w:t>
      </w:r>
    </w:p>
    <w:p w14:paraId="700DA908" w14:textId="16FEF509" w:rsidR="00F741B6" w:rsidRDefault="009356C6" w:rsidP="00F741B6">
      <w:pPr>
        <w:pStyle w:val="BODY"/>
        <w:jc w:val="center"/>
      </w:pPr>
      <w:r>
        <w:rPr>
          <w:noProof/>
        </w:rPr>
        <w:lastRenderedPageBreak/>
        <w:drawing>
          <wp:inline distT="0" distB="0" distL="0" distR="0" wp14:anchorId="4E0B1DC8" wp14:editId="42F8FDF6">
            <wp:extent cx="3644088" cy="27863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091" cy="279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CE5F4" w14:textId="25D53DA9" w:rsidR="00F741B6" w:rsidRDefault="00F741B6" w:rsidP="00F741B6">
      <w:pPr>
        <w:pStyle w:val="BODY"/>
        <w:jc w:val="center"/>
      </w:pPr>
      <w:r>
        <w:t>Fig. S1. Configuration of the combiner</w:t>
      </w:r>
    </w:p>
    <w:p w14:paraId="4615685C" w14:textId="42D492B9" w:rsidR="00DB6C7E" w:rsidRDefault="00DB6C7E" w:rsidP="00557D88">
      <w:pPr>
        <w:pStyle w:val="BODY"/>
      </w:pPr>
      <w:r>
        <w:t>To calculate the maximum combiner efficiency assuming no light waste,</w:t>
      </w:r>
      <w:r w:rsidR="00B84315">
        <w:t xml:space="preserve"> we can see the configuration in Fig. S1. </w:t>
      </w:r>
      <w:r w:rsidR="000135DC">
        <w:t xml:space="preserve">The virtual image is assumed to be at depth </w:t>
      </w:r>
      <w:r w:rsidR="000135DC" w:rsidRPr="000135DC">
        <w:rPr>
          <w:i/>
          <w:iCs/>
        </w:rPr>
        <w:t>d</w:t>
      </w:r>
      <w:r w:rsidR="000135DC">
        <w:t xml:space="preserve">, the system eye box has a square shape with side length of </w:t>
      </w:r>
      <w:r w:rsidR="000135DC" w:rsidRPr="000135DC">
        <w:rPr>
          <w:i/>
          <w:iCs/>
        </w:rPr>
        <w:t>D</w:t>
      </w:r>
      <w:r w:rsidR="000135DC">
        <w:t xml:space="preserve">, the half FoV in one dimension is </w:t>
      </w:r>
      <w:r w:rsidR="000135DC" w:rsidRPr="000135DC">
        <w:rPr>
          <w:i/>
          <w:iCs/>
        </w:rPr>
        <w:t>θ</w:t>
      </w:r>
      <w:r w:rsidR="000135DC">
        <w:t xml:space="preserve">. </w:t>
      </w:r>
      <w:r w:rsidR="00B652B4">
        <w:t>We assume the luminance across the FoV is uniform (</w:t>
      </w:r>
      <w:r w:rsidR="00B652B4" w:rsidRPr="00B652B4">
        <w:rPr>
          <w:i/>
          <w:iCs/>
        </w:rPr>
        <w:t>L</w:t>
      </w:r>
      <w:r w:rsidR="00B652B4">
        <w:t xml:space="preserve">). Then the total luminous flux </w:t>
      </w:r>
      <w:r w:rsidR="00B652B4" w:rsidRPr="00B652B4">
        <w:rPr>
          <w:i/>
          <w:iCs/>
        </w:rPr>
        <w:t>Φ</w:t>
      </w:r>
      <w:r w:rsidR="00B652B4">
        <w:t xml:space="preserve"> can be calculated as:</w:t>
      </w:r>
    </w:p>
    <w:p w14:paraId="4A4D5EBB" w14:textId="37EA5A1F" w:rsidR="00B652B4" w:rsidRDefault="00B652B4" w:rsidP="00B652B4">
      <w:pPr>
        <w:pStyle w:val="BODY"/>
        <w:jc w:val="right"/>
      </w:pPr>
      <w:r>
        <w:tab/>
      </w:r>
      <w:r w:rsidR="00FB4CC0" w:rsidRPr="00B652B4">
        <w:rPr>
          <w:position w:val="-24"/>
        </w:rPr>
        <w:object w:dxaOrig="1900" w:dyaOrig="660" w14:anchorId="2818A399">
          <v:shape id="_x0000_i1026" type="#_x0000_t75" style="width:95.55pt;height:33.9pt" o:ole="">
            <v:imagedata r:id="rId8" o:title=""/>
          </v:shape>
          <o:OLEObject Type="Embed" ProgID="Equation.DSMT4" ShapeID="_x0000_i1026" DrawAspect="Content" ObjectID="_1694496778" r:id="rId9"/>
        </w:object>
      </w:r>
      <w:r>
        <w:t xml:space="preserve">                                                           (</w:t>
      </w:r>
      <w:r w:rsidR="009F5F40">
        <w:t>S</w:t>
      </w:r>
      <w:r>
        <w:t>1)</w:t>
      </w:r>
    </w:p>
    <w:p w14:paraId="6771B0B7" w14:textId="4611567D" w:rsidR="009F5F40" w:rsidRDefault="00830BCD" w:rsidP="009F5F40">
      <w:pPr>
        <w:pStyle w:val="BODY"/>
        <w:tabs>
          <w:tab w:val="left" w:pos="6086"/>
        </w:tabs>
        <w:ind w:firstLine="0"/>
        <w:jc w:val="left"/>
      </w:pPr>
      <w:r>
        <w:t>T</w:t>
      </w:r>
      <w:r w:rsidR="009F5F40">
        <w:t>he following relation can be derived</w:t>
      </w:r>
      <w:r w:rsidR="00A80CE6">
        <w:t>:</w:t>
      </w:r>
    </w:p>
    <w:p w14:paraId="5D13485B" w14:textId="13B393EF" w:rsidR="009F5F40" w:rsidRDefault="00653977" w:rsidP="009F5F40">
      <w:pPr>
        <w:pStyle w:val="BODY"/>
        <w:tabs>
          <w:tab w:val="left" w:pos="6086"/>
        </w:tabs>
        <w:ind w:firstLine="0"/>
        <w:jc w:val="right"/>
      </w:pPr>
      <w:r w:rsidRPr="009F5F40">
        <w:rPr>
          <w:position w:val="-12"/>
        </w:rPr>
        <w:object w:dxaOrig="1340" w:dyaOrig="380" w14:anchorId="5783E805">
          <v:shape id="_x0000_i1027" type="#_x0000_t75" style="width:68.55pt;height:18.7pt" o:ole="">
            <v:imagedata r:id="rId10" o:title=""/>
          </v:shape>
          <o:OLEObject Type="Embed" ProgID="Equation.DSMT4" ShapeID="_x0000_i1027" DrawAspect="Content" ObjectID="_1694496779" r:id="rId11"/>
        </w:object>
      </w:r>
      <w:r w:rsidR="009F5F40">
        <w:t xml:space="preserve">                                                              (S2)</w:t>
      </w:r>
    </w:p>
    <w:p w14:paraId="0E34ACB1" w14:textId="02F68751" w:rsidR="00265104" w:rsidRPr="00B652B4" w:rsidRDefault="009F5F40" w:rsidP="009F5F40">
      <w:pPr>
        <w:pStyle w:val="BODY"/>
        <w:ind w:firstLine="0"/>
        <w:rPr>
          <w:rFonts w:eastAsiaTheme="minorEastAsia"/>
        </w:rPr>
      </w:pPr>
      <w:r>
        <w:rPr>
          <w:rFonts w:eastAsiaTheme="minorEastAsia"/>
        </w:rPr>
        <w:t xml:space="preserve">where </w:t>
      </w:r>
      <w:r w:rsidR="00653977" w:rsidRPr="000612F5">
        <w:rPr>
          <w:position w:val="-12"/>
        </w:rPr>
        <w:object w:dxaOrig="499" w:dyaOrig="360" w14:anchorId="288BA366">
          <v:shape id="_x0000_i1028" type="#_x0000_t75" style="width:25.6pt;height:18pt" o:ole="">
            <v:imagedata r:id="rId12" o:title=""/>
          </v:shape>
          <o:OLEObject Type="Embed" ProgID="Equation.DSMT4" ShapeID="_x0000_i1028" DrawAspect="Content" ObjectID="_1694496780" r:id="rId13"/>
        </w:object>
      </w:r>
      <w:r>
        <w:t xml:space="preserve">is the solid angle of system </w:t>
      </w:r>
      <w:proofErr w:type="gramStart"/>
      <w:r>
        <w:t>FoV.</w:t>
      </w:r>
      <w:proofErr w:type="gramEnd"/>
      <w:r>
        <w:t xml:space="preserve"> </w:t>
      </w:r>
      <w:r>
        <w:rPr>
          <w:rFonts w:eastAsiaTheme="minorEastAsia"/>
        </w:rPr>
        <w:t xml:space="preserve">Therefore, the luminance of image can be calculated by dividing input luminous flux by the product of eye box size and </w:t>
      </w:r>
      <w:r w:rsidR="00AE6391">
        <w:rPr>
          <w:rFonts w:eastAsiaTheme="minorEastAsia"/>
        </w:rPr>
        <w:t>FoV solid angle.</w:t>
      </w:r>
      <w:r w:rsidR="00BE4BA8">
        <w:rPr>
          <w:rFonts w:eastAsiaTheme="minorEastAsia"/>
        </w:rPr>
        <w:t xml:space="preserve"> For a diagonal FoV of 60º (</w:t>
      </w:r>
      <w:r w:rsidR="00C55D13">
        <w:rPr>
          <w:rFonts w:eastAsiaTheme="minorEastAsia"/>
        </w:rPr>
        <w:t>44</w:t>
      </w:r>
      <w:r w:rsidR="00BE4BA8">
        <w:rPr>
          <w:rFonts w:eastAsiaTheme="minorEastAsia"/>
        </w:rPr>
        <w:t xml:space="preserve">º by </w:t>
      </w:r>
      <w:r w:rsidR="00C55D13">
        <w:rPr>
          <w:rFonts w:eastAsiaTheme="minorEastAsia"/>
        </w:rPr>
        <w:t>44</w:t>
      </w:r>
      <w:r w:rsidR="00BE4BA8">
        <w:rPr>
          <w:rFonts w:eastAsiaTheme="minorEastAsia"/>
        </w:rPr>
        <w:t>º) and a</w:t>
      </w:r>
      <w:r w:rsidR="003651FF">
        <w:rPr>
          <w:rFonts w:eastAsiaTheme="minorEastAsia"/>
        </w:rPr>
        <w:t xml:space="preserve"> </w:t>
      </w:r>
      <w:r w:rsidR="00BE4BA8">
        <w:rPr>
          <w:rFonts w:eastAsiaTheme="minorEastAsia"/>
        </w:rPr>
        <w:t xml:space="preserve">10 mm by 10 mm eye box, the luminance can be calculated as </w:t>
      </w:r>
      <w:r w:rsidR="00E81E6D" w:rsidRPr="000B6C91">
        <w:rPr>
          <w:rFonts w:eastAsiaTheme="minorEastAsia"/>
          <w:i/>
          <w:iCs/>
        </w:rPr>
        <w:t>L</w:t>
      </w:r>
      <w:r w:rsidR="00E81E6D">
        <w:rPr>
          <w:rFonts w:eastAsiaTheme="minorEastAsia"/>
        </w:rPr>
        <w:t xml:space="preserve"> = 1/(0.01</w:t>
      </w:r>
      <w:r w:rsidR="00E81E6D">
        <w:rPr>
          <w:rFonts w:eastAsiaTheme="minorEastAsia"/>
          <w:vertAlign w:val="superscript"/>
        </w:rPr>
        <w:t>2</w:t>
      </w:r>
      <w:r w:rsidR="00E81E6D">
        <w:t>×4sin</w:t>
      </w:r>
      <w:r w:rsidR="00E81E6D">
        <w:rPr>
          <w:vertAlign w:val="superscript"/>
        </w:rPr>
        <w:t>-1</w:t>
      </w:r>
      <w:r w:rsidR="00E81E6D">
        <w:t>(sin</w:t>
      </w:r>
      <w:r w:rsidR="00E81E6D">
        <w:rPr>
          <w:vertAlign w:val="superscript"/>
        </w:rPr>
        <w:t>2</w:t>
      </w:r>
      <w:r w:rsidR="00E81E6D">
        <w:t>(22º))</w:t>
      </w:r>
      <w:r w:rsidR="00E81E6D">
        <w:rPr>
          <w:rFonts w:eastAsiaTheme="minorEastAsia"/>
        </w:rPr>
        <w:t>) = 17</w:t>
      </w:r>
      <w:r w:rsidR="003C73FA">
        <w:rPr>
          <w:rFonts w:eastAsiaTheme="minorEastAsia"/>
        </w:rPr>
        <w:t>,</w:t>
      </w:r>
      <w:r w:rsidR="00E81E6D">
        <w:rPr>
          <w:rFonts w:eastAsiaTheme="minorEastAsia"/>
        </w:rPr>
        <w:t>756 nit</w:t>
      </w:r>
      <w:r w:rsidR="003651FF">
        <w:rPr>
          <w:rFonts w:eastAsiaTheme="minorEastAsia"/>
        </w:rPr>
        <w:t xml:space="preserve">. </w:t>
      </w:r>
      <w:r w:rsidR="00024846">
        <w:rPr>
          <w:rFonts w:eastAsiaTheme="minorEastAsia"/>
        </w:rPr>
        <w:t>T</w:t>
      </w:r>
      <w:r w:rsidR="003651FF">
        <w:rPr>
          <w:rFonts w:eastAsiaTheme="minorEastAsia"/>
        </w:rPr>
        <w:t xml:space="preserve">he </w:t>
      </w:r>
      <w:r w:rsidR="000752DE">
        <w:rPr>
          <w:rFonts w:eastAsiaTheme="minorEastAsia"/>
        </w:rPr>
        <w:t xml:space="preserve">maximum </w:t>
      </w:r>
      <w:r w:rsidR="003651FF">
        <w:rPr>
          <w:rFonts w:eastAsiaTheme="minorEastAsia"/>
        </w:rPr>
        <w:t>combiner efficiency is 17</w:t>
      </w:r>
      <w:r w:rsidR="001B4683">
        <w:rPr>
          <w:rFonts w:eastAsiaTheme="minorEastAsia"/>
        </w:rPr>
        <w:t>,</w:t>
      </w:r>
      <w:r w:rsidR="003651FF">
        <w:rPr>
          <w:rFonts w:eastAsiaTheme="minorEastAsia"/>
        </w:rPr>
        <w:t>756 nit</w:t>
      </w:r>
      <w:r w:rsidR="00F65FA8">
        <w:rPr>
          <w:rFonts w:eastAsiaTheme="minorEastAsia"/>
        </w:rPr>
        <w:t xml:space="preserve"> </w:t>
      </w:r>
      <w:r w:rsidR="003651FF">
        <w:rPr>
          <w:rFonts w:eastAsiaTheme="minorEastAsia"/>
        </w:rPr>
        <w:t>lm</w:t>
      </w:r>
      <w:r w:rsidR="00F65FA8">
        <w:rPr>
          <w:rFonts w:eastAsiaTheme="minorEastAsia"/>
          <w:vertAlign w:val="superscript"/>
        </w:rPr>
        <w:t>-1</w:t>
      </w:r>
      <w:r w:rsidR="003651FF">
        <w:rPr>
          <w:rFonts w:eastAsiaTheme="minorEastAsia"/>
        </w:rPr>
        <w:t>.</w:t>
      </w:r>
      <w:r w:rsidR="00B90059">
        <w:rPr>
          <w:rFonts w:eastAsiaTheme="minorEastAsia"/>
        </w:rPr>
        <w:t xml:space="preserve"> For a Maxwellian-type display, we take diagonal FoV of </w:t>
      </w:r>
      <w:r w:rsidR="005139B4">
        <w:rPr>
          <w:rFonts w:eastAsiaTheme="minorEastAsia"/>
        </w:rPr>
        <w:t>10</w:t>
      </w:r>
      <w:r w:rsidR="00B90059">
        <w:rPr>
          <w:rFonts w:eastAsiaTheme="minorEastAsia"/>
        </w:rPr>
        <w:t>0º (</w:t>
      </w:r>
      <w:r w:rsidR="005139B4">
        <w:rPr>
          <w:rFonts w:eastAsiaTheme="minorEastAsia"/>
        </w:rPr>
        <w:t>8</w:t>
      </w:r>
      <w:r w:rsidR="00B90059">
        <w:rPr>
          <w:rFonts w:eastAsiaTheme="minorEastAsia"/>
        </w:rPr>
        <w:t xml:space="preserve">0º by </w:t>
      </w:r>
      <w:r w:rsidR="005139B4">
        <w:rPr>
          <w:rFonts w:eastAsiaTheme="minorEastAsia"/>
        </w:rPr>
        <w:t>8</w:t>
      </w:r>
      <w:r w:rsidR="00B90059">
        <w:rPr>
          <w:rFonts w:eastAsiaTheme="minorEastAsia"/>
        </w:rPr>
        <w:t xml:space="preserve">0º) and pupil diameter of 4 mm. Then the maximum combiner efficiency is </w:t>
      </w:r>
      <w:r w:rsidR="005139B4">
        <w:rPr>
          <w:rFonts w:eastAsiaTheme="minorEastAsia"/>
        </w:rPr>
        <w:t>46</w:t>
      </w:r>
      <w:r w:rsidR="001B4683">
        <w:rPr>
          <w:rFonts w:eastAsiaTheme="minorEastAsia"/>
        </w:rPr>
        <w:t>,</w:t>
      </w:r>
      <w:r w:rsidR="005139B4">
        <w:rPr>
          <w:rFonts w:eastAsiaTheme="minorEastAsia"/>
        </w:rPr>
        <w:t>707</w:t>
      </w:r>
      <w:r w:rsidR="00B90059">
        <w:rPr>
          <w:rFonts w:eastAsiaTheme="minorEastAsia"/>
        </w:rPr>
        <w:t xml:space="preserve"> </w:t>
      </w:r>
      <w:r w:rsidR="00302910">
        <w:rPr>
          <w:rFonts w:eastAsiaTheme="minorEastAsia"/>
        </w:rPr>
        <w:t>nit</w:t>
      </w:r>
      <w:r w:rsidR="00F65FA8">
        <w:rPr>
          <w:rFonts w:eastAsiaTheme="minorEastAsia"/>
        </w:rPr>
        <w:t xml:space="preserve"> </w:t>
      </w:r>
      <w:r w:rsidR="00430D49">
        <w:rPr>
          <w:rFonts w:eastAsiaTheme="minorEastAsia"/>
        </w:rPr>
        <w:t>lm</w:t>
      </w:r>
      <w:r w:rsidR="00F65FA8">
        <w:rPr>
          <w:rFonts w:eastAsiaTheme="minorEastAsia"/>
          <w:vertAlign w:val="superscript"/>
        </w:rPr>
        <w:t>-1</w:t>
      </w:r>
      <w:r w:rsidR="00B90059">
        <w:rPr>
          <w:rFonts w:eastAsiaTheme="minorEastAsia"/>
        </w:rPr>
        <w:t>.</w:t>
      </w:r>
    </w:p>
    <w:sectPr w:rsidR="00265104" w:rsidRPr="00B652B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1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55t50zp9f0rmedze655z0ystz90dzestfp&quot;&gt;LSA_ARVR&lt;record-ids&gt;&lt;item&gt;152&lt;/item&gt;&lt;/record-ids&gt;&lt;/item&gt;&lt;/Libraries&gt;"/>
  </w:docVars>
  <w:rsids>
    <w:rsidRoot w:val="00423225"/>
    <w:rsid w:val="00000C7D"/>
    <w:rsid w:val="000135DC"/>
    <w:rsid w:val="00024846"/>
    <w:rsid w:val="00043E6C"/>
    <w:rsid w:val="000563C3"/>
    <w:rsid w:val="000752DE"/>
    <w:rsid w:val="00077EC5"/>
    <w:rsid w:val="000835AA"/>
    <w:rsid w:val="00087054"/>
    <w:rsid w:val="00092082"/>
    <w:rsid w:val="000B43DD"/>
    <w:rsid w:val="000B6C91"/>
    <w:rsid w:val="000D6B3F"/>
    <w:rsid w:val="000D7C3C"/>
    <w:rsid w:val="000D7FF8"/>
    <w:rsid w:val="000F235B"/>
    <w:rsid w:val="000F5620"/>
    <w:rsid w:val="00105226"/>
    <w:rsid w:val="00126061"/>
    <w:rsid w:val="00140D33"/>
    <w:rsid w:val="00143EBD"/>
    <w:rsid w:val="00152751"/>
    <w:rsid w:val="00183711"/>
    <w:rsid w:val="00195E73"/>
    <w:rsid w:val="001A19BB"/>
    <w:rsid w:val="001A2ADA"/>
    <w:rsid w:val="001B0250"/>
    <w:rsid w:val="001B4683"/>
    <w:rsid w:val="001B4780"/>
    <w:rsid w:val="001B7A5D"/>
    <w:rsid w:val="001C230C"/>
    <w:rsid w:val="001C4EE9"/>
    <w:rsid w:val="001D0326"/>
    <w:rsid w:val="001D34F0"/>
    <w:rsid w:val="001E2327"/>
    <w:rsid w:val="001E7238"/>
    <w:rsid w:val="00204512"/>
    <w:rsid w:val="00206A96"/>
    <w:rsid w:val="002570A1"/>
    <w:rsid w:val="00265104"/>
    <w:rsid w:val="00275189"/>
    <w:rsid w:val="002B089A"/>
    <w:rsid w:val="002C5498"/>
    <w:rsid w:val="002E4B0D"/>
    <w:rsid w:val="002E57AE"/>
    <w:rsid w:val="002F6FF8"/>
    <w:rsid w:val="00302910"/>
    <w:rsid w:val="00304D44"/>
    <w:rsid w:val="00330C26"/>
    <w:rsid w:val="003438B7"/>
    <w:rsid w:val="003651FF"/>
    <w:rsid w:val="003760A0"/>
    <w:rsid w:val="003932FB"/>
    <w:rsid w:val="003A5193"/>
    <w:rsid w:val="003A7C14"/>
    <w:rsid w:val="003B3D76"/>
    <w:rsid w:val="003C7363"/>
    <w:rsid w:val="003C73FA"/>
    <w:rsid w:val="003D56E0"/>
    <w:rsid w:val="0041333F"/>
    <w:rsid w:val="00421DB4"/>
    <w:rsid w:val="004223E5"/>
    <w:rsid w:val="00423225"/>
    <w:rsid w:val="00430D49"/>
    <w:rsid w:val="00461E98"/>
    <w:rsid w:val="00474AB0"/>
    <w:rsid w:val="004807F6"/>
    <w:rsid w:val="004834E9"/>
    <w:rsid w:val="004A7E13"/>
    <w:rsid w:val="004D1649"/>
    <w:rsid w:val="004D5A82"/>
    <w:rsid w:val="004E254B"/>
    <w:rsid w:val="005007DD"/>
    <w:rsid w:val="00506498"/>
    <w:rsid w:val="005139B4"/>
    <w:rsid w:val="005173AC"/>
    <w:rsid w:val="00517CF9"/>
    <w:rsid w:val="00545D9E"/>
    <w:rsid w:val="00557D88"/>
    <w:rsid w:val="00563034"/>
    <w:rsid w:val="00563EA3"/>
    <w:rsid w:val="00566DE4"/>
    <w:rsid w:val="00584AF2"/>
    <w:rsid w:val="00592E12"/>
    <w:rsid w:val="00595696"/>
    <w:rsid w:val="005D192A"/>
    <w:rsid w:val="005D7CDA"/>
    <w:rsid w:val="005E0B37"/>
    <w:rsid w:val="00653977"/>
    <w:rsid w:val="00665071"/>
    <w:rsid w:val="006705DC"/>
    <w:rsid w:val="006A0D57"/>
    <w:rsid w:val="006B39E0"/>
    <w:rsid w:val="006C16CF"/>
    <w:rsid w:val="006D6EE2"/>
    <w:rsid w:val="006F3B15"/>
    <w:rsid w:val="006F74DC"/>
    <w:rsid w:val="0072184A"/>
    <w:rsid w:val="0073615C"/>
    <w:rsid w:val="00793757"/>
    <w:rsid w:val="007C1737"/>
    <w:rsid w:val="007C4083"/>
    <w:rsid w:val="007D44BB"/>
    <w:rsid w:val="00810D84"/>
    <w:rsid w:val="0082542D"/>
    <w:rsid w:val="00830BCD"/>
    <w:rsid w:val="008400E1"/>
    <w:rsid w:val="00843633"/>
    <w:rsid w:val="00860947"/>
    <w:rsid w:val="00874236"/>
    <w:rsid w:val="008877E8"/>
    <w:rsid w:val="00893085"/>
    <w:rsid w:val="00894B75"/>
    <w:rsid w:val="0089757F"/>
    <w:rsid w:val="008B051F"/>
    <w:rsid w:val="008B1570"/>
    <w:rsid w:val="008F02F4"/>
    <w:rsid w:val="009124D8"/>
    <w:rsid w:val="009144B3"/>
    <w:rsid w:val="009356C6"/>
    <w:rsid w:val="009412A1"/>
    <w:rsid w:val="009419AE"/>
    <w:rsid w:val="009521C7"/>
    <w:rsid w:val="00957607"/>
    <w:rsid w:val="00960DCF"/>
    <w:rsid w:val="00985AB0"/>
    <w:rsid w:val="00987984"/>
    <w:rsid w:val="009916EB"/>
    <w:rsid w:val="00993A21"/>
    <w:rsid w:val="009A55AF"/>
    <w:rsid w:val="009F5F40"/>
    <w:rsid w:val="00A07B95"/>
    <w:rsid w:val="00A10CDA"/>
    <w:rsid w:val="00A15568"/>
    <w:rsid w:val="00A251BF"/>
    <w:rsid w:val="00A30BC4"/>
    <w:rsid w:val="00A65DFF"/>
    <w:rsid w:val="00A76F9D"/>
    <w:rsid w:val="00A77E7B"/>
    <w:rsid w:val="00A80CE6"/>
    <w:rsid w:val="00A812EE"/>
    <w:rsid w:val="00A94A36"/>
    <w:rsid w:val="00AA4EE9"/>
    <w:rsid w:val="00AB31C8"/>
    <w:rsid w:val="00AB3585"/>
    <w:rsid w:val="00AB4CBC"/>
    <w:rsid w:val="00AB7CD1"/>
    <w:rsid w:val="00AD1E5D"/>
    <w:rsid w:val="00AE6391"/>
    <w:rsid w:val="00B0046E"/>
    <w:rsid w:val="00B224E2"/>
    <w:rsid w:val="00B51840"/>
    <w:rsid w:val="00B652B4"/>
    <w:rsid w:val="00B84315"/>
    <w:rsid w:val="00B90059"/>
    <w:rsid w:val="00BA6A38"/>
    <w:rsid w:val="00BB77CA"/>
    <w:rsid w:val="00BC584C"/>
    <w:rsid w:val="00BC5FFA"/>
    <w:rsid w:val="00BD2E28"/>
    <w:rsid w:val="00BE2D2D"/>
    <w:rsid w:val="00BE3444"/>
    <w:rsid w:val="00BE4BA8"/>
    <w:rsid w:val="00BF588B"/>
    <w:rsid w:val="00C21D7F"/>
    <w:rsid w:val="00C23AFA"/>
    <w:rsid w:val="00C27DB5"/>
    <w:rsid w:val="00C31F66"/>
    <w:rsid w:val="00C34BCF"/>
    <w:rsid w:val="00C55D13"/>
    <w:rsid w:val="00C61579"/>
    <w:rsid w:val="00C704F3"/>
    <w:rsid w:val="00C77121"/>
    <w:rsid w:val="00CB7FF9"/>
    <w:rsid w:val="00CC2A18"/>
    <w:rsid w:val="00CF2125"/>
    <w:rsid w:val="00D025E0"/>
    <w:rsid w:val="00D22486"/>
    <w:rsid w:val="00D275CC"/>
    <w:rsid w:val="00D31106"/>
    <w:rsid w:val="00D752F4"/>
    <w:rsid w:val="00D75B1E"/>
    <w:rsid w:val="00D820EC"/>
    <w:rsid w:val="00D86B83"/>
    <w:rsid w:val="00D964DB"/>
    <w:rsid w:val="00DB6C7E"/>
    <w:rsid w:val="00E116E4"/>
    <w:rsid w:val="00E1179B"/>
    <w:rsid w:val="00E250FC"/>
    <w:rsid w:val="00E31DE5"/>
    <w:rsid w:val="00E37948"/>
    <w:rsid w:val="00E76DBC"/>
    <w:rsid w:val="00E81E6D"/>
    <w:rsid w:val="00E9276B"/>
    <w:rsid w:val="00EC3B05"/>
    <w:rsid w:val="00EF207E"/>
    <w:rsid w:val="00F01153"/>
    <w:rsid w:val="00F02EF8"/>
    <w:rsid w:val="00F06E85"/>
    <w:rsid w:val="00F212E5"/>
    <w:rsid w:val="00F360D3"/>
    <w:rsid w:val="00F363E9"/>
    <w:rsid w:val="00F5521D"/>
    <w:rsid w:val="00F65FA8"/>
    <w:rsid w:val="00F734A9"/>
    <w:rsid w:val="00F741B6"/>
    <w:rsid w:val="00FB4CC0"/>
    <w:rsid w:val="00FC0DFD"/>
    <w:rsid w:val="00FD7AD6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CCD117F"/>
  <w15:chartTrackingRefBased/>
  <w15:docId w15:val="{9D0FA19D-08EC-419C-85A9-C89492CB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Body">
    <w:name w:val="09 Body"/>
    <w:basedOn w:val="Normal"/>
    <w:next w:val="Normal"/>
    <w:link w:val="09BodyChar"/>
    <w:autoRedefine/>
    <w:qFormat/>
    <w:rsid w:val="004A7E13"/>
    <w:pPr>
      <w:spacing w:after="0" w:line="480" w:lineRule="auto"/>
      <w:ind w:firstLine="288"/>
      <w:jc w:val="both"/>
    </w:pPr>
    <w:rPr>
      <w:rFonts w:ascii="Times New Roman" w:eastAsia="Malgun Gothic" w:hAnsi="Times New Roman" w:cs="Times New Roman"/>
      <w:color w:val="000000"/>
      <w:spacing w:val="-8"/>
      <w:kern w:val="2"/>
      <w:sz w:val="24"/>
    </w:rPr>
  </w:style>
  <w:style w:type="character" w:customStyle="1" w:styleId="09BodyChar">
    <w:name w:val="09 Body Char"/>
    <w:link w:val="09Body"/>
    <w:rsid w:val="004A7E13"/>
    <w:rPr>
      <w:rFonts w:ascii="Times New Roman" w:eastAsia="Malgun Gothic" w:hAnsi="Times New Roman" w:cs="Times New Roman"/>
      <w:color w:val="000000"/>
      <w:spacing w:val="-8"/>
      <w:kern w:val="2"/>
      <w:sz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9144B3"/>
    <w:pPr>
      <w:tabs>
        <w:tab w:val="center" w:pos="4320"/>
        <w:tab w:val="right" w:pos="864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9144B3"/>
  </w:style>
  <w:style w:type="paragraph" w:customStyle="1" w:styleId="BODY">
    <w:name w:val="BODY"/>
    <w:basedOn w:val="09Body"/>
    <w:link w:val="BODYChar"/>
    <w:qFormat/>
    <w:rsid w:val="002F6FF8"/>
  </w:style>
  <w:style w:type="character" w:customStyle="1" w:styleId="BODYChar">
    <w:name w:val="BODY Char"/>
    <w:basedOn w:val="09BodyChar"/>
    <w:link w:val="BODY"/>
    <w:rsid w:val="002F6FF8"/>
    <w:rPr>
      <w:rFonts w:ascii="Times New Roman" w:eastAsia="Malgun Gothic" w:hAnsi="Times New Roman" w:cs="Times New Roman"/>
      <w:color w:val="000000"/>
      <w:spacing w:val="-8"/>
      <w:kern w:val="2"/>
      <w:sz w:val="24"/>
    </w:rPr>
  </w:style>
  <w:style w:type="table" w:styleId="TableGrid">
    <w:name w:val="Table Grid"/>
    <w:basedOn w:val="TableNormal"/>
    <w:uiPriority w:val="39"/>
    <w:rsid w:val="0027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65104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BODYChar"/>
    <w:link w:val="EndNoteBibliographyTitle"/>
    <w:rsid w:val="00265104"/>
    <w:rPr>
      <w:rFonts w:ascii="Times New Roman" w:eastAsia="Malgun Gothic" w:hAnsi="Times New Roman" w:cs="Times New Roman"/>
      <w:noProof/>
      <w:color w:val="000000"/>
      <w:spacing w:val="-8"/>
      <w:kern w:val="2"/>
      <w:sz w:val="24"/>
    </w:rPr>
  </w:style>
  <w:style w:type="paragraph" w:customStyle="1" w:styleId="EndNoteBibliography">
    <w:name w:val="EndNote Bibliography"/>
    <w:basedOn w:val="Normal"/>
    <w:link w:val="EndNoteBibliographyChar"/>
    <w:rsid w:val="00265104"/>
    <w:pPr>
      <w:spacing w:line="24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BODYChar"/>
    <w:link w:val="EndNoteBibliography"/>
    <w:rsid w:val="00265104"/>
    <w:rPr>
      <w:rFonts w:ascii="Times New Roman" w:eastAsia="Malgun Gothic" w:hAnsi="Times New Roman" w:cs="Times New Roman"/>
      <w:noProof/>
      <w:color w:val="000000"/>
      <w:spacing w:val="-8"/>
      <w:kern w:val="2"/>
      <w:sz w:val="24"/>
    </w:rPr>
  </w:style>
  <w:style w:type="character" w:styleId="Hyperlink">
    <w:name w:val="Hyperlink"/>
    <w:basedOn w:val="DefaultParagraphFont"/>
    <w:uiPriority w:val="99"/>
    <w:unhideWhenUsed/>
    <w:rsid w:val="00087054"/>
    <w:rPr>
      <w:color w:val="0563C1" w:themeColor="hyperlink"/>
      <w:u w:val="single"/>
    </w:rPr>
  </w:style>
  <w:style w:type="paragraph" w:customStyle="1" w:styleId="04CorrespondingAuthorEmail">
    <w:name w:val="04 Corresponding Author Email"/>
    <w:basedOn w:val="Normal"/>
    <w:next w:val="Normal"/>
    <w:link w:val="04CorrespondingAuthorEmailChar"/>
    <w:qFormat/>
    <w:rsid w:val="00087054"/>
    <w:pPr>
      <w:spacing w:after="80" w:line="240" w:lineRule="auto"/>
      <w:ind w:right="432"/>
    </w:pPr>
    <w:rPr>
      <w:rFonts w:ascii="Calibri" w:hAnsi="Calibri" w:cs="Times New Roman"/>
      <w:i/>
      <w:sz w:val="17"/>
      <w:szCs w:val="16"/>
      <w:lang w:eastAsia="en-US"/>
    </w:rPr>
  </w:style>
  <w:style w:type="character" w:customStyle="1" w:styleId="04CorrespondingAuthorEmailChar">
    <w:name w:val="04 Corresponding Author Email Char"/>
    <w:link w:val="04CorrespondingAuthorEmail"/>
    <w:rsid w:val="00087054"/>
    <w:rPr>
      <w:rFonts w:ascii="Calibri" w:hAnsi="Calibri" w:cs="Times New Roman"/>
      <w:i/>
      <w:sz w:val="17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hyperlink" Target="mailto:swu@creol.ucf.edu" TargetMode="Externa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</dc:creator>
  <cp:keywords/>
  <dc:description/>
  <cp:lastModifiedBy>Shintson Wu</cp:lastModifiedBy>
  <cp:revision>70</cp:revision>
  <dcterms:created xsi:type="dcterms:W3CDTF">2021-08-14T21:00:00Z</dcterms:created>
  <dcterms:modified xsi:type="dcterms:W3CDTF">2021-09-30T12:46:00Z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