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54944" w14:textId="3A193515" w:rsidR="0079779B" w:rsidRPr="00DF6C69" w:rsidRDefault="0079779B" w:rsidP="00D736C1">
      <w:pPr>
        <w:pStyle w:val="Heading1"/>
        <w:jc w:val="center"/>
        <w:rPr>
          <w:rFonts w:ascii="Cambria" w:hAnsi="Cambria"/>
          <w:b/>
          <w:bCs/>
          <w:color w:val="000000" w:themeColor="text1"/>
        </w:rPr>
      </w:pPr>
      <w:bookmarkStart w:id="0" w:name="_Hlk45096388"/>
      <w:r w:rsidRPr="00DF6C69">
        <w:rPr>
          <w:rFonts w:ascii="Cambria" w:hAnsi="Cambria"/>
          <w:b/>
          <w:bCs/>
          <w:color w:val="000000" w:themeColor="text1"/>
        </w:rPr>
        <w:t>A monolithic single-chip point-of-care platform for metabolomic prostate cancer detection</w:t>
      </w:r>
    </w:p>
    <w:p w14:paraId="74164569" w14:textId="1571C4BC" w:rsidR="00D736C1" w:rsidRPr="00DF6C69" w:rsidRDefault="00D736C1" w:rsidP="00D736C1">
      <w:pPr>
        <w:jc w:val="center"/>
      </w:pPr>
    </w:p>
    <w:p w14:paraId="4A669351" w14:textId="259BEB80" w:rsidR="00D736C1" w:rsidRPr="00DF6C69" w:rsidRDefault="00D736C1" w:rsidP="00D736C1">
      <w:pPr>
        <w:jc w:val="center"/>
        <w:rPr>
          <w:sz w:val="28"/>
          <w:szCs w:val="28"/>
        </w:rPr>
      </w:pPr>
      <w:r w:rsidRPr="00DF6C69">
        <w:rPr>
          <w:sz w:val="28"/>
          <w:szCs w:val="28"/>
        </w:rPr>
        <w:t>Supplementary Information</w:t>
      </w:r>
    </w:p>
    <w:p w14:paraId="48950FE0" w14:textId="77777777" w:rsidR="00D736C1" w:rsidRPr="00DF6C69" w:rsidRDefault="00D736C1" w:rsidP="00D736C1"/>
    <w:p w14:paraId="006D4C48" w14:textId="77777777" w:rsidR="00B60B9A" w:rsidRPr="00DF6C69" w:rsidRDefault="00B60B9A" w:rsidP="00B60B9A"/>
    <w:p w14:paraId="3DA055BD" w14:textId="77777777" w:rsidR="00C51D04" w:rsidRPr="00DF6C69" w:rsidRDefault="00C51D04" w:rsidP="00C51D04">
      <w:pPr>
        <w:rPr>
          <w:rFonts w:ascii="Times New Roman" w:hAnsi="Times New Roman" w:cs="Times New Roman"/>
          <w:noProof/>
          <w:sz w:val="20"/>
          <w:szCs w:val="20"/>
        </w:rPr>
      </w:pPr>
      <w:r w:rsidRPr="00DF6C69">
        <w:rPr>
          <w:rFonts w:eastAsia="SimSun"/>
          <w:noProof/>
        </w:rPr>
        <w:t>V.F. Annese</w:t>
      </w:r>
      <w:r w:rsidRPr="00DF6C69">
        <w:rPr>
          <w:rFonts w:eastAsia="SimSun"/>
          <w:noProof/>
          <w:vertAlign w:val="superscript"/>
        </w:rPr>
        <w:t>1</w:t>
      </w:r>
      <w:r w:rsidRPr="00DF6C69">
        <w:rPr>
          <w:rFonts w:eastAsia="SimSun"/>
          <w:noProof/>
        </w:rPr>
        <w:t>, S</w:t>
      </w:r>
      <w:r w:rsidRPr="00DF6C69">
        <w:rPr>
          <w:noProof/>
        </w:rPr>
        <w:t>.B. Patil</w:t>
      </w:r>
      <w:r w:rsidRPr="00DF6C69">
        <w:rPr>
          <w:rFonts w:eastAsia="SimSun"/>
          <w:noProof/>
          <w:vertAlign w:val="superscript"/>
        </w:rPr>
        <w:t>1</w:t>
      </w:r>
      <w:r w:rsidRPr="00DF6C69">
        <w:rPr>
          <w:rFonts w:eastAsia="SimSun"/>
          <w:noProof/>
        </w:rPr>
        <w:t xml:space="preserve">, </w:t>
      </w:r>
      <w:r w:rsidRPr="00DF6C69">
        <w:rPr>
          <w:noProof/>
        </w:rPr>
        <w:t>C. Hu</w:t>
      </w:r>
      <w:r w:rsidRPr="00DF6C69">
        <w:rPr>
          <w:rFonts w:eastAsia="SimSun"/>
          <w:noProof/>
          <w:vertAlign w:val="superscript"/>
        </w:rPr>
        <w:t>1</w:t>
      </w:r>
      <w:r w:rsidRPr="00DF6C69">
        <w:rPr>
          <w:rFonts w:eastAsia="SimSun"/>
          <w:noProof/>
        </w:rPr>
        <w:t>, C</w:t>
      </w:r>
      <w:r w:rsidRPr="00DF6C69">
        <w:rPr>
          <w:noProof/>
        </w:rPr>
        <w:t>. Giagkoulovits</w:t>
      </w:r>
      <w:r w:rsidRPr="00DF6C69">
        <w:rPr>
          <w:rFonts w:eastAsia="SimSun"/>
          <w:noProof/>
          <w:vertAlign w:val="superscript"/>
        </w:rPr>
        <w:t>1</w:t>
      </w:r>
      <w:r w:rsidRPr="00DF6C69">
        <w:rPr>
          <w:rFonts w:eastAsia="SimSun"/>
          <w:noProof/>
        </w:rPr>
        <w:t xml:space="preserve">, </w:t>
      </w:r>
      <w:r w:rsidRPr="00DF6C69">
        <w:rPr>
          <w:noProof/>
        </w:rPr>
        <w:t>M.A. Al-Rawhani</w:t>
      </w:r>
      <w:r w:rsidRPr="00DF6C69">
        <w:rPr>
          <w:rFonts w:eastAsia="SimSun"/>
          <w:noProof/>
          <w:vertAlign w:val="superscript"/>
        </w:rPr>
        <w:t>1</w:t>
      </w:r>
      <w:r w:rsidRPr="00DF6C69">
        <w:rPr>
          <w:noProof/>
        </w:rPr>
        <w:t xml:space="preserve">, </w:t>
      </w:r>
      <w:r w:rsidRPr="00DF6C69">
        <w:rPr>
          <w:rFonts w:eastAsia="SimSun"/>
          <w:noProof/>
        </w:rPr>
        <w:t>J</w:t>
      </w:r>
      <w:r w:rsidRPr="00DF6C69">
        <w:rPr>
          <w:noProof/>
        </w:rPr>
        <w:t>. Grant</w:t>
      </w:r>
      <w:r w:rsidRPr="00DF6C69">
        <w:rPr>
          <w:rFonts w:eastAsia="SimSun"/>
          <w:noProof/>
          <w:vertAlign w:val="superscript"/>
        </w:rPr>
        <w:t>1</w:t>
      </w:r>
      <w:r w:rsidRPr="00DF6C69">
        <w:rPr>
          <w:noProof/>
        </w:rPr>
        <w:t>, M. Macleod</w:t>
      </w:r>
      <w:r w:rsidRPr="00DF6C69">
        <w:rPr>
          <w:noProof/>
          <w:vertAlign w:val="superscript"/>
        </w:rPr>
        <w:t>2</w:t>
      </w:r>
      <w:r w:rsidRPr="00DF6C69">
        <w:rPr>
          <w:noProof/>
        </w:rPr>
        <w:t>, D.J. Clayton</w:t>
      </w:r>
      <w:r w:rsidRPr="00DF6C69">
        <w:rPr>
          <w:noProof/>
          <w:vertAlign w:val="superscript"/>
        </w:rPr>
        <w:t>3</w:t>
      </w:r>
      <w:r w:rsidRPr="00DF6C69">
        <w:rPr>
          <w:noProof/>
        </w:rPr>
        <w:t>, L.M. Heaney</w:t>
      </w:r>
      <w:r w:rsidRPr="00DF6C69">
        <w:rPr>
          <w:noProof/>
          <w:vertAlign w:val="superscript"/>
        </w:rPr>
        <w:t>4</w:t>
      </w:r>
      <w:r w:rsidRPr="00DF6C69">
        <w:rPr>
          <w:noProof/>
        </w:rPr>
        <w:t>, R. Daly</w:t>
      </w:r>
      <w:r w:rsidRPr="00DF6C69">
        <w:rPr>
          <w:noProof/>
          <w:vertAlign w:val="superscript"/>
        </w:rPr>
        <w:t>5</w:t>
      </w:r>
      <w:r w:rsidRPr="00DF6C69">
        <w:rPr>
          <w:noProof/>
        </w:rPr>
        <w:t xml:space="preserve">, </w:t>
      </w:r>
      <w:r w:rsidRPr="00DF6C69">
        <w:rPr>
          <w:rFonts w:eastAsia="SimSun"/>
          <w:noProof/>
        </w:rPr>
        <w:t>C</w:t>
      </w:r>
      <w:r w:rsidRPr="00DF6C69">
        <w:rPr>
          <w:noProof/>
        </w:rPr>
        <w:t>. Accarino</w:t>
      </w:r>
      <w:r w:rsidRPr="00DF6C69">
        <w:rPr>
          <w:rFonts w:eastAsia="SimSun"/>
          <w:noProof/>
          <w:vertAlign w:val="superscript"/>
        </w:rPr>
        <w:t>1</w:t>
      </w:r>
      <w:r w:rsidRPr="00DF6C69">
        <w:rPr>
          <w:rFonts w:eastAsia="SimSun"/>
          <w:noProof/>
        </w:rPr>
        <w:t>, Y.D. Shah</w:t>
      </w:r>
      <w:r w:rsidRPr="00DF6C69">
        <w:rPr>
          <w:rFonts w:eastAsia="SimSun"/>
          <w:noProof/>
          <w:vertAlign w:val="superscript"/>
        </w:rPr>
        <w:t>1</w:t>
      </w:r>
      <w:r w:rsidRPr="00DF6C69">
        <w:rPr>
          <w:rFonts w:eastAsia="SimSun"/>
          <w:noProof/>
        </w:rPr>
        <w:t>, B.C. Cheah</w:t>
      </w:r>
      <w:r w:rsidRPr="00DF6C69">
        <w:rPr>
          <w:rFonts w:eastAsia="SimSun"/>
          <w:noProof/>
          <w:vertAlign w:val="superscript"/>
        </w:rPr>
        <w:t>1</w:t>
      </w:r>
      <w:r w:rsidRPr="00DF6C69">
        <w:rPr>
          <w:rFonts w:eastAsia="SimSun"/>
          <w:noProof/>
        </w:rPr>
        <w:t>, J. Beeley</w:t>
      </w:r>
      <w:r w:rsidRPr="00DF6C69">
        <w:rPr>
          <w:rFonts w:eastAsia="SimSun"/>
          <w:noProof/>
          <w:vertAlign w:val="superscript"/>
        </w:rPr>
        <w:t>1</w:t>
      </w:r>
      <w:r w:rsidRPr="00DF6C69">
        <w:rPr>
          <w:rFonts w:eastAsia="SimSun"/>
          <w:noProof/>
        </w:rPr>
        <w:t xml:space="preserve">, </w:t>
      </w:r>
      <w:r w:rsidRPr="00DF6C69">
        <w:rPr>
          <w:noProof/>
        </w:rPr>
        <w:t>T.R.J. Evans</w:t>
      </w:r>
      <w:r w:rsidRPr="00DF6C69">
        <w:rPr>
          <w:noProof/>
          <w:vertAlign w:val="superscript"/>
        </w:rPr>
        <w:t>6</w:t>
      </w:r>
      <w:r w:rsidRPr="00DF6C69">
        <w:rPr>
          <w:noProof/>
        </w:rPr>
        <w:t>, R. Jones</w:t>
      </w:r>
      <w:r w:rsidRPr="00DF6C69">
        <w:rPr>
          <w:noProof/>
          <w:vertAlign w:val="superscript"/>
        </w:rPr>
        <w:t>6</w:t>
      </w:r>
      <w:r w:rsidRPr="00DF6C69">
        <w:rPr>
          <w:noProof/>
        </w:rPr>
        <w:t>, M.P. Barrett</w:t>
      </w:r>
      <w:r w:rsidRPr="00DF6C69">
        <w:rPr>
          <w:rFonts w:eastAsia="SimSun"/>
          <w:noProof/>
          <w:vertAlign w:val="superscript"/>
        </w:rPr>
        <w:t>5,7</w:t>
      </w:r>
      <w:r w:rsidRPr="00DF6C69">
        <w:rPr>
          <w:rFonts w:eastAsia="SimSun"/>
          <w:noProof/>
        </w:rPr>
        <w:t>, D.R.S. Cumming</w:t>
      </w:r>
      <w:r w:rsidRPr="00DF6C69">
        <w:rPr>
          <w:rFonts w:eastAsia="SimSun"/>
          <w:noProof/>
          <w:vertAlign w:val="superscript"/>
        </w:rPr>
        <w:t>1</w:t>
      </w:r>
    </w:p>
    <w:p w14:paraId="4B05F958" w14:textId="77777777" w:rsidR="00C51D04" w:rsidRPr="00DF6C69" w:rsidRDefault="00C51D04" w:rsidP="00C51D04">
      <w:pPr>
        <w:rPr>
          <w:i/>
          <w:iCs/>
          <w:sz w:val="20"/>
          <w:szCs w:val="20"/>
        </w:rPr>
      </w:pPr>
      <w:r w:rsidRPr="00DF6C69">
        <w:rPr>
          <w:i/>
          <w:iCs/>
          <w:sz w:val="20"/>
          <w:szCs w:val="20"/>
          <w:vertAlign w:val="superscript"/>
        </w:rPr>
        <w:t xml:space="preserve">1 </w:t>
      </w:r>
      <w:r w:rsidRPr="00DF6C69">
        <w:rPr>
          <w:i/>
          <w:iCs/>
          <w:sz w:val="20"/>
          <w:szCs w:val="20"/>
        </w:rPr>
        <w:t>Electronics and Nanoscale Engineering, James Watt School of Engineering, University of Glasgow, Glasgow, G12 8QQ, UK</w:t>
      </w:r>
    </w:p>
    <w:p w14:paraId="3F3B7BF6" w14:textId="77777777" w:rsidR="00C51D04" w:rsidRPr="00DF6C69" w:rsidRDefault="00C51D04" w:rsidP="00C51D04">
      <w:pPr>
        <w:rPr>
          <w:i/>
          <w:iCs/>
          <w:sz w:val="20"/>
          <w:szCs w:val="20"/>
        </w:rPr>
      </w:pPr>
      <w:r w:rsidRPr="00DF6C69">
        <w:rPr>
          <w:i/>
          <w:iCs/>
          <w:sz w:val="20"/>
          <w:szCs w:val="20"/>
          <w:vertAlign w:val="superscript"/>
        </w:rPr>
        <w:t>2</w:t>
      </w:r>
      <w:r w:rsidRPr="00DF6C69">
        <w:rPr>
          <w:i/>
          <w:iCs/>
          <w:sz w:val="20"/>
          <w:szCs w:val="20"/>
        </w:rPr>
        <w:t xml:space="preserve"> Beatson West of Scotland Cancer Centre, Glasgow, G12 0YN, UK</w:t>
      </w:r>
    </w:p>
    <w:p w14:paraId="680F61C9" w14:textId="77777777" w:rsidR="00C51D04" w:rsidRPr="00DF6C69" w:rsidRDefault="00C51D04" w:rsidP="00C51D04">
      <w:pPr>
        <w:rPr>
          <w:i/>
          <w:iCs/>
          <w:sz w:val="20"/>
          <w:szCs w:val="20"/>
        </w:rPr>
      </w:pPr>
      <w:r w:rsidRPr="00DF6C69">
        <w:rPr>
          <w:i/>
          <w:iCs/>
          <w:sz w:val="20"/>
          <w:szCs w:val="20"/>
          <w:vertAlign w:val="superscript"/>
        </w:rPr>
        <w:t>3</w:t>
      </w:r>
      <w:r w:rsidRPr="00DF6C69">
        <w:rPr>
          <w:i/>
          <w:iCs/>
          <w:sz w:val="20"/>
          <w:szCs w:val="20"/>
        </w:rPr>
        <w:t xml:space="preserve"> School of Science and Technology, Nottingham Trent University, Nottingham, NG11 8NF, UK</w:t>
      </w:r>
    </w:p>
    <w:p w14:paraId="3127388F" w14:textId="77777777" w:rsidR="00C51D04" w:rsidRPr="00DF6C69" w:rsidRDefault="00C51D04" w:rsidP="00C51D04">
      <w:pPr>
        <w:rPr>
          <w:i/>
          <w:iCs/>
          <w:sz w:val="20"/>
          <w:szCs w:val="20"/>
        </w:rPr>
      </w:pPr>
      <w:r w:rsidRPr="00DF6C69">
        <w:rPr>
          <w:i/>
          <w:iCs/>
          <w:sz w:val="20"/>
          <w:szCs w:val="20"/>
          <w:vertAlign w:val="superscript"/>
        </w:rPr>
        <w:t>4</w:t>
      </w:r>
      <w:r w:rsidRPr="00DF6C69">
        <w:rPr>
          <w:i/>
          <w:iCs/>
          <w:sz w:val="20"/>
          <w:szCs w:val="20"/>
        </w:rPr>
        <w:t xml:space="preserve"> School of Sport, Exercise &amp; Health Sciences, Loughborough University, Loughborough, LE11 3TU, UK</w:t>
      </w:r>
    </w:p>
    <w:p w14:paraId="48B185F0" w14:textId="77777777" w:rsidR="00C51D04" w:rsidRPr="00DF6C69" w:rsidRDefault="00C51D04" w:rsidP="00C51D04">
      <w:pPr>
        <w:rPr>
          <w:i/>
          <w:iCs/>
          <w:sz w:val="20"/>
          <w:szCs w:val="20"/>
        </w:rPr>
      </w:pPr>
      <w:r w:rsidRPr="00DF6C69">
        <w:rPr>
          <w:i/>
          <w:iCs/>
          <w:sz w:val="20"/>
          <w:szCs w:val="20"/>
          <w:vertAlign w:val="superscript"/>
        </w:rPr>
        <w:t>5</w:t>
      </w:r>
      <w:r w:rsidRPr="00DF6C69">
        <w:rPr>
          <w:rFonts w:eastAsiaTheme="majorEastAsia"/>
          <w:i/>
          <w:iCs/>
          <w:color w:val="333333"/>
          <w:sz w:val="16"/>
          <w:szCs w:val="16"/>
          <w:shd w:val="clear" w:color="auto" w:fill="F5F5F5"/>
        </w:rPr>
        <w:t xml:space="preserve"> </w:t>
      </w:r>
      <w:r w:rsidRPr="00DF6C69">
        <w:rPr>
          <w:i/>
          <w:iCs/>
          <w:sz w:val="20"/>
          <w:szCs w:val="20"/>
        </w:rPr>
        <w:t xml:space="preserve">Glasgow </w:t>
      </w:r>
      <w:proofErr w:type="spellStart"/>
      <w:r w:rsidRPr="00DF6C69">
        <w:rPr>
          <w:i/>
          <w:iCs/>
          <w:sz w:val="20"/>
          <w:szCs w:val="20"/>
        </w:rPr>
        <w:t>Polyomics</w:t>
      </w:r>
      <w:proofErr w:type="spellEnd"/>
      <w:r w:rsidRPr="00DF6C69">
        <w:rPr>
          <w:i/>
          <w:iCs/>
          <w:sz w:val="20"/>
          <w:szCs w:val="20"/>
        </w:rPr>
        <w:t>, College of Medical, Veterinary and Life Sciences, University of Glasgow, Glasgow, G61 1</w:t>
      </w:r>
      <w:proofErr w:type="gramStart"/>
      <w:r w:rsidRPr="00DF6C69">
        <w:rPr>
          <w:i/>
          <w:iCs/>
          <w:sz w:val="20"/>
          <w:szCs w:val="20"/>
        </w:rPr>
        <w:t>BD,  UK</w:t>
      </w:r>
      <w:proofErr w:type="gramEnd"/>
    </w:p>
    <w:p w14:paraId="5D6C26AC" w14:textId="77777777" w:rsidR="00C51D04" w:rsidRPr="00DF6C69" w:rsidRDefault="00C51D04" w:rsidP="00C51D04">
      <w:pPr>
        <w:rPr>
          <w:i/>
          <w:iCs/>
          <w:sz w:val="20"/>
          <w:szCs w:val="20"/>
        </w:rPr>
      </w:pPr>
      <w:r w:rsidRPr="00DF6C69">
        <w:rPr>
          <w:i/>
          <w:iCs/>
          <w:sz w:val="20"/>
          <w:szCs w:val="20"/>
          <w:vertAlign w:val="superscript"/>
        </w:rPr>
        <w:t xml:space="preserve">6 </w:t>
      </w:r>
      <w:r w:rsidRPr="00DF6C69">
        <w:rPr>
          <w:i/>
          <w:iCs/>
          <w:sz w:val="20"/>
          <w:szCs w:val="20"/>
        </w:rPr>
        <w:t>Institute of Cancer Sciences, University of Glasgow, Beatson West of Scotland Cancer Centre, Glasgow, G12 0YN, UK</w:t>
      </w:r>
    </w:p>
    <w:p w14:paraId="19147033" w14:textId="77777777" w:rsidR="00C51D04" w:rsidRPr="00DF6C69" w:rsidRDefault="00C51D04" w:rsidP="00C51D04">
      <w:pPr>
        <w:rPr>
          <w:i/>
          <w:iCs/>
          <w:sz w:val="20"/>
          <w:szCs w:val="20"/>
        </w:rPr>
      </w:pPr>
      <w:r w:rsidRPr="00DF6C69">
        <w:rPr>
          <w:i/>
          <w:iCs/>
          <w:sz w:val="20"/>
          <w:szCs w:val="20"/>
          <w:vertAlign w:val="superscript"/>
        </w:rPr>
        <w:t xml:space="preserve">7 </w:t>
      </w:r>
      <w:r w:rsidRPr="00DF6C69">
        <w:rPr>
          <w:i/>
          <w:iCs/>
          <w:sz w:val="20"/>
          <w:szCs w:val="20"/>
        </w:rPr>
        <w:t>Institute of Infection, Immunity and Inflammation, University of Glasgow, Glasgow, G12 8TA, UK</w:t>
      </w:r>
    </w:p>
    <w:p w14:paraId="5ABC9EC3" w14:textId="6C6DF71A" w:rsidR="00651E27" w:rsidRPr="00DF6C69" w:rsidRDefault="00651E27" w:rsidP="00547798">
      <w:pPr>
        <w:rPr>
          <w:shd w:val="clear" w:color="auto" w:fill="FFFFFF"/>
        </w:rPr>
      </w:pPr>
      <w:bookmarkStart w:id="1" w:name="_Ref36923905"/>
      <w:bookmarkStart w:id="2" w:name="_Ref36923757"/>
    </w:p>
    <w:p w14:paraId="05E1B701" w14:textId="773C71EC" w:rsidR="00A717B2" w:rsidRPr="00DF6C69" w:rsidRDefault="00A717B2" w:rsidP="00547798">
      <w:pPr>
        <w:pStyle w:val="Heading2"/>
        <w:numPr>
          <w:ilvl w:val="0"/>
          <w:numId w:val="2"/>
        </w:numPr>
      </w:pPr>
      <w:r w:rsidRPr="00DF6C69">
        <w:t xml:space="preserve"> </w:t>
      </w:r>
      <w:bookmarkStart w:id="3" w:name="_Toc41997370"/>
      <w:r w:rsidR="00426740" w:rsidRPr="00DF6C69">
        <w:t>Cancer</w:t>
      </w:r>
      <w:r w:rsidRPr="00DF6C69">
        <w:t xml:space="preserve"> Metabolomics</w:t>
      </w:r>
      <w:bookmarkEnd w:id="3"/>
      <w:r w:rsidR="00426740" w:rsidRPr="00DF6C69">
        <w:t xml:space="preserve"> </w:t>
      </w:r>
    </w:p>
    <w:p w14:paraId="272254C6" w14:textId="3E9F96EC" w:rsidR="007A64F2" w:rsidRPr="00DF6C69" w:rsidRDefault="0030374D" w:rsidP="00511FB3">
      <w:pPr>
        <w:rPr>
          <w:shd w:val="clear" w:color="auto" w:fill="FFFFFF"/>
        </w:rPr>
      </w:pPr>
      <w:r w:rsidRPr="00DF6C69">
        <w:rPr>
          <w:shd w:val="clear" w:color="auto" w:fill="FFFFFF"/>
        </w:rPr>
        <w:t xml:space="preserve">There are </w:t>
      </w:r>
      <w:r w:rsidR="00F370AF" w:rsidRPr="00DF6C69">
        <w:rPr>
          <w:shd w:val="clear" w:color="auto" w:fill="FFFFFF"/>
        </w:rPr>
        <w:t>metabolic differences between cancer and healthy cells</w:t>
      </w:r>
      <w:r w:rsidRPr="00DF6C69">
        <w:rPr>
          <w:shd w:val="clear" w:color="auto" w:fill="FFFFFF"/>
        </w:rPr>
        <w:t xml:space="preserve"> </w:t>
      </w:r>
      <w:r w:rsidR="00A50C04" w:rsidRPr="00DF6C69">
        <w:rPr>
          <w:shd w:val="clear" w:color="auto" w:fill="FFFFFF"/>
        </w:rPr>
        <w:t xml:space="preserve">thus </w:t>
      </w:r>
      <w:r w:rsidR="00F370AF" w:rsidRPr="00DF6C69">
        <w:rPr>
          <w:shd w:val="clear" w:color="auto" w:fill="FFFFFF"/>
        </w:rPr>
        <w:t>metabolites</w:t>
      </w:r>
      <w:r w:rsidR="005C5152" w:rsidRPr="00DF6C69">
        <w:rPr>
          <w:shd w:val="clear" w:color="auto" w:fill="FFFFFF"/>
        </w:rPr>
        <w:t xml:space="preserve"> that are modified by a cancer</w:t>
      </w:r>
      <w:r w:rsidR="00F370AF" w:rsidRPr="00DF6C69">
        <w:rPr>
          <w:shd w:val="clear" w:color="auto" w:fill="FFFFFF"/>
        </w:rPr>
        <w:t xml:space="preserve"> accumulate in human body fluids</w:t>
      </w:r>
      <w:r w:rsidR="006A0D4E" w:rsidRPr="00DF6C69">
        <w:rPr>
          <w:shd w:val="clear" w:color="auto" w:fill="FFFFFF"/>
        </w:rPr>
        <w:t>.</w:t>
      </w:r>
      <w:r w:rsidR="00F370AF" w:rsidRPr="00DF6C69">
        <w:rPr>
          <w:shd w:val="clear" w:color="auto" w:fill="FFFFFF"/>
        </w:rPr>
        <w:t xml:space="preserve"> </w:t>
      </w:r>
      <w:r w:rsidR="006A0D4E" w:rsidRPr="00DF6C69">
        <w:rPr>
          <w:shd w:val="clear" w:color="auto" w:fill="FFFFFF"/>
        </w:rPr>
        <w:t>T</w:t>
      </w:r>
      <w:r w:rsidR="00F370AF" w:rsidRPr="00DF6C69">
        <w:rPr>
          <w:shd w:val="clear" w:color="auto" w:fill="FFFFFF"/>
        </w:rPr>
        <w:t xml:space="preserve">heir altered levels have the potential to act as biomarkers to diagnose and monitor the disease </w:t>
      </w:r>
      <w:r w:rsidR="00F370AF" w:rsidRPr="00DF6C69">
        <w:rPr>
          <w:shd w:val="clear" w:color="auto" w:fill="FFFFFF"/>
        </w:rPr>
        <w:fldChar w:fldCharType="begin" w:fldLock="1"/>
      </w:r>
      <w:r w:rsidR="0053537D" w:rsidRPr="00DF6C69">
        <w:rPr>
          <w:shd w:val="clear" w:color="auto" w:fill="FFFFFF"/>
        </w:rPr>
        <w:instrText>ADDIN CSL_CITATION {"citationItems":[{"id":"ITEM-1","itemData":{"DOI":"10.1038/nrd.2016.32","ISSN":"14741784","abstract":"Metabolomics is an emerging 'omics' science involving the comprehensive characterization of metabolites and metabolism in biological systems. Recent advances in metabolomics technologies are leading to a growing number of mainstream biomedical applications. In particular, metabolomics is increasingly being used to diagnose disease, understand disease mechanisms, identify novel drug targets, customize drug treatments and monitor therapeutic outcomes. This Review discusses some of the latest technological advances in metabolomics, focusing on the application of metabolomics towards uncovering the underlying causes of complex diseases (such as atherosclerosis, cancer and diabetes), the growing role of metabolomics in drug discovery and its potential effect on precision medicine.","author":[{"dropping-particle":"","family":"Wishart","given":"David S.","non-dropping-particle":"","parse-names":false,"suffix":""}],"container-title":"Nature Reviews Drug Discovery","id":"ITEM-1","issue":"7","issued":{"date-parts":[["2016"]]},"page":"473-484","publisher":"Nature Publishing Group","title":"Emerging applications of metabolomics in drug discovery and precision medicine","type":"article-journal","volume":"15"},"uris":["http://www.mendeley.com/documents/?uuid=709792ab-5855-4b7a-8e9d-821ffef12f26"]}],"mendeley":{"formattedCitation":"[1]","plainTextFormattedCitation":"[1]","previouslyFormattedCitation":"[1]"},"properties":{"noteIndex":0},"schema":"https://github.com/citation-style-language/schema/raw/master/csl-citation.json"}</w:instrText>
      </w:r>
      <w:r w:rsidR="00F370AF" w:rsidRPr="00DF6C69">
        <w:rPr>
          <w:shd w:val="clear" w:color="auto" w:fill="FFFFFF"/>
        </w:rPr>
        <w:fldChar w:fldCharType="separate"/>
      </w:r>
      <w:r w:rsidR="0033020E" w:rsidRPr="00DF6C69">
        <w:rPr>
          <w:shd w:val="clear" w:color="auto" w:fill="FFFFFF"/>
        </w:rPr>
        <w:t>[1]</w:t>
      </w:r>
      <w:r w:rsidR="00F370AF" w:rsidRPr="00DF6C69">
        <w:rPr>
          <w:shd w:val="clear" w:color="auto" w:fill="FFFFFF"/>
        </w:rPr>
        <w:fldChar w:fldCharType="end"/>
      </w:r>
      <w:r w:rsidR="00F370AF" w:rsidRPr="00DF6C69">
        <w:rPr>
          <w:shd w:val="clear" w:color="auto" w:fill="FFFFFF"/>
        </w:rPr>
        <w:t xml:space="preserve">. </w:t>
      </w:r>
      <w:r w:rsidR="00775A9B" w:rsidRPr="00DF6C69">
        <w:rPr>
          <w:shd w:val="clear" w:color="auto" w:fill="FFFFFF"/>
        </w:rPr>
        <w:t xml:space="preserve">Numerous studies of the levels of </w:t>
      </w:r>
      <w:r w:rsidR="00186D9C" w:rsidRPr="00DF6C69">
        <w:rPr>
          <w:shd w:val="clear" w:color="auto" w:fill="FFFFFF"/>
        </w:rPr>
        <w:t xml:space="preserve">metabolomic biomarkers and their </w:t>
      </w:r>
      <w:r w:rsidR="00BF0A52" w:rsidRPr="00DF6C69">
        <w:rPr>
          <w:shd w:val="clear" w:color="auto" w:fill="FFFFFF"/>
        </w:rPr>
        <w:t>utility</w:t>
      </w:r>
      <w:r w:rsidR="00186D9C" w:rsidRPr="00DF6C69">
        <w:rPr>
          <w:shd w:val="clear" w:color="auto" w:fill="FFFFFF"/>
        </w:rPr>
        <w:t xml:space="preserve"> with respect </w:t>
      </w:r>
      <w:r w:rsidR="00B17239" w:rsidRPr="00DF6C69">
        <w:rPr>
          <w:shd w:val="clear" w:color="auto" w:fill="FFFFFF"/>
        </w:rPr>
        <w:t>to the diagnosis of</w:t>
      </w:r>
      <w:r w:rsidR="00186D9C" w:rsidRPr="00DF6C69">
        <w:rPr>
          <w:shd w:val="clear" w:color="auto" w:fill="FFFFFF"/>
        </w:rPr>
        <w:t xml:space="preserve"> different cancers have been</w:t>
      </w:r>
      <w:r w:rsidR="00B17239" w:rsidRPr="00DF6C69">
        <w:rPr>
          <w:shd w:val="clear" w:color="auto" w:fill="FFFFFF"/>
        </w:rPr>
        <w:t xml:space="preserve"> published</w:t>
      </w:r>
      <w:r w:rsidR="00411F33" w:rsidRPr="00DF6C69">
        <w:rPr>
          <w:shd w:val="clear" w:color="auto" w:fill="FFFFFF"/>
        </w:rPr>
        <w:t xml:space="preserve"> </w:t>
      </w:r>
      <w:r w:rsidR="00F370AF" w:rsidRPr="00DF6C69">
        <w:rPr>
          <w:shd w:val="clear" w:color="auto" w:fill="FFFFFF"/>
        </w:rPr>
        <w:fldChar w:fldCharType="begin" w:fldLock="1"/>
      </w:r>
      <w:r w:rsidR="0053537D" w:rsidRPr="00DF6C69">
        <w:rPr>
          <w:shd w:val="clear" w:color="auto" w:fill="FFFFFF"/>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Fluids","type":"book"},"uris":["http://www.mendeley.com/documents/?uuid=68fa4c3b-fc8d-4f9a-a0e6-5b42b3f9695e"]},{"id":"ITEM-2","itemData":{"DOI":"10.1007/s11306-012-0476-7","ISSN":"15733882","abstract":"Metabolomics as one of the most rapidly growing technologies in the \"-omics\" field denotes the comprehensive analysis of low molecular-weight compounds and their pathways. Cancer-specific alterations of the metabolome can be detected by high-throughput mass-spectrometric metabolite profiling and serve as a considerable source of new markers for the early differentiation of malignant diseases as well as their distinction from benign states. However, a comprehensive framework for the statistical evaluation of marker panels in a multi-class setting has not yet been established. We collected serum samples of 40 pancreatic carcinoma patients, 40 controls, and 23 pancreatitis patients according to standard protocols and generated amino acid profiles by routine mass-spectrometry. In an intrinsic three-class bioinformatic approach we compared these profiles, evaluated their selectivity and computed multi-marker panels combined with the conventional tumor marker CA 19-9. Additionally, we tested for non-inferiority and superiority to determine the diagnostic surplus value of our multi-metabolite marker panels. Compared to CA 19-9 alone, the combined amino acid-based metabolite panel had a superior selectivity for the discrimination of healthy controls, pancreatitis, and pancreatic carcinoma patients [volume under ROC surface (VUS) = 0.891(95% CI 0:794 - 0:968)] We combined highly standardized samples, a three-class study design, a high-throughput mass-spectrometric technique, and a comprehensive bioinformatic framework to identify metabolite panels selective for all three groups in a single approach. Our results suggest that metabolomic profiling necessitates appropriate evaluation strategies and-despite all its current limitations-can deliver marker panels with high selectivity even in multi-class settings. © 2012 The Author(s).","author":[{"dropping-particle":"","family":"Leichtle","given":"Alexander Benedikt","non-dropping-particle":"","parse-names":false,"suffix":""},{"dropping-particle":"","family":"Ceglarek","given":"Uta","non-dropping-particle":"","parse-names":false,"suffix":""},{"dropping-particle":"","family":"Weinert","given":"Peter","non-dropping-particle":"","parse-names":false,"suffix":""},{"dropping-particle":"","family":"Nakas","given":"Christos T.","non-dropping-particle":"","parse-names":false,"suffix":""},{"dropping-particle":"","family":"Nuoffer","given":"Jean Marc","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Martin","non-dropping-particle":"","parse-names":false,"suffix":""}],"container-title":"Metabolomics","id":"ITEM-2","issue":"3","issued":{"date-parts":[["2013","6"]]},"page":"677-687","title":"Pancreatic carcinoma, pancreatitis, and healthy controls: Metabolite models in a three-class diagnostic dilemma","type":"article-journal","volume":"9"},"uris":["http://www.mendeley.com/documents/?uuid=716efd7d-6811-4814-9b77-a480c07ce032"]},{"id":"ITEM-3","itemData":{"DOI":"10.1186/1476-4598-12-25","abstract":"Background: The biomarker identification of human esophageal cancer is critical for its early diagnosis and therapeutic approaches that will significantly improve patient survival. Specially, those that involves in progression of disease would be helpful to mechanism research.Methods: In the present study, we investigated the distinguishing metabolites in human esophageal cancer tissues (n = 89) and normal esophageal mucosae (n = 26) using a 1H nuclear magnetic resonance (1H-NMR) based assay, which is a highly sensitive and non-destructive method for biomarker identification in biological systems. Principal component analysis (PCA), partial least squares-discriminant analysis (PLS-DA) and orthogonal partial least-squares-discriminant anlaysis (OPLS-DA) were applied to analyse 1H-NMR profiling data to identify potential biomarkers.Results: The constructed OPLS-DA model achieved an excellent separation of the esophageal cancer tissues and normal mucosae. Excellent separation was obtained between the different stages of esophageal cancer tissues (stage II = 28; stage III = 45 and stage IV = 16) and normal mucosae. A total of 45 metabolites were identified, and 12 of them were closely correlated with the stage of esophageal cancer. The downregulation of glucose, AMP and NAD, upregulation of formate indicated the large energy requirement due to accelerated cell proliferation in esophageal cancer. The increases in acetate, short-chain fatty acid and GABA in esophageal cancer tissue revealed the activation of fatty acids metabolism, which could satisfy the need for cellular membrane formation. Other modified metabolites were involved in choline metabolic pathway, including creatinine, creatine, DMG, DMA and TMA. These 12 metabolites, which are involved in energy, fatty acids and choline metabolism, may be associated with the progression of human esophageal cancer.Conclusion: Our findings firstly identify the distinguishing metabolites in different stages of esophageal cancer tissues, indicating the attribution of metabolites disturbance to the progression of esophageal cancer. The potential biomarkers provide a promising molecular diagnostic approach for clinical diagnosis of human esophageal cancer and a new direction for the mechanism study. © 2013 Wang et al.; licensee BioMed Central Ltd.","author":[{"dropping-particle":"","family":"Wang","given":"Liang","non-dropping-particle":"","parse-names":false,"suffix":""},{"dropping-particle":"","family":"Chen","given":"Jie","non-dropping-particle":"","parse-names":false,"suffix":""},{"dropping-particle":"","family":"Chen","given":"Longqi","non-dropping-particle":"","parse-names":false,"suffix":""},{"dropping-particle":"","family":"Deng","given":"Pengchi","non-dropping-particle":"","parse-names":false,"suffix":""},{"dropping-particle":"","family":"bu","given":"Qian","non-dropping-particle":"","parse-names":false,"suffix":""},{"dropping-particle":"","family":"Xiang","given":"Pu","non-dropping-particle":"","parse-names":false,"suffix":""},{"dropping-particle":"","family":"Li","given":"Manli","non-dropping-particle":"","parse-names":false,"suffix":""},{"dropping-particle":"","family":"Lu","given":"Wenjie","non-dropping-particle":"","parse-names":false,"suffix":""},{"dropping-particle":"","family":"Xu","given":"Youzhi","non-dropping-particle":"","parse-names":false,"suffix":""},{"dropping-particle":"","family":"Lin","given":"Hongjun","non-dropping-particle":"","parse-names":false,"suffix":""},{"dropping-particle":"","family":"Wu","given":"Tianming","non-dropping-particle":"","parse-names":false,"suffix":""},{"dropping-particle":"","family":"Wang","given":"Huijuan","non-dropping-particle":"","parse-names":false,"suffix":""},{"dropping-particle":"","family":"Hu","given":"Jing","non-dropping-particle":"","parse-names":false,"suffix":""},{"dropping-particle":"","family":"Shao","given":"Xiaoni","non-dropping-particle":"","parse-names":false,"suffix":""},{"dropping-particle":"","family":"Cen","given":"Xiaobo","non-dropping-particle":"","parse-names":false,"suffix":""},{"dropping-particle":"","family":"Zhao","given":"Ying-Lan Lan","non-dropping-particle":"","parse-names":false,"suffix":""}],"container-title":"Molecular Cancer","id":"ITEM-3","issue":"1","issued":{"date-parts":[["2013","4","4"]]},"page":"25","title":"1H-NMR based metabonomic profiling of human esophageal cancer tissue","type":"article-journal","volume":"12"},"uris":["http://www.mendeley.com/documents/?uuid=bcc64550-7d67-45d2-b87c-46ffeecd32f4"]}],"mendeley":{"formattedCitation":"[2]–[4]","plainTextFormattedCitation":"[2]–[4]","previouslyFormattedCitation":"[2]–[4]"},"properties":{"noteIndex":0},"schema":"https://github.com/citation-style-language/schema/raw/master/csl-citation.json"}</w:instrText>
      </w:r>
      <w:r w:rsidR="00F370AF" w:rsidRPr="00DF6C69">
        <w:rPr>
          <w:shd w:val="clear" w:color="auto" w:fill="FFFFFF"/>
        </w:rPr>
        <w:fldChar w:fldCharType="separate"/>
      </w:r>
      <w:r w:rsidR="0033020E" w:rsidRPr="00DF6C69">
        <w:rPr>
          <w:shd w:val="clear" w:color="auto" w:fill="FFFFFF"/>
        </w:rPr>
        <w:t>[2]–[4]</w:t>
      </w:r>
      <w:r w:rsidR="00F370AF" w:rsidRPr="00DF6C69">
        <w:rPr>
          <w:shd w:val="clear" w:color="auto" w:fill="FFFFFF"/>
        </w:rPr>
        <w:fldChar w:fldCharType="end"/>
      </w:r>
      <w:r w:rsidR="00F370AF" w:rsidRPr="00DF6C69">
        <w:rPr>
          <w:shd w:val="clear" w:color="auto" w:fill="FFFFFF"/>
        </w:rPr>
        <w:t xml:space="preserve">. A review </w:t>
      </w:r>
      <w:r w:rsidR="00F370AF" w:rsidRPr="00DF6C69">
        <w:t>o</w:t>
      </w:r>
      <w:r w:rsidR="00411F33" w:rsidRPr="00DF6C69">
        <w:t>f</w:t>
      </w:r>
      <w:r w:rsidR="00F370AF" w:rsidRPr="00DF6C69">
        <w:t xml:space="preserve"> cancer-related metabolites is presented in </w:t>
      </w:r>
      <w:r w:rsidR="00F370AF" w:rsidRPr="00DF6C69">
        <w:fldChar w:fldCharType="begin"/>
      </w:r>
      <w:r w:rsidR="00F370AF" w:rsidRPr="00DF6C69">
        <w:instrText xml:space="preserve"> REF _Ref42698971 \h </w:instrText>
      </w:r>
      <w:r w:rsidR="00DF6C69">
        <w:instrText xml:space="preserve"> \* MERGEFORMAT </w:instrText>
      </w:r>
      <w:r w:rsidR="00F370AF" w:rsidRPr="00DF6C69">
        <w:fldChar w:fldCharType="separate"/>
      </w:r>
      <w:r w:rsidR="00645E46" w:rsidRPr="00DF6C69">
        <w:t xml:space="preserve">Table </w:t>
      </w:r>
      <w:r w:rsidR="00645E46" w:rsidRPr="00DF6C69">
        <w:rPr>
          <w:noProof/>
        </w:rPr>
        <w:t>1</w:t>
      </w:r>
      <w:r w:rsidR="00F370AF" w:rsidRPr="00DF6C69">
        <w:fldChar w:fldCharType="end"/>
      </w:r>
      <w:r w:rsidR="00F370AF" w:rsidRPr="00DF6C69">
        <w:t>.</w:t>
      </w:r>
      <w:r w:rsidR="00F56E55" w:rsidRPr="00DF6C69">
        <w:t xml:space="preserve"> </w:t>
      </w:r>
      <w:r w:rsidR="004E4E4E" w:rsidRPr="00DF6C69">
        <w:t>I</w:t>
      </w:r>
      <w:r w:rsidR="00F56E55" w:rsidRPr="00DF6C69">
        <w:t xml:space="preserve">nformation from these studies was used </w:t>
      </w:r>
      <w:r w:rsidR="004E4E4E" w:rsidRPr="00DF6C69">
        <w:t>in</w:t>
      </w:r>
      <w:r w:rsidR="00F56E55" w:rsidRPr="00DF6C69">
        <w:t xml:space="preserve"> the de</w:t>
      </w:r>
      <w:r w:rsidR="00156271" w:rsidRPr="00DF6C69">
        <w:t>s</w:t>
      </w:r>
      <w:r w:rsidR="00F56E55" w:rsidRPr="00DF6C69">
        <w:t xml:space="preserve">ign of the present </w:t>
      </w:r>
      <w:r w:rsidR="004A5396" w:rsidRPr="00DF6C69">
        <w:t xml:space="preserve">work </w:t>
      </w:r>
      <w:r w:rsidR="00156271" w:rsidRPr="00DF6C69">
        <w:t>by selecting a small number of appropriate metabolites to measure on the POC platform.</w:t>
      </w:r>
      <w:bookmarkStart w:id="4" w:name="_Ref31281125"/>
      <w:r w:rsidR="007A64F2" w:rsidRPr="00DF6C69">
        <w:rPr>
          <w:lang w:eastAsia="en-GB"/>
        </w:rPr>
        <w:br w:type="page"/>
      </w:r>
    </w:p>
    <w:p w14:paraId="6ACCCCDD" w14:textId="0DF625F1" w:rsidR="00521E89" w:rsidRPr="00DF6C69" w:rsidRDefault="00053614" w:rsidP="00053614">
      <w:pPr>
        <w:pStyle w:val="Caption"/>
      </w:pPr>
      <w:bookmarkStart w:id="5" w:name="_Ref42698971"/>
      <w:bookmarkEnd w:id="4"/>
      <w:r w:rsidRPr="00DF6C69">
        <w:lastRenderedPageBreak/>
        <w:t xml:space="preserve">Table </w:t>
      </w:r>
      <w:fldSimple w:instr=" SEQ Table \* ARABIC ">
        <w:r w:rsidR="00645E46" w:rsidRPr="00DF6C69">
          <w:rPr>
            <w:noProof/>
          </w:rPr>
          <w:t>1</w:t>
        </w:r>
      </w:fldSimple>
      <w:bookmarkEnd w:id="5"/>
      <w:r w:rsidR="00313218" w:rsidRPr="00DF6C69">
        <w:t>.</w:t>
      </w:r>
      <w:r w:rsidR="00521E89" w:rsidRPr="00DF6C69">
        <w:t xml:space="preserve"> </w:t>
      </w:r>
      <w:r w:rsidR="00EF6EB7" w:rsidRPr="00DF6C69">
        <w:t>A review of c</w:t>
      </w:r>
      <w:r w:rsidR="00521E89" w:rsidRPr="00DF6C69">
        <w:t>ancer-related metabolites</w:t>
      </w:r>
      <w:r w:rsidR="00053DE8" w:rsidRPr="00DF6C69">
        <w:t>.</w:t>
      </w:r>
    </w:p>
    <w:tbl>
      <w:tblPr>
        <w:tblStyle w:val="TableGrid"/>
        <w:tblW w:w="9356" w:type="dxa"/>
        <w:tblInd w:w="-289" w:type="dxa"/>
        <w:tblLayout w:type="fixed"/>
        <w:tblLook w:val="04A0" w:firstRow="1" w:lastRow="0" w:firstColumn="1" w:lastColumn="0" w:noHBand="0" w:noVBand="1"/>
      </w:tblPr>
      <w:tblGrid>
        <w:gridCol w:w="1418"/>
        <w:gridCol w:w="993"/>
        <w:gridCol w:w="6945"/>
      </w:tblGrid>
      <w:tr w:rsidR="00521E89" w:rsidRPr="00DF6C69" w14:paraId="5A1D26D1" w14:textId="77777777" w:rsidTr="000765CF">
        <w:trPr>
          <w:trHeight w:val="293"/>
        </w:trPr>
        <w:tc>
          <w:tcPr>
            <w:tcW w:w="1418" w:type="dxa"/>
            <w:shd w:val="clear" w:color="auto" w:fill="D9E2F3" w:themeFill="accent1" w:themeFillTint="33"/>
          </w:tcPr>
          <w:p w14:paraId="52DC525E" w14:textId="77777777" w:rsidR="00521E89" w:rsidRPr="00DF6C69" w:rsidRDefault="00521E89" w:rsidP="000765CF">
            <w:pPr>
              <w:jc w:val="center"/>
              <w:rPr>
                <w:rFonts w:cs="Times New Roman"/>
                <w:b/>
                <w:sz w:val="18"/>
                <w:szCs w:val="18"/>
              </w:rPr>
            </w:pPr>
            <w:r w:rsidRPr="00DF6C69">
              <w:rPr>
                <w:rFonts w:cs="Times New Roman"/>
                <w:b/>
                <w:sz w:val="18"/>
                <w:szCs w:val="18"/>
              </w:rPr>
              <w:t>Cancer</w:t>
            </w:r>
          </w:p>
        </w:tc>
        <w:tc>
          <w:tcPr>
            <w:tcW w:w="993" w:type="dxa"/>
            <w:shd w:val="clear" w:color="auto" w:fill="D9E2F3" w:themeFill="accent1" w:themeFillTint="33"/>
          </w:tcPr>
          <w:p w14:paraId="6950BD35" w14:textId="77777777" w:rsidR="00521E89" w:rsidRPr="00DF6C69" w:rsidRDefault="00521E89" w:rsidP="000765CF">
            <w:pPr>
              <w:jc w:val="center"/>
              <w:rPr>
                <w:rFonts w:cs="Times New Roman"/>
                <w:b/>
                <w:sz w:val="18"/>
                <w:szCs w:val="18"/>
              </w:rPr>
            </w:pPr>
            <w:r w:rsidRPr="00DF6C69">
              <w:rPr>
                <w:rFonts w:cs="Times New Roman"/>
                <w:b/>
                <w:sz w:val="18"/>
                <w:szCs w:val="18"/>
              </w:rPr>
              <w:t>Sample</w:t>
            </w:r>
          </w:p>
        </w:tc>
        <w:tc>
          <w:tcPr>
            <w:tcW w:w="6945" w:type="dxa"/>
            <w:shd w:val="clear" w:color="auto" w:fill="D9E2F3" w:themeFill="accent1" w:themeFillTint="33"/>
          </w:tcPr>
          <w:p w14:paraId="59778B05" w14:textId="77777777" w:rsidR="00521E89" w:rsidRPr="00DF6C69" w:rsidRDefault="00521E89" w:rsidP="000765CF">
            <w:pPr>
              <w:jc w:val="center"/>
              <w:rPr>
                <w:rFonts w:cs="Times New Roman"/>
                <w:b/>
                <w:sz w:val="18"/>
                <w:szCs w:val="18"/>
              </w:rPr>
            </w:pPr>
            <w:r w:rsidRPr="00DF6C69">
              <w:rPr>
                <w:rFonts w:cs="Times New Roman"/>
                <w:b/>
                <w:sz w:val="18"/>
                <w:szCs w:val="18"/>
              </w:rPr>
              <w:t>Metabolites</w:t>
            </w:r>
          </w:p>
        </w:tc>
      </w:tr>
      <w:tr w:rsidR="00521E89" w:rsidRPr="00DF6C69" w14:paraId="74C00897" w14:textId="77777777" w:rsidTr="000765CF">
        <w:trPr>
          <w:trHeight w:val="619"/>
        </w:trPr>
        <w:tc>
          <w:tcPr>
            <w:tcW w:w="1418" w:type="dxa"/>
            <w:vMerge w:val="restart"/>
            <w:shd w:val="clear" w:color="auto" w:fill="FFF2CC" w:themeFill="accent4" w:themeFillTint="33"/>
            <w:vAlign w:val="center"/>
          </w:tcPr>
          <w:p w14:paraId="2B66FE43" w14:textId="77777777" w:rsidR="00521E89" w:rsidRPr="00DF6C69" w:rsidRDefault="00521E89" w:rsidP="000765CF">
            <w:pPr>
              <w:rPr>
                <w:rFonts w:cs="Times New Roman"/>
                <w:b/>
                <w:sz w:val="18"/>
                <w:szCs w:val="18"/>
              </w:rPr>
            </w:pPr>
            <w:r w:rsidRPr="00DF6C69">
              <w:rPr>
                <w:rFonts w:cs="Times New Roman"/>
                <w:b/>
                <w:sz w:val="18"/>
                <w:szCs w:val="18"/>
              </w:rPr>
              <w:t>Breast</w:t>
            </w:r>
          </w:p>
        </w:tc>
        <w:tc>
          <w:tcPr>
            <w:tcW w:w="993" w:type="dxa"/>
            <w:vAlign w:val="center"/>
          </w:tcPr>
          <w:p w14:paraId="29351E1E" w14:textId="77777777" w:rsidR="00521E89" w:rsidRPr="00DF6C69" w:rsidRDefault="00521E89" w:rsidP="000765CF">
            <w:pPr>
              <w:rPr>
                <w:rFonts w:cs="Times New Roman"/>
                <w:sz w:val="18"/>
                <w:szCs w:val="18"/>
              </w:rPr>
            </w:pPr>
            <w:r w:rsidRPr="00DF6C69">
              <w:rPr>
                <w:rFonts w:cs="Times New Roman"/>
                <w:sz w:val="18"/>
                <w:szCs w:val="18"/>
              </w:rPr>
              <w:t>Serum*</w:t>
            </w:r>
          </w:p>
        </w:tc>
        <w:tc>
          <w:tcPr>
            <w:tcW w:w="6945" w:type="dxa"/>
            <w:vAlign w:val="center"/>
          </w:tcPr>
          <w:p w14:paraId="75D12D34" w14:textId="53B378BC" w:rsidR="00521E89" w:rsidRPr="00DF6C69" w:rsidRDefault="00521E89" w:rsidP="000765CF">
            <w:pPr>
              <w:rPr>
                <w:rFonts w:cs="Times New Roman"/>
                <w:sz w:val="18"/>
                <w:szCs w:val="18"/>
              </w:rPr>
            </w:pPr>
            <w:r w:rsidRPr="00DF6C69">
              <w:rPr>
                <w:rFonts w:cs="Times New Roman"/>
                <w:sz w:val="18"/>
                <w:szCs w:val="18"/>
              </w:rPr>
              <w:t xml:space="preserve">2-hydroyglutarate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{"citationItems":[{"id":"ITEM-1","itemData":{"DOI":"10.1593/tlo.13619","ISSN":"19365233","PMID":"24466379","abstract":"Background: A few studies in the last several years have shown that metabolomics, the study of metabolites and small intermediate molecules, may help better understand the breast carcinogenesis. However, breast cancer is a heterogeneous disease with different subtypes. Additionally, there is a significant racial difference in terms of breast cancer incidence and mortality. Few, if any, metabolomics studies in breast cancer have considered race and tumor subtypes in the study design. Methods: We performed a global metabolomic profiling using mass spectrometry and samples from 60 breast cancer cases and 60 matched controls. Results: A total of 375 named metabolites were observed, with 117 metabolites whose levels were significantly different between African American and Caucasian American women (P &lt;.05 and q &lt; 0.10) and 78 that differed between breast cancer cases and healthy controls (P &lt;.05 and q &lt; 0.10). Most of those differentiated metabolites belong to amino acids, fatty acids, and lysolipids. In the pathway-based analysis, we found that plasma levels of many amino acids were statistically significantly lower in patients with breast cancer, especially those with triple-negative breast cancer, than healthy controls. However, plasma levels of many FAs related to β-oxidation were statistically significantly higher in patients with breast cancer than healthy controls, suggesting the possibility of altered FA β-oxidation in patients with breast cancer. Conclusions: Because of small sample size, the clinical usage of the metabolites from this study is unclear. Further validation of those significant metabolites is warranted, especially with the consideration of racial difference. © 2013 Neoplasia Press, Inc. All rights reserved.","author":[{"dropping-particle":"","family":"Shen","given":"Jie","non-dropping-particle":"","parse-names":false,"suffix":""},{"dropping-particle":"","family":"Yan","given":"Li","non-dropping-particle":"","parse-names":false,"suffix":""},{"dropping-particle":"","family":"Liu","given":"Song","non-dropping-particle":"","parse-names":false,"suffix":""},{"dropping-particle":"","family":"Ambrosone","given":"Christine B.","non-dropping-particle":"","parse-names":false,"suffix":""},{"dropping-particle":"","family":"Zhao","given":"Hua","non-dropping-particle":"","parse-names":false,"suffix":""}],"container-title":"Translational Oncology","id":"ITEM-1","issue":"6","issued":{"date-parts":[["2013"]]},"page":"757-765","publisher":"Neoplasia Press Inc","title":"Plasma metabolomic profiles in breast cancer patients and healthy controls: By race and tumor receptor subtypes","type":"article-journal","volume":"6"},"uris":["http://www.mendeley.com/documents/?uuid=f268e13a-e7c9-364c-b33f-3e395e6fc5e2"]}],"mendeley":{"formattedCitation":"[5]","plainTextFormattedCitation":"[5]","previouslyFormattedCitation":"[5]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w:t>
            </w:r>
            <w:r w:rsidRPr="00DF6C69">
              <w:rPr>
                <w:rFonts w:cs="Times New Roman"/>
                <w:sz w:val="18"/>
                <w:szCs w:val="18"/>
              </w:rPr>
              <w:fldChar w:fldCharType="end"/>
            </w:r>
            <w:r w:rsidRPr="00DF6C69">
              <w:rPr>
                <w:rFonts w:cs="Times New Roman"/>
                <w:sz w:val="18"/>
                <w:szCs w:val="18"/>
              </w:rPr>
              <w:t xml:space="preserve">, acetoacetate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{"citationItems":[{"id":"ITEM-1","itemData":{"DOI":"10.1093/annonc/mdq606","ISSN":"15698041","abstract":"Background: Prognostic tools in early breast cancer are inadequate. The evolving field of metabolomics may allow more accurate identification of patients with residual micrometastases. Patients and methods: Forty-four early breast cancer patients with pre- and postoperative serum samples had metabolomic assessment by nuclear magnetic resonance. Fifty-one metastatic patients served as control. Differential clustering was identified and used to calculate individual early patient 'metabolomic risk', calculated as inverse distance of each early patient from the metastatic cluster barycenter. Metabolomic risk was compared with Adjuvantionline 10-year mortality assessment. Results: Innate serum metabolomic differences exist between early and metastatic patients. Preoperative patients were identified with 75% sensitivity, 69% specificity and 72% predictive accuracy. Comparison with Adjuvantionline revealed discordance. Of 21 patients assessed as high risk by Adjuvantionline, 10 (48%) and 6 (29%) were at high risk by metabolomics in pre- and postoperative settings, respectively. Of 23 low-risk patients by Adjuvantionline, 11 (48%) preoperative and 20 (87%) postoperative patients were at low risk by metabolomics. Conclusions: This study identifies metabolomic discrimination between early and metastatic breast cancer. Micrometastatic disease may account for metabolomic misclassification of some early patients as metastatic. Metabolomics identifies more patients as low relapse risk compared with Adjuvantionline. Further exploration of this metabolomic fingerprint is warranted. © The Author 2011. Published by Oxford University Press on behalf of the European Society for Medical Oncology. All rights reserved.","author":[{"dropping-particle":"","family":"Oakman","given":"C.","non-dropping-particle":"","parse-names":false,"suffix":""},{"dropping-particle":"","family":"Tenori","given":"L.","non-dropping-particle":"","parse-names":false,"suffix":""},{"dropping-particle":"","family":"Claudino","given":"W. M.","non-dropping-particle":"","parse-names":false,"suffix":""},{"dropping-particle":"","family":"Cappadona","given":"S.","non-dropping-particle":"","parse-names":false,"suffix":""},{"dropping-particle":"","family":"Nepi","given":"S.","non-dropping-particle":"","parse-names":false,"suffix":""},{"dropping-particle":"","family":"Battaglia","given":"A.","non-dropping-particle":"","parse-names":false,"suffix":""},{"dropping-particle":"","family":"Bernini","given":"P.","non-dropping-particle":"","parse-names":false,"suffix":""},{"dropping-particle":"","family":"Zafarana","given":"E.","non-dropping-particle":"","parse-names":false,"suffix":""},{"dropping-particle":"","family":"Saccenti","given":"E.","non-dropping-particle":"","parse-names":false,"suffix":""},{"dropping-particle":"","family":"Fornier","given":"M.","non-dropping-particle":"","parse-names":false,"suffix":""},{"dropping-particle":"","family":"Morris","given":"P. G.","non-dropping-particle":"","parse-names":false,"suffix":""},{"dropping-particle":"","family":"Biganzoli","given":"L.","non-dropping-particle":"","parse-names":false,"suffix":""},{"dropping-particle":"","family":"Luchinat","given":"C.","non-dropping-particle":"","parse-names":false,"suffix":""},{"dropping-particle":"","family":"Bertini","given":"I.","non-dropping-particle":"","parse-names":false,"suffix":""},{"dropping-particle":"","family":"Leo","given":"A.","non-dropping-particle":"Di","parse-names":false,"suffix":""}],"container-title":"Annals of Oncology","id":"ITEM-1","issue":"6","issued":{"date-parts":[["2011"]]},"page":"1295-1301","publisher":"Oxford University Press","title":"Identification of a serum-detectable metabolomic fingerprint potentially correlated with the presence of micrometastatic disease in early breast cancer patients at varying risks of disease relapse by traditional prognostic methods","type":"article-journal","volume":"22"},"uris":["http://www.mendeley.com/documents/?uuid=032c28e8-d96f-33d9-8cf5-d98d9d27259f"]}],"mendeley":{"formattedCitation":"[6]","plainTextFormattedCitation":"[6]","previouslyFormattedCitation":"[6]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w:t>
            </w:r>
            <w:r w:rsidRPr="00DF6C69">
              <w:rPr>
                <w:rFonts w:cs="Times New Roman"/>
                <w:sz w:val="18"/>
                <w:szCs w:val="18"/>
              </w:rPr>
              <w:fldChar w:fldCharType="end"/>
            </w:r>
            <w:r w:rsidRPr="00DF6C69">
              <w:rPr>
                <w:rFonts w:cs="Times New Roman"/>
                <w:sz w:val="18"/>
                <w:szCs w:val="18"/>
              </w:rPr>
              <w:t xml:space="preserve">, beta-alanine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{"citationItems":[{"id":"ITEM-1","itemData":{"DOI":"10.1593/tlo.13619","ISSN":"19365233","PMID":"24466379","abstract":"Background: A few studies in the last several years have shown that metabolomics, the study of metabolites and small intermediate molecules, may help better understand the breast carcinogenesis. However, breast cancer is a heterogeneous disease with different subtypes. Additionally, there is a significant racial difference in terms of breast cancer incidence and mortality. Few, if any, metabolomics studies in breast cancer have considered race and tumor subtypes in the study design. Methods: We performed a global metabolomic profiling using mass spectrometry and samples from 60 breast cancer cases and 60 matched controls. Results: A total of 375 named metabolites were observed, with 117 metabolites whose levels were significantly different between African American and Caucasian American women (P &lt;.05 and q &lt; 0.10) and 78 that differed between breast cancer cases and healthy controls (P &lt;.05 and q &lt; 0.10). Most of those differentiated metabolites belong to amino acids, fatty acids, and lysolipids. In the pathway-based analysis, we found that plasma levels of many amino acids were statistically significantly lower in patients with breast cancer, especially those with triple-negative breast cancer, than healthy controls. However, plasma levels of many FAs related to β-oxidation were statistically significantly higher in patients with breast cancer than healthy controls, suggesting the possibility of altered FA β-oxidation in patients with breast cancer. Conclusions: Because of small sample size, the clinical usage of the metabolites from this study is unclear. Further validation of those significant metabolites is warranted, especially with the consideration of racial difference. © 2013 Neoplasia Press, Inc. All rights reserved.","author":[{"dropping-particle":"","family":"Shen","given":"Jie","non-dropping-particle":"","parse-names":false,"suffix":""},{"dropping-particle":"","family":"Yan","given":"Li","non-dropping-particle":"","parse-names":false,"suffix":""},{"dropping-particle":"","family":"Liu","given":"Song","non-dropping-particle":"","parse-names":false,"suffix":""},{"dropping-particle":"","family":"Ambrosone","given":"Christine B.","non-dropping-particle":"","parse-names":false,"suffix":""},{"dropping-particle":"","family":"Zhao","given":"Hua","non-dropping-particle":"","parse-names":false,"suffix":""}],"container-title":"Translational Oncology","id":"ITEM-1","issue":"6","issued":{"date-parts":[["2013"]]},"page":"757-765","publisher":"Neoplasia Press Inc","title":"Plasma metabolomic profiles in breast cancer patients and healthy controls: By race and tumor receptor subtypes","type":"article-journal","volume":"6"},"uris":["http://www.mendeley.com/documents/?uuid=f268e13a-e7c9-364c-b33f-3e395e6fc5e2"]}],"mendeley":{"formattedCitation":"[5]","plainTextFormattedCitation":"[5]","previouslyFormattedCitation":"[5]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w:t>
            </w:r>
            <w:r w:rsidRPr="00DF6C69">
              <w:rPr>
                <w:rFonts w:cs="Times New Roman"/>
                <w:sz w:val="18"/>
                <w:szCs w:val="18"/>
              </w:rPr>
              <w:fldChar w:fldCharType="end"/>
            </w:r>
            <w:r w:rsidRPr="00DF6C69">
              <w:rPr>
                <w:rFonts w:cs="Times New Roman"/>
                <w:sz w:val="18"/>
                <w:szCs w:val="18"/>
              </w:rPr>
              <w:t xml:space="preserve">, 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{"citationItems":[{"id":"ITEM-1","itemData":{"DOI":"10.1016/j.jchromb.2014.04.047","ISSN":"1873376X","abstract":"Lung cancer is currently the leading cause of cancer-related mortality worldwide. It is, therefore, important to enhance understanding and add a new auxiliary detection tool of lung cancer. In this work, serum metabolic characteristics of lung cancer were investigated with a non-targeted metabolomics method. The metabolic profiling of 23 patients with lung cancer and 23 healthy controls were analyzed using ultra high performance liquid chromatography/quadrupole time of flight mass spectrometry (UPLC/Q-TOF MS). Partial least squares discriminant analysis (PLS-DA) model of the metabolic data allowed the clear separation of the lung cancer patients from the healthy controls. In total, 27 differential metabolites were identified, which were mostly related to the perturbation of lipid metabolism, including choline, free fatty acids, lysophosphatidylcholines, etc. Choline and linoleic acid were defined as one combinational biomarker using binary logistic regression, which was supported by the validation with a smaller sample-set (9 patients and 9 healthy controls). These findings show that LC/MS-based serum metabolic profiling has potential application in complementary identification of lung cancer patients, and could be a powerful tool for cancer research. © 2014 Elsevier B.V.","author":[{"dropping-particle":"","family":"Li","given":"Yanjie","non-dropping-particle":"","parse-names":false,"suffix":""},{"dropping-particle":"","family":"Song","given":"Xue","non-dropping-particle":"","parse-names":false,"suffix":""},{"dropping-particle":"","family":"Zhao","given":"Xinjie","non-dropping-particle":"","parse-names":false,"suffix":""},{"dropping-particle":"","family":"Zou","given":"Lijuan","non-dropping-particle":"","parse-names":false,"suffix":""},{"dropping-particle":"","family":"Xu","given":"Guowang","non-dropping-particle":"","parse-names":false,"suffix":""}],"container-title":"Journal of Chromatography B: Analytical Technologies in the Biomedical and Life Sciences","id":"ITEM-1","issued":{"date-parts":[["2014","9","1"]]},"page":"147-153","publisher":"Elsevier","title":"Serum metabolic profiling study of lung cancer using ultra high performance liquid chromatography/quadrupole time-of-flight mass spectrometry","type":"article-journal","volume":"966"},"uris":["http://www.mendeley.com/documents/?uuid=4801cdae-a73a-3c6c-b218-e52716d8285a"]}],"mendeley":{"formattedCitation":"[7]","plainTextFormattedCitation":"[7]","previouslyFormattedCitation":"[7]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[7]</w:t>
            </w:r>
            <w:r w:rsidRPr="00DF6C69">
              <w:rPr>
                <w:rFonts w:cs="Times New Roman"/>
                <w:sz w:val="18"/>
                <w:szCs w:val="18"/>
              </w:rPr>
              <w:fldChar w:fldCharType="end"/>
            </w:r>
            <w:r w:rsidRPr="00DF6C69">
              <w:rPr>
                <w:rFonts w:cs="Times New Roman"/>
                <w:sz w:val="18"/>
                <w:szCs w:val="18"/>
              </w:rPr>
              <w:t xml:space="preserve">, fatty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{"citationItems":[{"id":"ITEM-1","itemData":{"DOI":"10.1016/j.clinbiochem.2011.10.011","ISSN":"00099120","abstract":"Objectives: The aim was to investigate the free fatty acid (FFA) metabolic profiles and to identify biomarkers that can be used to distinguish patients with breast cancer (BC) from benign (BE) patients or healthy controls. Design and methods: A total of 114 subjects were divided into the following three groups: BC patients, BE patients and controls. The FFA profiles in three groups were studied by gas chromatography-mass spectrometry coupled with multivariate statistical analysis. Results: Three saturated fatty acids (C14:0, C16:0 and C18:0) and three unsaturated fatty acids (C18:2, C18:3 and C20:5) in BC were significantly different than controls. Palmitic acid, stearic acid, linoleic acid and total FFA were identified as potential biomarkers distinguished BC from the other groups. Conclusion: The alterations of FFA could reflect underlying metabolic changes in BC patients, and this study has demonstrated that FFA biomarkers might be helpful for prevention and characterization of BC patients. © 2011 The Canadian Society of Clinical Chemists.","author":[{"dropping-particle":"","family":"Lv","given":"Wuwen","non-dropping-particle":"","parse-names":false,"suffix":""},{"dropping-particle":"","family":"Yang","given":"Tongshu","non-dropping-particle":"","parse-names":false,"suffix":""}],"container-title":"Clinical Biochemistry","id":"ITEM-1","issue":"1-2","issued":{"date-parts":[["2012","1"]]},"page":"127-133","title":"Identification of possible biomarkers for breast cancer from free fatty acid profiles determined by GC-MS and multivariate statistical analysis","type":"article-journal","volume":"45"},"uris":["http://www.mendeley.com/documents/?uuid=27b74e7c-6792-38da-93c3-9c9fbc82c743"]}],"mendeley":{"formattedCitation":"[8]","plainTextFormattedCitation":"[8]","previouslyFormattedCitation":"[8]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[8]</w:t>
            </w:r>
            <w:r w:rsidRPr="00DF6C69">
              <w:rPr>
                <w:rFonts w:cs="Times New Roman"/>
                <w:sz w:val="18"/>
                <w:szCs w:val="18"/>
              </w:rPr>
              <w:fldChar w:fldCharType="end"/>
            </w:r>
            <w:r w:rsidRPr="00DF6C69">
              <w:rPr>
                <w:rFonts w:cs="Times New Roman"/>
                <w:sz w:val="18"/>
                <w:szCs w:val="18"/>
              </w:rPr>
              <w:t xml:space="preserve">, glucose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{"citationItems":[{"id":"ITEM-1","itemData":{"DOI":"10.1016/j.molonc.2014.07.012","ISSN":"18780261","abstract":"Purpose: Metabolomics is a global study of metabolites in biological samples. In this study we explored whether serum metabolomic spectra could distinguish between early and metastatic breast cancer patients and predict disease relapse.Methods: Serum samples were analysed from women with metastatic (. n=95) and predominantly oestrogen receptor (ER) negative early stage (. n=80) breast cancer using high resolution nuclear magnetic resonance spectroscopy. Multivariate statistics and a Random Forest classifier were used to create a prognostic model for disease relapse in early patients.Results: In the early breast cancer training set (. n=40), metabolomics correctly distinguished between early and metastatic disease in 83.7% of cases. A prognostic risk model predicted relapse with 90% sensitivity (95% CI 74.9-94.8%), 67% specificity (95% CI 63.0-73.4%) and 73% predictive accuracy (95% CI 70.6-74.8%). These results were reproduced in an independent early breast cancer set (. n=40), with 82% sensitivity, 72% specificity and 75% predictive accuracy. Disease relapse was associated with significantly lower levels of histidine (. p=0.0003) and higher levels of glucose (. p=0.01), and lipids (. p=0.0003), compared with patients with no relapse.Conclusions: The performance of a serum metabolomic prognostic model for disease relapse in individuals with ER-negative early stage breast cancer is promising. A confirmation study is ongoing to better define the potential of metabolomics as a host and tumour-derived prognostic tool.","author":[{"dropping-particle":"","family":"Tenori","given":"Leonardo","non-dropping-particle":"","parse-names":false,"suffix":""},{"dropping-particle":"","family":"Oakman","given":"Catherine","non-dropping-particle":"","parse-names":false,"suffix":""},{"dropping-particle":"","family":"Morris","given":"Patrick G.","non-dropping-particle":"","parse-names":false,"suffix":""},{"dropping-particle":"","family":"Gralka","given":"Ewa","non-dropping-particle":"","parse-names":false,"suffix":""},{"dropping-particle":"","family":"Turner","given":"Natalie","non-dropping-particle":"","parse-names":false,"suffix":""},{"dropping-particle":"","family":"Cappadona","given":"Silvia","non-dropping-particle":"","parse-names":false,"suffix":""},{"dropping-particle":"","family":"Fornier","given":"Monica","non-dropping-particle":"","parse-names":false,"suffix":""},{"dropping-particle":"","family":"Hudis","given":"Cliff","non-dropping-particle":"","parse-names":false,"suffix":""},{"dropping-particle":"","family":"Norton","given":"Larry","non-dropping-particle":"","parse-names":false,"suffix":""},{"dropping-particle":"","family":"Luchinat","given":"Claudio","non-dropping-particle":"","parse-names":false,"suffix":""},{"dropping-particle":"","family":"Leo","given":"Angelo","non-dropping-particle":"Di","parse-names":false,"suffix":""}],"container-title":"Molecular Oncology","id":"ITEM-1","issue":"1","issued":{"date-parts":[["2015","1","1"]]},"page":"128-139","publisher":"John Wiley and Sons Ltd","title":"Serum metabolomic profiles evaluated after surgery may identify patients with oestrogen receptor negative early breast cancer at increased risk of disease recurrence. Results from a retrospective study","type":"article-journal","volume":"9"},"uris":["http://www.mendeley.com/documents/?uuid=0f4b5c9a-c498-3a1f-9387-3f66d9e05b1f"]}],"mendeley":{"formattedCitation":"[9]","plainTextFormattedCitation":"[9]","previouslyFormattedCitation":"[9]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[9]</w:t>
            </w:r>
            <w:r w:rsidRPr="00DF6C69">
              <w:rPr>
                <w:rFonts w:cs="Times New Roman"/>
                <w:sz w:val="18"/>
                <w:szCs w:val="18"/>
              </w:rPr>
              <w:fldChar w:fldCharType="end"/>
            </w:r>
            <w:r w:rsidRPr="00DF6C69">
              <w:rPr>
                <w:rFonts w:cs="Times New Roman"/>
                <w:sz w:val="18"/>
                <w:szCs w:val="18"/>
              </w:rPr>
              <w:t xml:space="preserve">, glutamate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{"citationItems":[{"id":"ITEM-1","itemData":{"DOI":"10.1093/annonc/mdq606","ISSN":"15698041","abstract":"Background: Prognostic tools in early breast cancer are inadequate. The evolving field of metabolomics may allow more accurate identification of patients with residual micrometastases. Patients and methods: Forty-four early breast cancer patients with pre- and postoperative serum samples had metabolomic assessment by nuclear magnetic resonance. Fifty-one metastatic patients served as control. Differential clustering was identified and used to calculate individual early patient 'metabolomic risk', calculated as inverse distance of each early patient from the metastatic cluster barycenter. Metabolomic risk was compared with Adjuvantionline 10-year mortality assessment. Results: Innate serum metabolomic differences exist between early and metastatic patients. Preoperative patients were identified with 75% sensitivity, 69% specificity and 72% predictive accuracy. Comparison with Adjuvantionline revealed discordance. Of 21 patients assessed as high risk by Adjuvantionline, 10 (48%) and 6 (29%) were at high risk by metabolomics in pre- and postoperative settings, respectively. Of 23 low-risk patients by Adjuvantionline, 11 (48%) preoperative and 20 (87%) postoperative patients were at low risk by metabolomics. Conclusions: This study identifies metabolomic discrimination between early and metastatic breast cancer. Micrometastatic disease may account for metabolomic misclassification of some early patients as metastatic. Metabolomics identifies more patients as low relapse risk compared with Adjuvantionline. Further exploration of this metabolomic fingerprint is warranted. © The Author 2011. Published by Oxford University Press on behalf of the European Society for Medical Oncology. All rights reserved.","author":[{"dropping-particle":"","family":"Oakman","given":"C.","non-dropping-particle":"","parse-names":false,"suffix":""},{"dropping-particle":"","family":"Tenori","given":"L.","non-dropping-particle":"","parse-names":false,"suffix":""},{"dropping-particle":"","family":"Claudino","given":"W. M.","non-dropping-particle":"","parse-names":false,"suffix":""},{"dropping-particle":"","family":"Cappadona","given":"S.","non-dropping-particle":"","parse-names":false,"suffix":""},{"dropping-particle":"","family":"Nepi","given":"S.","non-dropping-particle":"","parse-names":false,"suffix":""},{"dropping-particle":"","family":"Battaglia","given":"A.","non-dropping-particle":"","parse-names":false,"suffix":""},{"dropping-particle":"","family":"Bernini","given":"P.","non-dropping-particle":"","parse-names":false,"suffix":""},{"dropping-particle":"","family":"Zafarana","given":"E.","non-dropping-particle":"","parse-names":false,"suffix":""},{"dropping-particle":"","family":"Saccenti","given":"E.","non-dropping-particle":"","parse-names":false,"suffix":""},{"dropping-particle":"","family":"Fornier","given":"M.","non-dropping-particle":"","parse-names":false,"suffix":""},{"dropping-particle":"","family":"Morris","given":"P. G.","non-dropping-particle":"","parse-names":false,"suffix":""},{"dropping-particle":"","family":"Biganzoli","given":"L.","non-dropping-particle":"","parse-names":false,"suffix":""},{"dropping-particle":"","family":"Luchinat","given":"C.","non-dropping-particle":"","parse-names":false,"suffix":""},{"dropping-particle":"","family":"Bertini","given":"I.","non-dropping-particle":"","parse-names":false,"suffix":""},{"dropping-particle":"","family":"Leo","given":"A.","non-dropping-particle":"Di","parse-names":false,"suffix":""}],"container-title":"Annals of Oncology","id":"ITEM-1","issue":"6","issued":{"date-parts":[["2011"]]},"page":"1295-1301","publisher":"Oxford University Press","title":"Identification of a serum-detectable metabolomic fingerprint potentially correlated with the presence of micrometastatic disease in early breast cancer patients at varying risks of disease relapse by traditional prognostic methods","type":"article-journal","volume":"22"},"uris":["http://www.mendeley.com/documents/?uuid=032c28e8-d96f-33d9-8cf5-d98d9d27259f"]},{"id":"ITEM-2","itemData":{"DOI":"10.1593/tlo.13619","ISSN":"19365233","PMID":"24466379","abstract":"Background: A few studies in the last several years have shown that metabolomics, the study of metabolites and small intermediate molecules, may help better understand the breast carcinogenesis. However, breast cancer is a heterogeneous disease with different subtypes. Additionally, there is a significant racial difference in terms of breast cancer incidence and mortality. Few, if any, metabolomics studies in breast cancer have considered race and tumor subtypes in the study design. Methods: We performed a global metabolomic profiling using mass spectrometry and samples from 60 breast cancer cases and 60 matched controls. Results: A total of 375 named metabolites were observed, with 117 metabolites whose levels were significantly different between African American and Caucasian American women (P &lt;.05 and q &lt; 0.10) and 78 that differed between breast cancer cases and healthy controls (P &lt;.05 and q &lt; 0.10). Most of those differentiated metabolites belong to amino acids, fatty acids, and lysolipids. In the pathway-based analysis, we found that plasma levels of many amino acids were statistically significantly lower in patients with breast cancer, especially those with triple-negative breast cancer, than healthy controls. However, plasma levels of many FAs related to β-oxidation were statistically significantly higher in patients with breast cancer than healthy controls, suggesting the possibility of altered FA β-oxidation in patients with breast cancer. Conclusions: Because of small sample size, the clinical usage of the metabolites from this study is unclear. Further validation of those significant metabolites is warranted, especially with the consideration of racial difference. © 2013 Neoplasia Press, Inc. All rights reserved.","author":[{"dropping-particle":"","family":"Shen","given":"Jie","non-dropping-particle":"","parse-names":false,"suffix":""},{"dropping-particle":"","family":"Yan","given":"Li","non-dropping-particle":"","parse-names":false,"suffix":""},{"dropping-particle":"","family":"Liu","given":"Song","non-dropping-particle":"","parse-names":false,"suffix":""},{"dropping-particle":"","family":"Ambrosone","given":"Christine B.","non-dropping-particle":"","parse-names":false,"suffix":""},{"dropping-particle":"","family":"Zhao","given":"Hua","non-dropping-particle":"","parse-names":false,"suffix":""}],"container-title":"Translational Oncology","id":"ITEM-2","issue":"6","issued":{"date-parts":[["2013"]]},"page":"757-765","publisher":"Neoplasia Press Inc","title":"Plasma metabolomic profiles in breast cancer patients and healthy controls: By race and tumor receptor subtypes","type":"article-journal","volume":"6"},"uris":["http://www.mendeley.com/documents/?uuid=f268e13a-e7c9-364c-b33f-3e395e6fc5e2"]}],"mendeley":{"formattedCitation":"[5], [6]","plainTextFormattedCitation":"[5], [6]","previouslyFormattedCitation":"[5], [6]"},"properties":{"noteIndex":0},"schema":"https://github.com/citation-style-language/schema/raw/master/csl-citation.json"}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 [6]</w:t>
            </w:r>
            <w:r w:rsidRPr="00DF6C69">
              <w:rPr>
                <w:rFonts w:cs="Times New Roman"/>
                <w:sz w:val="18"/>
                <w:szCs w:val="18"/>
              </w:rPr>
              <w:fldChar w:fldCharType="end"/>
            </w:r>
            <w:r w:rsidRPr="00DF6C69">
              <w:rPr>
                <w:rFonts w:cs="Times New Roman"/>
                <w:sz w:val="18"/>
                <w:szCs w:val="18"/>
              </w:rPr>
              <w:t xml:space="preserve">, glutamine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{"citationItems":[{"id":"ITEM-1","itemData":{"DOI":"10.1593/tlo.13619","ISSN":"19365233","PMID":"24466379","abstract":"Background: A few studies in the last several years have shown that metabolomics, the study of metabolites and small intermediate molecules, may help better understand the breast carcinogenesis. However, breast cancer is a heterogeneous disease with different subtypes. Additionally, there is a significant racial difference in terms of breast cancer incidence and mortality. Few, if any, metabolomics studies in breast cancer have considered race and tumor subtypes in the study design. Methods: We performed a global metabolomic profiling using mass spectrometry and samples from 60 breast cancer cases and 60 matched controls. Results: A total of 375 named metabolites were observed, with 117 metabolites whose levels were significantly different between African American and Caucasian American women (P &lt;.05 and q &lt; 0.10) and 78 that differed between breast cancer cases and healthy controls (P &lt;.05 and q &lt; 0.10). Most of those differentiated metabolites belong to amino acids, fatty acids, and lysolipids. In the pathway-based analysis, we found that plasma levels of many amino acids were statistically significantly lower in patients with breast cancer, especially those with triple-negative breast cancer, than healthy controls. However, plasma levels of many FAs related to β-oxidation were statistically significantly higher in patients with breast cancer than healthy controls, suggesting the possibility of altered FA β-oxidation in patients with breast cancer. Conclusions: Because of small sample size, the clinical usage of the metabolites from this study is unclear. Further validation of those significant metabolites is warranted, especially with the consideration of racial difference. © 2013 Neoplasia Press, Inc. All rights reserved.","author":[{"dropping-particle":"","family":"Shen","given":"Jie","non-dropping-particle":"","parse-names":false,"suffix":""},{"dropping-particle":"","family":"Yan","given":"Li","non-dropping-particle":"","parse-names":false,"suffix":""},{"dropping-particle":"","family":"Liu","given":"Song","non-dropping-particle":"","parse-names":false,"suffix":""},{"dropping-particle":"","family":"Ambrosone","given":"Christine B.","non-dropping-particle":"","parse-names":false,"suffix":""},{"dropping-particle":"","family":"Zhao","given":"Hua","non-dropping-particle":"","parse-names":false,"suffix":""}],"container-title":"Translational Oncology","id":"ITEM-1","issue":"6","issued":{"date-parts":[["2013"]]},"page":"757-765","publisher":"Neoplasia Press Inc","title":"Plasma metabolomic profiles in breast cancer patients and healthy controls: By race and tumor receptor subtypes","type":"article-journal","volume":"6"},"uris":["http://www.mendeley.com/documents/?uuid=f268e13a-e7c9-364c-b33f-3e395e6fc5e2"]}],"mendeley":{"formattedCitation":"[5]","plainTextFormattedCitation":"[5]","previouslyFormattedCitation":"[5]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w:t>
            </w:r>
            <w:r w:rsidRPr="00DF6C69">
              <w:rPr>
                <w:rFonts w:cs="Times New Roman"/>
                <w:sz w:val="18"/>
                <w:szCs w:val="18"/>
              </w:rPr>
              <w:fldChar w:fldCharType="end"/>
            </w:r>
            <w:r w:rsidRPr="00DF6C69">
              <w:rPr>
                <w:rFonts w:cs="Times New Roman"/>
                <w:sz w:val="18"/>
                <w:szCs w:val="18"/>
              </w:rPr>
              <w:t xml:space="preserve">, glycerol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{"citationItems":[{"id":"ITEM-1","itemData":{"DOI":"10.1093/annonc/mdq606","ISSN":"15698041","abstract":"Background: Prognostic tools in early breast cancer are inadequate. The evolving field of metabolomics may allow more accurate identification of patients with residual micrometastases. Patients and methods: Forty-four early breast cancer patients with pre- and postoperative serum samples had metabolomic assessment by nuclear magnetic resonance. Fifty-one metastatic patients served as control. Differential clustering was identified and used to calculate individual early patient 'metabolomic risk', calculated as inverse distance of each early patient from the metastatic cluster barycenter. Metabolomic risk was compared with Adjuvantionline 10-year mortality assessment. Results: Innate serum metabolomic differences exist between early and metastatic patients. Preoperative patients were identified with 75% sensitivity, 69% specificity and 72% predictive accuracy. Comparison with Adjuvantionline revealed discordance. Of 21 patients assessed as high risk by Adjuvantionline, 10 (48%) and 6 (29%) were at high risk by metabolomics in pre- and postoperative settings, respectively. Of 23 low-risk patients by Adjuvantionline, 11 (48%) preoperative and 20 (87%) postoperative patients were at low risk by metabolomics. Conclusions: This study identifies metabolomic discrimination between early and metastatic breast cancer. Micrometastatic disease may account for metabolomic misclassification of some early patients as metastatic. Metabolomics identifies more patients as low relapse risk compared with Adjuvantionline. Further exploration of this metabolomic fingerprint is warranted. © The Author 2011. Published by Oxford University Press on behalf of the European Society for Medical Oncology. All rights reserved.","author":[{"dropping-particle":"","family":"Oakman","given":"C.","non-dropping-particle":"","parse-names":false,"suffix":""},{"dropping-particle":"","family":"Tenori","given":"L.","non-dropping-particle":"","parse-names":false,"suffix":""},{"dropping-particle":"","family":"Claudino","given":"W. M.","non-dropping-particle":"","parse-names":false,"suffix":""},{"dropping-particle":"","family":"Cappadona","given":"S.","non-dropping-particle":"","parse-names":false,"suffix":""},{"dropping-particle":"","family":"Nepi","given":"S.","non-dropping-particle":"","parse-names":false,"suffix":""},{"dropping-particle":"","family":"Battaglia","given":"A.","non-dropping-particle":"","parse-names":false,"suffix":""},{"dropping-particle":"","family":"Bernini","given":"P.","non-dropping-particle":"","parse-names":false,"suffix":""},{"dropping-particle":"","family":"Zafarana","given":"E.","non-dropping-particle":"","parse-names":false,"suffix":""},{"dropping-particle":"","family":"Saccenti","given":"E.","non-dropping-particle":"","parse-names":false,"suffix":""},{"dropping-particle":"","family":"Fornier","given":"M.","non-dropping-particle":"","parse-names":false,"suffix":""},{"dropping-particle":"","family":"Morris","given":"P. G.","non-dropping-particle":"","parse-names":false,"suffix":""},{"dropping-particle":"","family":"Biganzoli","given":"L.","non-dropping-particle":"","parse-names":false,"suffix":""},{"dropping-particle":"","family":"Luchinat","given":"C.","non-dropping-particle":"","parse-names":false,"suffix":""},{"dropping-particle":"","family":"Bertini","given":"I.","non-dropping-particle":"","parse-names":false,"suffix":""},{"dropping-particle":"","family":"Leo","given":"A.","non-dropping-particle":"Di","parse-names":false,"suffix":""}],"container-title":"Annals of Oncology","id":"ITEM-1","issue":"6","issued":{"date-parts":[["2011"]]},"page":"1295-1301","publisher":"Oxford University Press","title":"Identification of a serum-detectable metabolomic fingerprint potentially correlated with the presence of micrometastatic disease in early breast cancer patients at varying risks of disease relapse by traditional prognostic methods","type":"article-journal","volume":"22"},"uris":["http://www.mendeley.com/documents/?uuid=032c28e8-d96f-33d9-8cf5-d98d9d27259f"]}],"mendeley":{"formattedCitation":"[6]","plainTextFormattedCitation":"[6]","previouslyFormattedCitation":"[6]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glycerophosphocholine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{"citationItems":[{"id":"ITEM-1","itemData":{"DOI":"10.1016/j.jchromb.2014.04.047","ISSN":"1873376X","abstract":"Lung cancer is currently the leading cause of cancer-related mortality worldwide. It is, therefore, important to enhance understanding and add a new auxiliary detection tool of lung cancer. In this work, serum metabolic characteristics of lung cancer were investigated with a non-targeted metabolomics method. The metabolic profiling of 23 patients with lung cancer and 23 healthy controls were analyzed using ultra high performance liquid chromatography/quadrupole time of flight mass spectrometry (UPLC/Q-TOF MS). Partial least squares discriminant analysis (PLS-DA) model of the metabolic data allowed the clear separation of the lung cancer patients from the healthy controls. In total, 27 differential metabolites were identified, which were mostly related to the perturbation of lipid metabolism, including choline, free fatty acids, lysophosphatidylcholines, etc. Choline and linoleic acid were defined as one combinational biomarker using binary logistic regression, which was supported by the validation with a smaller sample-set (9 patients and 9 healthy controls). These findings show that LC/MS-based serum metabolic profiling has potential application in complementary identification of lung cancer patients, and could be a powerful tool for cancer research. © 2014 Elsevier B.V.","author":[{"dropping-particle":"","family":"Li","given":"Yanjie","non-dropping-particle":"","parse-names":false,"suffix":""},{"dropping-particle":"","family":"Song","given":"Xue","non-dropping-particle":"","parse-names":false,"suffix":""},{"dropping-particle":"","family":"Zhao","given":"Xinjie","non-dropping-particle":"","parse-names":false,"suffix":""},{"dropping-particle":"","family":"Zou","given":"Lijuan","non-dropping-particle":"","parse-names":false,"suffix":""},{"dropping-particle":"","family":"Xu","given":"Guowang","non-dropping-particle":"","parse-names":false,"suffix":""}],"container-title":"Journal of Chromatography B: Analytical Technologies in the Biomedical and Life Sciences","id":"ITEM-1","issued":{"date-parts":[["2014","9","1"]]},"page":"147-153","publisher":"Elsevier","title":"Serum metabolic profiling study of lung cancer using ultra high performance liquid chromatography/quadrupole time-of-flight mass spectrometry","type":"article-journal","volume":"966"},"uris":["http://www.mendeley.com/documents/?uuid=4801cdae-a73a-3c6c-b218-e52716d8285a"]}],"mendeley":{"formattedCitation":"[7]","plainTextFormattedCitation":"[7]","previouslyFormattedCitation":"[7]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[7]</w:t>
            </w:r>
            <w:r w:rsidRPr="00DF6C69">
              <w:rPr>
                <w:rFonts w:cs="Times New Roman"/>
                <w:sz w:val="18"/>
                <w:szCs w:val="18"/>
              </w:rPr>
              <w:fldChar w:fldCharType="end"/>
            </w:r>
            <w:r w:rsidRPr="00DF6C69">
              <w:rPr>
                <w:rFonts w:cs="Times New Roman"/>
                <w:sz w:val="18"/>
                <w:szCs w:val="18"/>
              </w:rPr>
              <w:t xml:space="preserve">, histidine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{"citationItems":[{"id":"ITEM-1","itemData":{"DOI":"10.1093/annonc/mdq606","ISSN":"15698041","abstract":"Background: Prognostic tools in early breast cancer are inadequate. The evolving field of metabolomics may allow more accurate identification of patients with residual micrometastases. Patients and methods: Forty-four early breast cancer patients with pre- and postoperative serum samples had metabolomic assessment by nuclear magnetic resonance. Fifty-one metastatic patients served as control. Differential clustering was identified and used to calculate individual early patient 'metabolomic risk', calculated as inverse distance of each early patient from the metastatic cluster barycenter. Metabolomic risk was compared with Adjuvantionline 10-year mortality assessment. Results: Innate serum metabolomic differences exist between early and metastatic patients. Preoperative patients were identified with 75% sensitivity, 69% specificity and 72% predictive accuracy. Comparison with Adjuvantionline revealed discordance. Of 21 patients assessed as high risk by Adjuvantionline, 10 (48%) and 6 (29%) were at high risk by metabolomics in pre- and postoperative settings, respectively. Of 23 low-risk patients by Adjuvantionline, 11 (48%) preoperative and 20 (87%) postoperative patients were at low risk by metabolomics. Conclusions: This study identifies metabolomic discrimination between early and metastatic breast cancer. Micrometastatic disease may account for metabolomic misclassification of some early patients as metastatic. Metabolomics identifies more patients as low relapse risk compared with Adjuvantionline. Further exploration of this metabolomic fingerprint is warranted. © The Author 2011. Published by Oxford University Press on behalf of the European Society for Medical Oncology. All rights reserved.","author":[{"dropping-particle":"","family":"Oakman","given":"C.","non-dropping-particle":"","parse-names":false,"suffix":""},{"dropping-particle":"","family":"Tenori","given":"L.","non-dropping-particle":"","parse-names":false,"suffix":""},{"dropping-particle":"","family":"Claudino","given":"W. M.","non-dropping-particle":"","parse-names":false,"suffix":""},{"dropping-particle":"","family":"Cappadona","given":"S.","non-dropping-particle":"","parse-names":false,"suffix":""},{"dropping-particle":"","family":"Nepi","given":"S.","non-dropping-particle":"","parse-names":false,"suffix":""},{"dropping-particle":"","family":"Battaglia","given":"A.","non-dropping-particle":"","parse-names":false,"suffix":""},{"dropping-particle":"","family":"Bernini","given":"P.","non-dropping-particle":"","parse-names":false,"suffix":""},{"dropping-particle":"","family":"Zafarana","given":"E.","non-dropping-particle":"","parse-names":false,"suffix":""},{"dropping-particle":"","family":"Saccenti","given":"E.","non-dropping-particle":"","parse-names":false,"suffix":""},{"dropping-particle":"","family":"Fornier","given":"M.","non-dropping-particle":"","parse-names":false,"suffix":""},{"dropping-particle":"","family":"Morris","given":"P. G.","non-dropping-particle":"","parse-names":false,"suffix":""},{"dropping-particle":"","family":"Biganzoli","given":"L.","non-dropping-particle":"","parse-names":false,"suffix":""},{"dropping-particle":"","family":"Luchinat","given":"C.","non-dropping-particle":"","parse-names":false,"suffix":""},{"dropping-particle":"","family":"Bertini","given":"I.","non-dropping-particle":"","parse-names":false,"suffix":""},{"dropping-particle":"","family":"Leo","given":"A.","non-dropping-particle":"Di","parse-names":false,"suffix":""}],"container-title":"Annals of Oncology","id":"ITEM-1","issue":"6","issued":{"date-parts":[["2011"]]},"page":"1295-1301","publisher":"Oxford University Press","title":"Identification of a serum-detectable metabolomic fingerprint potentially correlated with the presence of micrometastatic disease in early breast cancer patients at varying risks of disease relapse by traditional prognostic methods","type":"article-journal","volume":"22"},"uris":["http://www.mendeley.com/documents/?uuid=032c28e8-d96f-33d9-8cf5-d98d9d27259f"]},{"id":"ITEM-2","itemData":{"DOI":"10.1016/j.molonc.2014.07.012","ISSN":"18780261","abstract":"Purpose: Metabolomics is a global study of metabolites in biological samples. In this study we explored whether serum metabolomic spectra could distinguish between early and metastatic breast cancer patients and predict disease relapse.Methods: Serum samples were analysed from women with metastatic (. n=95) and predominantly oestrogen receptor (ER) negative early stage (. n=80) breast cancer using high resolution nuclear magnetic resonance spectroscopy. Multivariate statistics and a Random Forest classifier were used to create a prognostic model for disease relapse in early patients.Results: In the early breast cancer training set (. n=40), metabolomics correctly distinguished between early and metastatic disease in 83.7% of cases. A prognostic risk model predicted relapse with 90% sensitivity (95% CI 74.9-94.8%), 67% specificity (95% CI 63.0-73.4%) and 73% predictive accuracy (95% CI 70.6-74.8%). These results were reproduced in an independent early breast cancer set (. n=40), with 82% sensitivity, 72% specificity and 75% predictive accuracy. Disease relapse was associated with significantly lower levels of histidine (. p=0.0003) and higher levels of glucose (. p=0.01), and lipids (. p=0.0003), compared with patients with no relapse.Conclusions: The performance of a serum metabolomic prognostic model for disease relapse in individuals with ER-negative early stage breast cancer is promising. A confirmation study is ongoing to better define the potential of metabolomics as a host and tumour-derived prognostic tool.","author":[{"dropping-particle":"","family":"Tenori","given":"Leonardo","non-dropping-particle":"","parse-names":false,"suffix":""},{"dropping-particle":"","family":"Oakman","given":"Catherine","non-dropping-particle":"","parse-names":false,"suffix":""},{"dropping-particle":"","family":"Morris","given":"Patrick G.","non-dropping-particle":"","parse-names":false,"suffix":""},{"dropping-particle":"","family":"Gralka","given":"Ewa","non-dropping-particle":"","parse-names":false,"suffix":""},{"dropping-particle":"","family":"Turner","given":"Natalie","non-dropping-particle":"","parse-names":false,"suffix":""},{"dropping-particle":"","family":"Cappadona","given":"Silvia","non-dropping-particle":"","parse-names":false,"suffix":""},{"dropping-particle":"","family":"Fornier","given":"Monica","non-dropping-particle":"","parse-names":false,"suffix":""},{"dropping-particle":"","family":"Hudis","given":"Cliff","non-dropping-particle":"","parse-names":false,"suffix":""},{"dropping-particle":"","family":"Norton","given":"Larry","non-dropping-particle":"","parse-names":false,"suffix":""},{"dropping-particle":"","family":"Luchinat","given":"Claudio","non-dropping-particle":"","parse-names":false,"suffix":""},{"dropping-particle":"","family":"Leo","given":"Angelo","non-dropping-particle":"Di","parse-names":false,"suffix":""}],"container-title":"Molecular Oncology","id":"ITEM-2","issue":"1","issued":{"date-parts":[["2015","1","1"]]},"page":"128-139","publisher":"John Wiley and Sons Ltd","title":"Serum metabolomic profiles evaluated after surgery may identify patients with oestrogen receptor negative early breast cancer at increased risk of disease recurrence. Results from a retrospective study","type":"article-journal","volume":"9"},"uris":["http://www.mendeley.com/documents/?uuid=0f4b5c9a-c498-3a1f-9387-3f66d9e05b1f"]}],"mendeley":{"formattedCitation":"[6], [9]","plainTextFormattedCitation":"[6], [9]","previouslyFormattedCitation":"[6], [9]"},"properties":{"noteIndex":0},"schema":"https://github.com/citation-style-language/schema/raw/master/csl-citation.json"}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 [9]</w:t>
            </w:r>
            <w:r w:rsidRPr="00DF6C69">
              <w:rPr>
                <w:rFonts w:cs="Times New Roman"/>
                <w:sz w:val="18"/>
                <w:szCs w:val="18"/>
              </w:rPr>
              <w:fldChar w:fldCharType="end"/>
            </w:r>
            <w:r w:rsidRPr="00DF6C69">
              <w:rPr>
                <w:rFonts w:cs="Times New Roman"/>
                <w:sz w:val="18"/>
                <w:szCs w:val="18"/>
              </w:rPr>
              <w:t xml:space="preserve">, linoleic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{"citationItems":[{"id":"ITEM-1","itemData":{"DOI":"10.1016/j.clinbiochem.2011.10.011","ISSN":"00099120","abstract":"Objectives: The aim was to investigate the free fatty acid (FFA) metabolic profiles and to identify biomarkers that can be used to distinguish patients with breast cancer (BC) from benign (BE) patients or healthy controls. Design and methods: A total of 114 subjects were divided into the following three groups: BC patients, BE patients and controls. The FFA profiles in three groups were studied by gas chromatography-mass spectrometry coupled with multivariate statistical analysis. Results: Three saturated fatty acids (C14:0, C16:0 and C18:0) and three unsaturated fatty acids (C18:2, C18:3 and C20:5) in BC were significantly different than controls. Palmitic acid, stearic acid, linoleic acid and total FFA were identified as potential biomarkers distinguished BC from the other groups. Conclusion: The alterations of FFA could reflect underlying metabolic changes in BC patients, and this study has demonstrated that FFA biomarkers might be helpful for prevention and characterization of BC patients. © 2011 The Canadian Society of Clinical Chemists.","author":[{"dropping-particle":"","family":"Lv","given":"Wuwen","non-dropping-particle":"","parse-names":false,"suffix":""},{"dropping-particle":"","family":"Yang","given":"Tongshu","non-dropping-particle":"","parse-names":false,"suffix":""}],"container-title":"Clinical Biochemistry","id":"ITEM-1","issue":"1-2","issued":{"date-parts":[["2012","1"]]},"page":"127-133","title":"Identification of possible biomarkers for breast cancer from free fatty acid profiles determined by GC-MS and multivariate statistical analysis","type":"article-journal","volume":"45"},"uris":["http://www.mendeley.com/documents/?uuid=27b74e7c-6792-38da-93c3-9c9fbc82c743"]}],"mendeley":{"formattedCitation":"[8]","plainTextFormattedCitation":"[8]","previouslyFormattedCitation":"[8]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[8]</w:t>
            </w:r>
            <w:r w:rsidRPr="00DF6C69">
              <w:rPr>
                <w:rFonts w:cs="Times New Roman"/>
                <w:sz w:val="18"/>
                <w:szCs w:val="18"/>
              </w:rPr>
              <w:fldChar w:fldCharType="end"/>
            </w:r>
            <w:r w:rsidRPr="00DF6C69">
              <w:rPr>
                <w:rFonts w:cs="Times New Roman"/>
                <w:sz w:val="18"/>
                <w:szCs w:val="18"/>
              </w:rPr>
              <w:t xml:space="preserve">, lipids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{"citationItems":[{"id":"ITEM-1","itemData":{"DOI":"10.1016/j.molonc.2014.07.012","ISSN":"18780261","abstract":"Purpose: Metabolomics is a global study of metabolites in biological samples. In this study we explored whether serum metabolomic spectra could distinguish between early and metastatic breast cancer patients and predict disease relapse.Methods: Serum samples were analysed from women with metastatic (. n=95) and predominantly oestrogen receptor (ER) negative early stage (. n=80) breast cancer using high resolution nuclear magnetic resonance spectroscopy. Multivariate statistics and a Random Forest classifier were used to create a prognostic model for disease relapse in early patients.Results: In the early breast cancer training set (. n=40), metabolomics correctly distinguished between early and metastatic disease in 83.7% of cases. A prognostic risk model predicted relapse with 90% sensitivity (95% CI 74.9-94.8%), 67% specificity (95% CI 63.0-73.4%) and 73% predictive accuracy (95% CI 70.6-74.8%). These results were reproduced in an independent early breast cancer set (. n=40), with 82% sensitivity, 72% specificity and 75% predictive accuracy. Disease relapse was associated with significantly lower levels of histidine (. p=0.0003) and higher levels of glucose (. p=0.01), and lipids (. p=0.0003), compared with patients with no relapse.Conclusions: The performance of a serum metabolomic prognostic model for disease relapse in individuals with ER-negative early stage breast cancer is promising. A confirmation study is ongoing to better define the potential of metabolomics as a host and tumour-derived prognostic tool.","author":[{"dropping-particle":"","family":"Tenori","given":"Leonardo","non-dropping-particle":"","parse-names":false,"suffix":""},{"dropping-particle":"","family":"Oakman","given":"Catherine","non-dropping-particle":"","parse-names":false,"suffix":""},{"dropping-particle":"","family":"Morris","given":"Patrick G.","non-dropping-particle":"","parse-names":false,"suffix":""},{"dropping-particle":"","family":"Gralka","given":"Ewa","non-dropping-particle":"","parse-names":false,"suffix":""},{"dropping-particle":"","family":"Turner","given":"Natalie","non-dropping-particle":"","parse-names":false,"suffix":""},{"dropping-particle":"","family":"Cappadona","given":"Silvia","non-dropping-particle":"","parse-names":false,"suffix":""},{"dropping-particle":"","family":"Fornier","given":"Monica","non-dropping-particle":"","parse-names":false,"suffix":""},{"dropping-particle":"","family":"Hudis","given":"Cliff","non-dropping-particle":"","parse-names":false,"suffix":""},{"dropping-particle":"","family":"Norton","given":"Larry","non-dropping-particle":"","parse-names":false,"suffix":""},{"dropping-particle":"","family":"Luchinat","given":"Claudio","non-dropping-particle":"","parse-names":false,"suffix":""},{"dropping-particle":"","family":"Leo","given":"Angelo","non-dropping-particle":"Di","parse-names":false,"suffix":""}],"container-title":"Molecular Oncology","id":"ITEM-1","issue":"1","issued":{"date-parts":[["2015","1","1"]]},"page":"128-139","publisher":"John Wiley and Sons Ltd","title":"Serum metabolomic profiles evaluated after surgery may identify patients with oestrogen receptor negative early breast cancer at increased risk of disease recurrence. Results from a retrospective study","type":"article-journal","volume":"9"},"uris":["http://www.mendeley.com/documents/?uuid=0f4b5c9a-c498-3a1f-9387-3f66d9e05b1f"]}],"mendeley":{"formattedCitation":"[9]","plainTextFormattedCitation":"[9]","previouslyFormattedCitation":"[9]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[9]</w:t>
            </w:r>
            <w:r w:rsidRPr="00DF6C69">
              <w:rPr>
                <w:rFonts w:cs="Times New Roman"/>
                <w:sz w:val="18"/>
                <w:szCs w:val="18"/>
              </w:rPr>
              <w:fldChar w:fldCharType="end"/>
            </w:r>
            <w:r w:rsidRPr="00DF6C69">
              <w:rPr>
                <w:rFonts w:cs="Times New Roman"/>
                <w:sz w:val="18"/>
                <w:szCs w:val="18"/>
              </w:rPr>
              <w:t xml:space="preserve">, mannose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{"citationItems":[{"id":"ITEM-1","itemData":{"DOI":"10.1093/annonc/mdq606","ISSN":"15698041","abstract":"Background: Prognostic tools in early breast cancer are inadequate. The evolving field of metabolomics may allow more accurate identification of patients with residual micrometastases. Patients and methods: Forty-four early breast cancer patients with pre- and postoperative serum samples had metabolomic assessment by nuclear magnetic resonance. Fifty-one metastatic patients served as control. Differential clustering was identified and used to calculate individual early patient 'metabolomic risk', calculated as inverse distance of each early patient from the metastatic cluster barycenter. Metabolomic risk was compared with Adjuvantionline 10-year mortality assessment. Results: Innate serum metabolomic differences exist between early and metastatic patients. Preoperative patients were identified with 75% sensitivity, 69% specificity and 72% predictive accuracy. Comparison with Adjuvantionline revealed discordance. Of 21 patients assessed as high risk by Adjuvantionline, 10 (48%) and 6 (29%) were at high risk by metabolomics in pre- and postoperative settings, respectively. Of 23 low-risk patients by Adjuvantionline, 11 (48%) preoperative and 20 (87%) postoperative patients were at low risk by metabolomics. Conclusions: This study identifies metabolomic discrimination between early and metastatic breast cancer. Micrometastatic disease may account for metabolomic misclassification of some early patients as metastatic. Metabolomics identifies more patients as low relapse risk compared with Adjuvantionline. Further exploration of this metabolomic fingerprint is warranted. © The Author 2011. Published by Oxford University Press on behalf of the European Society for Medical Oncology. All rights reserved.","author":[{"dropping-particle":"","family":"Oakman","given":"C.","non-dropping-particle":"","parse-names":false,"suffix":""},{"dropping-particle":"","family":"Tenori","given":"L.","non-dropping-particle":"","parse-names":false,"suffix":""},{"dropping-particle":"","family":"Claudino","given":"W. M.","non-dropping-particle":"","parse-names":false,"suffix":""},{"dropping-particle":"","family":"Cappadona","given":"S.","non-dropping-particle":"","parse-names":false,"suffix":""},{"dropping-particle":"","family":"Nepi","given":"S.","non-dropping-particle":"","parse-names":false,"suffix":""},{"dropping-particle":"","family":"Battaglia","given":"A.","non-dropping-particle":"","parse-names":false,"suffix":""},{"dropping-particle":"","family":"Bernini","given":"P.","non-dropping-particle":"","parse-names":false,"suffix":""},{"dropping-particle":"","family":"Zafarana","given":"E.","non-dropping-particle":"","parse-names":false,"suffix":""},{"dropping-particle":"","family":"Saccenti","given":"E.","non-dropping-particle":"","parse-names":false,"suffix":""},{"dropping-particle":"","family":"Fornier","given":"M.","non-dropping-particle":"","parse-names":false,"suffix":""},{"dropping-particle":"","family":"Morris","given":"P. G.","non-dropping-particle":"","parse-names":false,"suffix":""},{"dropping-particle":"","family":"Biganzoli","given":"L.","non-dropping-particle":"","parse-names":false,"suffix":""},{"dropping-particle":"","family":"Luchinat","given":"C.","non-dropping-particle":"","parse-names":false,"suffix":""},{"dropping-particle":"","family":"Bertini","given":"I.","non-dropping-particle":"","parse-names":false,"suffix":""},{"dropping-particle":"","family":"Leo","given":"A.","non-dropping-particle":"Di","parse-names":false,"suffix":""}],"container-title":"Annals of Oncology","id":"ITEM-1","issue":"6","issued":{"date-parts":[["2011"]]},"page":"1295-1301","publisher":"Oxford University Press","title":"Identification of a serum-detectable metabolomic fingerprint potentially correlated with the presence of micrometastatic disease in early breast cancer patients at varying risks of disease relapse by traditional prognostic methods","type":"article-journal","volume":"22"},"uris":["http://www.mendeley.com/documents/?uuid=032c28e8-d96f-33d9-8cf5-d98d9d27259f"]}],"mendeley":{"formattedCitation":"[6]","plainTextFormattedCitation":"[6]","previouslyFormattedCitation":"[6]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w:t>
            </w:r>
            <w:r w:rsidRPr="00DF6C69">
              <w:rPr>
                <w:rFonts w:cs="Times New Roman"/>
                <w:sz w:val="18"/>
                <w:szCs w:val="18"/>
              </w:rPr>
              <w:fldChar w:fldCharType="end"/>
            </w:r>
            <w:r w:rsidRPr="00DF6C69">
              <w:rPr>
                <w:rFonts w:cs="Times New Roman"/>
                <w:sz w:val="18"/>
                <w:szCs w:val="18"/>
              </w:rPr>
              <w:t xml:space="preserve">, n-acetyl glycoprotein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{"citationItems":[{"id":"ITEM-1","itemData":{"DOI":"10.1093/annonc/mdq606","ISSN":"15698041","abstract":"Background: Prognostic tools in early breast cancer are inadequate. The evolving field of metabolomics may allow more accurate identification of patients with residual micrometastases. Patients and methods: Forty-four early breast cancer patients with pre- and postoperative serum samples had metabolomic assessment by nuclear magnetic resonance. Fifty-one metastatic patients served as control. Differential clustering was identified and used to calculate individual early patient 'metabolomic risk', calculated as inverse distance of each early patient from the metastatic cluster barycenter. Metabolomic risk was compared with Adjuvantionline 10-year mortality assessment. Results: Innate serum metabolomic differences exist between early and metastatic patients. Preoperative patients were identified with 75% sensitivity, 69% specificity and 72% predictive accuracy. Comparison with Adjuvantionline revealed discordance. Of 21 patients assessed as high risk by Adjuvantionline, 10 (48%) and 6 (29%) were at high risk by metabolomics in pre- and postoperative settings, respectively. Of 23 low-risk patients by Adjuvantionline, 11 (48%) preoperative and 20 (87%) postoperative patients were at low risk by metabolomics. Conclusions: This study identifies metabolomic discrimination between early and metastatic breast cancer. Micrometastatic disease may account for metabolomic misclassification of some early patients as metastatic. Metabolomics identifies more patients as low relapse risk compared with Adjuvantionline. Further exploration of this metabolomic fingerprint is warranted. © The Author 2011. Published by Oxford University Press on behalf of the European Society for Medical Oncology. All rights reserved.","author":[{"dropping-particle":"","family":"Oakman","given":"C.","non-dropping-particle":"","parse-names":false,"suffix":""},{"dropping-particle":"","family":"Tenori","given":"L.","non-dropping-particle":"","parse-names":false,"suffix":""},{"dropping-particle":"","family":"Claudino","given":"W. M.","non-dropping-particle":"","parse-names":false,"suffix":""},{"dropping-particle":"","family":"Cappadona","given":"S.","non-dropping-particle":"","parse-names":false,"suffix":""},{"dropping-particle":"","family":"Nepi","given":"S.","non-dropping-particle":"","parse-names":false,"suffix":""},{"dropping-particle":"","family":"Battaglia","given":"A.","non-dropping-particle":"","parse-names":false,"suffix":""},{"dropping-particle":"","family":"Bernini","given":"P.","non-dropping-particle":"","parse-names":false,"suffix":""},{"dropping-particle":"","family":"Zafarana","given":"E.","non-dropping-particle":"","parse-names":false,"suffix":""},{"dropping-particle":"","family":"Saccenti","given":"E.","non-dropping-particle":"","parse-names":false,"suffix":""},{"dropping-particle":"","family":"Fornier","given":"M.","non-dropping-particle":"","parse-names":false,"suffix":""},{"dropping-particle":"","family":"Morris","given":"P. G.","non-dropping-particle":"","parse-names":false,"suffix":""},{"dropping-particle":"","family":"Biganzoli","given":"L.","non-dropping-particle":"","parse-names":false,"suffix":""},{"dropping-particle":"","family":"Luchinat","given":"C.","non-dropping-particle":"","parse-names":false,"suffix":""},{"dropping-particle":"","family":"Bertini","given":"I.","non-dropping-particle":"","parse-names":false,"suffix":""},{"dropping-particle":"","family":"Leo","given":"A.","non-dropping-particle":"Di","parse-names":false,"suffix":""}],"container-title":"Annals of Oncology","id":"ITEM-1","issue":"6","issued":{"date-parts":[["2011"]]},"page":"1295-1301","publisher":"Oxford University Press","title":"Identification of a serum-detectable metabolomic fingerprint potentially correlated with the presence of micrometastatic disease in early breast cancer patients at varying risks of disease relapse by traditional prognostic methods","type":"article-journal","volume":"22"},"uris":["http://www.mendeley.com/documents/?uuid=032c28e8-d96f-33d9-8cf5-d98d9d27259f"]}],"mendeley":{"formattedCitation":"[6]","plainTextFormattedCitation":"[6]","previouslyFormattedCitation":"[6]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w:t>
            </w:r>
            <w:r w:rsidRPr="00DF6C69">
              <w:rPr>
                <w:rFonts w:cs="Times New Roman"/>
                <w:sz w:val="18"/>
                <w:szCs w:val="18"/>
              </w:rPr>
              <w:fldChar w:fldCharType="end"/>
            </w:r>
            <w:r w:rsidRPr="00DF6C69">
              <w:rPr>
                <w:rFonts w:cs="Times New Roman"/>
                <w:sz w:val="18"/>
                <w:szCs w:val="18"/>
              </w:rPr>
              <w:t xml:space="preserve">, palmitic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{"citationItems":[{"id":"ITEM-1","itemData":{"DOI":"10.1016/j.clinbiochem.2011.10.011","ISSN":"00099120","abstract":"Objectives: The aim was to investigate the free fatty acid (FFA) metabolic profiles and to identify biomarkers that can be used to distinguish patients with breast cancer (BC) from benign (BE) patients or healthy controls. Design and methods: A total of 114 subjects were divided into the following three groups: BC patients, BE patients and controls. The FFA profiles in three groups were studied by gas chromatography-mass spectrometry coupled with multivariate statistical analysis. Results: Three saturated fatty acids (C14:0, C16:0 and C18:0) and three unsaturated fatty acids (C18:2, C18:3 and C20:5) in BC were significantly different than controls. Palmitic acid, stearic acid, linoleic acid and total FFA were identified as potential biomarkers distinguished BC from the other groups. Conclusion: The alterations of FFA could reflect underlying metabolic changes in BC patients, and this study has demonstrated that FFA biomarkers might be helpful for prevention and characterization of BC patients. © 2011 The Canadian Society of Clinical Chemists.","author":[{"dropping-particle":"","family":"Lv","given":"Wuwen","non-dropping-particle":"","parse-names":false,"suffix":""},{"dropping-particle":"","family":"Yang","given":"Tongshu","non-dropping-particle":"","parse-names":false,"suffix":""}],"container-title":"Clinical Biochemistry","id":"ITEM-1","issue":"1-2","issued":{"date-parts":[["2012","1"]]},"page":"127-133","title":"Identification of possible biomarkers for breast cancer from free fatty acid profiles determined by GC-MS and multivariate statistical analysis","type":"article-journal","volume":"45"},"uris":["http://www.mendeley.com/documents/?uuid=27b74e7c-6792-38da-93c3-9c9fbc82c743"]}],"mendeley":{"formattedCitation":"[8]","plainTextFormattedCitation":"[8]","previouslyFormattedCitation":"[8]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[8]</w:t>
            </w:r>
            <w:r w:rsidRPr="00DF6C69">
              <w:rPr>
                <w:rFonts w:cs="Times New Roman"/>
                <w:sz w:val="18"/>
                <w:szCs w:val="18"/>
              </w:rPr>
              <w:fldChar w:fldCharType="end"/>
            </w:r>
            <w:r w:rsidRPr="00DF6C69">
              <w:rPr>
                <w:rFonts w:cs="Times New Roman"/>
                <w:sz w:val="18"/>
                <w:szCs w:val="18"/>
              </w:rPr>
              <w:t xml:space="preserve">, phenylalanine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{"citationItems":[{"id":"ITEM-1","itemData":{"DOI":"10.1093/annonc/mdq606","ISSN":"15698041","abstract":"Background: Prognostic tools in early breast cancer are inadequate. The evolving field of metabolomics may allow more accurate identification of patients with residual micrometastases. Patients and methods: Forty-four early breast cancer patients with pre- and postoperative serum samples had metabolomic assessment by nuclear magnetic resonance. Fifty-one metastatic patients served as control. Differential clustering was identified and used to calculate individual early patient 'metabolomic risk', calculated as inverse distance of each early patient from the metastatic cluster barycenter. Metabolomic risk was compared with Adjuvantionline 10-year mortality assessment. Results: Innate serum metabolomic differences exist between early and metastatic patients. Preoperative patients were identified with 75% sensitivity, 69% specificity and 72% predictive accuracy. Comparison with Adjuvantionline revealed discordance. Of 21 patients assessed as high risk by Adjuvantionline, 10 (48%) and 6 (29%) were at high risk by metabolomics in pre- and postoperative settings, respectively. Of 23 low-risk patients by Adjuvantionline, 11 (48%) preoperative and 20 (87%) postoperative patients were at low risk by metabolomics. Conclusions: This study identifies metabolomic discrimination between early and metastatic breast cancer. Micrometastatic disease may account for metabolomic misclassification of some early patients as metastatic. Metabolomics identifies more patients as low relapse risk compared with Adjuvantionline. Further exploration of this metabolomic fingerprint is warranted. © The Author 2011. Published by Oxford University Press on behalf of the European Society for Medical Oncology. All rights reserved.","author":[{"dropping-particle":"","family":"Oakman","given":"C.","non-dropping-particle":"","parse-names":false,"suffix":""},{"dropping-particle":"","family":"Tenori","given":"L.","non-dropping-particle":"","parse-names":false,"suffix":""},{"dropping-particle":"","family":"Claudino","given":"W. M.","non-dropping-particle":"","parse-names":false,"suffix":""},{"dropping-particle":"","family":"Cappadona","given":"S.","non-dropping-particle":"","parse-names":false,"suffix":""},{"dropping-particle":"","family":"Nepi","given":"S.","non-dropping-particle":"","parse-names":false,"suffix":""},{"dropping-particle":"","family":"Battaglia","given":"A.","non-dropping-particle":"","parse-names":false,"suffix":""},{"dropping-particle":"","family":"Bernini","given":"P.","non-dropping-particle":"","parse-names":false,"suffix":""},{"dropping-particle":"","family":"Zafarana","given":"E.","non-dropping-particle":"","parse-names":false,"suffix":""},{"dropping-particle":"","family":"Saccenti","given":"E.","non-dropping-particle":"","parse-names":false,"suffix":""},{"dropping-particle":"","family":"Fornier","given":"M.","non-dropping-particle":"","parse-names":false,"suffix":""},{"dropping-particle":"","family":"Morris","given":"P. G.","non-dropping-particle":"","parse-names":false,"suffix":""},{"dropping-particle":"","family":"Biganzoli","given":"L.","non-dropping-particle":"","parse-names":false,"suffix":""},{"dropping-particle":"","family":"Luchinat","given":"C.","non-dropping-particle":"","parse-names":false,"suffix":""},{"dropping-particle":"","family":"Bertini","given":"I.","non-dropping-particle":"","parse-names":false,"suffix":""},{"dropping-particle":"","family":"Leo","given":"A.","non-dropping-particle":"Di","parse-names":false,"suffix":""}],"container-title":"Annals of Oncology","id":"ITEM-1","issue":"6","issued":{"date-parts":[["2011"]]},"page":"1295-1301","publisher":"Oxford University Press","title":"Identification of a serum-detectable metabolomic fingerprint potentially correlated with the presence of micrometastatic disease in early breast cancer patients at varying risks of disease relapse by traditional prognostic methods","type":"article-journal","volume":"22"},"uris":["http://www.mendeley.com/documents/?uuid=032c28e8-d96f-33d9-8cf5-d98d9d27259f"]}],"mendeley":{"formattedCitation":"[6]","plainTextFormattedCitation":"[6]","previouslyFormattedCitation":"[6]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w:t>
            </w:r>
            <w:r w:rsidRPr="00DF6C69">
              <w:rPr>
                <w:rFonts w:cs="Times New Roman"/>
                <w:sz w:val="18"/>
                <w:szCs w:val="18"/>
              </w:rPr>
              <w:fldChar w:fldCharType="end"/>
            </w:r>
            <w:r w:rsidRPr="00DF6C69">
              <w:rPr>
                <w:rFonts w:cs="Times New Roman"/>
                <w:sz w:val="18"/>
                <w:szCs w:val="18"/>
              </w:rPr>
              <w:t xml:space="preserve">, phosphocholine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{"citationItems":[{"id":"ITEM-1","itemData":{"DOI":"10.1016/j.jchromb.2014.04.047","ISSN":"1873376X","abstract":"Lung cancer is currently the leading cause of cancer-related mortality worldwide. It is, therefore, important to enhance understanding and add a new auxiliary detection tool of lung cancer. In this work, serum metabolic characteristics of lung cancer were investigated with a non-targeted metabolomics method. The metabolic profiling of 23 patients with lung cancer and 23 healthy controls were analyzed using ultra high performance liquid chromatography/quadrupole time of flight mass spectrometry (UPLC/Q-TOF MS). Partial least squares discriminant analysis (PLS-DA) model of the metabolic data allowed the clear separation of the lung cancer patients from the healthy controls. In total, 27 differential metabolites were identified, which were mostly related to the perturbation of lipid metabolism, including choline, free fatty acids, lysophosphatidylcholines, etc. Choline and linoleic acid were defined as one combinational biomarker using binary logistic regression, which was supported by the validation with a smaller sample-set (9 patients and 9 healthy controls). These findings show that LC/MS-based serum metabolic profiling has potential application in complementary identification of lung cancer patients, and could be a powerful tool for cancer research. © 2014 Elsevier B.V.","author":[{"dropping-particle":"","family":"Li","given":"Yanjie","non-dropping-particle":"","parse-names":false,"suffix":""},{"dropping-particle":"","family":"Song","given":"Xue","non-dropping-particle":"","parse-names":false,"suffix":""},{"dropping-particle":"","family":"Zhao","given":"Xinjie","non-dropping-particle":"","parse-names":false,"suffix":""},{"dropping-particle":"","family":"Zou","given":"Lijuan","non-dropping-particle":"","parse-names":false,"suffix":""},{"dropping-particle":"","family":"Xu","given":"Guowang","non-dropping-particle":"","parse-names":false,"suffix":""}],"container-title":"Journal of Chromatography B: Analytical Technologies in the Biomedical and Life Sciences","id":"ITEM-1","issued":{"date-parts":[["2014","9","1"]]},"page":"147-153","publisher":"Elsevier","title":"Serum metabolic profiling study of lung cancer using ultra high performance liquid chromatography/quadrupole time-of-flight mass spectrometry","type":"article-journal","volume":"966"},"uris":["http://www.mendeley.com/documents/?uuid=4801cdae-a73a-3c6c-b218-e52716d8285a"]}],"mendeley":{"formattedCitation":"[7]","plainTextFormattedCitation":"[7]","previouslyFormattedCitation":"[7]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[7]</w:t>
            </w:r>
            <w:r w:rsidRPr="00DF6C69">
              <w:rPr>
                <w:rFonts w:cs="Times New Roman"/>
                <w:sz w:val="18"/>
                <w:szCs w:val="18"/>
              </w:rPr>
              <w:fldChar w:fldCharType="end"/>
            </w:r>
            <w:r w:rsidRPr="00DF6C69">
              <w:rPr>
                <w:rFonts w:cs="Times New Roman"/>
                <w:sz w:val="18"/>
                <w:szCs w:val="18"/>
              </w:rPr>
              <w:t xml:space="preserve">, pyruvate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{"citationItems":[{"id":"ITEM-1","itemData":{"DOI":"10.1093/annonc/mdq606","ISSN":"15698041","abstract":"Background: Prognostic tools in early breast cancer are inadequate. The evolving field of metabolomics may allow more accurate identification of patients with residual micrometastases. Patients and methods: Forty-four early breast cancer patients with pre- and postoperative serum samples had metabolomic assessment by nuclear magnetic resonance. Fifty-one metastatic patients served as control. Differential clustering was identified and used to calculate individual early patient 'metabolomic risk', calculated as inverse distance of each early patient from the metastatic cluster barycenter. Metabolomic risk was compared with Adjuvantionline 10-year mortality assessment. Results: Innate serum metabolomic differences exist between early and metastatic patients. Preoperative patients were identified with 75% sensitivity, 69% specificity and 72% predictive accuracy. Comparison with Adjuvantionline revealed discordance. Of 21 patients assessed as high risk by Adjuvantionline, 10 (48%) and 6 (29%) were at high risk by metabolomics in pre- and postoperative settings, respectively. Of 23 low-risk patients by Adjuvantionline, 11 (48%) preoperative and 20 (87%) postoperative patients were at low risk by metabolomics. Conclusions: This study identifies metabolomic discrimination between early and metastatic breast cancer. Micrometastatic disease may account for metabolomic misclassification of some early patients as metastatic. Metabolomics identifies more patients as low relapse risk compared with Adjuvantionline. Further exploration of this metabolomic fingerprint is warranted. © The Author 2011. Published by Oxford University Press on behalf of the European Society for Medical Oncology. All rights reserved.","author":[{"dropping-particle":"","family":"Oakman","given":"C.","non-dropping-particle":"","parse-names":false,"suffix":""},{"dropping-particle":"","family":"Tenori","given":"L.","non-dropping-particle":"","parse-names":false,"suffix":""},{"dropping-particle":"","family":"Claudino","given":"W. M.","non-dropping-particle":"","parse-names":false,"suffix":""},{"dropping-particle":"","family":"Cappadona","given":"S.","non-dropping-particle":"","parse-names":false,"suffix":""},{"dropping-particle":"","family":"Nepi","given":"S.","non-dropping-particle":"","parse-names":false,"suffix":""},{"dropping-particle":"","family":"Battaglia","given":"A.","non-dropping-particle":"","parse-names":false,"suffix":""},{"dropping-particle":"","family":"Bernini","given":"P.","non-dropping-particle":"","parse-names":false,"suffix":""},{"dropping-particle":"","family":"Zafarana","given":"E.","non-dropping-particle":"","parse-names":false,"suffix":""},{"dropping-particle":"","family":"Saccenti","given":"E.","non-dropping-particle":"","parse-names":false,"suffix":""},{"dropping-particle":"","family":"Fornier","given":"M.","non-dropping-particle":"","parse-names":false,"suffix":""},{"dropping-particle":"","family":"Morris","given":"P. G.","non-dropping-particle":"","parse-names":false,"suffix":""},{"dropping-particle":"","family":"Biganzoli","given":"L.","non-dropping-particle":"","parse-names":false,"suffix":""},{"dropping-particle":"","family":"Luchinat","given":"C.","non-dropping-particle":"","parse-names":false,"suffix":""},{"dropping-particle":"","family":"Bertini","given":"I.","non-dropping-particle":"","parse-names":false,"suffix":""},{"dropping-particle":"","family":"Leo","given":"A.","non-dropping-particle":"Di","parse-names":false,"suffix":""}],"container-title":"Annals of Oncology","id":"ITEM-1","issue":"6","issued":{"date-parts":[["2011"]]},"page":"1295-1301","publisher":"Oxford University Press","title":"Identification of a serum-detectable metabolomic fingerprint potentially correlated with the presence of micrometastatic disease in early breast cancer patients at varying risks of disease relapse by traditional prognostic methods","type":"article-journal","volume":"22"},"uris":["http://www.mendeley.com/documents/?uuid=032c28e8-d96f-33d9-8cf5-d98d9d27259f"]}],"mendeley":{"formattedCitation":"[6]","plainTextFormattedCitation":"[6]","previouslyFormattedCitation":"[6]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steriatic</w:t>
            </w:r>
            <w:proofErr w:type="spellEnd"/>
            <w:r w:rsidRPr="00DF6C69">
              <w:rPr>
                <w:rFonts w:cs="Times New Roman"/>
                <w:sz w:val="18"/>
                <w:szCs w:val="18"/>
              </w:rPr>
              <w:t xml:space="preserve">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{"citationItems":[{"id":"ITEM-1","itemData":{"DOI":"10.1016/j.clinbiochem.2011.10.011","ISSN":"00099120","abstract":"Objectives: The aim was to investigate the free fatty acid (FFA) metabolic profiles and to identify biomarkers that can be used to distinguish patients with breast cancer (BC) from benign (BE) patients or healthy controls. Design and methods: A total of 114 subjects were divided into the following three groups: BC patients, BE patients and controls. The FFA profiles in three groups were studied by gas chromatography-mass spectrometry coupled with multivariate statistical analysis. Results: Three saturated fatty acids (C14:0, C16:0 and C18:0) and three unsaturated fatty acids (C18:2, C18:3 and C20:5) in BC were significantly different than controls. Palmitic acid, stearic acid, linoleic acid and total FFA were identified as potential biomarkers distinguished BC from the other groups. Conclusion: The alterations of FFA could reflect underlying metabolic changes in BC patients, and this study has demonstrated that FFA biomarkers might be helpful for prevention and characterization of BC patients. © 2011 The Canadian Society of Clinical Chemists.","author":[{"dropping-particle":"","family":"Lv","given":"Wuwen","non-dropping-particle":"","parse-names":false,"suffix":""},{"dropping-particle":"","family":"Yang","given":"Tongshu","non-dropping-particle":"","parse-names":false,"suffix":""}],"container-title":"Clinical Biochemistry","id":"ITEM-1","issue":"1-2","issued":{"date-parts":[["2012","1"]]},"page":"127-133","title":"Identification of possible biomarkers for breast cancer from free fatty acid profiles determined by GC-MS and multivariate statistical analysis","type":"article-journal","volume":"45"},"uris":["http://www.mendeley.com/documents/?uuid=27b74e7c-6792-38da-93c3-9c9fbc82c743"]}],"mendeley":{"formattedCitation":"[8]","plainTextFormattedCitation":"[8]","previouslyFormattedCitation":"[8]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[8]</w:t>
            </w:r>
            <w:r w:rsidRPr="00DF6C69">
              <w:rPr>
                <w:rFonts w:cs="Times New Roman"/>
                <w:sz w:val="18"/>
                <w:szCs w:val="18"/>
              </w:rPr>
              <w:fldChar w:fldCharType="end"/>
            </w:r>
            <w:r w:rsidRPr="00DF6C69">
              <w:rPr>
                <w:rFonts w:cs="Times New Roman"/>
                <w:sz w:val="18"/>
                <w:szCs w:val="18"/>
              </w:rPr>
              <w:t xml:space="preserve">, xanthine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{"citationItems":[{"id":"ITEM-1","itemData":{"DOI":"10.1593/tlo.13619","ISSN":"19365233","PMID":"24466379","abstract":"Background: A few studies in the last several years have shown that metabolomics, the study of metabolites and small intermediate molecules, may help better understand the breast carcinogenesis. However, breast cancer is a heterogeneous disease with different subtypes. Additionally, there is a significant racial difference in terms of breast cancer incidence and mortality. Few, if any, metabolomics studies in breast cancer have considered race and tumor subtypes in the study design. Methods: We performed a global metabolomic profiling using mass spectrometry and samples from 60 breast cancer cases and 60 matched controls. Results: A total of 375 named metabolites were observed, with 117 metabolites whose levels were significantly different between African American and Caucasian American women (P &lt;.05 and q &lt; 0.10) and 78 that differed between breast cancer cases and healthy controls (P &lt;.05 and q &lt; 0.10). Most of those differentiated metabolites belong to amino acids, fatty acids, and lysolipids. In the pathway-based analysis, we found that plasma levels of many amino acids were statistically significantly lower in patients with breast cancer, especially those with triple-negative breast cancer, than healthy controls. However, plasma levels of many FAs related to β-oxidation were statistically significantly higher in patients with breast cancer than healthy controls, suggesting the possibility of altered FA β-oxidation in patients with breast cancer. Conclusions: Because of small sample size, the clinical usage of the metabolites from this study is unclear. Further validation of those significant metabolites is warranted, especially with the consideration of racial difference. © 2013 Neoplasia Press, Inc. All rights reserved.","author":[{"dropping-particle":"","family":"Shen","given":"Jie","non-dropping-particle":"","parse-names":false,"suffix":""},{"dropping-particle":"","family":"Yan","given":"Li","non-dropping-particle":"","parse-names":false,"suffix":""},{"dropping-particle":"","family":"Liu","given":"Song","non-dropping-particle":"","parse-names":false,"suffix":""},{"dropping-particle":"","family":"Ambrosone","given":"Christine B.","non-dropping-particle":"","parse-names":false,"suffix":""},{"dropping-particle":"","family":"Zhao","given":"Hua","non-dropping-particle":"","parse-names":false,"suffix":""}],"container-title":"Translational Oncology","id":"ITEM-1","issue":"6","issued":{"date-parts":[["2013"]]},"page":"757-765","publisher":"Neoplasia Press Inc","title":"Plasma metabolomic profiles in breast cancer patients and healthy controls: By race and tumor receptor subtypes","type":"article-journal","volume":"6"},"uris":["http://www.mendeley.com/documents/?uuid=f268e13a-e7c9-364c-b33f-3e395e6fc5e2"]}],"mendeley":{"formattedCitation":"[5]","plainTextFormattedCitation":"[5]","previouslyFormattedCitation":"[5]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w:t>
            </w:r>
            <w:r w:rsidRPr="00DF6C69">
              <w:rPr>
                <w:rFonts w:cs="Times New Roman"/>
                <w:sz w:val="18"/>
                <w:szCs w:val="18"/>
              </w:rPr>
              <w:fldChar w:fldCharType="end"/>
            </w:r>
          </w:p>
        </w:tc>
      </w:tr>
      <w:tr w:rsidR="00521E89" w:rsidRPr="00DF6C69" w14:paraId="7C6917C2" w14:textId="77777777" w:rsidTr="000765CF">
        <w:trPr>
          <w:trHeight w:val="445"/>
        </w:trPr>
        <w:tc>
          <w:tcPr>
            <w:tcW w:w="1418" w:type="dxa"/>
            <w:vMerge/>
            <w:shd w:val="clear" w:color="auto" w:fill="FFF2CC" w:themeFill="accent4" w:themeFillTint="33"/>
            <w:vAlign w:val="center"/>
          </w:tcPr>
          <w:p w14:paraId="06168DDB" w14:textId="77777777" w:rsidR="00521E89" w:rsidRPr="00DF6C69" w:rsidRDefault="00521E89" w:rsidP="000765CF">
            <w:pPr>
              <w:rPr>
                <w:rFonts w:cs="Times New Roman"/>
                <w:sz w:val="18"/>
                <w:szCs w:val="18"/>
              </w:rPr>
            </w:pPr>
          </w:p>
        </w:tc>
        <w:tc>
          <w:tcPr>
            <w:tcW w:w="993" w:type="dxa"/>
            <w:vAlign w:val="center"/>
          </w:tcPr>
          <w:p w14:paraId="2A4CCDEC" w14:textId="77777777" w:rsidR="00521E89" w:rsidRPr="00DF6C69" w:rsidRDefault="00521E89" w:rsidP="000765CF">
            <w:pPr>
              <w:rPr>
                <w:rFonts w:cs="Times New Roman"/>
                <w:sz w:val="18"/>
                <w:szCs w:val="18"/>
              </w:rPr>
            </w:pPr>
            <w:r w:rsidRPr="00DF6C69">
              <w:rPr>
                <w:rFonts w:cs="Times New Roman"/>
                <w:sz w:val="18"/>
                <w:szCs w:val="18"/>
              </w:rPr>
              <w:t>Tissue**</w:t>
            </w:r>
          </w:p>
        </w:tc>
        <w:tc>
          <w:tcPr>
            <w:tcW w:w="6945" w:type="dxa"/>
            <w:vAlign w:val="center"/>
          </w:tcPr>
          <w:p w14:paraId="5F849586" w14:textId="7AA20AB3" w:rsidR="00521E89" w:rsidRPr="00DF6C69" w:rsidRDefault="00521E89" w:rsidP="000765CF">
            <w:pPr>
              <w:rPr>
                <w:rFonts w:cs="Times New Roman"/>
                <w:sz w:val="18"/>
                <w:szCs w:val="18"/>
              </w:rPr>
            </w:pPr>
            <w:r w:rsidRPr="00DF6C69">
              <w:rPr>
                <w:rFonts w:cs="Times New Roman"/>
                <w:sz w:val="18"/>
                <w:szCs w:val="18"/>
              </w:rPr>
              <w:t xml:space="preserve">acetoacetate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{"citationItems":[{"id":"ITEM-1","itemData":{"DOI":"10.1016/j.jprot.2013.10.002","ISSN":"18743919","PMID":"24125731","abstract":"Molecular subtyping of breast cancer is necessary for therapy selection and mandatory for all breast cancer patients. Metabolic alterations are considered a hallmark of cancer and several metabolic drugs are currently being investigated in clinical trials. However, the dependence of metabolic alterations on breast cancer subtypes has not been investigated on -omics scale. Thus, 204 estrogen receptor positive (ER+) and 67 estrogen receptor negative (ER-) breast cancer tissues were investigated using GC-TOFMS based metabolomics. 19 metabolites were detected as altered in a predefined training set (2/3 of tumors) and could be validated in a predefined validation set (1/3 of tumors). The metabolite changes included increases in beta-alanine, 2-hydroyglutarate, glutamate, xanthine and decreases in glutamine in the ER- subtype. Beta-alanine demonstrated the strongest change between ER- and ER+ breast cancer (fold change = 2.4, p = 1.5E. -20). In a correlation analysis with genome-wide expression data in a subcohort of 154 tumors, we found a strong negative correlation (Spearman R = -0.62) between beta-alanine and 4-aminobutyrate aminotransferase (ABAT). Immunohistological analysis confirmed down-regulation of the ABAT protein in ER- breast cancer. In a Kaplan-Meier analysis of a large external expression data set, the ABAT transcript was demonstrated to be a positive prognostic marker for breast cancer (HR = 0.6, p=3.2E-15). Biological significance: It is well-known for more than a decade that breast cancer exhibits distinct gene expression patterns depending on the molecular subtype defined by estrogen receptor (ER) and HER2 status. Here, we show that breast cancer exhibits distinct metabolomics patterns depending on ER status. Our observation supports the current view of ER+ breast cancer and ER- breast as different diseases requiring different treatment strategies.Metabolic drugs for cancer including glutaminase inhibitors are currently under development and tested in clinical trials. We found glutamate enriched and glutamine reduced in ER- breast cancer compared to ER+ breast cancer and compared to normal breast tissues. Thus, metabolomics analysis highlights the ER- subtype as a preferential target for glutaminase inhibitors.For the first time, we report on a regulation of beta-alanine catabolism in cancer. In breast cancer, ABAT transcript expression was variable and correlated with ER status. Low ABAT transcript expression was associated with low ABAT …","author":[{"dropping-particle":"","family":"Budczies","given":"Jan","non-dropping-particle":"","parse-names":false,"suffix":""},{"dropping-particle":"","family":"Brockmöller","given":"Scarlet F.","non-dropping-particle":"","parse-names":false,"suffix":""},{"dropping-particle":"","family":"Müller","given":"Berit M.","non-dropping-particle":"","parse-names":false,"suffix":""},{"dropping-particle":"","family":"Barupal","given":"Dinesh K.","non-dropping-particle":"","parse-names":false,"suffix":""},{"dropping-particle":"","family":"Richter-Ehrenstein","given":"Christiane","non-dropping-particle":"","parse-names":false,"suffix":""},{"dropping-particle":"","family":"Kleine-Tebbe","given":"Anke","non-dropping-particle":"","parse-names":false,"suffix":""},{"dropping-particle":"","family":"Griffin","given":"Julian L.","non-dropping-particle":"","parse-names":false,"suffix":""},{"dropping-particle":"","family":"Orešič","given":"Matej","non-dropping-particle":"","parse-names":false,"suffix":""},{"dropping-particle":"","family":"Dietel","given":"Manfred","non-dropping-particle":"","parse-names":false,"suffix":""},{"dropping-particle":"","family":"Denkert","given":"Carsten","non-dropping-particle":"","parse-names":false,"suffix":""},{"dropping-particle":"","family":"Fiehn","given":"Oliver","non-dropping-particle":"","parse-names":false,"suffix":""}],"container-title":"Journal of Proteomics","id":"ITEM-1","issued":{"date-parts":[["2013","12","6"]]},"page":"279-288","title":"Comparative metabolomics of estrogen receptor positive and estrogen receptor negative breast cancer: Alterations in glutamine and beta-alanine metabolism","type":"article-journal","volume":"94"},"uris":["http://www.mendeley.com/documents/?uuid=a98dd736-de03-3ecc-9b5e-21135f3af9f8"]}],"mendeley":{"formattedCitation":"[10]","plainTextFormattedCitation":"[10]","previouslyFormattedCitation":"[10]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[10]</w:t>
            </w:r>
            <w:r w:rsidRPr="00DF6C69">
              <w:rPr>
                <w:rFonts w:cs="Times New Roman"/>
                <w:sz w:val="18"/>
                <w:szCs w:val="18"/>
              </w:rPr>
              <w:fldChar w:fldCharType="end"/>
            </w:r>
            <w:r w:rsidRPr="00DF6C69">
              <w:rPr>
                <w:rFonts w:cs="Times New Roman"/>
                <w:sz w:val="18"/>
                <w:szCs w:val="18"/>
              </w:rPr>
              <w:t xml:space="preserve">, histidine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{"citationItems":[{"id":"ITEM-1","itemData":{"DOI":"10.1016/j.jprot.2013.10.002","ISSN":"18743919","PMID":"24125731","abstract":"Molecular subtyping of breast cancer is necessary for therapy selection and mandatory for all breast cancer patients. Metabolic alterations are considered a hallmark of cancer and several metabolic drugs are currently being investigated in clinical trials. However, the dependence of metabolic alterations on breast cancer subtypes has not been investigated on -omics scale. Thus, 204 estrogen receptor positive (ER+) and 67 estrogen receptor negative (ER-) breast cancer tissues were investigated using GC-TOFMS based metabolomics. 19 metabolites were detected as altered in a predefined training set (2/3 of tumors) and could be validated in a predefined validation set (1/3 of tumors). The metabolite changes included increases in beta-alanine, 2-hydroyglutarate, glutamate, xanthine and decreases in glutamine in the ER- subtype. Beta-alanine demonstrated the strongest change between ER- and ER+ breast cancer (fold change = 2.4, p = 1.5E. -20). In a correlation analysis with genome-wide expression data in a subcohort of 154 tumors, we found a strong negative correlation (Spearman R = -0.62) between beta-alanine and 4-aminobutyrate aminotransferase (ABAT). Immunohistological analysis confirmed down-regulation of the ABAT protein in ER- breast cancer. In a Kaplan-Meier analysis of a large external expression data set, the ABAT transcript was demonstrated to be a positive prognostic marker for breast cancer (HR = 0.6, p=3.2E-15). Biological significance: It is well-known for more than a decade that breast cancer exhibits distinct gene expression patterns depending on the molecular subtype defined by estrogen receptor (ER) and HER2 status. Here, we show that breast cancer exhibits distinct metabolomics patterns depending on ER status. Our observation supports the current view of ER+ breast cancer and ER- breast as different diseases requiring different treatment strategies.Metabolic drugs for cancer including glutaminase inhibitors are currently under development and tested in clinical trials. We found glutamate enriched and glutamine reduced in ER- breast cancer compared to ER+ breast cancer and compared to normal breast tissues. Thus, metabolomics analysis highlights the ER- subtype as a preferential target for glutaminase inhibitors.For the first time, we report on a regulation of beta-alanine catabolism in cancer. In breast cancer, ABAT transcript expression was variable and correlated with ER status. Low ABAT transcript expression was associated with low ABAT …","author":[{"dropping-particle":"","family":"Budczies","given":"Jan","non-dropping-particle":"","parse-names":false,"suffix":""},{"dropping-particle":"","family":"Brockmöller","given":"Scarlet F.","non-dropping-particle":"","parse-names":false,"suffix":""},{"dropping-particle":"","family":"Müller","given":"Berit M.","non-dropping-particle":"","parse-names":false,"suffix":""},{"dropping-particle":"","family":"Barupal","given":"Dinesh K.","non-dropping-particle":"","parse-names":false,"suffix":""},{"dropping-particle":"","family":"Richter-Ehrenstein","given":"Christiane","non-dropping-particle":"","parse-names":false,"suffix":""},{"dropping-particle":"","family":"Kleine-Tebbe","given":"Anke","non-dropping-particle":"","parse-names":false,"suffix":""},{"dropping-particle":"","family":"Griffin","given":"Julian L.","non-dropping-particle":"","parse-names":false,"suffix":""},{"dropping-particle":"","family":"Orešič","given":"Matej","non-dropping-particle":"","parse-names":false,"suffix":""},{"dropping-particle":"","family":"Dietel","given":"Manfred","non-dropping-particle":"","parse-names":false,"suffix":""},{"dropping-particle":"","family":"Denkert","given":"Carsten","non-dropping-particle":"","parse-names":false,"suffix":""},{"dropping-particle":"","family":"Fiehn","given":"Oliver","non-dropping-particle":"","parse-names":false,"suffix":""}],"container-title":"Journal of Proteomics","id":"ITEM-1","issued":{"date-parts":[["2013","12","6"]]},"page":"279-288","title":"Comparative metabolomics of estrogen receptor positive and estrogen receptor negative breast cancer: Alterations in glutamine and beta-alanine metabolism","type":"article-journal","volume":"94"},"uris":["http://www.mendeley.com/documents/?uuid=a98dd736-de03-3ecc-9b5e-21135f3af9f8"]}],"mendeley":{"formattedCitation":"[10]","plainTextFormattedCitation":"[10]","previouslyFormattedCitation":"[10]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[10]</w:t>
            </w:r>
            <w:r w:rsidRPr="00DF6C69">
              <w:rPr>
                <w:rFonts w:cs="Times New Roman"/>
                <w:sz w:val="18"/>
                <w:szCs w:val="18"/>
              </w:rPr>
              <w:fldChar w:fldCharType="end"/>
            </w:r>
            <w:r w:rsidRPr="00DF6C69">
              <w:rPr>
                <w:rFonts w:cs="Times New Roman"/>
                <w:sz w:val="18"/>
                <w:szCs w:val="18"/>
              </w:rPr>
              <w:t xml:space="preserve">, glycerol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{"citationItems":[{"id":"ITEM-1","itemData":{"DOI":"10.1016/j.jprot.2013.10.002","ISSN":"18743919","PMID":"24125731","abstract":"Molecular subtyping of breast cancer is necessary for therapy selection and mandatory for all breast cancer patients. Metabolic alterations are considered a hallmark of cancer and several metabolic drugs are currently being investigated in clinical trials. However, the dependence of metabolic alterations on breast cancer subtypes has not been investigated on -omics scale. Thus, 204 estrogen receptor positive (ER+) and 67 estrogen receptor negative (ER-) breast cancer tissues were investigated using GC-TOFMS based metabolomics. 19 metabolites were detected as altered in a predefined training set (2/3 of tumors) and could be validated in a predefined validation set (1/3 of tumors). The metabolite changes included increases in beta-alanine, 2-hydroyglutarate, glutamate, xanthine and decreases in glutamine in the ER- subtype. Beta-alanine demonstrated the strongest change between ER- and ER+ breast cancer (fold change = 2.4, p = 1.5E. -20). In a correlation analysis with genome-wide expression data in a subcohort of 154 tumors, we found a strong negative correlation (Spearman R = -0.62) between beta-alanine and 4-aminobutyrate aminotransferase (ABAT). Immunohistological analysis confirmed down-regulation of the ABAT protein in ER- breast cancer. In a Kaplan-Meier analysis of a large external expression data set, the ABAT transcript was demonstrated to be a positive prognostic marker for breast cancer (HR = 0.6, p=3.2E-15). Biological significance: It is well-known for more than a decade that breast cancer exhibits distinct gene expression patterns depending on the molecular subtype defined by estrogen receptor (ER) and HER2 status. Here, we show that breast cancer exhibits distinct metabolomics patterns depending on ER status. Our observation supports the current view of ER+ breast cancer and ER- breast as different diseases requiring different treatment strategies.Metabolic drugs for cancer including glutaminase inhibitors are currently under development and tested in clinical trials. We found glutamate enriched and glutamine reduced in ER- breast cancer compared to ER+ breast cancer and compared to normal breast tissues. Thus, metabolomics analysis highlights the ER- subtype as a preferential target for glutaminase inhibitors.For the first time, we report on a regulation of beta-alanine catabolism in cancer. In breast cancer, ABAT transcript expression was variable and correlated with ER status. Low ABAT transcript expression was associated with low ABAT …","author":[{"dropping-particle":"","family":"Budczies","given":"Jan","non-dropping-particle":"","parse-names":false,"suffix":""},{"dropping-particle":"","family":"Brockmöller","given":"Scarlet F.","non-dropping-particle":"","parse-names":false,"suffix":""},{"dropping-particle":"","family":"Müller","given":"Berit M.","non-dropping-particle":"","parse-names":false,"suffix":""},{"dropping-particle":"","family":"Barupal","given":"Dinesh K.","non-dropping-particle":"","parse-names":false,"suffix":""},{"dropping-particle":"","family":"Richter-Ehrenstein","given":"Christiane","non-dropping-particle":"","parse-names":false,"suffix":""},{"dropping-particle":"","family":"Kleine-Tebbe","given":"Anke","non-dropping-particle":"","parse-names":false,"suffix":""},{"dropping-particle":"","family":"Griffin","given":"Julian L.","non-dropping-particle":"","parse-names":false,"suffix":""},{"dropping-particle":"","family":"Orešič","given":"Matej","non-dropping-particle":"","parse-names":false,"suffix":""},{"dropping-particle":"","family":"Dietel","given":"Manfred","non-dropping-particle":"","parse-names":false,"suffix":""},{"dropping-particle":"","family":"Denkert","given":"Carsten","non-dropping-particle":"","parse-names":false,"suffix":""},{"dropping-particle":"","family":"Fiehn","given":"Oliver","non-dropping-particle":"","parse-names":false,"suffix":""}],"container-title":"Journal of Proteomics","id":"ITEM-1","issued":{"date-parts":[["2013","12","6"]]},"page":"279-288","title":"Comparative metabolomics of estrogen receptor positive and estrogen receptor negative breast cancer: Alterations in glutamine and beta-alanine metabolism","type":"article-journal","volume":"94"},"uris":["http://www.mendeley.com/documents/?uuid=a98dd736-de03-3ecc-9b5e-21135f3af9f8"]}],"mendeley":{"formattedCitation":"[10]","plainTextFormattedCitation":"[10]","previouslyFormattedCitation":"[10]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[10]</w:t>
            </w:r>
            <w:r w:rsidRPr="00DF6C69">
              <w:rPr>
                <w:rFonts w:cs="Times New Roman"/>
                <w:sz w:val="18"/>
                <w:szCs w:val="18"/>
              </w:rPr>
              <w:fldChar w:fldCharType="end"/>
            </w:r>
            <w:r w:rsidRPr="00DF6C69">
              <w:rPr>
                <w:rFonts w:cs="Times New Roman"/>
                <w:sz w:val="18"/>
                <w:szCs w:val="18"/>
              </w:rPr>
              <w:t xml:space="preserve">, mannose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{"citationItems":[{"id":"ITEM-1","itemData":{"DOI":"10.1016/j.jprot.2013.10.002","ISSN":"18743919","PMID":"24125731","abstract":"Molecular subtyping of breast cancer is necessary for therapy selection and mandatory for all breast cancer patients. Metabolic alterations are considered a hallmark of cancer and several metabolic drugs are currently being investigated in clinical trials. However, the dependence of metabolic alterations on breast cancer subtypes has not been investigated on -omics scale. Thus, 204 estrogen receptor positive (ER+) and 67 estrogen receptor negative (ER-) breast cancer tissues were investigated using GC-TOFMS based metabolomics. 19 metabolites were detected as altered in a predefined training set (2/3 of tumors) and could be validated in a predefined validation set (1/3 of tumors). The metabolite changes included increases in beta-alanine, 2-hydroyglutarate, glutamate, xanthine and decreases in glutamine in the ER- subtype. Beta-alanine demonstrated the strongest change between ER- and ER+ breast cancer (fold change = 2.4, p = 1.5E. -20). In a correlation analysis with genome-wide expression data in a subcohort of 154 tumors, we found a strong negative correlation (Spearman R = -0.62) between beta-alanine and 4-aminobutyrate aminotransferase (ABAT). Immunohistological analysis confirmed down-regulation of the ABAT protein in ER- breast cancer. In a Kaplan-Meier analysis of a large external expression data set, the ABAT transcript was demonstrated to be a positive prognostic marker for breast cancer (HR = 0.6, p=3.2E-15). Biological significance: It is well-known for more than a decade that breast cancer exhibits distinct gene expression patterns depending on the molecular subtype defined by estrogen receptor (ER) and HER2 status. Here, we show that breast cancer exhibits distinct metabolomics patterns depending on ER status. Our observation supports the current view of ER+ breast cancer and ER- breast as different diseases requiring different treatment strategies.Metabolic drugs for cancer including glutaminase inhibitors are currently under development and tested in clinical trials. We found glutamate enriched and glutamine reduced in ER- breast cancer compared to ER+ breast cancer and compared to normal breast tissues. Thus, metabolomics analysis highlights the ER- subtype as a preferential target for glutaminase inhibitors.For the first time, we report on a regulation of beta-alanine catabolism in cancer. In breast cancer, ABAT transcript expression was variable and correlated with ER status. Low ABAT transcript expression was associated with low ABAT …","author":[{"dropping-particle":"","family":"Budczies","given":"Jan","non-dropping-particle":"","parse-names":false,"suffix":""},{"dropping-particle":"","family":"Brockmöller","given":"Scarlet F.","non-dropping-particle":"","parse-names":false,"suffix":""},{"dropping-particle":"","family":"Müller","given":"Berit M.","non-dropping-particle":"","parse-names":false,"suffix":""},{"dropping-particle":"","family":"Barupal","given":"Dinesh K.","non-dropping-particle":"","parse-names":false,"suffix":""},{"dropping-particle":"","family":"Richter-Ehrenstein","given":"Christiane","non-dropping-particle":"","parse-names":false,"suffix":""},{"dropping-particle":"","family":"Kleine-Tebbe","given":"Anke","non-dropping-particle":"","parse-names":false,"suffix":""},{"dropping-particle":"","family":"Griffin","given":"Julian L.","non-dropping-particle":"","parse-names":false,"suffix":""},{"dropping-particle":"","family":"Orešič","given":"Matej","non-dropping-particle":"","parse-names":false,"suffix":""},{"dropping-particle":"","family":"Dietel","given":"Manfred","non-dropping-particle":"","parse-names":false,"suffix":""},{"dropping-particle":"","family":"Denkert","given":"Carsten","non-dropping-particle":"","parse-names":false,"suffix":""},{"dropping-particle":"","family":"Fiehn","given":"Oliver","non-dropping-particle":"","parse-names":false,"suffix":""}],"container-title":"Journal of Proteomics","id":"ITEM-1","issued":{"date-parts":[["2013","12","6"]]},"page":"279-288","title":"Comparative metabolomics of estrogen receptor positive and estrogen receptor negative breast cancer: Alterations in glutamine and beta-alanine metabolism","type":"article-journal","volume":"94"},"uris":["http://www.mendeley.com/documents/?uuid=a98dd736-de03-3ecc-9b5e-21135f3af9f8"]}],"mendeley":{"formattedCitation":"[10]","plainTextFormattedCitation":"[10]","previouslyFormattedCitation":"[10]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[10]</w:t>
            </w:r>
            <w:r w:rsidRPr="00DF6C69">
              <w:rPr>
                <w:rFonts w:cs="Times New Roman"/>
                <w:sz w:val="18"/>
                <w:szCs w:val="18"/>
              </w:rPr>
              <w:fldChar w:fldCharType="end"/>
            </w:r>
            <w:r w:rsidRPr="00DF6C69">
              <w:rPr>
                <w:rFonts w:cs="Times New Roman"/>
                <w:sz w:val="18"/>
                <w:szCs w:val="18"/>
              </w:rPr>
              <w:t xml:space="preserve">, phenylalanine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{"citationItems":[{"id":"ITEM-1","itemData":{"DOI":"10.1016/j.jprot.2013.10.002","ISSN":"18743919","PMID":"24125731","abstract":"Molecular subtyping of breast cancer is necessary for therapy selection and mandatory for all breast cancer patients. Metabolic alterations are considered a hallmark of cancer and several metabolic drugs are currently being investigated in clinical trials. However, the dependence of metabolic alterations on breast cancer subtypes has not been investigated on -omics scale. Thus, 204 estrogen receptor positive (ER+) and 67 estrogen receptor negative (ER-) breast cancer tissues were investigated using GC-TOFMS based metabolomics. 19 metabolites were detected as altered in a predefined training set (2/3 of tumors) and could be validated in a predefined validation set (1/3 of tumors). The metabolite changes included increases in beta-alanine, 2-hydroyglutarate, glutamate, xanthine and decreases in glutamine in the ER- subtype. Beta-alanine demonstrated the strongest change between ER- and ER+ breast cancer (fold change = 2.4, p = 1.5E. -20). In a correlation analysis with genome-wide expression data in a subcohort of 154 tumors, we found a strong negative correlation (Spearman R = -0.62) between beta-alanine and 4-aminobutyrate aminotransferase (ABAT). Immunohistological analysis confirmed down-regulation of the ABAT protein in ER- breast cancer. In a Kaplan-Meier analysis of a large external expression data set, the ABAT transcript was demonstrated to be a positive prognostic marker for breast cancer (HR = 0.6, p=3.2E-15). Biological significance: It is well-known for more than a decade that breast cancer exhibits distinct gene expression patterns depending on the molecular subtype defined by estrogen receptor (ER) and HER2 status. Here, we show that breast cancer exhibits distinct metabolomics patterns depending on ER status. Our observation supports the current view of ER+ breast cancer and ER- breast as different diseases requiring different treatment strategies.Metabolic drugs for cancer including glutaminase inhibitors are currently under development and tested in clinical trials. We found glutamate enriched and glutamine reduced in ER- breast cancer compared to ER+ breast cancer and compared to normal breast tissues. Thus, metabolomics analysis highlights the ER- subtype as a preferential target for glutaminase inhibitors.For the first time, we report on a regulation of beta-alanine catabolism in cancer. In breast cancer, ABAT transcript expression was variable and correlated with ER status. Low ABAT transcript expression was associated with low ABAT …","author":[{"dropping-particle":"","family":"Budczies","given":"Jan","non-dropping-particle":"","parse-names":false,"suffix":""},{"dropping-particle":"","family":"Brockmöller","given":"Scarlet F.","non-dropping-particle":"","parse-names":false,"suffix":""},{"dropping-particle":"","family":"Müller","given":"Berit M.","non-dropping-particle":"","parse-names":false,"suffix":""},{"dropping-particle":"","family":"Barupal","given":"Dinesh K.","non-dropping-particle":"","parse-names":false,"suffix":""},{"dropping-particle":"","family":"Richter-Ehrenstein","given":"Christiane","non-dropping-particle":"","parse-names":false,"suffix":""},{"dropping-particle":"","family":"Kleine-Tebbe","given":"Anke","non-dropping-particle":"","parse-names":false,"suffix":""},{"dropping-particle":"","family":"Griffin","given":"Julian L.","non-dropping-particle":"","parse-names":false,"suffix":""},{"dropping-particle":"","family":"Orešič","given":"Matej","non-dropping-particle":"","parse-names":false,"suffix":""},{"dropping-particle":"","family":"Dietel","given":"Manfred","non-dropping-particle":"","parse-names":false,"suffix":""},{"dropping-particle":"","family":"Denkert","given":"Carsten","non-dropping-particle":"","parse-names":false,"suffix":""},{"dropping-particle":"","family":"Fiehn","given":"Oliver","non-dropping-particle":"","parse-names":false,"suffix":""}],"container-title":"Journal of Proteomics","id":"ITEM-1","issued":{"date-parts":[["2013","12","6"]]},"page":"279-288","title":"Comparative metabolomics of estrogen receptor positive and estrogen receptor negative breast cancer: Alterations in glutamine and beta-alanine metabolism","type":"article-journal","volume":"94"},"uris":["http://www.mendeley.com/documents/?uuid=a98dd736-de03-3ecc-9b5e-21135f3af9f8"]}],"mendeley":{"formattedCitation":"[10]","plainTextFormattedCitation":"[10]","previouslyFormattedCitation":"[10]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[10]</w:t>
            </w:r>
            <w:r w:rsidRPr="00DF6C69">
              <w:rPr>
                <w:rFonts w:cs="Times New Roman"/>
                <w:sz w:val="18"/>
                <w:szCs w:val="18"/>
              </w:rPr>
              <w:fldChar w:fldCharType="end"/>
            </w:r>
            <w:r w:rsidRPr="00DF6C69">
              <w:rPr>
                <w:rFonts w:cs="Times New Roman"/>
                <w:sz w:val="18"/>
                <w:szCs w:val="18"/>
              </w:rPr>
              <w:t xml:space="preserve">, pyruvate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{"citationItems":[{"id":"ITEM-1","itemData":{"DOI":"10.1016/j.jprot.2013.10.002","ISSN":"18743919","PMID":"24125731","abstract":"Molecular subtyping of breast cancer is necessary for therapy selection and mandatory for all breast cancer patients. Metabolic alterations are considered a hallmark of cancer and several metabolic drugs are currently being investigated in clinical trials. However, the dependence of metabolic alterations on breast cancer subtypes has not been investigated on -omics scale. Thus, 204 estrogen receptor positive (ER+) and 67 estrogen receptor negative (ER-) breast cancer tissues were investigated using GC-TOFMS based metabolomics. 19 metabolites were detected as altered in a predefined training set (2/3 of tumors) and could be validated in a predefined validation set (1/3 of tumors). The metabolite changes included increases in beta-alanine, 2-hydroyglutarate, glutamate, xanthine and decreases in glutamine in the ER- subtype. Beta-alanine demonstrated the strongest change between ER- and ER+ breast cancer (fold change = 2.4, p = 1.5E. -20). In a correlation analysis with genome-wide expression data in a subcohort of 154 tumors, we found a strong negative correlation (Spearman R = -0.62) between beta-alanine and 4-aminobutyrate aminotransferase (ABAT). Immunohistological analysis confirmed down-regulation of the ABAT protein in ER- breast cancer. In a Kaplan-Meier analysis of a large external expression data set, the ABAT transcript was demonstrated to be a positive prognostic marker for breast cancer (HR = 0.6, p=3.2E-15). Biological significance: It is well-known for more than a decade that breast cancer exhibits distinct gene expression patterns depending on the molecular subtype defined by estrogen receptor (ER) and HER2 status. Here, we show that breast cancer exhibits distinct metabolomics patterns depending on ER status. Our observation supports the current view of ER+ breast cancer and ER- breast as different diseases requiring different treatment strategies.Metabolic drugs for cancer including glutaminase inhibitors are currently under development and tested in clinical trials. We found glutamate enriched and glutamine reduced in ER- breast cancer compared to ER+ breast cancer and compared to normal breast tissues. Thus, metabolomics analysis highlights the ER- subtype as a preferential target for glutaminase inhibitors.For the first time, we report on a regulation of beta-alanine catabolism in cancer. In breast cancer, ABAT transcript expression was variable and correlated with ER status. Low ABAT transcript expression was associated with low ABAT …","author":[{"dropping-particle":"","family":"Budczies","given":"Jan","non-dropping-particle":"","parse-names":false,"suffix":""},{"dropping-particle":"","family":"Brockmöller","given":"Scarlet F.","non-dropping-particle":"","parse-names":false,"suffix":""},{"dropping-particle":"","family":"Müller","given":"Berit M.","non-dropping-particle":"","parse-names":false,"suffix":""},{"dropping-particle":"","family":"Barupal","given":"Dinesh K.","non-dropping-particle":"","parse-names":false,"suffix":""},{"dropping-particle":"","family":"Richter-Ehrenstein","given":"Christiane","non-dropping-particle":"","parse-names":false,"suffix":""},{"dropping-particle":"","family":"Kleine-Tebbe","given":"Anke","non-dropping-particle":"","parse-names":false,"suffix":""},{"dropping-particle":"","family":"Griffin","given":"Julian L.","non-dropping-particle":"","parse-names":false,"suffix":""},{"dropping-particle":"","family":"Orešič","given":"Matej","non-dropping-particle":"","parse-names":false,"suffix":""},{"dropping-particle":"","family":"Dietel","given":"Manfred","non-dropping-particle":"","parse-names":false,"suffix":""},{"dropping-particle":"","family":"Denkert","given":"Carsten","non-dropping-particle":"","parse-names":false,"suffix":""},{"dropping-particle":"","family":"Fiehn","given":"Oliver","non-dropping-particle":"","parse-names":false,"suffix":""}],"container-title":"Journal of Proteomics","id":"ITEM-1","issued":{"date-parts":[["2013","12","6"]]},"page":"279-288","title":"Comparative metabolomics of estrogen receptor positive and estrogen receptor negative breast cancer: Alterations in glutamine and beta-alanine metabolism","type":"article-journal","volume":"94"},"uris":["http://www.mendeley.com/documents/?uuid=a98dd736-de03-3ecc-9b5e-21135f3af9f8"]}],"mendeley":{"formattedCitation":"[10]","plainTextFormattedCitation":"[10]","previouslyFormattedCitation":"[10]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[10]</w:t>
            </w:r>
            <w:r w:rsidRPr="00DF6C69">
              <w:rPr>
                <w:rFonts w:cs="Times New Roman"/>
                <w:sz w:val="18"/>
                <w:szCs w:val="18"/>
              </w:rPr>
              <w:fldChar w:fldCharType="end"/>
            </w:r>
            <w:r w:rsidRPr="00DF6C69">
              <w:rPr>
                <w:rFonts w:cs="Times New Roman"/>
                <w:sz w:val="18"/>
                <w:szCs w:val="18"/>
              </w:rPr>
              <w:t xml:space="preserve">, linoleic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{"citationItems":[{"id":"ITEM-1","itemData":{"DOI":"10.1016/j.jpba.2013.08.017","ISSN":"1873264X","abstract":"Metabolomics analysis was used to determine the effect of two well known, non-proprietary metabolic modulators, dichloroacetate and allopurinol on breast cancer cell lines. Dichloroacetate, a pyruvate dehydrogenase kinase inhibitor and allopurinol, a xanthine oxidase/dehydrogenase inhibitor, have been previously explored as chemotherapeutics showing potential in some cancer subtypes while at the same time leading to unexpected increase in proliferation in others. In this work, metabolic effects of these drugs, applied singly and in combination, were explored in three different breast cell lines including cancer cells, MDA-MB-231 and MCF-7 and normal control cell line, MCF-10A. The metabolic changes induced by these drugs were monitored by 1H NMR metabolic profiling. Analyses were performed on complete spectral data as well as quantified metabolic data in intracellular fractions and extracellular media leading to the determination of the most significantly affected metabolites. The effect of dichloroacetate and allopurinol is the most apparent in the metabolic profile of extracellular media. In MCF-7 cells, dichloroacetate treatment is dominant with only a minor observed influence of allopurinol in combined treatment. In MDA-MB-231 cells, both allopurinol and DCA lead to a metabolic shift with the allopurinol change dominating the effect of combined treatment. Results show the power of metabolomics as a tool for fast molecular profiling of drug effects in cells. In summary, treatments of breast cancer cells with DCA and allopurinol result in larger changes in metabolites found in extracellular medium than intracellular pools. © 2013 Crown Copyright and Elsevier Inc.","author":[{"dropping-particle":"","family":"Lefort","given":"Natalie","non-dropping-particle":"","parse-names":false,"suffix":""},{"dropping-particle":"","family":"Brown","given":"Amy","non-dropping-particle":"","parse-names":false,"suffix":""},{"dropping-particle":"","family":"Lloyd","given":"Vett","non-dropping-particle":"","parse-names":false,"suffix":""},{"dropping-particle":"","family":"Ouellette","given":"Rodney","non-dropping-particle":"","parse-names":false,"suffix":""},{"dropping-particle":"","family":"Touaibia","given":"Mohamed","non-dropping-particle":"","parse-names":false,"suffix":""},{"dropping-particle":"","family":"Culf","given":"Adrian S.","non-dropping-particle":"","parse-names":false,"suffix":""},{"dropping-particle":"","family":"Cuperlovic-Culf","given":"Miroslava","non-dropping-particle":"","parse-names":false,"suffix":""}],"container-title":"Journal of Pharmaceutical and Biomedical Analysis","id":"ITEM-1","issued":{"date-parts":[["2014"]]},"page":"77-85","publisher":"Elsevier","title":"1H NMR metabolomics analysis of the effect of dichloroacetate and allopurinol on breast cancers","type":"article-journal","volume":"93"},"uris":["http://www.mendeley.com/documents/?uuid=ffae7a2f-93b8-3056-9ec4-3800067a2b7f"]}],"mendeley":{"formattedCitation":"[11]","plainTextFormattedCitation":"[11]","previouslyFormattedCitation":"[11]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[11]</w:t>
            </w:r>
            <w:r w:rsidRPr="00DF6C69">
              <w:rPr>
                <w:rFonts w:cs="Times New Roman"/>
                <w:sz w:val="18"/>
                <w:szCs w:val="18"/>
              </w:rPr>
              <w:fldChar w:fldCharType="end"/>
            </w:r>
            <w:r w:rsidRPr="00DF6C69">
              <w:rPr>
                <w:rFonts w:cs="Times New Roman"/>
                <w:sz w:val="18"/>
                <w:szCs w:val="18"/>
              </w:rPr>
              <w:t xml:space="preserve">, glutamate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{"citationItems":[{"id":"ITEM-1","itemData":{"DOI":"10.1016/j.jprot.2013.10.002","ISSN":"18743919","PMID":"24125731","abstract":"Molecular subtyping of breast cancer is necessary for therapy selection and mandatory for all breast cancer patients. Metabolic alterations are considered a hallmark of cancer and several metabolic drugs are currently being investigated in clinical trials. However, the dependence of metabolic alterations on breast cancer subtypes has not been investigated on -omics scale. Thus, 204 estrogen receptor positive (ER+) and 67 estrogen receptor negative (ER-) breast cancer tissues were investigated using GC-TOFMS based metabolomics. 19 metabolites were detected as altered in a predefined training set (2/3 of tumors) and could be validated in a predefined validation set (1/3 of tumors). The metabolite changes included increases in beta-alanine, 2-hydroyglutarate, glutamate, xanthine and decreases in glutamine in the ER- subtype. Beta-alanine demonstrated the strongest change between ER- and ER+ breast cancer (fold change = 2.4, p = 1.5E. -20). In a correlation analysis with genome-wide expression data in a subcohort of 154 tumors, we found a strong negative correlation (Spearman R = -0.62) between beta-alanine and 4-aminobutyrate aminotransferase (ABAT). Immunohistological analysis confirmed down-regulation of the ABAT protein in ER- breast cancer. In a Kaplan-Meier analysis of a large external expression data set, the ABAT transcript was demonstrated to be a positive prognostic marker for breast cancer (HR = 0.6, p=3.2E-15). Biological significance: It is well-known for more than a decade that breast cancer exhibits distinct gene expression patterns depending on the molecular subtype defined by estrogen receptor (ER) and HER2 status. Here, we show that breast cancer exhibits distinct metabolomics patterns depending on ER status. Our observation supports the current view of ER+ breast cancer and ER- breast as different diseases requiring different treatment strategies.Metabolic drugs for cancer including glutaminase inhibitors are currently under development and tested in clinical trials. We found glutamate enriched and glutamine reduced in ER- breast cancer compared to ER+ breast cancer and compared to normal breast tissues. Thus, metabolomics analysis highlights the ER- subtype as a preferential target for glutaminase inhibitors.For the first time, we report on a regulation of beta-alanine catabolism in cancer. In breast cancer, ABAT transcript expression was variable and correlated with ER status. Low ABAT transcript expression was associated with low ABAT …","author":[{"dropping-particle":"","family":"Budczies","given":"Jan","non-dropping-particle":"","parse-names":false,"suffix":""},{"dropping-particle":"","family":"Brockmöller","given":"Scarlet F.","non-dropping-particle":"","parse-names":false,"suffix":""},{"dropping-particle":"","family":"Müller","given":"Berit M.","non-dropping-particle":"","parse-names":false,"suffix":""},{"dropping-particle":"","family":"Barupal","given":"Dinesh K.","non-dropping-particle":"","parse-names":false,"suffix":""},{"dropping-particle":"","family":"Richter-Ehrenstein","given":"Christiane","non-dropping-particle":"","parse-names":false,"suffix":""},{"dropping-particle":"","family":"Kleine-Tebbe","given":"Anke","non-dropping-particle":"","parse-names":false,"suffix":""},{"dropping-particle":"","family":"Griffin","given":"Julian L.","non-dropping-particle":"","parse-names":false,"suffix":""},{"dropping-particle":"","family":"Orešič","given":"Matej","non-dropping-particle":"","parse-names":false,"suffix":""},{"dropping-particle":"","family":"Dietel","given":"Manfred","non-dropping-particle":"","parse-names":false,"suffix":""},{"dropping-particle":"","family":"Denkert","given":"Carsten","non-dropping-particle":"","parse-names":false,"suffix":""},{"dropping-particle":"","family":"Fiehn","given":"Oliver","non-dropping-particle":"","parse-names":false,"suffix":""}],"container-title":"Journal of Proteomics","id":"ITEM-1","issued":{"date-parts":[["2013","12","6"]]},"page":"279-288","title":"Comparative metabolomics of estrogen receptor positive and estrogen receptor negative breast cancer: Alterations in glutamine and beta-alanine metabolism","type":"article-journal","volume":"94"},"uris":["http://www.mendeley.com/documents/?uuid=a98dd736-de03-3ecc-9b5e-21135f3af9f8"]}],"mendeley":{"formattedCitation":"[10]","plainTextFormattedCitation":"[10]","previouslyFormattedCitation":"[10]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[10]</w:t>
            </w:r>
            <w:r w:rsidRPr="00DF6C69">
              <w:rPr>
                <w:rFonts w:cs="Times New Roman"/>
                <w:sz w:val="18"/>
                <w:szCs w:val="18"/>
              </w:rPr>
              <w:fldChar w:fldCharType="end"/>
            </w:r>
            <w:r w:rsidRPr="00DF6C69">
              <w:rPr>
                <w:rFonts w:cs="Times New Roman"/>
                <w:sz w:val="18"/>
                <w:szCs w:val="18"/>
              </w:rPr>
              <w:t xml:space="preserve">, glutamine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{"citationItems":[{"id":"ITEM-1","itemData":{"DOI":"10.1016/j.jpba.2013.08.017","ISSN":"1873264X","abstract":"Metabolomics analysis was used to determine the effect of two well known, non-proprietary metabolic modulators, dichloroacetate and allopurinol on breast cancer cell lines. Dichloroacetate, a pyruvate dehydrogenase kinase inhibitor and allopurinol, a xanthine oxidase/dehydrogenase inhibitor, have been previously explored as chemotherapeutics showing potential in some cancer subtypes while at the same time leading to unexpected increase in proliferation in others. In this work, metabolic effects of these drugs, applied singly and in combination, were explored in three different breast cell lines including cancer cells, MDA-MB-231 and MCF-7 and normal control cell line, MCF-10A. The metabolic changes induced by these drugs were monitored by 1H NMR metabolic profiling. Analyses were performed on complete spectral data as well as quantified metabolic data in intracellular fractions and extracellular media leading to the determination of the most significantly affected metabolites. The effect of dichloroacetate and allopurinol is the most apparent in the metabolic profile of extracellular media. In MCF-7 cells, dichloroacetate treatment is dominant with only a minor observed influence of allopurinol in combined treatment. In MDA-MB-231 cells, both allopurinol and DCA lead to a metabolic shift with the allopurinol change dominating the effect of combined treatment. Results show the power of metabolomics as a tool for fast molecular profiling of drug effects in cells. In summary, treatments of breast cancer cells with DCA and allopurinol result in larger changes in metabolites found in extracellular medium than intracellular pools. © 2013 Crown Copyright and Elsevier Inc.","author":[{"dropping-particle":"","family":"Lefort","given":"Natalie","non-dropping-particle":"","parse-names":false,"suffix":""},{"dropping-particle":"","family":"Brown","given":"Amy","non-dropping-particle":"","parse-names":false,"suffix":""},{"dropping-particle":"","family":"Lloyd","given":"Vett","non-dropping-particle":"","parse-names":false,"suffix":""},{"dropping-particle":"","family":"Ouellette","given":"Rodney","non-dropping-particle":"","parse-names":false,"suffix":""},{"dropping-particle":"","family":"Touaibia","given":"Mohamed","non-dropping-particle":"","parse-names":false,"suffix":""},{"dropping-particle":"","family":"Culf","given":"Adrian S.","non-dropping-particle":"","parse-names":false,"suffix":""},{"dropping-particle":"","family":"Cuperlovic-Culf","given":"Miroslava","non-dropping-particle":"","parse-names":false,"suffix":""}],"container-title":"Journal of Pharmaceutical and Biomedical Analysis","id":"ITEM-1","issued":{"date-parts":[["2014"]]},"page":"77-85","publisher":"Elsevier","title":"1H NMR metabolomics analysis of the effect of dichloroacetate and allopurinol on breast cancers","type":"article-journal","volume":"93"},"uris":["http://www.mendeley.com/documents/?uuid=ffae7a2f-93b8-3056-9ec4-3800067a2b7f"]}],"mendeley":{"formattedCitation":"[11]","plainTextFormattedCitation":"[11]","previouslyFormattedCitation":"[11]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[11]</w:t>
            </w:r>
            <w:r w:rsidRPr="00DF6C69">
              <w:rPr>
                <w:rFonts w:cs="Times New Roman"/>
                <w:sz w:val="18"/>
                <w:szCs w:val="18"/>
              </w:rPr>
              <w:fldChar w:fldCharType="end"/>
            </w:r>
            <w:r w:rsidRPr="00DF6C69">
              <w:rPr>
                <w:rFonts w:cs="Times New Roman"/>
                <w:sz w:val="18"/>
                <w:szCs w:val="18"/>
              </w:rPr>
              <w:t xml:space="preserve">, myoinositol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phosphoethanolamine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taurine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asparagine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{"citationItems":[{"id":"ITEM-1","itemData":{"DOI":"10.1038/ncomms11457","ISSN":"20411723","abstract":"Cellular amino acid uptake is critical for mTOR complex 1 (mTORC1) activation and cell proliferation. However, the regulation of amino acid uptake is not well-understood. Here we describe a role for asparagine as an amino acid exchange factor: intracellular asparagine exchanges with extracellular amino acids. Through asparagine synthetase knockdown and altering of media asparagine concentrations, we show that intracellular asparagine levels regulate uptake of amino acids, especially serine, arginine and histidine. Through its exchange factor role, asparagine regulates mTORC1 activity and protein synthesis. In addition, we show that asparagine regulation of serine uptake influences serine metabolism and nucleotide synthesis, suggesting that asparagine is involved in coordinating protein and nucleotide synthesis. Finally, we show that maintenance of intracellular asparagine levels is critical for cancer cell growth. Collectively, our results indicate that asparagine is an important regulator of cancer cell amino acid homeostasis, anabolic metabolism and proliferation.","author":[{"dropping-particle":"","family":"Krall","given":"Abigail S.","non-dropping-particle":"","parse-names":false,"suffix":""},{"dropping-particle":"","family":"Xu","given":"Shili","non-dropping-particle":"","parse-names":false,"suffix":""},{"dropping-particle":"","family":"Graeber","given":"Thomas G.","non-dropping-particle":"","parse-names":false,"suffix":""},{"dropping-particle":"","family":"Braas","given":"Daniel","non-dropping-particle":"","parse-names":false,"suffix":""},{"dropping-particle":"","family":"Christofk","given":"Heather R.","non-dropping-particle":"","parse-names":false,"suffix":""}],"container-title":"Nature Communications","id":"ITEM-1","issued":{"date-parts":[["2016","4","29"]]},"page":"1-13","publisher":"Nature Publishing Group","title":"Asparagine promotes cancer cell proliferation through use as an amino acid exchange factor","type":"article-journal","volume":"7"},"uris":["http://www.mendeley.com/documents/?uuid=2cb50b1a-389f-409f-b5fe-547de6598976"]},{"id":"ITEM-2","itemData":{"DOI":"10.1038/nature25465","ISSN":"14764687","abstract":"Using a functional model of breast cancer heterogeneity, we previously showed that clonal sub-populations proficient at generating circulating tumour cells were not all equally capable of forming metastases at secondary sites. A combination of differential expression and focused in vitro and in vivo RNA interference screens revealed candidate drivers of metastasis that discriminated metastatic clones. Among these, asparagine synthetase expression in a patient's primary tumour was most strongly correlated with later metastatic relapse. Here we show that asparagine bioavailability strongly influences metastatic potential. Limiting asparagine by knockdown of asparagine synthetase, treatment with l-asparaginase, or dietary asparagine restriction reduces metastasis without affecting growth of the primary tumour, whereas increased dietary asparagine or enforced asparagine synthetase expression promotes metastatic progression. Altering asparagine availability in vitro strongly influences invasive potential, which is correlated with an effect on proteins that promote the epithelial-to-mesenchymal transition. This provides at least one potential mechanism for how the bioavailability of a single amino acid could regulate metastatic progression.","author":[{"dropping-particle":"","family":"Knott","given":"Simon R.V.","non-dropping-particle":"","parse-names":false,"suffix":""},{"dropping-particle":"","family":"Wagenblast","given":"Elvin","non-dropping-particle":"","parse-names":false,"suffix":""},{"dropping-particle":"","family":"Khan","given":"Showkhin","non-dropping-particle":"","parse-names":false,"suffix":""},{"dropping-particle":"","family":"Kim","given":"Sun Y.","non-dropping-particle":"","parse-names":false,"suffix":""},{"dropping-particle":"","family":"Soto","given":"Mar","non-dropping-particle":"","parse-names":false,"suffix":""},{"dropping-particle":"","family":"Wagner","given":"Michel","non-dropping-particle":"","parse-names":false,"suffix":""},{"dropping-particle":"","family":"Turgeon","given":"Marc Olivier","non-dropping-particle":"","parse-names":false,"suffix":""},{"dropping-particle":"","family":"Fish","given":"Lisa","non-dropping-particle":"","parse-names":false,"suffix":""},{"dropping-particle":"","family":"Erard","given":"Nicolas","non-dropping-particle":"","parse-names":false,"suffix":""},{"dropping-particle":"","family":"Gable","given":"Annika L.","non-dropping-particle":"","parse-names":false,"suffix":""},{"dropping-particle":"","family":"MacEli","given":"Ashley R.","non-dropping-particle":"","parse-names":false,"suffix":""},{"dropping-particle":"","family":"DIckopf","given":"Steffen","non-dropping-particle":"","parse-names":false,"suffix":""},{"dropping-particle":"","family":"Papachristou","given":"Evangelia K.","non-dropping-particle":"","parse-names":false,"suffix":""},{"dropping-particle":"","family":"D'Santos","given":"Clive S.","non-dropping-particle":"","parse-names":false,"suffix":""},{"dropping-particle":"","family":"Carey","given":"Lisa A.","non-dropping-particle":"","parse-names":false,"suffix":""},{"dropping-particle":"","family":"Wilkinson","given":"John E.","non-dropping-particle":"","parse-names":false,"suffix":""},{"dropping-particle":"","family":"Harrell","given":"J. Chuck","non-dropping-particle":"","parse-names":false,"suffix":""},{"dropping-particle":"","family":"Perou","given":"Charles M.","non-dropping-particle":"","parse-names":false,"suffix":""},{"dropping-particle":"","family":"Goodarzi","given":"Hani","non-dropping-particle":"","parse-names":false,"suffix":""},{"dropping-particle":"","family":"Poulogiannis","given":"George","non-dropping-particle":"","parse-names":false,"suffix":""},{"dropping-particle":"","family":"Hannon","given":"Gregory J.","non-dropping-particle":"","parse-names":false,"suffix":""}],"container-title":"Nature","id":"ITEM-2","issue":"7692","issued":{"date-parts":[["2018","2","15"]]},"page":"378-381","publisher":"Nature Publishing Group","title":"Asparagine bioavailability governs metastasis in a model of breast cancer","type":"article-journal","volume":"554"},"uris":["http://www.mendeley.com/documents/?uuid=c887a1ed-b62f-458c-a54e-e80c5b25bd22"]}],"mendeley":{"formattedCitation":"[12], [13]","plainTextFormattedCitation":"[12], [13]","previouslyFormattedCitation":"[12], [13]"},"properties":{"noteIndex":0},"schema":"https://github.com/citation-style-language/schema/raw/master/csl-citation.json"}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[12], [13]</w:t>
            </w:r>
            <w:r w:rsidRPr="00DF6C69">
              <w:rPr>
                <w:rFonts w:cs="Times New Roman"/>
                <w:sz w:val="18"/>
                <w:szCs w:val="18"/>
              </w:rPr>
              <w:fldChar w:fldCharType="end"/>
            </w:r>
            <w:r w:rsidRPr="00DF6C69">
              <w:rPr>
                <w:rFonts w:cs="Times New Roman"/>
                <w:sz w:val="18"/>
                <w:szCs w:val="18"/>
              </w:rPr>
              <w:t xml:space="preserve">, isoleucine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{"citationItems":[{"id":"ITEM-1","itemData":{"DOI":"10.1016/j.jpba.2013.08.017","ISSN":"1873264X","abstract":"Metabolomics analysis was used to determine the effect of two well known, non-proprietary metabolic modulators, dichloroacetate and allopurinol on breast cancer cell lines. Dichloroacetate, a pyruvate dehydrogenase kinase inhibitor and allopurinol, a xanthine oxidase/dehydrogenase inhibitor, have been previously explored as chemotherapeutics showing potential in some cancer subtypes while at the same time leading to unexpected increase in proliferation in others. In this work, metabolic effects of these drugs, applied singly and in combination, were explored in three different breast cell lines including cancer cells, MDA-MB-231 and MCF-7 and normal control cell line, MCF-10A. The metabolic changes induced by these drugs were monitored by 1H NMR metabolic profiling. Analyses were performed on complete spectral data as well as quantified metabolic data in intracellular fractions and extracellular media leading to the determination of the most significantly affected metabolites. The effect of dichloroacetate and allopurinol is the most apparent in the metabolic profile of extracellular media. In MCF-7 cells, dichloroacetate treatment is dominant with only a minor observed influence of allopurinol in combined treatment. In MDA-MB-231 cells, both allopurinol and DCA lead to a metabolic shift with the allopurinol change dominating the effect of combined treatment. Results show the power of metabolomics as a tool for fast molecular profiling of drug effects in cells. In summary, treatments of breast cancer cells with DCA and allopurinol result in larger changes in metabolites found in extracellular medium than intracellular pools. © 2013 Crown Copyright and Elsevier Inc.","author":[{"dropping-particle":"","family":"Lefort","given":"Natalie","non-dropping-particle":"","parse-names":false,"suffix":""},{"dropping-particle":"","family":"Brown","given":"Amy","non-dropping-particle":"","parse-names":false,"suffix":""},{"dropping-particle":"","family":"Lloyd","given":"Vett","non-dropping-particle":"","parse-names":false,"suffix":""},{"dropping-particle":"","family":"Ouellette","given":"Rodney","non-dropping-particle":"","parse-names":false,"suffix":""},{"dropping-particle":"","family":"Touaibia","given":"Mohamed","non-dropping-particle":"","parse-names":false,"suffix":""},{"dropping-particle":"","family":"Culf","given":"Adrian S.","non-dropping-particle":"","parse-names":false,"suffix":""},{"dropping-particle":"","family":"Cuperlovic-Culf","given":"Miroslava","non-dropping-particle":"","parse-names":false,"suffix":""}],"container-title":"Journal of Pharmaceutical and Biomedical Analysis","id":"ITEM-1","issued":{"date-parts":[["2014"]]},"page":"77-85","publisher":"Elsevier","title":"1H NMR metabolomics analysis of the effect of dichloroacetate and allopurinol on breast cancers","type":"article-journal","volume":"93"},"uris":["http://www.mendeley.com/documents/?uuid=ffae7a2f-93b8-3056-9ec4-3800067a2b7f"]}],"mendeley":{"formattedCitation":"[11]","plainTextFormattedCitation":"[11]","previouslyFormattedCitation":"[11]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[11]</w:t>
            </w:r>
            <w:r w:rsidRPr="00DF6C69">
              <w:rPr>
                <w:rFonts w:cs="Times New Roman"/>
                <w:sz w:val="18"/>
                <w:szCs w:val="18"/>
              </w:rPr>
              <w:fldChar w:fldCharType="end"/>
            </w:r>
            <w:r w:rsidRPr="00DF6C69">
              <w:rPr>
                <w:rFonts w:cs="Times New Roman"/>
                <w:sz w:val="18"/>
                <w:szCs w:val="18"/>
              </w:rPr>
              <w:t xml:space="preserve">, threonine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{"citationItems":[{"id":"ITEM-1","itemData":{"DOI":"10.1016/j.jpba.2013.08.017","ISSN":"1873264X","abstract":"Metabolomics analysis was used to determine the effect of two well known, non-proprietary metabolic modulators, dichloroacetate and allopurinol on breast cancer cell lines. Dichloroacetate, a pyruvate dehydrogenase kinase inhibitor and allopurinol, a xanthine oxidase/dehydrogenase inhibitor, have been previously explored as chemotherapeutics showing potential in some cancer subtypes while at the same time leading to unexpected increase in proliferation in others. In this work, metabolic effects of these drugs, applied singly and in combination, were explored in three different breast cell lines including cancer cells, MDA-MB-231 and MCF-7 and normal control cell line, MCF-10A. The metabolic changes induced by these drugs were monitored by 1H NMR metabolic profiling. Analyses were performed on complete spectral data as well as quantified metabolic data in intracellular fractions and extracellular media leading to the determination of the most significantly affected metabolites. The effect of dichloroacetate and allopurinol is the most apparent in the metabolic profile of extracellular media. In MCF-7 cells, dichloroacetate treatment is dominant with only a minor observed influence of allopurinol in combined treatment. In MDA-MB-231 cells, both allopurinol and DCA lead to a metabolic shift with the allopurinol change dominating the effect of combined treatment. Results show the power of metabolomics as a tool for fast molecular profiling of drug effects in cells. In summary, treatments of breast cancer cells with DCA and allopurinol result in larger changes in metabolites found in extracellular medium than intracellular pools. © 2013 Crown Copyright and Elsevier Inc.","author":[{"dropping-particle":"","family":"Lefort","given":"Natalie","non-dropping-particle":"","parse-names":false,"suffix":""},{"dropping-particle":"","family":"Brown","given":"Amy","non-dropping-particle":"","parse-names":false,"suffix":""},{"dropping-particle":"","family":"Lloyd","given":"Vett","non-dropping-particle":"","parse-names":false,"suffix":""},{"dropping-particle":"","family":"Ouellette","given":"Rodney","non-dropping-particle":"","parse-names":false,"suffix":""},{"dropping-particle":"","family":"Touaibia","given":"Mohamed","non-dropping-particle":"","parse-names":false,"suffix":""},{"dropping-particle":"","family":"Culf","given":"Adrian S.","non-dropping-particle":"","parse-names":false,"suffix":""},{"dropping-particle":"","family":"Cuperlovic-Culf","given":"Miroslava","non-dropping-particle":"","parse-names":false,"suffix":""}],"container-title":"Journal of Pharmaceutical and Biomedical Analysis","id":"ITEM-1","issued":{"date-parts":[["2014"]]},"page":"77-85","publisher":"Elsevier","title":"1H NMR metabolomics analysis of the effect of dichloroacetate and allopurinol on breast cancers","type":"article-journal","volume":"93"},"uris":["http://www.mendeley.com/documents/?uuid=ffae7a2f-93b8-3056-9ec4-3800067a2b7f"]}],"mendeley":{"formattedCitation":"[11]","plainTextFormattedCitation":"[11]","previouslyFormattedCitation":"[11]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[11]</w:t>
            </w:r>
            <w:r w:rsidRPr="00DF6C69">
              <w:rPr>
                <w:rFonts w:cs="Times New Roman"/>
                <w:sz w:val="18"/>
                <w:szCs w:val="18"/>
              </w:rPr>
              <w:fldChar w:fldCharType="end"/>
            </w:r>
          </w:p>
        </w:tc>
      </w:tr>
      <w:tr w:rsidR="00521E89" w:rsidRPr="00DF6C69" w14:paraId="7B9507DE" w14:textId="77777777" w:rsidTr="000765CF">
        <w:trPr>
          <w:trHeight w:val="155"/>
        </w:trPr>
        <w:tc>
          <w:tcPr>
            <w:tcW w:w="1418" w:type="dxa"/>
            <w:vMerge/>
            <w:shd w:val="clear" w:color="auto" w:fill="FFF2CC" w:themeFill="accent4" w:themeFillTint="33"/>
            <w:vAlign w:val="center"/>
          </w:tcPr>
          <w:p w14:paraId="66C164C3" w14:textId="77777777" w:rsidR="00521E89" w:rsidRPr="00DF6C69" w:rsidRDefault="00521E89" w:rsidP="000765CF">
            <w:pPr>
              <w:rPr>
                <w:rFonts w:cs="Times New Roman"/>
                <w:sz w:val="18"/>
                <w:szCs w:val="18"/>
              </w:rPr>
            </w:pPr>
          </w:p>
        </w:tc>
        <w:tc>
          <w:tcPr>
            <w:tcW w:w="993" w:type="dxa"/>
            <w:vAlign w:val="center"/>
          </w:tcPr>
          <w:p w14:paraId="24436D46" w14:textId="77777777" w:rsidR="00521E89" w:rsidRPr="00DF6C69" w:rsidRDefault="00521E89" w:rsidP="000765CF">
            <w:pPr>
              <w:rPr>
                <w:rFonts w:cs="Times New Roman"/>
                <w:sz w:val="18"/>
                <w:szCs w:val="18"/>
              </w:rPr>
            </w:pPr>
            <w:r w:rsidRPr="00DF6C69">
              <w:rPr>
                <w:rFonts w:cs="Times New Roman"/>
                <w:sz w:val="18"/>
                <w:szCs w:val="18"/>
              </w:rPr>
              <w:t>Urine</w:t>
            </w:r>
          </w:p>
        </w:tc>
        <w:tc>
          <w:tcPr>
            <w:tcW w:w="6945" w:type="dxa"/>
            <w:vAlign w:val="center"/>
          </w:tcPr>
          <w:p w14:paraId="49C3E780" w14:textId="27BBE380" w:rsidR="00521E89" w:rsidRPr="00DF6C69" w:rsidRDefault="00521E89" w:rsidP="000765CF">
            <w:pPr>
              <w:rPr>
                <w:rFonts w:cs="Times New Roman"/>
                <w:sz w:val="18"/>
                <w:szCs w:val="18"/>
              </w:rPr>
            </w:pPr>
            <w:r w:rsidRPr="00DF6C69">
              <w:rPr>
                <w:rFonts w:cs="Times New Roman"/>
                <w:sz w:val="18"/>
                <w:szCs w:val="18"/>
              </w:rPr>
              <w:t xml:space="preserve">4-hydrolyphenylacetate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{"citationItems":[{"id":"ITEM-1","itemData":{"DOI":"10.1093/bioinformatics/btp558","ISSN":"13674803","abstract":"Motivation: For the early detection of cancer, highly sensitive and specific biomarkers are needed. Particularly, biomarkers in bio-fluids are relatively more useful because those can be used for non-biopsy tests. Although the altered metabolic activities of cancer cells have been observed in many studies, little is known about metabolic biomarkers for cancer screening. In this study, a systematic method is proposed for identifying metabolic biomarkers in urine samples by selecting candidate biomarkers from altered genome-wide gene expression signatures of cancer cells. Biomarkers identified by the present study have increased coherence and robustness because the significances of biomarkers are validated in both gene expression profiles and metabolic profiles. Results: The proposed method was applied to the gene expression profiles and urine samples of 50 breast cancer patients and 50 normal persons. Nine altered metabolic pathways were identified from the breast cancer gene expression signatures. Among these altered metabolic pathways, four metabolic biomarkers (Homovanillate, 4-hydroxyphenylacetate, 5-hydroxyindoleacetate and urea) were identified to be different in cancer and normal subjects (p &lt;0.05). In the case of the predictive performance, the identified biomarkers achieved area under the ROC curve values of 0.75, 0.79 and 0.79, according to a linear discriminate analysis, a random forest classifier and on a support vector machine, respectively. Finally, biomarkers which showed consistent significance in pathways' gene expression as well as urine samples were identified. © The Author 2009. Published by Oxford University Press.","author":[{"dropping-particle":"","family":"Nam","given":"Hojung","non-dropping-particle":"","parse-names":false,"suffix":""},{"dropping-particle":"","family":"Chung","given":"Bong Chul","non-dropping-particle":"","parse-names":false,"suffix":""},{"dropping-particle":"","family":"Kim","given":"Younghoon","non-dropping-particle":"","parse-names":false,"suffix":""},{"dropping-particle":"","family":"Lee","given":"Ki Young","non-dropping-particle":"","parse-names":false,"suffix":""},{"dropping-particle":"","family":"Lee","given":"Doheon","non-dropping-particle":"","parse-names":false,"suffix":""}],"container-title":"Bioinformatics","id":"ITEM-1","issue":"23","issued":{"date-parts":[["2009","9","25"]]},"page":"3151-3157","title":"Combining tissue transcriptomics and urine metabolomics for breast cancer biomarker identification","type":"article-journal","volume":"25"},"uris":["http://www.mendeley.com/documents/?uuid=9a5ddaff-6b25-4136-9630-6d21f736456b"]}],"mendeley":{"formattedCitation":"[14]","plainTextFormattedCitation":"[14]","previouslyFormattedCitation":"[14]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[14]</w:t>
            </w:r>
            <w:r w:rsidRPr="00DF6C69">
              <w:rPr>
                <w:rFonts w:cs="Times New Roman"/>
                <w:sz w:val="18"/>
                <w:szCs w:val="18"/>
              </w:rPr>
              <w:fldChar w:fldCharType="end"/>
            </w:r>
            <w:r w:rsidRPr="00DF6C69">
              <w:rPr>
                <w:rFonts w:cs="Times New Roman"/>
                <w:sz w:val="18"/>
                <w:szCs w:val="18"/>
              </w:rPr>
              <w:t xml:space="preserve">, 5-hydrixyindoleacetic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{"citationItems":[{"id":"ITEM-1","itemData":{"DOI":"10.1093/bioinformatics/btp558","ISSN":"13674803","abstract":"Motivation: For the early detection of cancer, highly sensitive and specific biomarkers are needed. Particularly, biomarkers in bio-fluids are relatively more useful because those can be used for non-biopsy tests. Although the altered metabolic activities of cancer cells have been observed in many studies, little is known about metabolic biomarkers for cancer screening. In this study, a systematic method is proposed for identifying metabolic biomarkers in urine samples by selecting candidate biomarkers from altered genome-wide gene expression signatures of cancer cells. Biomarkers identified by the present study have increased coherence and robustness because the significances of biomarkers are validated in both gene expression profiles and metabolic profiles. Results: The proposed method was applied to the gene expression profiles and urine samples of 50 breast cancer patients and 50 normal persons. Nine altered metabolic pathways were identified from the breast cancer gene expression signatures. Among these altered metabolic pathways, four metabolic biomarkers (Homovanillate, 4-hydroxyphenylacetate, 5-hydroxyindoleacetate and urea) were identified to be different in cancer and normal subjects (p &lt;0.05). In the case of the predictive performance, the identified biomarkers achieved area under the ROC curve values of 0.75, 0.79 and 0.79, according to a linear discriminate analysis, a random forest classifier and on a support vector machine, respectively. Finally, biomarkers which showed consistent significance in pathways' gene expression as well as urine samples were identified. © The Author 2009. Published by Oxford University Press.","author":[{"dropping-particle":"","family":"Nam","given":"Hojung","non-dropping-particle":"","parse-names":false,"suffix":""},{"dropping-particle":"","family":"Chung","given":"Bong Chul","non-dropping-particle":"","parse-names":false,"suffix":""},{"dropping-particle":"","family":"Kim","given":"Younghoon","non-dropping-particle":"","parse-names":false,"suffix":""},{"dropping-particle":"","family":"Lee","given":"Ki Young","non-dropping-particle":"","parse-names":false,"suffix":""},{"dropping-particle":"","family":"Lee","given":"Doheon","non-dropping-particle":"","parse-names":false,"suffix":""}],"container-title":"Bioinformatics","id":"ITEM-1","issue":"23","issued":{"date-parts":[["2009","9","25"]]},"page":"3151-3157","title":"Combining tissue transcriptomics and urine metabolomics for breast cancer biomarker identification","type":"article-journal","volume":"25"},"uris":["http://www.mendeley.com/documents/?uuid=9a5ddaff-6b25-4136-9630-6d21f736456b"]}],"mendeley":{"formattedCitation":"[14]","plainTextFormattedCitation":"[14]","previouslyFormattedCitation":"[14]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[14]</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homovanillate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{"citationItems":[{"id":"ITEM-1","itemData":{"DOI":"10.1093/bioinformatics/btp558","ISSN":"13674803","abstract":"Motivation: For the early detection of cancer, highly sensitive and specific biomarkers are needed. Particularly, biomarkers in bio-fluids are relatively more useful because those can be used for non-biopsy tests. Although the altered metabolic activities of cancer cells have been observed in many studies, little is known about metabolic biomarkers for cancer screening. In this study, a systematic method is proposed for identifying metabolic biomarkers in urine samples by selecting candidate biomarkers from altered genome-wide gene expression signatures of cancer cells. Biomarkers identified by the present study have increased coherence and robustness because the significances of biomarkers are validated in both gene expression profiles and metabolic profiles. Results: The proposed method was applied to the gene expression profiles and urine samples of 50 breast cancer patients and 50 normal persons. Nine altered metabolic pathways were identified from the breast cancer gene expression signatures. Among these altered metabolic pathways, four metabolic biomarkers (Homovanillate, 4-hydroxyphenylacetate, 5-hydroxyindoleacetate and urea) were identified to be different in cancer and normal subjects (p &lt;0.05). In the case of the predictive performance, the identified biomarkers achieved area under the ROC curve values of 0.75, 0.79 and 0.79, according to a linear discriminate analysis, a random forest classifier and on a support vector machine, respectively. Finally, biomarkers which showed consistent significance in pathways' gene expression as well as urine samples were identified. © The Author 2009. Published by Oxford University Press.","author":[{"dropping-particle":"","family":"Nam","given":"Hojung","non-dropping-particle":"","parse-names":false,"suffix":""},{"dropping-particle":"","family":"Chung","given":"Bong Chul","non-dropping-particle":"","parse-names":false,"suffix":""},{"dropping-particle":"","family":"Kim","given":"Younghoon","non-dropping-particle":"","parse-names":false,"suffix":""},{"dropping-particle":"","family":"Lee","given":"Ki Young","non-dropping-particle":"","parse-names":false,"suffix":""},{"dropping-particle":"","family":"Lee","given":"Doheon","non-dropping-particle":"","parse-names":false,"suffix":""}],"container-title":"Bioinformatics","id":"ITEM-1","issue":"23","issued":{"date-parts":[["2009","9","25"]]},"page":"3151-3157","title":"Combining tissue transcriptomics and urine metabolomics for breast cancer biomarker identification","type":"article-journal","volume":"25"},"uris":["http://www.mendeley.com/documents/?uuid=9a5ddaff-6b25-4136-9630-6d21f736456b"]}],"mendeley":{"formattedCitation":"[14]","plainTextFormattedCitation":"[14]","previouslyFormattedCitation":"[14]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[14]</w:t>
            </w:r>
            <w:r w:rsidRPr="00DF6C69">
              <w:rPr>
                <w:rFonts w:cs="Times New Roman"/>
                <w:sz w:val="18"/>
                <w:szCs w:val="18"/>
              </w:rPr>
              <w:fldChar w:fldCharType="end"/>
            </w:r>
            <w:r w:rsidRPr="00DF6C69">
              <w:rPr>
                <w:rFonts w:cs="Times New Roman"/>
                <w:sz w:val="18"/>
                <w:szCs w:val="18"/>
              </w:rPr>
              <w:t xml:space="preserve">, urea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{"citationItems":[{"id":"ITEM-1","itemData":{"DOI":"10.1093/bioinformatics/btp558","ISSN":"13674803","abstract":"Motivation: For the early detection of cancer, highly sensitive and specific biomarkers are needed. Particularly, biomarkers in bio-fluids are relatively more useful because those can be used for non-biopsy tests. Although the altered metabolic activities of cancer cells have been observed in many studies, little is known about metabolic biomarkers for cancer screening. In this study, a systematic method is proposed for identifying metabolic biomarkers in urine samples by selecting candidate biomarkers from altered genome-wide gene expression signatures of cancer cells. Biomarkers identified by the present study have increased coherence and robustness because the significances of biomarkers are validated in both gene expression profiles and metabolic profiles. Results: The proposed method was applied to the gene expression profiles and urine samples of 50 breast cancer patients and 50 normal persons. Nine altered metabolic pathways were identified from the breast cancer gene expression signatures. Among these altered metabolic pathways, four metabolic biomarkers (Homovanillate, 4-hydroxyphenylacetate, 5-hydroxyindoleacetate and urea) were identified to be different in cancer and normal subjects (p &lt;0.05). In the case of the predictive performance, the identified biomarkers achieved area under the ROC curve values of 0.75, 0.79 and 0.79, according to a linear discriminate analysis, a random forest classifier and on a support vector machine, respectively. Finally, biomarkers which showed consistent significance in pathways' gene expression as well as urine samples were identified. © The Author 2009. Published by Oxford University Press.","author":[{"dropping-particle":"","family":"Nam","given":"Hojung","non-dropping-particle":"","parse-names":false,"suffix":""},{"dropping-particle":"","family":"Chung","given":"Bong Chul","non-dropping-particle":"","parse-names":false,"suffix":""},{"dropping-particle":"","family":"Kim","given":"Younghoon","non-dropping-particle":"","parse-names":false,"suffix":""},{"dropping-particle":"","family":"Lee","given":"Ki Young","non-dropping-particle":"","parse-names":false,"suffix":""},{"dropping-particle":"","family":"Lee","given":"Doheon","non-dropping-particle":"","parse-names":false,"suffix":""}],"container-title":"Bioinformatics","id":"ITEM-1","issue":"23","issued":{"date-parts":[["2009","9","25"]]},"page":"3151-3157","title":"Combining tissue transcriptomics and urine metabolomics for breast cancer biomarker identification","type":"article-journal","volume":"25"},"uris":["http://www.mendeley.com/documents/?uuid=9a5ddaff-6b25-4136-9630-6d21f736456b"]}],"mendeley":{"formattedCitation":"[14]","plainTextFormattedCitation":"[14]","previouslyFormattedCitation":"[14]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[14]</w:t>
            </w:r>
            <w:r w:rsidRPr="00DF6C69">
              <w:rPr>
                <w:rFonts w:cs="Times New Roman"/>
                <w:sz w:val="18"/>
                <w:szCs w:val="18"/>
              </w:rPr>
              <w:fldChar w:fldCharType="end"/>
            </w:r>
          </w:p>
        </w:tc>
      </w:tr>
      <w:tr w:rsidR="00521E89" w:rsidRPr="00DF6C69" w14:paraId="228ABCEA" w14:textId="77777777" w:rsidTr="000765CF">
        <w:trPr>
          <w:trHeight w:val="952"/>
        </w:trPr>
        <w:tc>
          <w:tcPr>
            <w:tcW w:w="1418" w:type="dxa"/>
            <w:vMerge w:val="restart"/>
            <w:shd w:val="clear" w:color="auto" w:fill="FFF2CC" w:themeFill="accent4" w:themeFillTint="33"/>
            <w:vAlign w:val="center"/>
          </w:tcPr>
          <w:p w14:paraId="1F5BBED8" w14:textId="77777777" w:rsidR="00521E89" w:rsidRPr="00DF6C69" w:rsidRDefault="00521E89" w:rsidP="000765CF">
            <w:pPr>
              <w:rPr>
                <w:rFonts w:cs="Times New Roman"/>
                <w:sz w:val="18"/>
                <w:szCs w:val="18"/>
              </w:rPr>
            </w:pPr>
          </w:p>
          <w:p w14:paraId="1DB52D3A" w14:textId="77777777" w:rsidR="00521E89" w:rsidRPr="00DF6C69" w:rsidRDefault="00521E89" w:rsidP="000765CF">
            <w:pPr>
              <w:rPr>
                <w:rFonts w:cs="Times New Roman"/>
                <w:sz w:val="18"/>
                <w:szCs w:val="18"/>
              </w:rPr>
            </w:pPr>
            <w:r w:rsidRPr="00DF6C69">
              <w:rPr>
                <w:rFonts w:cs="Times New Roman"/>
                <w:b/>
                <w:sz w:val="18"/>
                <w:szCs w:val="18"/>
              </w:rPr>
              <w:t>Colorectal</w:t>
            </w:r>
          </w:p>
        </w:tc>
        <w:tc>
          <w:tcPr>
            <w:tcW w:w="993" w:type="dxa"/>
            <w:vAlign w:val="center"/>
          </w:tcPr>
          <w:p w14:paraId="4A94CBDB" w14:textId="77777777" w:rsidR="00521E89" w:rsidRPr="00DF6C69" w:rsidRDefault="00521E89" w:rsidP="000765CF">
            <w:pPr>
              <w:rPr>
                <w:rFonts w:cs="Times New Roman"/>
                <w:sz w:val="18"/>
                <w:szCs w:val="18"/>
              </w:rPr>
            </w:pPr>
            <w:r w:rsidRPr="00DF6C69">
              <w:rPr>
                <w:rFonts w:cs="Times New Roman"/>
                <w:sz w:val="18"/>
                <w:szCs w:val="18"/>
              </w:rPr>
              <w:t>Serum*</w:t>
            </w:r>
          </w:p>
        </w:tc>
        <w:tc>
          <w:tcPr>
            <w:tcW w:w="6945" w:type="dxa"/>
            <w:vAlign w:val="center"/>
          </w:tcPr>
          <w:p w14:paraId="495D7CD4" w14:textId="69E5F4F2" w:rsidR="00521E89" w:rsidRPr="00DF6C69" w:rsidRDefault="00521E89" w:rsidP="000765CF">
            <w:pPr>
              <w:rPr>
                <w:rFonts w:cs="Times New Roman"/>
                <w:sz w:val="18"/>
                <w:szCs w:val="18"/>
              </w:rPr>
            </w:pPr>
            <w:r w:rsidRPr="00DF6C69">
              <w:rPr>
                <w:rFonts w:cs="Times New Roman"/>
                <w:sz w:val="18"/>
                <w:szCs w:val="18"/>
              </w:rPr>
              <w:t xml:space="preserve">2-Hydroxybutyrate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{"citationItems":[{"id":"ITEM-1","itemData":{"DOI":"10.1016/j.canlet.2013.11.011","ISSN":"03043835","abstract":"Colorectal cancer (CRC), a major public health concern, is the second leading cause of cancer death in developed countries. There is a need for better preventive strategies to improve the patient outcome that is substantially influenced by cancer stage at the time of diagnosis. Patients with early stage colorectal have a significant higher 5-year survival rates compared to patients diagnosed at late stage. Although traditional colonoscopy remains the effective means to diagnose CRC, this approach generally suffers from poor patient compliance. Thus, it is important to develop more effective methods for early diagnosis of this disease process, also there is an urgent need for biomarkers to diagnose CRC, assess disease severity, and prognosticate course. Increasing availability of high-throughput methodologies open up new possibilities for screening new potential candidates for identifying biomarkers. Fortunately, metabolomics, the study of all metabolites produced in the body, considered most closely related to a patient's phenotype, can provide clinically useful biomarkers applied in CRC, and may now open new avenues for diagnostics. It has a largely untapped potential in the field of oncology, through the analysis of the cancer metabolome to identify marker metabolites defined here as surrogate indicators of physiological or pathophysiological states. In this review we take a closer look at the metabolomics used within the field of colorectal cancer. Further, we highlight the most interesting metabolomics publications and discuss these in detail; additional studies are mentioned as a reference for the interested reader. © 2013 Elsevier Ireland Ltd.","author":[{"dropping-particle":"","family":"Zhang","given":"Aihua","non-dropping-particle":"","parse-names":false,"suffix":""},{"dropping-particle":"","family":"Sun","given":"Hui","non-dropping-particle":"","parse-names":false,"suffix":""},{"dropping-particle":"","family":"Yan","given":"Guangli","non-dropping-particle":"","parse-names":false,"suffix":""},{"dropping-particle":"","family":"Wang","given":"Ping","non-dropping-particle":"","parse-names":false,"suffix":""},{"dropping-particle":"","family":"Han","given":"Ying","non-dropping-particle":"","parse-names":false,"suffix":""},{"dropping-particle":"","family":"Wang","given":"Xijun","non-dropping-particle":"","parse-names":false,"suffix":""}],"container-title":"Cancer Letters","id":"ITEM-1","issue":"1","issued":{"date-parts":[["2014","4","1"]]},"page":"17-20","publisher":"Elsevier Ireland Ltd","title":"Metabolomics in diagnosis and biomarker discovery of colorectal cancer","type":"article-journal","volume":"345"},"uris":["http://www.mendeley.com/documents/?uuid=763fb470-7687-4c27-8a41-8e789e9ed65b"]}],"mendeley":{"formattedCitation":"[15]","plainTextFormattedCitation":"[15]","previouslyFormattedCitation":"[15]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[15]</w:t>
            </w:r>
            <w:r w:rsidRPr="00DF6C69">
              <w:rPr>
                <w:rFonts w:cs="Times New Roman"/>
                <w:sz w:val="18"/>
                <w:szCs w:val="18"/>
              </w:rPr>
              <w:fldChar w:fldCharType="end"/>
            </w:r>
            <w:r w:rsidRPr="00DF6C69">
              <w:rPr>
                <w:rFonts w:cs="Times New Roman"/>
                <w:sz w:val="18"/>
                <w:szCs w:val="18"/>
              </w:rPr>
              <w:t xml:space="preserve">, 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{"citationItems":[{"id":"ITEM-1","itemData":{"DOI":"10.1007/s11306-011-0357-5","ISSN":"15733882","abstract":"Mass spectrometry-based serum metabolic profiling is a promising tool to analyse complex cancer associated metabolic alterations, which may broaden our pathophysiological understanding of the disease and may function as a source of new cancer-associated biomarkers. Highly standardized serum samples of patients suffering from colon cancer (n = 59) and controls (n = 58) were collected at the University Hospital Leipzig. We based our investigations on amino acid screening profiles using electrospray tandem-mass spectrometry. Metabolic profiles were evaluated using the Analyst 1.4.2 software. General, comparative and equivalence statistics were performed by R 2.12.2. 11 out of 26 serum amino acid concentrations were significantly different between colorectal cancer patients and healthy controls. We found a model including CEA, glycine, and tyrosine as best discriminating and superior to CEA alone with an AUROC of 0.878 (95% CI 0.815-0.941). Our serum metabolic profiling in colon cancer revealed multiple significant disease-associated alterations in the amino acid profile with promising diagnostic power. Further large-scale studies are necessary to elucidate the potential of our model also to discriminate between cancer and potential differential diagnoses. In conclusion, serum glycine and tyrosine in combination with CEA are superior to CEA for the discrimination between colorectal cancer patients and controls. © 2011 The Author(s).","author":[{"dropping-particle":"","family":"Leichtle","given":"Alexander Benedikt","non-dropping-particle":"","parse-names":false,"suffix":""},{"dropping-particle":"","family":"Nuoffer","given":"Jean Marc","non-dropping-particle":"","parse-names":false,"suffix":""},{"dropping-particle":"","family":"Ceglarek","given":"Uta","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Martin","non-dropping-particle":"","parse-names":false,"suffix":""}],"container-title":"Metabolomics","id":"ITEM-1","issue":"4","issued":{"date-parts":[["2012","8"]]},"page":"643-653","title":"Serum amino acid profiles and their alterations in colorectal cancer","type":"article-journal","volume":"8"},"uris":["http://www.mendeley.com/documents/?uuid=8df28114-5f28-378e-82ce-eb240722a8ed"]}],"mendeley":{"formattedCitation":"[16]","plainTextFormattedCitation":"[16]","previouslyFormattedCitation":"[16]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[16]</w:t>
            </w:r>
            <w:r w:rsidRPr="00DF6C69">
              <w:rPr>
                <w:rFonts w:cs="Times New Roman"/>
                <w:sz w:val="18"/>
                <w:szCs w:val="18"/>
              </w:rPr>
              <w:fldChar w:fldCharType="end"/>
            </w:r>
            <w:r w:rsidRPr="00DF6C69">
              <w:rPr>
                <w:rFonts w:cs="Times New Roman"/>
                <w:sz w:val="18"/>
                <w:szCs w:val="18"/>
              </w:rPr>
              <w:t xml:space="preserve">, arginine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aspartic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{"citationItems":[{"id":"ITEM-1","itemData":{"DOI":"10.1016/j.canlet.2013.11.011","ISSN":"03043835","abstract":"Colorectal cancer (CRC), a major public health concern, is the second leading cause of cancer death in developed countries. There is a need for better preventive strategies to improve the patient outcome that is substantially influenced by cancer stage at the time of diagnosis. Patients with early stage colorectal have a significant higher 5-year survival rates compared to patients diagnosed at late stage. Although traditional colonoscopy remains the effective means to diagnose CRC, this approach generally suffers from poor patient compliance. Thus, it is important to develop more effective methods for early diagnosis of this disease process, also there is an urgent need for biomarkers to diagnose CRC, assess disease severity, and prognosticate course. Increasing availability of high-throughput methodologies open up new possibilities for screening new potential candidates for identifying biomarkers. Fortunately, metabolomics, the study of all metabolites produced in the body, considered most closely related to a patient's phenotype, can provide clinically useful biomarkers applied in CRC, and may now open new avenues for diagnostics. It has a largely untapped potential in the field of oncology, through the analysis of the cancer metabolome to identify marker metabolites defined here as surrogate indicators of physiological or pathophysiological states. In this review we take a closer look at the metabolomics used within the field of colorectal cancer. Further, we highlight the most interesting metabolomics publications and discuss these in detail; additional studies are mentioned as a reference for the interested reader. © 2013 Elsevier Ireland Ltd.","author":[{"dropping-particle":"","family":"Zhang","given":"Aihua","non-dropping-particle":"","parse-names":false,"suffix":""},{"dropping-particle":"","family":"Sun","given":"Hui","non-dropping-particle":"","parse-names":false,"suffix":""},{"dropping-particle":"","family":"Yan","given":"Guangli","non-dropping-particle":"","parse-names":false,"suffix":""},{"dropping-particle":"","family":"Wang","given":"Ping","non-dropping-particle":"","parse-names":false,"suffix":""},{"dropping-particle":"","family":"Han","given":"Ying","non-dropping-particle":"","parse-names":false,"suffix":""},{"dropping-particle":"","family":"Wang","given":"Xijun","non-dropping-particle":"","parse-names":false,"suffix":""}],"container-title":"Cancer Letters","id":"ITEM-1","issue":"1","issued":{"date-parts":[["2014","4","1"]]},"page":"17-20","publisher":"Elsevier Ireland Ltd","title":"Metabolomics in diagnosis and biomarker discovery of colorectal cancer","type":"article-journal","volume":"345"},"uris":["http://www.mendeley.com/documents/?uuid=763fb470-7687-4c27-8a41-8e789e9ed65b"]},{"id":"ITEM-2","itemData":{"DOI":"10.1007/s11306-011-0357-5","ISSN":"15733882","abstract":"Mass spectrometry-based serum metabolic profiling is a promising tool to analyse complex cancer associated metabolic alterations, which may broaden our pathophysiological understanding of the disease and may function as a source of new cancer-associated biomarkers. Highly standardized serum samples of patients suffering from colon cancer (n = 59) and controls (n = 58) were collected at the University Hospital Leipzig. We based our investigations on amino acid screening profiles using electrospray tandem-mass spectrometry. Metabolic profiles were evaluated using the Analyst 1.4.2 software. General, comparative and equivalence statistics were performed by R 2.12.2. 11 out of 26 serum amino acid concentrations were significantly different between colorectal cancer patients and healthy controls. We found a model including CEA, glycine, and tyrosine as best discriminating and superior to CEA alone with an AUROC of 0.878 (95% CI 0.815-0.941). Our serum metabolic profiling in colon cancer revealed multiple significant disease-associated alterations in the amino acid profile with promising diagnostic power. Further large-scale studies are necessary to elucidate the potential of our model also to discriminate between cancer and potential differential diagnoses. In conclusion, serum glycine and tyrosine in combination with CEA are superior to CEA for the discrimination between colorectal cancer patients and controls. © 2011 The Author(s).","author":[{"dropping-particle":"","family":"Leichtle","given":"Alexander Benedikt","non-dropping-particle":"","parse-names":false,"suffix":""},{"dropping-particle":"","family":"Nuoffer","given":"Jean Marc","non-dropping-particle":"","parse-names":false,"suffix":""},{"dropping-particle":"","family":"Ceglarek","given":"Uta","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Martin","non-dropping-particle":"","parse-names":false,"suffix":""}],"container-title":"Metabolomics","id":"ITEM-2","issue":"4","issued":{"date-parts":[["2012","8"]]},"page":"643-653","title":"Serum amino acid profiles and their alterations in colorectal cancer","type":"article-journal","volume":"8"},"uris":["http://www.mendeley.com/documents/?uuid=8df28114-5f28-378e-82ce-eb240722a8ed"]}],"mendeley":{"formattedCitation":"[15], [16]","plainTextFormattedCitation":"[15], [16]","previouslyFormattedCitation":"[15], [16]"},"properties":{"noteIndex":0},"schema":"https://github.com/citation-style-language/schema/raw/master/csl-citation.json"}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[15], [16]</w:t>
            </w:r>
            <w:r w:rsidRPr="00DF6C69">
              <w:rPr>
                <w:rFonts w:cs="Times New Roman"/>
                <w:sz w:val="18"/>
                <w:szCs w:val="18"/>
              </w:rPr>
              <w:fldChar w:fldCharType="end"/>
            </w:r>
            <w:r w:rsidRPr="00DF6C69">
              <w:rPr>
                <w:rFonts w:cs="Times New Roman"/>
                <w:sz w:val="18"/>
                <w:szCs w:val="18"/>
              </w:rPr>
              <w:t xml:space="preserve">, 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{"citationItems":[{"id":"ITEM-1","itemData":{"DOI":"10.2217/fon.10.107","ISSN":"14796694","abstract":"Metabolomics represents one of the new omics sciences and capitalizes on the unique presence and concentration of small molecules in tissues and body fluids to construct a 'fingerprint that can be unique to the individual and, within that individual, unique to environmental influences, including health and disease states. As such, metabolomics has the potential to serve an important role in diagnosis and management of human conditions. Colorectal cancer is a major public health concern. Current population-based screening methods are suboptimal and whether metabolomics could represent a new tool of screening is under investigation. The purpose of this systematic review is to summarize existing literature on metabolomics and colorectal cancer, in terms of diagnostic accuracies and distinguishing metabolites. Eight studies are included. A total of 12 metabolites (taurine, lactate, choline, inositol, glycine, phosphocholine, proline, phenylalanine, alanine, threonine, valine and leucine) were found to be more prevalent in colorectal cancer and glucose was found to be in higher proportion in control specimens using tissue metabolomics. Serum and urine metabolomics identified several other differential metabolites between controls and colorectal cancer patients. This article highlights the novelty of the field of metabolomics in colorectal oncology. © 2010 Future Medicine Ltd.","author":[{"dropping-particle":"","family":"Wang","given":"Haili","non-dropping-particle":"","parse-names":false,"suffix":""},{"dropping-particle":"","family":"Tso","given":"Victor K.","non-dropping-particle":"","parse-names":false,"suffix":""},{"dropping-particle":"","family":"Slupsky","given":"Carolyn M.","non-dropping-particle":"","parse-names":false,"suffix":""},{"dropping-particle":"","family":"Fedorak","given":"Richard N.","non-dropping-particle":"","parse-names":false,"suffix":""}],"container-title":"Future Oncology","id":"ITEM-1","issue":"9","issued":{"date-parts":[["2010","9"]]},"page":"1395-1406","title":"Metabolomics and detection of colorectal cancer in humans: A systematic review","type":"article","volume":"6"},"uris":["http://www.mendeley.com/documents/?uuid=515e3bbe-0629-3540-96ca-70aa8a27c645"]}],"mendeley":{"formattedCitation":"[17]","plainTextFormattedCitation":"[17]","previouslyFormattedCitation":"[17]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[17]</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cystamine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{"citationItems":[{"id":"ITEM-1","itemData":{"DOI":"10.1016/j.canlet.2013.11.011","ISSN":"03043835","abstract":"Colorectal cancer (CRC), a major public health concern, is the second leading cause of cancer death in developed countries. There is a need for better preventive strategies to improve the patient outcome that is substantially influenced by cancer stage at the time of diagnosis. Patients with early stage colorectal have a significant higher 5-year survival rates compared to patients diagnosed at late stage. Although traditional colonoscopy remains the effective means to diagnose CRC, this approach generally suffers from poor patient compliance. Thus, it is important to develop more effective methods for early diagnosis of this disease process, also there is an urgent need for biomarkers to diagnose CRC, assess disease severity, and prognosticate course. Increasing availability of high-throughput methodologies open up new possibilities for screening new potential candidates for identifying biomarkers. Fortunately, metabolomics, the study of all metabolites produced in the body, considered most closely related to a patient's phenotype, can provide clinically useful biomarkers applied in CRC, and may now open new avenues for diagnostics. It has a largely untapped potential in the field of oncology, through the analysis of the cancer metabolome to identify marker metabolites defined here as surrogate indicators of physiological or pathophysiological states. In this review we take a closer look at the metabolomics used within the field of colorectal cancer. Further, we highlight the most interesting metabolomics publications and discuss these in detail; additional studies are mentioned as a reference for the interested reader. © 2013 Elsevier Ireland Ltd.","author":[{"dropping-particle":"","family":"Zhang","given":"Aihua","non-dropping-particle":"","parse-names":false,"suffix":""},{"dropping-particle":"","family":"Sun","given":"Hui","non-dropping-particle":"","parse-names":false,"suffix":""},{"dropping-particle":"","family":"Yan","given":"Guangli","non-dropping-particle":"","parse-names":false,"suffix":""},{"dropping-particle":"","family":"Wang","given":"Ping","non-dropping-particle":"","parse-names":false,"suffix":""},{"dropping-particle":"","family":"Han","given":"Ying","non-dropping-particle":"","parse-names":false,"suffix":""},{"dropping-particle":"","family":"Wang","given":"Xijun","non-dropping-particle":"","parse-names":false,"suffix":""}],"container-title":"Cancer Letters","id":"ITEM-1","issue":"1","issued":{"date-parts":[["2014","4","1"]]},"page":"17-20","publisher":"Elsevier Ireland Ltd","title":"Metabolomics in diagnosis and biomarker discovery of colorectal cancer","type":"article-journal","volume":"345"},"uris":["http://www.mendeley.com/documents/?uuid=763fb470-7687-4c27-8a41-8e789e9ed65b"]}],"mendeley":{"formattedCitation":"[15]","plainTextFormattedCitation":"[15]","previouslyFormattedCitation":"[15]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[15]</w:t>
            </w:r>
            <w:r w:rsidRPr="00DF6C69">
              <w:rPr>
                <w:rFonts w:cs="Times New Roman"/>
                <w:sz w:val="18"/>
                <w:szCs w:val="18"/>
              </w:rPr>
              <w:fldChar w:fldCharType="end"/>
            </w:r>
            <w:r w:rsidRPr="00DF6C69">
              <w:rPr>
                <w:rFonts w:cs="Times New Roman"/>
                <w:sz w:val="18"/>
                <w:szCs w:val="18"/>
              </w:rPr>
              <w:t xml:space="preserve">, cysteine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fatty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glucose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glycin</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{"citationItems":[{"id":"ITEM-1","itemData":{"DOI":"10.2217/fon.10.107","ISSN":"14796694","abstract":"Metabolomics represents one of the new omics sciences and capitalizes on the unique presence and concentration of small molecules in tissues and body fluids to construct a 'fingerprint that can be unique to the individual and, within that individual, unique to environmental influences, including health and disease states. As such, metabolomics has the potential to serve an important role in diagnosis and management of human conditions. Colorectal cancer is a major public health concern. Current population-based screening methods are suboptimal and whether metabolomics could represent a new tool of screening is under investigation. The purpose of this systematic review is to summarize existing literature on metabolomics and colorectal cancer, in terms of diagnostic accuracies and distinguishing metabolites. Eight studies are included. A total of 12 metabolites (taurine, lactate, choline, inositol, glycine, phosphocholine, proline, phenylalanine, alanine, threonine, valine and leucine) were found to be more prevalent in colorectal cancer and glucose was found to be in higher proportion in control specimens using tissue metabolomics. Serum and urine metabolomics identified several other differential metabolites between controls and colorectal cancer patients. This article highlights the novelty of the field of metabolomics in colorectal oncology. © 2010 Future Medicine Ltd.","author":[{"dropping-particle":"","family":"Wang","given":"Haili","non-dropping-particle":"","parse-names":false,"suffix":""},{"dropping-particle":"","family":"Tso","given":"Victor K.","non-dropping-particle":"","parse-names":false,"suffix":""},{"dropping-particle":"","family":"Slupsky","given":"Carolyn M.","non-dropping-particle":"","parse-names":false,"suffix":""},{"dropping-particle":"","family":"Fedorak","given":"Richard N.","non-dropping-particle":"","parse-names":false,"suffix":""}],"container-title":"Future Oncology","id":"ITEM-1","issue":"9","issued":{"date-parts":[["2010","9"]]},"page":"1395-1406","title":"Metabolomics and detection of colorectal cancer in humans: A systematic review","type":"article","volume":"6"},"uris":["http://www.mendeley.com/documents/?uuid=515e3bbe-0629-3540-96ca-70aa8a27c645"]}],"mendeley":{"formattedCitation":"[17]","plainTextFormattedCitation":"[17]","previouslyFormattedCitation":"[17]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[17]</w:t>
            </w:r>
            <w:r w:rsidRPr="00DF6C69">
              <w:rPr>
                <w:rFonts w:cs="Times New Roman"/>
                <w:sz w:val="18"/>
                <w:szCs w:val="18"/>
              </w:rPr>
              <w:fldChar w:fldCharType="end"/>
            </w:r>
            <w:r w:rsidRPr="00DF6C69">
              <w:rPr>
                <w:rFonts w:cs="Times New Roman"/>
                <w:sz w:val="18"/>
                <w:szCs w:val="18"/>
              </w:rPr>
              <w:t xml:space="preserve">, glycine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{"citationItems":[{"id":"ITEM-1","itemData":{"DOI":"10.1007/s11306-011-0357-5","ISSN":"15733882","abstract":"Mass spectrometry-based serum metabolic profiling is a promising tool to analyse complex cancer associated metabolic alterations, which may broaden our pathophysiological understanding of the disease and may function as a source of new cancer-associated biomarkers. Highly standardized serum samples of patients suffering from colon cancer (n = 59) and controls (n = 58) were collected at the University Hospital Leipzig. We based our investigations on amino acid screening profiles using electrospray tandem-mass spectrometry. Metabolic profiles were evaluated using the Analyst 1.4.2 software. General, comparative and equivalence statistics were performed by R 2.12.2. 11 out of 26 serum amino acid concentrations were significantly different between colorectal cancer patients and healthy controls. We found a model including CEA, glycine, and tyrosine as best discriminating and superior to CEA alone with an AUROC of 0.878 (95% CI 0.815-0.941). Our serum metabolic profiling in colon cancer revealed multiple significant disease-associated alterations in the amino acid profile with promising diagnostic power. Further large-scale studies are necessary to elucidate the potential of our model also to discriminate between cancer and potential differential diagnoses. In conclusion, serum glycine and tyrosine in combination with CEA are superior to CEA for the discrimination between colorectal cancer patients and controls. © 2011 The Author(s).","author":[{"dropping-particle":"","family":"Leichtle","given":"Alexander Benedikt","non-dropping-particle":"","parse-names":false,"suffix":""},{"dropping-particle":"","family":"Nuoffer","given":"Jean Marc","non-dropping-particle":"","parse-names":false,"suffix":""},{"dropping-particle":"","family":"Ceglarek","given":"Uta","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Martin","non-dropping-particle":"","parse-names":false,"suffix":""}],"container-title":"Metabolomics","id":"ITEM-1","issue":"4","issued":{"date-parts":[["2012","8"]]},"page":"643-653","title":"Serum amino acid profiles and their alterations in colorectal cancer","type":"article-journal","volume":"8"},"uris":["http://www.mendeley.com/documents/?uuid=8df28114-5f28-378e-82ce-eb240722a8ed"]}],"mendeley":{"formattedCitation":"[16]","plainTextFormattedCitation":"[16]","previouslyFormattedCitation":"[16]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[16]</w:t>
            </w:r>
            <w:r w:rsidRPr="00DF6C69">
              <w:rPr>
                <w:rFonts w:cs="Times New Roman"/>
                <w:sz w:val="18"/>
                <w:szCs w:val="18"/>
              </w:rPr>
              <w:fldChar w:fldCharType="end"/>
            </w:r>
            <w:r w:rsidRPr="00DF6C69">
              <w:rPr>
                <w:rFonts w:cs="Times New Roman"/>
                <w:sz w:val="18"/>
                <w:szCs w:val="18"/>
              </w:rPr>
              <w:t xml:space="preserve">, histidine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{"citationItems":[{"id":"ITEM-1","itemData":{"DOI":"10.1007/s11306-011-0357-5","ISSN":"15733882","abstract":"Mass spectrometry-based serum metabolic profiling is a promising tool to analyse complex cancer associated metabolic alterations, which may broaden our pathophysiological understanding of the disease and may function as a source of new cancer-associated biomarkers. Highly standardized serum samples of patients suffering from colon cancer (n = 59) and controls (n = 58) were collected at the University Hospital Leipzig. We based our investigations on amino acid screening profiles using electrospray tandem-mass spectrometry. Metabolic profiles were evaluated using the Analyst 1.4.2 software. General, comparative and equivalence statistics were performed by R 2.12.2. 11 out of 26 serum amino acid concentrations were significantly different between colorectal cancer patients and healthy controls. We found a model including CEA, glycine, and tyrosine as best discriminating and superior to CEA alone with an AUROC of 0.878 (95% CI 0.815-0.941). Our serum metabolic profiling in colon cancer revealed multiple significant disease-associated alterations in the amino acid profile with promising diagnostic power. Further large-scale studies are necessary to elucidate the potential of our model also to discriminate between cancer and potential differential diagnoses. In conclusion, serum glycine and tyrosine in combination with CEA are superior to CEA for the discrimination between colorectal cancer patients and controls. © 2011 The Author(s).","author":[{"dropping-particle":"","family":"Leichtle","given":"Alexander Benedikt","non-dropping-particle":"","parse-names":false,"suffix":""},{"dropping-particle":"","family":"Nuoffer","given":"Jean Marc","non-dropping-particle":"","parse-names":false,"suffix":""},{"dropping-particle":"","family":"Ceglarek","given":"Uta","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Martin","non-dropping-particle":"","parse-names":false,"suffix":""}],"container-title":"Metabolomics","id":"ITEM-1","issue":"4","issued":{"date-parts":[["2012","8"]]},"page":"643-653","title":"Serum amino acid profiles and their alterations in colorectal cancer","type":"article-journal","volume":"8"},"uris":["http://www.mendeley.com/documents/?uuid=8df28114-5f28-378e-82ce-eb240722a8ed"]}],"mendeley":{"formattedCitation":"[16]","plainTextFormattedCitation":"[16]","previouslyFormattedCitation":"[16]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[16]</w:t>
            </w:r>
            <w:r w:rsidRPr="00DF6C69">
              <w:rPr>
                <w:rFonts w:cs="Times New Roman"/>
                <w:sz w:val="18"/>
                <w:szCs w:val="18"/>
              </w:rPr>
              <w:fldChar w:fldCharType="end"/>
            </w:r>
            <w:r w:rsidRPr="00DF6C69">
              <w:rPr>
                <w:rFonts w:cs="Times New Roman"/>
                <w:sz w:val="18"/>
                <w:szCs w:val="18"/>
              </w:rPr>
              <w:t xml:space="preserve">, inositol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{"citationItems":[{"id":"ITEM-1","itemData":{"DOI":"10.2217/fon.10.107","ISSN":"14796694","abstract":"Metabolomics represents one of the new omics sciences and capitalizes on the unique presence and concentration of small molecules in tissues and body fluids to construct a 'fingerprint that can be unique to the individual and, within that individual, unique to environmental influences, including health and disease states. As such, metabolomics has the potential to serve an important role in diagnosis and management of human conditions. Colorectal cancer is a major public health concern. Current population-based screening methods are suboptimal and whether metabolomics could represent a new tool of screening is under investigation. The purpose of this systematic review is to summarize existing literature on metabolomics and colorectal cancer, in terms of diagnostic accuracies and distinguishing metabolites. Eight studies are included. A total of 12 metabolites (taurine, lactate, choline, inositol, glycine, phosphocholine, proline, phenylalanine, alanine, threonine, valine and leucine) were found to be more prevalent in colorectal cancer and glucose was found to be in higher proportion in control specimens using tissue metabolomics. Serum and urine metabolomics identified several other differential metabolites between controls and colorectal cancer patients. This article highlights the novelty of the field of metabolomics in colorectal oncology. © 2010 Future Medicine Ltd.","author":[{"dropping-particle":"","family":"Wang","given":"Haili","non-dropping-particle":"","parse-names":false,"suffix":""},{"dropping-particle":"","family":"Tso","given":"Victor K.","non-dropping-particle":"","parse-names":false,"suffix":""},{"dropping-particle":"","family":"Slupsky","given":"Carolyn M.","non-dropping-particle":"","parse-names":false,"suffix":""},{"dropping-particle":"","family":"Fedorak","given":"Richard N.","non-dropping-particle":"","parse-names":false,"suffix":""}],"container-title":"Future Oncology","id":"ITEM-1","issue":"9","issued":{"date-parts":[["2010","9"]]},"page":"1395-1406","title":"Metabolomics and detection of colorectal cancer in humans: A systematic review","type":"article","volume":"6"},"uris":["http://www.mendeley.com/documents/?uuid=515e3bbe-0629-3540-96ca-70aa8a27c645"]}],"mendeley":{"formattedCitation":"[17]","plainTextFormattedCitation":"[17]","previouslyFormattedCitation":"[17]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[17]</w:t>
            </w:r>
            <w:r w:rsidRPr="00DF6C69">
              <w:rPr>
                <w:rFonts w:cs="Times New Roman"/>
                <w:sz w:val="18"/>
                <w:szCs w:val="18"/>
              </w:rPr>
              <w:fldChar w:fldCharType="end"/>
            </w:r>
            <w:r w:rsidRPr="00DF6C69">
              <w:rPr>
                <w:rFonts w:cs="Times New Roman"/>
                <w:sz w:val="18"/>
                <w:szCs w:val="18"/>
              </w:rPr>
              <w:t xml:space="preserve">, isoleucine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{"citationItems":[{"id":"ITEM-1","itemData":{"DOI":"10.1007/s11306-011-0357-5","ISSN":"15733882","abstract":"Mass spectrometry-based serum metabolic profiling is a promising tool to analyse complex cancer associated metabolic alterations, which may broaden our pathophysiological understanding of the disease and may function as a source of new cancer-associated biomarkers. Highly standardized serum samples of patients suffering from colon cancer (n = 59) and controls (n = 58) were collected at the University Hospital Leipzig. We based our investigations on amino acid screening profiles using electrospray tandem-mass spectrometry. Metabolic profiles were evaluated using the Analyst 1.4.2 software. General, comparative and equivalence statistics were performed by R 2.12.2. 11 out of 26 serum amino acid concentrations were significantly different between colorectal cancer patients and healthy controls. We found a model including CEA, glycine, and tyrosine as best discriminating and superior to CEA alone with an AUROC of 0.878 (95% CI 0.815-0.941). Our serum metabolic profiling in colon cancer revealed multiple significant disease-associated alterations in the amino acid profile with promising diagnostic power. Further large-scale studies are necessary to elucidate the potential of our model also to discriminate between cancer and potential differential diagnoses. In conclusion, serum glycine and tyrosine in combination with CEA are superior to CEA for the discrimination between colorectal cancer patients and controls. © 2011 The Author(s).","author":[{"dropping-particle":"","family":"Leichtle","given":"Alexander Benedikt","non-dropping-particle":"","parse-names":false,"suffix":""},{"dropping-particle":"","family":"Nuoffer","given":"Jean Marc","non-dropping-particle":"","parse-names":false,"suffix":""},{"dropping-particle":"","family":"Ceglarek","given":"Uta","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Martin","non-dropping-particle":"","parse-names":false,"suffix":""}],"container-title":"Metabolomics","id":"ITEM-1","issue":"4","issued":{"date-parts":[["2012","8"]]},"page":"643-653","title":"Serum amino acid profiles and their alterations in colorectal cancer","type":"article-journal","volume":"8"},"uris":["http://www.mendeley.com/documents/?uuid=8df28114-5f28-378e-82ce-eb240722a8ed"]}],"mendeley":{"formattedCitation":"[16]","plainTextFormattedCitation":"[16]","previouslyFormattedCitation":"[16]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[16]</w:t>
            </w:r>
            <w:r w:rsidRPr="00DF6C69">
              <w:rPr>
                <w:rFonts w:cs="Times New Roman"/>
                <w:sz w:val="18"/>
                <w:szCs w:val="18"/>
              </w:rPr>
              <w:fldChar w:fldCharType="end"/>
            </w:r>
            <w:r w:rsidRPr="00DF6C69">
              <w:rPr>
                <w:rFonts w:cs="Times New Roman"/>
                <w:sz w:val="18"/>
                <w:szCs w:val="18"/>
              </w:rPr>
              <w:t xml:space="preserve">, kynurenine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{"citationItems":[{"id":"ITEM-1","itemData":{"DOI":"10.1016/j.canlet.2013.11.011","ISSN":"03043835","abstract":"Colorectal cancer (CRC), a major public health concern, is the second leading cause of cancer death in developed countries. There is a need for better preventive strategies to improve the patient outcome that is substantially influenced by cancer stage at the time of diagnosis. Patients with early stage colorectal have a significant higher 5-year survival rates compared to patients diagnosed at late stage. Although traditional colonoscopy remains the effective means to diagnose CRC, this approach generally suffers from poor patient compliance. Thus, it is important to develop more effective methods for early diagnosis of this disease process, also there is an urgent need for biomarkers to diagnose CRC, assess disease severity, and prognosticate course. Increasing availability of high-throughput methodologies open up new possibilities for screening new potential candidates for identifying biomarkers. Fortunately, metabolomics, the study of all metabolites produced in the body, considered most closely related to a patient's phenotype, can provide clinically useful biomarkers applied in CRC, and may now open new avenues for diagnostics. It has a largely untapped potential in the field of oncology, through the analysis of the cancer metabolome to identify marker metabolites defined here as surrogate indicators of physiological or pathophysiological states. In this review we take a closer look at the metabolomics used within the field of colorectal cancer. Further, we highlight the most interesting metabolomics publications and discuss these in detail; additional studies are mentioned as a reference for the interested reader. © 2013 Elsevier Ireland Ltd.","author":[{"dropping-particle":"","family":"Zhang","given":"Aihua","non-dropping-particle":"","parse-names":false,"suffix":""},{"dropping-particle":"","family":"Sun","given":"Hui","non-dropping-particle":"","parse-names":false,"suffix":""},{"dropping-particle":"","family":"Yan","given":"Guangli","non-dropping-particle":"","parse-names":false,"suffix":""},{"dropping-particle":"","family":"Wang","given":"Ping","non-dropping-particle":"","parse-names":false,"suffix":""},{"dropping-particle":"","family":"Han","given":"Ying","non-dropping-particle":"","parse-names":false,"suffix":""},{"dropping-particle":"","family":"Wang","given":"Xijun","non-dropping-particle":"","parse-names":false,"suffix":""}],"container-title":"Cancer Letters","id":"ITEM-1","issue":"1","issued":{"date-parts":[["2014","4","1"]]},"page":"17-20","publisher":"Elsevier Ireland Ltd","title":"Metabolomics in diagnosis and biomarker discovery of colorectal cancer","type":"article-journal","volume":"345"},"uris":["http://www.mendeley.com/documents/?uuid=763fb470-7687-4c27-8a41-8e789e9ed65b"]}],"mendeley":{"formattedCitation":"[15]","plainTextFormattedCitation":"[15]","previouslyFormattedCitation":"[15]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[15]</w:t>
            </w:r>
            <w:r w:rsidRPr="00DF6C69">
              <w:rPr>
                <w:rFonts w:cs="Times New Roman"/>
                <w:sz w:val="18"/>
                <w:szCs w:val="18"/>
              </w:rPr>
              <w:fldChar w:fldCharType="end"/>
            </w:r>
            <w:r w:rsidRPr="00DF6C69">
              <w:rPr>
                <w:rFonts w:cs="Times New Roman"/>
                <w:sz w:val="18"/>
                <w:szCs w:val="18"/>
              </w:rPr>
              <w:t xml:space="preserve">, lactate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{"citationItems":[{"id":"ITEM-1","itemData":{"DOI":"10.2217/fon.10.107","ISSN":"14796694","abstract":"Metabolomics represents one of the new omics sciences and capitalizes on the unique presence and concentration of small molecules in tissues and body fluids to construct a 'fingerprint that can be unique to the individual and, within that individual, unique to environmental influences, including health and disease states. As such, metabolomics has the potential to serve an important role in diagnosis and management of human conditions. Colorectal cancer is a major public health concern. Current population-based screening methods are suboptimal and whether metabolomics could represent a new tool of screening is under investigation. The purpose of this systematic review is to summarize existing literature on metabolomics and colorectal cancer, in terms of diagnostic accuracies and distinguishing metabolites. Eight studies are included. A total of 12 metabolites (taurine, lactate, choline, inositol, glycine, phosphocholine, proline, phenylalanine, alanine, threonine, valine and leucine) were found to be more prevalent in colorectal cancer and glucose was found to be in higher proportion in control specimens using tissue metabolomics. Serum and urine metabolomics identified several other differential metabolites between controls and colorectal cancer patients. This article highlights the novelty of the field of metabolomics in colorectal oncology. © 2010 Future Medicine Ltd.","author":[{"dropping-particle":"","family":"Wang","given":"Haili","non-dropping-particle":"","parse-names":false,"suffix":""},{"dropping-particle":"","family":"Tso","given":"Victor K.","non-dropping-particle":"","parse-names":false,"suffix":""},{"dropping-particle":"","family":"Slupsky","given":"Carolyn M.","non-dropping-particle":"","parse-names":false,"suffix":""},{"dropping-particle":"","family":"Fedorak","given":"Richard N.","non-dropping-particle":"","parse-names":false,"suffix":""}],"container-title":"Future Oncology","id":"ITEM-1","issue":"9","issued":{"date-parts":[["2010","9"]]},"page":"1395-1406","title":"Metabolomics and detection of colorectal cancer in humans: A systematic review","type":"article","volume":"6"},"uris":["http://www.mendeley.com/documents/?uuid=515e3bbe-0629-3540-96ca-70aa8a27c645"]}],"mendeley":{"formattedCitation":"[17]","plainTextFormattedCitation":"[17]","previouslyFormattedCitation":"[17]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[17]</w:t>
            </w:r>
            <w:r w:rsidRPr="00DF6C69">
              <w:rPr>
                <w:rFonts w:cs="Times New Roman"/>
                <w:sz w:val="18"/>
                <w:szCs w:val="18"/>
              </w:rPr>
              <w:fldChar w:fldCharType="end"/>
            </w:r>
            <w:r w:rsidRPr="00DF6C69">
              <w:rPr>
                <w:rFonts w:cs="Times New Roman"/>
                <w:sz w:val="18"/>
                <w:szCs w:val="18"/>
              </w:rPr>
              <w:t xml:space="preserve">, leucine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{"citationItems":[{"id":"ITEM-1","itemData":{"DOI":"10.2217/fon.10.107","ISSN":"14796694","abstract":"Metabolomics represents one of the new omics sciences and capitalizes on the unique presence and concentration of small molecules in tissues and body fluids to construct a 'fingerprint that can be unique to the individual and, within that individual, unique to environmental influences, including health and disease states. As such, metabolomics has the potential to serve an important role in diagnosis and management of human conditions. Colorectal cancer is a major public health concern. Current population-based screening methods are suboptimal and whether metabolomics could represent a new tool of screening is under investigation. The purpose of this systematic review is to summarize existing literature on metabolomics and colorectal cancer, in terms of diagnostic accuracies and distinguishing metabolites. Eight studies are included. A total of 12 metabolites (taurine, lactate, choline, inositol, glycine, phosphocholine, proline, phenylalanine, alanine, threonine, valine and leucine) were found to be more prevalent in colorectal cancer and glucose was found to be in higher proportion in control specimens using tissue metabolomics. Serum and urine metabolomics identified several other differential metabolites between controls and colorectal cancer patients. This article highlights the novelty of the field of metabolomics in colorectal oncology. © 2010 Future Medicine Ltd.","author":[{"dropping-particle":"","family":"Wang","given":"Haili","non-dropping-particle":"","parse-names":false,"suffix":""},{"dropping-particle":"","family":"Tso","given":"Victor K.","non-dropping-particle":"","parse-names":false,"suffix":""},{"dropping-particle":"","family":"Slupsky","given":"Carolyn M.","non-dropping-particle":"","parse-names":false,"suffix":""},{"dropping-particle":"","family":"Fedorak","given":"Richard N.","non-dropping-particle":"","parse-names":false,"suffix":""}],"container-title":"Future Oncology","id":"ITEM-1","issue":"9","issued":{"date-parts":[["2010","9"]]},"page":"1395-1406","title":"Metabolomics and detection of colorectal cancer in humans: A systematic review","type":"article","volume":"6"},"uris":["http://www.mendeley.com/documents/?uuid=515e3bbe-0629-3540-96ca-70aa8a27c645"]}],"mendeley":{"formattedCitation":"[17]","plainTextFormattedCitation":"[17]","previouslyFormattedCitation":"[17]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[17]</w:t>
            </w:r>
            <w:r w:rsidRPr="00DF6C69">
              <w:rPr>
                <w:rFonts w:cs="Times New Roman"/>
                <w:sz w:val="18"/>
                <w:szCs w:val="18"/>
              </w:rPr>
              <w:fldChar w:fldCharType="end"/>
            </w:r>
            <w:r w:rsidRPr="00DF6C69">
              <w:rPr>
                <w:rFonts w:cs="Times New Roman"/>
                <w:sz w:val="18"/>
                <w:szCs w:val="18"/>
              </w:rPr>
              <w:t xml:space="preserve">, lysine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{"citationItems":[{"id":"ITEM-1","itemData":{"DOI":"10.1007/s11306-011-0357-5","ISSN":"15733882","abstract":"Mass spectrometry-based serum metabolic profiling is a promising tool to analyse complex cancer associated metabolic alterations, which may broaden our pathophysiological understanding of the disease and may function as a source of new cancer-associated biomarkers. Highly standardized serum samples of patients suffering from colon cancer (n = 59) and controls (n = 58) were collected at the University Hospital Leipzig. We based our investigations on amino acid screening profiles using electrospray tandem-mass spectrometry. Metabolic profiles were evaluated using the Analyst 1.4.2 software. General, comparative and equivalence statistics were performed by R 2.12.2. 11 out of 26 serum amino acid concentrations were significantly different between colorectal cancer patients and healthy controls. We found a model including CEA, glycine, and tyrosine as best discriminating and superior to CEA alone with an AUROC of 0.878 (95% CI 0.815-0.941). Our serum metabolic profiling in colon cancer revealed multiple significant disease-associated alterations in the amino acid profile with promising diagnostic power. Further large-scale studies are necessary to elucidate the potential of our model also to discriminate between cancer and potential differential diagnoses. In conclusion, serum glycine and tyrosine in combination with CEA are superior to CEA for the discrimination between colorectal cancer patients and controls. © 2011 The Author(s).","author":[{"dropping-particle":"","family":"Leichtle","given":"Alexander Benedikt","non-dropping-particle":"","parse-names":false,"suffix":""},{"dropping-particle":"","family":"Nuoffer","given":"Jean Marc","non-dropping-particle":"","parse-names":false,"suffix":""},{"dropping-particle":"","family":"Ceglarek","given":"Uta","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Martin","non-dropping-particle":"","parse-names":false,"suffix":""}],"container-title":"Metabolomics","id":"ITEM-1","issue":"4","issued":{"date-parts":[["2012","8"]]},"page":"643-653","title":"Serum amino acid profiles and their alterations in colorectal cancer","type":"article-journal","volume":"8"},"uris":["http://www.mendeley.com/documents/?uuid=8df28114-5f28-378e-82ce-eb240722a8ed"]}],"mendeley":{"formattedCitation":"[16]","plainTextFormattedCitation":"[16]","previouslyFormattedCitation":"[16]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[16]</w:t>
            </w:r>
            <w:r w:rsidRPr="00DF6C69">
              <w:rPr>
                <w:rFonts w:cs="Times New Roman"/>
                <w:sz w:val="18"/>
                <w:szCs w:val="18"/>
              </w:rPr>
              <w:fldChar w:fldCharType="end"/>
            </w:r>
            <w:r w:rsidRPr="00DF6C69">
              <w:rPr>
                <w:rFonts w:cs="Times New Roman"/>
                <w:sz w:val="18"/>
                <w:szCs w:val="18"/>
              </w:rPr>
              <w:t xml:space="preserve">, methionine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{"citationItems":[{"id":"ITEM-1","itemData":{"DOI":"10.1007/s11306-011-0357-5","ISSN":"15733882","abstract":"Mass spectrometry-based serum metabolic profiling is a promising tool to analyse complex cancer associated metabolic alterations, which may broaden our pathophysiological understanding of the disease and may function as a source of new cancer-associated biomarkers. Highly standardized serum samples of patients suffering from colon cancer (n = 59) and controls (n = 58) were collected at the University Hospital Leipzig. We based our investigations on amino acid screening profiles using electrospray tandem-mass spectrometry. Metabolic profiles were evaluated using the Analyst 1.4.2 software. General, comparative and equivalence statistics were performed by R 2.12.2. 11 out of 26 serum amino acid concentrations were significantly different between colorectal cancer patients and healthy controls. We found a model including CEA, glycine, and tyrosine as best discriminating and superior to CEA alone with an AUROC of 0.878 (95% CI 0.815-0.941). Our serum metabolic profiling in colon cancer revealed multiple significant disease-associated alterations in the amino acid profile with promising diagnostic power. Further large-scale studies are necessary to elucidate the potential of our model also to discriminate between cancer and potential differential diagnoses. In conclusion, serum glycine and tyrosine in combination with CEA are superior to CEA for the discrimination between colorectal cancer patients and controls. © 2011 The Author(s).","author":[{"dropping-particle":"","family":"Leichtle","given":"Alexander Benedikt","non-dropping-particle":"","parse-names":false,"suffix":""},{"dropping-particle":"","family":"Nuoffer","given":"Jean Marc","non-dropping-particle":"","parse-names":false,"suffix":""},{"dropping-particle":"","family":"Ceglarek","given":"Uta","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Martin","non-dropping-particle":"","parse-names":false,"suffix":""}],"container-title":"Metabolomics","id":"ITEM-1","issue":"4","issued":{"date-parts":[["2012","8"]]},"page":"643-653","title":"Serum amino acid profiles and their alterations in colorectal cancer","type":"article-journal","volume":"8"},"uris":["http://www.mendeley.com/documents/?uuid=8df28114-5f28-378e-82ce-eb240722a8ed"]}],"mendeley":{"formattedCitation":"[16]","plainTextFormattedCitation":"[16]","previouslyFormattedCitation":"[16]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[16]</w:t>
            </w:r>
            <w:r w:rsidRPr="00DF6C69">
              <w:rPr>
                <w:rFonts w:cs="Times New Roman"/>
                <w:sz w:val="18"/>
                <w:szCs w:val="18"/>
              </w:rPr>
              <w:fldChar w:fldCharType="end"/>
            </w:r>
            <w:r w:rsidRPr="00DF6C69">
              <w:rPr>
                <w:rFonts w:cs="Times New Roman"/>
                <w:sz w:val="18"/>
                <w:szCs w:val="18"/>
              </w:rPr>
              <w:t xml:space="preserve">, oleamide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phenylalanine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{"citationItems":[{"id":"ITEM-1","itemData":{"DOI":"10.2217/fon.10.107","ISSN":"14796694","abstract":"Metabolomics represents one of the new omics sciences and capitalizes on the unique presence and concentration of small molecules in tissues and body fluids to construct a 'fingerprint that can be unique to the individual and, within that individual, unique to environmental influences, including health and disease states. As such, metabolomics has the potential to serve an important role in diagnosis and management of human conditions. Colorectal cancer is a major public health concern. Current population-based screening methods are suboptimal and whether metabolomics could represent a new tool of screening is under investigation. The purpose of this systematic review is to summarize existing literature on metabolomics and colorectal cancer, in terms of diagnostic accuracies and distinguishing metabolites. Eight studies are included. A total of 12 metabolites (taurine, lactate, choline, inositol, glycine, phosphocholine, proline, phenylalanine, alanine, threonine, valine and leucine) were found to be more prevalent in colorectal cancer and glucose was found to be in higher proportion in control specimens using tissue metabolomics. Serum and urine metabolomics identified several other differential metabolites between controls and colorectal cancer patients. This article highlights the novelty of the field of metabolomics in colorectal oncology. © 2010 Future Medicine Ltd.","author":[{"dropping-particle":"","family":"Wang","given":"Haili","non-dropping-particle":"","parse-names":false,"suffix":""},{"dropping-particle":"","family":"Tso","given":"Victor K.","non-dropping-particle":"","parse-names":false,"suffix":""},{"dropping-particle":"","family":"Slupsky","given":"Carolyn M.","non-dropping-particle":"","parse-names":false,"suffix":""},{"dropping-particle":"","family":"Fedorak","given":"Richard N.","non-dropping-particle":"","parse-names":false,"suffix":""}],"container-title":"Future Oncology","id":"ITEM-1","issue":"9","issued":{"date-parts":[["2010","9"]]},"page":"1395-1406","title":"Metabolomics and detection of colorectal cancer in humans: A systematic review","type":"article","volume":"6"},"uris":["http://www.mendeley.com/documents/?uuid=515e3bbe-0629-3540-96ca-70aa8a27c645"]}],"mendeley":{"formattedCitation":"[17]","plainTextFormattedCitation":"[17]","previouslyFormattedCitation":"[17]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[17]</w:t>
            </w:r>
            <w:r w:rsidRPr="00DF6C69">
              <w:rPr>
                <w:rFonts w:cs="Times New Roman"/>
                <w:sz w:val="18"/>
                <w:szCs w:val="18"/>
              </w:rPr>
              <w:fldChar w:fldCharType="end"/>
            </w:r>
            <w:r w:rsidRPr="00DF6C69">
              <w:rPr>
                <w:rFonts w:cs="Times New Roman"/>
                <w:sz w:val="18"/>
                <w:szCs w:val="18"/>
              </w:rPr>
              <w:t xml:space="preserve">, phosphocholine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{"citationItems":[{"id":"ITEM-1","itemData":{"DOI":"10.2217/fon.10.107","ISSN":"14796694","abstract":"Metabolomics represents one of the new omics sciences and capitalizes on the unique presence and concentration of small molecules in tissues and body fluids to construct a 'fingerprint that can be unique to the individual and, within that individual, unique to environmental influences, including health and disease states. As such, metabolomics has the potential to serve an important role in diagnosis and management of human conditions. Colorectal cancer is a major public health concern. Current population-based screening methods are suboptimal and whether metabolomics could represent a new tool of screening is under investigation. The purpose of this systematic review is to summarize existing literature on metabolomics and colorectal cancer, in terms of diagnostic accuracies and distinguishing metabolites. Eight studies are included. A total of 12 metabolites (taurine, lactate, choline, inositol, glycine, phosphocholine, proline, phenylalanine, alanine, threonine, valine and leucine) were found to be more prevalent in colorectal cancer and glucose was found to be in higher proportion in control specimens using tissue metabolomics. Serum and urine metabolomics identified several other differential metabolites between controls and colorectal cancer patients. This article highlights the novelty of the field of metabolomics in colorectal oncology. © 2010 Future Medicine Ltd.","author":[{"dropping-particle":"","family":"Wang","given":"Haili","non-dropping-particle":"","parse-names":false,"suffix":""},{"dropping-particle":"","family":"Tso","given":"Victor K.","non-dropping-particle":"","parse-names":false,"suffix":""},{"dropping-particle":"","family":"Slupsky","given":"Carolyn M.","non-dropping-particle":"","parse-names":false,"suffix":""},{"dropping-particle":"","family":"Fedorak","given":"Richard N.","non-dropping-particle":"","parse-names":false,"suffix":""}],"container-title":"Future Oncology","id":"ITEM-1","issue":"9","issued":{"date-parts":[["2010","9"]]},"page":"1395-1406","title":"Metabolomics and detection of colorectal cancer in humans: A systematic review","type":"article","volume":"6"},"uris":["http://www.mendeley.com/documents/?uuid=515e3bbe-0629-3540-96ca-70aa8a27c645"]}],"mendeley":{"formattedCitation":"[17]","plainTextFormattedCitation":"[17]","previouslyFormattedCitation":"[17]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[17]</w:t>
            </w:r>
            <w:r w:rsidRPr="00DF6C69">
              <w:rPr>
                <w:rFonts w:cs="Times New Roman"/>
                <w:sz w:val="18"/>
                <w:szCs w:val="18"/>
              </w:rPr>
              <w:fldChar w:fldCharType="end"/>
            </w:r>
            <w:r w:rsidRPr="00DF6C69">
              <w:rPr>
                <w:rFonts w:cs="Times New Roman"/>
                <w:sz w:val="18"/>
                <w:szCs w:val="18"/>
              </w:rPr>
              <w:t xml:space="preserve">, pyruvate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{"citationItems":[{"id":"ITEM-1","itemData":{"DOI":"10.1021/pr9004162","ISSN":"15353893","abstract":"Colorectal carcinogenesis involves the overexpression of many immediate-early response genes associated with growth and inflammation, which significantly alters downstream protein synthesis and small-molecule metabolite production. We have performed a serum metabolic analysis to test the hypothesis that the distinct metabolite profiles of malignant tumors are reflected in biofluids. In this study, we have analyzed the serum metabolites from 64 colorectal cancer (CRC) patients and 65 healthy controls using gas chromatography time-of-flight mass spectrometry (GC-TOFMS) and Acquity ultraperformance liquid chromatography-quadrupole time-of-flight mass spectrometry (Acquity UPLC-QTOFMS). Orthogonal partial least-squares discriminate analysis (OPLS-DA) models generated from GC-TOFMS and UPLC-QTOFMS metabolic profile data showed robust discrimination from CRC patients and healthy controls. A total of 33 differential metabolites were identified using these two analytical platforms, five of which were detected in both instruments. These metabolites potentially reveal perturbation of glycolysis, arginine and proline metabolism, fatty acid metabolism and oleamide metabolism, associated with CRC morbidity. These results suggest that serum metabolic profiling has great potential in detecting CRC and helping to understand its underlying mechanisms. © 2009 American Chemical Society.","author":[{"dropping-particle":"","family":"Qiu","given":"Yunping","non-dropping-particle":"","parse-names":false,"suffix":""},{"dropping-particle":"","family":"Cai","given":"Guoxiang","non-dropping-particle":"","parse-names":false,"suffix":""},{"dropping-particle":"","family":"Su","given":"Mingming","non-dropping-particle":"","parse-names":false,"suffix":""},{"dropping-particle":"","family":"Chen","given":"Tianlu","non-dropping-particle":"","parse-names":false,"suffix":""},{"dropping-particle":"","family":"Zheng","given":"Xiaojiao","non-dropping-particle":"","parse-names":false,"suffix":""},{"dropping-particle":"","family":"Xu","given":"Ye","non-dropping-particle":"","parse-names":false,"suffix":""},{"dropping-particle":"","family":"Ni","given":"Yan","non-dropping-particle":"","parse-names":false,"suffix":""},{"dropping-particle":"","family":"Zhao","given":"Aihua","non-dropping-particle":"","parse-names":false,"suffix":""},{"dropping-particle":"","family":"Xu","given":"Lisa X.","non-dropping-particle":"","parse-names":false,"suffix":""},{"dropping-particle":"","family":"Cai","given":"Sanjun","non-dropping-particle":"","parse-names":false,"suffix":""},{"dropping-particle":"","family":"Jia","given":"Wei","non-dropping-particle":"","parse-names":false,"suffix":""}],"container-title":"Journal of Proteome Research","id":"ITEM-1","issue":"10","issued":{"date-parts":[["2009"]]},"page":"4844-4850","title":"Serum metabolite profiling of human colorectal cancer using GC-TOFMS and UPLC-QTOFMS","type":"article-journal","volume":"8"},"uris":["http://www.mendeley.com/documents/?uuid=2f4d04cb-cb25-361f-9113-fbf13838ccc5"]}],"mendeley":{"formattedCitation":"[18]","plainTextFormattedCitation":"[18]","previouslyFormattedCitation":"[18]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[18]</w:t>
            </w:r>
            <w:r w:rsidRPr="00DF6C69">
              <w:rPr>
                <w:rFonts w:cs="Times New Roman"/>
                <w:sz w:val="18"/>
                <w:szCs w:val="18"/>
              </w:rPr>
              <w:fldChar w:fldCharType="end"/>
            </w:r>
            <w:r w:rsidRPr="00DF6C69">
              <w:rPr>
                <w:rFonts w:cs="Times New Roman"/>
                <w:sz w:val="18"/>
                <w:szCs w:val="18"/>
              </w:rPr>
              <w:t xml:space="preserve">, sarcosine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{"citationItems":[{"id":"ITEM-1","itemData":{"DOI":"10.1007/s11306-011-0357-5","ISSN":"15733882","abstract":"Mass spectrometry-based serum metabolic profiling is a promising tool to analyse complex cancer associated metabolic alterations, which may broaden our pathophysiological understanding of the disease and may function as a source of new cancer-associated biomarkers. Highly standardized serum samples of patients suffering from colon cancer (n = 59) and controls (n = 58) were collected at the University Hospital Leipzig. We based our investigations on amino acid screening profiles using electrospray tandem-mass spectrometry. Metabolic profiles were evaluated using the Analyst 1.4.2 software. General, comparative and equivalence statistics were performed by R 2.12.2. 11 out of 26 serum amino acid concentrations were significantly different between colorectal cancer patients and healthy controls. We found a model including CEA, glycine, and tyrosine as best discriminating and superior to CEA alone with an AUROC of 0.878 (95% CI 0.815-0.941). Our serum metabolic profiling in colon cancer revealed multiple significant disease-associated alterations in the amino acid profile with promising diagnostic power. Further large-scale studies are necessary to elucidate the potential of our model also to discriminate between cancer and potential differential diagnoses. In conclusion, serum glycine and tyrosine in combination with CEA are superior to CEA for the discrimination between colorectal cancer patients and controls. © 2011 The Author(s).","author":[{"dropping-particle":"","family":"Leichtle","given":"Alexander Benedikt","non-dropping-particle":"","parse-names":false,"suffix":""},{"dropping-particle":"","family":"Nuoffer","given":"Jean Marc","non-dropping-particle":"","parse-names":false,"suffix":""},{"dropping-particle":"","family":"Ceglarek","given":"Uta","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Martin","non-dropping-particle":"","parse-names":false,"suffix":""}],"container-title":"Metabolomics","id":"ITEM-1","issue":"4","issued":{"date-parts":[["2012","8"]]},"page":"643-653","title":"Serum amino acid profiles and their alterations in colorectal cancer","type":"article-journal","volume":"8"},"uris":["http://www.mendeley.com/documents/?uuid=8df28114-5f28-378e-82ce-eb240722a8ed"]}],"mendeley":{"formattedCitation":"[16]","plainTextFormattedCitation":"[16]","previouslyFormattedCitation":"[16]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[16]</w:t>
            </w:r>
            <w:r w:rsidRPr="00DF6C69">
              <w:rPr>
                <w:rFonts w:cs="Times New Roman"/>
                <w:sz w:val="18"/>
                <w:szCs w:val="18"/>
              </w:rPr>
              <w:fldChar w:fldCharType="end"/>
            </w:r>
            <w:r w:rsidRPr="00DF6C69">
              <w:rPr>
                <w:rFonts w:cs="Times New Roman"/>
                <w:sz w:val="18"/>
                <w:szCs w:val="18"/>
              </w:rPr>
              <w:t xml:space="preserve">, taurine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{"citationItems":[{"id":"ITEM-1","itemData":{"DOI":"10.2217/fon.10.107","ISSN":"14796694","abstract":"Metabolomics represents one of the new omics sciences and capitalizes on the unique presence and concentration of small molecules in tissues and body fluids to construct a 'fingerprint that can be unique to the individual and, within that individual, unique to environmental influences, including health and disease states. As such, metabolomics has the potential to serve an important role in diagnosis and management of human conditions. Colorectal cancer is a major public health concern. Current population-based screening methods are suboptimal and whether metabolomics could represent a new tool of screening is under investigation. The purpose of this systematic review is to summarize existing literature on metabolomics and colorectal cancer, in terms of diagnostic accuracies and distinguishing metabolites. Eight studies are included. A total of 12 metabolites (taurine, lactate, choline, inositol, glycine, phosphocholine, proline, phenylalanine, alanine, threonine, valine and leucine) were found to be more prevalent in colorectal cancer and glucose was found to be in higher proportion in control specimens using tissue metabolomics. Serum and urine metabolomics identified several other differential metabolites between controls and colorectal cancer patients. This article highlights the novelty of the field of metabolomics in colorectal oncology. © 2010 Future Medicine Ltd.","author":[{"dropping-particle":"","family":"Wang","given":"Haili","non-dropping-particle":"","parse-names":false,"suffix":""},{"dropping-particle":"","family":"Tso","given":"Victor K.","non-dropping-particle":"","parse-names":false,"suffix":""},{"dropping-particle":"","family":"Slupsky","given":"Carolyn M.","non-dropping-particle":"","parse-names":false,"suffix":""},{"dropping-particle":"","family":"Fedorak","given":"Richard N.","non-dropping-particle":"","parse-names":false,"suffix":""}],"container-title":"Future Oncology","id":"ITEM-1","issue":"9","issued":{"date-parts":[["2010","9"]]},"page":"1395-1406","title":"Metabolomics and detection of colorectal cancer in humans: A systematic review","type":"article","volume":"6"},"uris":["http://www.mendeley.com/documents/?uuid=515e3bbe-0629-3540-96ca-70aa8a27c645"]}],"mendeley":{"formattedCitation":"[17]","plainTextFormattedCitation":"[17]","previouslyFormattedCitation":"[17]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[17]</w:t>
            </w:r>
            <w:r w:rsidRPr="00DF6C69">
              <w:rPr>
                <w:rFonts w:cs="Times New Roman"/>
                <w:sz w:val="18"/>
                <w:szCs w:val="18"/>
              </w:rPr>
              <w:fldChar w:fldCharType="end"/>
            </w:r>
            <w:r w:rsidRPr="00DF6C69">
              <w:rPr>
                <w:rFonts w:cs="Times New Roman"/>
                <w:sz w:val="18"/>
                <w:szCs w:val="18"/>
              </w:rPr>
              <w:t xml:space="preserve">, threonine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{"citationItems":[{"id":"ITEM-1","itemData":{"DOI":"10.2217/fon.10.107","ISSN":"14796694","abstract":"Metabolomics represents one of the new omics sciences and capitalizes on the unique presence and concentration of small molecules in tissues and body fluids to construct a 'fingerprint that can be unique to the individual and, within that individual, unique to environmental influences, including health and disease states. As such, metabolomics has the potential to serve an important role in diagnosis and management of human conditions. Colorectal cancer is a major public health concern. Current population-based screening methods are suboptimal and whether metabolomics could represent a new tool of screening is under investigation. The purpose of this systematic review is to summarize existing literature on metabolomics and colorectal cancer, in terms of diagnostic accuracies and distinguishing metabolites. Eight studies are included. A total of 12 metabolites (taurine, lactate, choline, inositol, glycine, phosphocholine, proline, phenylalanine, alanine, threonine, valine and leucine) were found to be more prevalent in colorectal cancer and glucose was found to be in higher proportion in control specimens using tissue metabolomics. Serum and urine metabolomics identified several other differential metabolites between controls and colorectal cancer patients. This article highlights the novelty of the field of metabolomics in colorectal oncology. © 2010 Future Medicine Ltd.","author":[{"dropping-particle":"","family":"Wang","given":"Haili","non-dropping-particle":"","parse-names":false,"suffix":""},{"dropping-particle":"","family":"Tso","given":"Victor K.","non-dropping-particle":"","parse-names":false,"suffix":""},{"dropping-particle":"","family":"Slupsky","given":"Carolyn M.","non-dropping-particle":"","parse-names":false,"suffix":""},{"dropping-particle":"","family":"Fedorak","given":"Richard N.","non-dropping-particle":"","parse-names":false,"suffix":""}],"container-title":"Future Oncology","id":"ITEM-1","issue":"9","issued":{"date-parts":[["2010","9"]]},"page":"1395-1406","title":"Metabolomics and detection of colorectal cancer in humans: A systematic review","type":"article","volume":"6"},"uris":["http://www.mendeley.com/documents/?uuid=515e3bbe-0629-3540-96ca-70aa8a27c645"]}],"mendeley":{"formattedCitation":"[17]","plainTextFormattedCitation":"[17]","previouslyFormattedCitation":"[17]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[17]</w:t>
            </w:r>
            <w:r w:rsidRPr="00DF6C69">
              <w:rPr>
                <w:rFonts w:cs="Times New Roman"/>
                <w:sz w:val="18"/>
                <w:szCs w:val="18"/>
              </w:rPr>
              <w:fldChar w:fldCharType="end"/>
            </w:r>
            <w:r w:rsidRPr="00DF6C69">
              <w:rPr>
                <w:rFonts w:cs="Times New Roman"/>
                <w:sz w:val="18"/>
                <w:szCs w:val="18"/>
              </w:rPr>
              <w:t xml:space="preserve">, </w:t>
            </w:r>
            <w:r w:rsidR="00815CCA" w:rsidRPr="00DF6C69">
              <w:rPr>
                <w:rFonts w:cs="Times New Roman"/>
                <w:sz w:val="18"/>
                <w:szCs w:val="18"/>
              </w:rPr>
              <w:t>tryptophan</w:t>
            </w:r>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{"citationItems":[{"id":"ITEM-1","itemData":{"DOI":"10.1021/pr9004162","ISSN":"15353893","abstract":"Colorectal carcinogenesis involves the overexpression of many immediate-early response genes associated with growth and inflammation, which significantly alters downstream protein synthesis and small-molecule metabolite production. We have performed a serum metabolic analysis to test the hypothesis that the distinct metabolite profiles of malignant tumors are reflected in biofluids. In this study, we have analyzed the serum metabolites from 64 colorectal cancer (CRC) patients and 65 healthy controls using gas chromatography time-of-flight mass spectrometry (GC-TOFMS) and Acquity ultraperformance liquid chromatography-quadrupole time-of-flight mass spectrometry (Acquity UPLC-QTOFMS). Orthogonal partial least-squares discriminate analysis (OPLS-DA) models generated from GC-TOFMS and UPLC-QTOFMS metabolic profile data showed robust discrimination from CRC patients and healthy controls. A total of 33 differential metabolites were identified using these two analytical platforms, five of which were detected in both instruments. These metabolites potentially reveal perturbation of glycolysis, arginine and proline metabolism, fatty acid metabolism and oleamide metabolism, associated with CRC morbidity. These results suggest that serum metabolic profiling has great potential in detecting CRC and helping to understand its underlying mechanisms. © 2009 American Chemical Society.","author":[{"dropping-particle":"","family":"Qiu","given":"Yunping","non-dropping-particle":"","parse-names":false,"suffix":""},{"dropping-particle":"","family":"Cai","given":"Guoxiang","non-dropping-particle":"","parse-names":false,"suffix":""},{"dropping-particle":"","family":"Su","given":"Mingming","non-dropping-particle":"","parse-names":false,"suffix":""},{"dropping-particle":"","family":"Chen","given":"Tianlu","non-dropping-particle":"","parse-names":false,"suffix":""},{"dropping-particle":"","family":"Zheng","given":"Xiaojiao","non-dropping-particle":"","parse-names":false,"suffix":""},{"dropping-particle":"","family":"Xu","given":"Ye","non-dropping-particle":"","parse-names":false,"suffix":""},{"dropping-particle":"","family":"Ni","given":"Yan","non-dropping-particle":"","parse-names":false,"suffix":""},{"dropping-particle":"","family":"Zhao","given":"Aihua","non-dropping-particle":"","parse-names":false,"suffix":""},{"dropping-particle":"","family":"Xu","given":"Lisa X.","non-dropping-particle":"","parse-names":false,"suffix":""},{"dropping-particle":"","family":"Cai","given":"Sanjun","non-dropping-particle":"","parse-names":false,"suffix":""},{"dropping-particle":"","family":"Jia","given":"Wei","non-dropping-particle":"","parse-names":false,"suffix":""}],"container-title":"Journal of Proteome Research","id":"ITEM-1","issue":"10","issued":{"date-parts":[["2009"]]},"page":"4844-4850","title":"Serum metabolite profiling of human colorectal cancer using GC-TOFMS and UPLC-QTOFMS","type":"article-journal","volume":"8"},"uris":["http://www.mendeley.com/documents/?uuid=2f4d04cb-cb25-361f-9113-fbf13838ccc5"]},{"id":"ITEM-2","itemData":{"DOI":"10.1007/978-1-4615-0135-0_39","ISSN":"00652598","abstract":"We tested the hypothesis that reduced tryptophan availability due to immunological stimulation in colorectal cancer impairs quality of life (QoL) by measuring serum tryptophan levels, and correlating them with serum immunological markers and with QoL indices. Serum tryptophan level was significantly reduced in cancer patients compared with healthy controls. Serum tryptophan/kynurenine ratio and neopterin level were significantly increased in cancer, with a significant correlation between the two variables. Reduced serum tryptophan correlated significantly with worse QoL scores. The results support the hypothesis that in colorectal cancer, QoL impairment may be due to serum tryptophan depletion mediated by immunological activation.","author":[{"dropping-particle":"","family":"Huang","given":"Andy","non-dropping-particle":"","parse-names":false,"suffix":""},{"dropping-particle":"","family":"Fuchs","given":"Dietmar","non-dropping-particle":"","parse-names":false,"suffix":""},{"dropping-particle":"","family":"Widner","given":"Bernhard","non-dropping-particle":"","parse-names":false,"suffix":""},{"dropping-particle":"","family":"Glover","given":"Claire","non-dropping-particle":"","parse-names":false,"suffix":""},{"dropping-particle":"","family":"Henderson","given":"Don C.","non-dropping-particle":"","parse-names":false,"suffix":""},{"dropping-particle":"","family":"Allen-Mersh","given":"Timothy G.","non-dropping-particle":"","parse-names":false,"suffix":""}],"container-title":"Advances in Experimental Medicine and Biology","id":"ITEM-2","issued":{"date-parts":[["2003"]]},"page":"353-358","title":"Tryptophan and quality of life in colorectal cancer","type":"paper-conference","volume":"527"},"uris":["http://www.mendeley.com/documents/?uuid=6164aac4-f955-3010-9abc-e535cacd847a"]}],"mendeley":{"formattedCitation":"[18], [19]","plainTextFormattedCitation":"[18], [19]","previouslyFormattedCitation":"[18], [19]"},"properties":{"noteIndex":0},"schema":"https://github.com/citation-style-language/schema/raw/master/csl-citation.json"}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[18], [19]</w:t>
            </w:r>
            <w:r w:rsidRPr="00DF6C69">
              <w:rPr>
                <w:rFonts w:cs="Times New Roman"/>
                <w:sz w:val="18"/>
                <w:szCs w:val="18"/>
              </w:rPr>
              <w:fldChar w:fldCharType="end"/>
            </w:r>
            <w:r w:rsidRPr="00DF6C69">
              <w:rPr>
                <w:rFonts w:cs="Times New Roman"/>
                <w:sz w:val="18"/>
                <w:szCs w:val="18"/>
              </w:rPr>
              <w:t xml:space="preserve">, tyrosine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{"citationItems":[{"id":"ITEM-1","itemData":{"DOI":"10.1007/s11306-011-0357-5","ISSN":"15733882","abstract":"Mass spectrometry-based serum metabolic profiling is a promising tool to analyse complex cancer associated metabolic alterations, which may broaden our pathophysiological understanding of the disease and may function as a source of new cancer-associated biomarkers. Highly standardized serum samples of patients suffering from colon cancer (n = 59) and controls (n = 58) were collected at the University Hospital Leipzig. We based our investigations on amino acid screening profiles using electrospray tandem-mass spectrometry. Metabolic profiles were evaluated using the Analyst 1.4.2 software. General, comparative and equivalence statistics were performed by R 2.12.2. 11 out of 26 serum amino acid concentrations were significantly different between colorectal cancer patients and healthy controls. We found a model including CEA, glycine, and tyrosine as best discriminating and superior to CEA alone with an AUROC of 0.878 (95% CI 0.815-0.941). Our serum metabolic profiling in colon cancer revealed multiple significant disease-associated alterations in the amino acid profile with promising diagnostic power. Further large-scale studies are necessary to elucidate the potential of our model also to discriminate between cancer and potential differential diagnoses. In conclusion, serum glycine and tyrosine in combination with CEA are superior to CEA for the discrimination between colorectal cancer patients and controls. © 2011 The Author(s).","author":[{"dropping-particle":"","family":"Leichtle","given":"Alexander Benedikt","non-dropping-particle":"","parse-names":false,"suffix":""},{"dropping-particle":"","family":"Nuoffer","given":"Jean Marc","non-dropping-particle":"","parse-names":false,"suffix":""},{"dropping-particle":"","family":"Ceglarek","given":"Uta","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Martin","non-dropping-particle":"","parse-names":false,"suffix":""}],"container-title":"Metabolomics","id":"ITEM-1","issue":"4","issued":{"date-parts":[["2012","8"]]},"page":"643-653","title":"Serum amino acid profiles and their alterations in colorectal cancer","type":"article-journal","volume":"8"},"uris":["http://www.mendeley.com/documents/?uuid=8df28114-5f28-378e-82ce-eb240722a8ed"]},{"id":"ITEM-2","itemData":{"DOI":"10.1021/pr9004162","ISSN":"15353893","abstract":"Colorectal carcinogenesis involves the overexpression of many immediate-early response genes associated with growth and inflammation, which significantly alters downstream protein synthesis and small-molecule metabolite production. We have performed a serum metabolic analysis to test the hypothesis that the distinct metabolite profiles of malignant tumors are reflected in biofluids. In this study, we have analyzed the serum metabolites from 64 colorectal cancer (CRC) patients and 65 healthy controls using gas chromatography time-of-flight mass spectrometry (GC-TOFMS) and Acquity ultraperformance liquid chromatography-quadrupole time-of-flight mass spectrometry (Acquity UPLC-QTOFMS). Orthogonal partial least-squares discriminate analysis (OPLS-DA) models generated from GC-TOFMS and UPLC-QTOFMS metabolic profile data showed robust discrimination from CRC patients and healthy controls. A total of 33 differential metabolites were identified using these two analytical platforms, five of which were detected in both instruments. These metabolites potentially reveal perturbation of glycolysis, arginine and proline metabolism, fatty acid metabolism and oleamide metabolism, associated with CRC morbidity. These results suggest that serum metabolic profiling has great potential in detecting CRC and helping to understand its underlying mechanisms. © 2009 American Chemical Society.","author":[{"dropping-particle":"","family":"Qiu","given":"Yunping","non-dropping-particle":"","parse-names":false,"suffix":""},{"dropping-particle":"","family":"Cai","given":"Guoxiang","non-dropping-particle":"","parse-names":false,"suffix":""},{"dropping-particle":"","family":"Su","given":"Mingming","non-dropping-particle":"","parse-names":false,"suffix":""},{"dropping-particle":"","family":"Chen","given":"Tianlu","non-dropping-particle":"","parse-names":false,"suffix":""},{"dropping-particle":"","family":"Zheng","given":"Xiaojiao","non-dropping-particle":"","parse-names":false,"suffix":""},{"dropping-particle":"","family":"Xu","given":"Ye","non-dropping-particle":"","parse-names":false,"suffix":""},{"dropping-particle":"","family":"Ni","given":"Yan","non-dropping-particle":"","parse-names":false,"suffix":""},{"dropping-particle":"","family":"Zhao","given":"Aihua","non-dropping-particle":"","parse-names":false,"suffix":""},{"dropping-particle":"","family":"Xu","given":"Lisa X.","non-dropping-particle":"","parse-names":false,"suffix":""},{"dropping-particle":"","family":"Cai","given":"Sanjun","non-dropping-particle":"","parse-names":false,"suffix":""},{"dropping-particle":"","family":"Jia","given":"Wei","non-dropping-particle":"","parse-names":false,"suffix":""}],"container-title":"Journal of Proteome Research","id":"ITEM-2","issue":"10","issued":{"date-parts":[["2009"]]},"page":"4844-4850","title":"Serum metabolite profiling of human colorectal cancer using GC-TOFMS and UPLC-QTOFMS","type":"article-journal","volume":"8"},"uris":["http://www.mendeley.com/documents/?uuid=2f4d04cb-cb25-361f-9113-fbf13838ccc5"]}],"mendeley":{"formattedCitation":"[16], [18]","plainTextFormattedCitation":"[16], [18]","previouslyFormattedCitation":"[16], [18]"},"properties":{"noteIndex":0},"schema":"https://github.com/citation-style-language/schema/raw/master/csl-citation.json"}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[16], [18]</w:t>
            </w:r>
            <w:r w:rsidRPr="00DF6C69">
              <w:rPr>
                <w:rFonts w:cs="Times New Roman"/>
                <w:sz w:val="18"/>
                <w:szCs w:val="18"/>
              </w:rPr>
              <w:fldChar w:fldCharType="end"/>
            </w:r>
            <w:r w:rsidRPr="00DF6C69">
              <w:rPr>
                <w:rFonts w:cs="Times New Roman"/>
                <w:sz w:val="18"/>
                <w:szCs w:val="18"/>
              </w:rPr>
              <w:t xml:space="preserve">, ultralong fatty acids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{"citationItems":[{"id":"ITEM-1","itemData":{"DOI":"10.1186/1741-7015-8-13","ISSN":"17417015","abstract":"Background: There are currently no accurate serum markers for detecting early risk of colorectal cancer (CRC). We therefore developed a non-targeted metabolomics technology to analyse the serum of pre-treatment CRC patients in order to discover putative metabolic markers associated with CRC. Using tandem-mass spectrometry (MS/MS) high throughput MS technology we evaluated the utility of selected markers and this technology for discriminating between CRC and healthy subjects.Methods: Biomarker discovery was performed using Fourier transform ion cyclotron resonance mass spectrometry (FTICR-MS). Comprehensive metabolic profiles of CRC patients and controls from three independent populations from different continents (USA and Japan; total n = 222) were obtained and the best inter-study biomarkers determined. The structural characterization of these and related markers was performed using liquid chromatography (LC) MS/MS and nuclear magnetic resonance technologies. Clinical utility evaluations were performed using a targeted high-throughput triple-quadrupole multiple reaction monitoring (TQ-MRM) method for three biomarkers in two further independent populations from the USA and Japan (total n = 220).Results: Comprehensive metabolomic analyses revealed significantly reduced levels of 28-36 carbon-containing hydroxylated polyunsaturated ultra long-chain fatty-acids in all three independent cohorts of CRC patient samples relative to controls. Structure elucidation studies on the C28 molecules revealed two families harbouring specifically two or three hydroxyl substitutions and varying degrees of unsaturation. The TQ-MRM method successfully validated the FTICR-MS results in two further independent studies. In total, biomarkers in five independent populations across two continental regions were evaluated (three populations by FTICR-MS and two by TQ-MRM). The resultant receiver-operator characteristic curve AUCs ranged from 0.85 to 0.98 (average = 0.91 ± 0.04).Conclusions: A novel comprehensive metabolomics technology was used to identify a systemic metabolic dysregulation comprising previously unknown hydroxylated polyunsaturated ultra-long chain fatty acid metabolites in CRC patients. These metabolites are easily measurable in serum and a decrease in their concentration appears to be highly sensitive and specific for the presence of CRC, regardless of ethnic or geographic background. The measurement of these metabolites may represent an additional tool for the e…","author":[{"dropping-particle":"","family":"Ritchie","given":"Shawn A.","non-dropping-particle":"","parse-names":false,"suffix":""},{"dropping-particle":"","family":"Ahiahonu","given":"Pearson W.K.","non-dropping-particle":"","parse-names":false,"suffix":""},{"dropping-particle":"","family":"Jayasinghe","given":"Dushmanthi","non-dropping-particle":"","parse-names":false,"suffix":""},{"dropping-particle":"","family":"Heath","given":"Doug","non-dropping-particle":"","parse-names":false,"suffix":""},{"dropping-particle":"","family":"Liu","given":"Jun","non-dropping-particle":"","parse-names":false,"suffix":""},{"dropping-particle":"","family":"Lu","given":"Yingshen","non-dropping-particle":"","parse-names":false,"suffix":""},{"dropping-particle":"","family":"Jin","given":"Wei","non-dropping-particle":"","parse-names":false,"suffix":""},{"dropping-particle":"","family":"Kavianpour","given":"Amir","non-dropping-particle":"","parse-names":false,"suffix":""},{"dropping-particle":"","family":"Yamazaki","given":"Yasuyo","non-dropping-particle":"","parse-names":false,"suffix":""},{"dropping-particle":"","family":"Khan","given":"Amin M.","non-dropping-particle":"","parse-names":false,"suffix":""},{"dropping-particle":"","family":"Hossain","given":"Mohammad","non-dropping-particle":"","parse-names":false,"suffix":""},{"dropping-particle":"","family":"Su-Myat","given":"Khine K.","non-dropping-particle":"","parse-names":false,"suffix":""},{"dropping-particle":"","family":"Wood","given":"Paul L.","non-dropping-particle":"","parse-names":false,"suffix":""},{"dropping-particle":"","family":"Krenitsky","given":"Kevin","non-dropping-particle":"","parse-names":false,"suffix":""},{"dropping-particle":"","family":"Takemasa","given":"Ichiro","non-dropping-particle":"","parse-names":false,"suffix":""},{"dropping-particle":"","family":"Miyake","given":"Masakazu","non-dropping-particle":"","parse-names":false,"suffix":""},{"dropping-particle":"","family":"Sekimoto","given":"Mitsugu","non-dropping-particle":"","parse-names":false,"suffix":""},{"dropping-particle":"","family":"Monden","given":"Morito","non-dropping-particle":"","parse-names":false,"suffix":""},{"dropping-particle":"","family":"Matsubara","given":"Hisahiro","non-dropping-particle":"","parse-names":false,"suffix":""},{"dropping-particle":"","family":"Nomura","given":"Fumio","non-dropping-particle":"","parse-names":false,"suffix":""},{"dropping-particle":"","family":"Goodenowe","given":"Dayan B.","non-dropping-particle":"","parse-names":false,"suffix":""}],"container-title":"BMC Medicine","id":"ITEM-1","issued":{"date-parts":[["2010","2","15"]]},"title":"Reduced levels of hydroxylated, polyunsaturated ultra long-chain fatty acids in the serum of colorectal cancer patients: Implications for early screening and detection","type":"article-journal","volume":"8"},"uris":["http://www.mendeley.com/documents/?uuid=664b1885-6a88-381a-b34f-2707eda5163d"]}],"mendeley":{"formattedCitation":"[20]","plainTextFormattedCitation":"[20]","previouslyFormattedCitation":"[20]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[20]</w:t>
            </w:r>
            <w:r w:rsidRPr="00DF6C69">
              <w:rPr>
                <w:rFonts w:cs="Times New Roman"/>
                <w:sz w:val="18"/>
                <w:szCs w:val="18"/>
              </w:rPr>
              <w:fldChar w:fldCharType="end"/>
            </w:r>
            <w:r w:rsidRPr="00DF6C69">
              <w:rPr>
                <w:rFonts w:cs="Times New Roman"/>
                <w:sz w:val="18"/>
                <w:szCs w:val="18"/>
              </w:rPr>
              <w:t xml:space="preserve">, uridine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{"citationItems":[{"id":"ITEM-1","itemData":{"DOI":"10.1021/pr9004162","ISSN":"15353893","abstract":"Colorectal carcinogenesis involves the overexpression of many immediate-early response genes associated with growth and inflammation, which significantly alters downstream protein synthesis and small-molecule metabolite production. We have performed a serum metabolic analysis to test the hypothesis that the distinct metabolite profiles of malignant tumors are reflected in biofluids. In this study, we have analyzed the serum metabolites from 64 colorectal cancer (CRC) patients and 65 healthy controls using gas chromatography time-of-flight mass spectrometry (GC-TOFMS) and Acquity ultraperformance liquid chromatography-quadrupole time-of-flight mass spectrometry (Acquity UPLC-QTOFMS). Orthogonal partial least-squares discriminate analysis (OPLS-DA) models generated from GC-TOFMS and UPLC-QTOFMS metabolic profile data showed robust discrimination from CRC patients and healthy controls. A total of 33 differential metabolites were identified using these two analytical platforms, five of which were detected in both instruments. These metabolites potentially reveal perturbation of glycolysis, arginine and proline metabolism, fatty acid metabolism and oleamide metabolism, associated with CRC morbidity. These results suggest that serum metabolic profiling has great potential in detecting CRC and helping to understand its underlying mechanisms. © 2009 American Chemical Society.","author":[{"dropping-particle":"","family":"Qiu","given":"Yunping","non-dropping-particle":"","parse-names":false,"suffix":""},{"dropping-particle":"","family":"Cai","given":"Guoxiang","non-dropping-particle":"","parse-names":false,"suffix":""},{"dropping-particle":"","family":"Su","given":"Mingming","non-dropping-particle":"","parse-names":false,"suffix":""},{"dropping-particle":"","family":"Chen","given":"Tianlu","non-dropping-particle":"","parse-names":false,"suffix":""},{"dropping-particle":"","family":"Zheng","given":"Xiaojiao","non-dropping-particle":"","parse-names":false,"suffix":""},{"dropping-particle":"","family":"Xu","given":"Ye","non-dropping-particle":"","parse-names":false,"suffix":""},{"dropping-particle":"","family":"Ni","given":"Yan","non-dropping-particle":"","parse-names":false,"suffix":""},{"dropping-particle":"","family":"Zhao","given":"Aihua","non-dropping-particle":"","parse-names":false,"suffix":""},{"dropping-particle":"","family":"Xu","given":"Lisa X.","non-dropping-particle":"","parse-names":false,"suffix":""},{"dropping-particle":"","family":"Cai","given":"Sanjun","non-dropping-particle":"","parse-names":false,"suffix":""},{"dropping-particle":"","family":"Jia","given":"Wei","non-dropping-particle":"","parse-names":false,"suffix":""}],"container-title":"Journal of Proteome Research","id":"ITEM-1","issue":"10","issued":{"date-parts":[["2009"]]},"page":"4844-4850","title":"Serum metabolite profiling of human colorectal cancer using GC-TOFMS and UPLC-QTOFMS","type":"article-journal","volume":"8"},"uris":["http://www.mendeley.com/documents/?uuid=2f4d04cb-cb25-361f-9113-fbf13838ccc5"]}],"mendeley":{"formattedCitation":"[18]","plainTextFormattedCitation":"[18]","previouslyFormattedCitation":"[18]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[18]</w:t>
            </w:r>
            <w:r w:rsidRPr="00DF6C69">
              <w:rPr>
                <w:rFonts w:cs="Times New Roman"/>
                <w:sz w:val="18"/>
                <w:szCs w:val="18"/>
              </w:rPr>
              <w:fldChar w:fldCharType="end"/>
            </w:r>
            <w:r w:rsidRPr="00DF6C69">
              <w:rPr>
                <w:rFonts w:cs="Times New Roman"/>
                <w:sz w:val="18"/>
                <w:szCs w:val="18"/>
              </w:rPr>
              <w:t xml:space="preserve">, valine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{"citationItems":[{"id":"ITEM-1","itemData":{"DOI":"10.1007/s11306-011-0357-5","ISSN":"15733882","abstract":"Mass spectrometry-based serum metabolic profiling is a promising tool to analyse complex cancer associated metabolic alterations, which may broaden our pathophysiological understanding of the disease and may function as a source of new cancer-associated biomarkers. Highly standardized serum samples of patients suffering from colon cancer (n = 59) and controls (n = 58) were collected at the University Hospital Leipzig. We based our investigations on amino acid screening profiles using electrospray tandem-mass spectrometry. Metabolic profiles were evaluated using the Analyst 1.4.2 software. General, comparative and equivalence statistics were performed by R 2.12.2. 11 out of 26 serum amino acid concentrations were significantly different between colorectal cancer patients and healthy controls. We found a model including CEA, glycine, and tyrosine as best discriminating and superior to CEA alone with an AUROC of 0.878 (95% CI 0.815-0.941). Our serum metabolic profiling in colon cancer revealed multiple significant disease-associated alterations in the amino acid profile with promising diagnostic power. Further large-scale studies are necessary to elucidate the potential of our model also to discriminate between cancer and potential differential diagnoses. In conclusion, serum glycine and tyrosine in combination with CEA are superior to CEA for the discrimination between colorectal cancer patients and controls. © 2011 The Author(s).","author":[{"dropping-particle":"","family":"Leichtle","given":"Alexander Benedikt","non-dropping-particle":"","parse-names":false,"suffix":""},{"dropping-particle":"","family":"Nuoffer","given":"Jean Marc","non-dropping-particle":"","parse-names":false,"suffix":""},{"dropping-particle":"","family":"Ceglarek","given":"Uta","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Martin","non-dropping-particle":"","parse-names":false,"suffix":""}],"container-title":"Metabolomics","id":"ITEM-1","issue":"4","issued":{"date-parts":[["2012","8"]]},"page":"643-653","title":"Serum amino acid profiles and their alterations in colorectal cancer","type":"article-journal","volume":"8"},"uris":["http://www.mendeley.com/documents/?uuid=8df28114-5f28-378e-82ce-eb240722a8ed"]}],"mendeley":{"formattedCitation":"[16]","plainTextFormattedCitation":"[16]","previouslyFormattedCitation":"[16]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[16]</w:t>
            </w:r>
            <w:r w:rsidRPr="00DF6C69">
              <w:rPr>
                <w:rFonts w:cs="Times New Roman"/>
                <w:sz w:val="18"/>
                <w:szCs w:val="18"/>
              </w:rPr>
              <w:fldChar w:fldCharType="end"/>
            </w:r>
          </w:p>
        </w:tc>
      </w:tr>
      <w:tr w:rsidR="00521E89" w:rsidRPr="00DF6C69" w14:paraId="2C92A86C" w14:textId="77777777" w:rsidTr="000765CF">
        <w:trPr>
          <w:trHeight w:val="840"/>
        </w:trPr>
        <w:tc>
          <w:tcPr>
            <w:tcW w:w="1418" w:type="dxa"/>
            <w:vMerge/>
            <w:shd w:val="clear" w:color="auto" w:fill="FFF2CC" w:themeFill="accent4" w:themeFillTint="33"/>
            <w:vAlign w:val="center"/>
          </w:tcPr>
          <w:p w14:paraId="3F7E2610" w14:textId="77777777" w:rsidR="00521E89" w:rsidRPr="00DF6C69" w:rsidRDefault="00521E89" w:rsidP="000765CF">
            <w:pPr>
              <w:rPr>
                <w:rFonts w:cs="Times New Roman"/>
                <w:sz w:val="18"/>
                <w:szCs w:val="18"/>
              </w:rPr>
            </w:pPr>
          </w:p>
        </w:tc>
        <w:tc>
          <w:tcPr>
            <w:tcW w:w="993" w:type="dxa"/>
            <w:vAlign w:val="center"/>
          </w:tcPr>
          <w:p w14:paraId="65871179" w14:textId="77777777" w:rsidR="00521E89" w:rsidRPr="00DF6C69" w:rsidRDefault="00521E89" w:rsidP="000765CF">
            <w:pPr>
              <w:rPr>
                <w:rFonts w:cs="Times New Roman"/>
                <w:sz w:val="18"/>
                <w:szCs w:val="18"/>
              </w:rPr>
            </w:pPr>
            <w:r w:rsidRPr="00DF6C69">
              <w:rPr>
                <w:rFonts w:cs="Times New Roman"/>
                <w:sz w:val="18"/>
                <w:szCs w:val="18"/>
              </w:rPr>
              <w:t>Tissue**</w:t>
            </w:r>
          </w:p>
        </w:tc>
        <w:tc>
          <w:tcPr>
            <w:tcW w:w="6945" w:type="dxa"/>
            <w:vAlign w:val="center"/>
          </w:tcPr>
          <w:p w14:paraId="09B62ABF" w14:textId="7F467CF1" w:rsidR="00521E89" w:rsidRPr="00DF6C69" w:rsidRDefault="00521E89" w:rsidP="000765CF">
            <w:pPr>
              <w:rPr>
                <w:rFonts w:cs="Times New Roman"/>
                <w:sz w:val="18"/>
                <w:szCs w:val="18"/>
              </w:rPr>
            </w:pPr>
            <w:r w:rsidRPr="00DF6C69">
              <w:rPr>
                <w:rFonts w:cs="Times New Roman"/>
                <w:sz w:val="18"/>
                <w:szCs w:val="18"/>
              </w:rPr>
              <w:t xml:space="preserve">2-aminobutyrate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2-Hydroxybutyrate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2-oxobutyrate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5-Hydroxytryptamine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arginine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betaine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fatty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{"citationItems":[{"id":"ITEM-1","itemData":{"DOI":"10.1158/1940-6207.CAPR-12-0387","ISSN":"19406207","abstract":"Herein, employing anatomical and dynamic contrast-enhanced (DCE) magnetic resonance imaging (MRI), we evaluated noninvasively, the in vivo, chemopreventive efficacy of inositol hexaphosphate (IP6), a major constituent of high-fiber diets, against prostate tumor growth and progression in transgenic adenocarcinoma of the mouse prostate (TRAMP) model. Male TRAMP mice, beginning at 4 weeks of age, were fed with 1%, 2%, or 4% (w/v) IP6 in drinking water or only drinking water till 28 weeks of age and monitored using MRI over the course of study. Longitudinal assessment of prostate volumes by conventional MRI and tumor vascularity by gadolinium-based DCE-MRI showed a profound reduction in tumor size, partly due to antiangiogenic effects by IP6 treatment. As potential mechanisms of IP6 efficacy, decrease in the expression of glucose transporter GLUT-4 protein together with an increase in levels of phospho-AMP-activated kinase (AMPK 172) were observed in prostate tissues of mice from IP6 fed-groups, suggesting that IP6 is interfering with the metabolic events occurring in TRAMP prostate. Investigative metabolomics study using quantitative high-resolution 1H-NMR on prostate tissue extracts showed that IP6 significantly decreased glucose metabolism and membrane phospholipid synthesis, in addition to causing an increase in myoinositol levels in the prostate. Together, these findings show that oral IP6 supplement blocks growth and angiogenesis of prostate cancer in the TRAMP model in conjunction with metabolic events involved in tumor sustenance. This results in energy deprivation within the tumor, suggesting a practical and translational potential of IP6 treatment in suppressing growth and progression of prostate cancer in humans. © 2012 AACR.","author":[{"dropping-particle":"","family":"Raina","given":"Komal","non-dropping-particle":"","parse-names":false,"suffix":""},{"dropping-particle":"","family":"Ravichandran","given":"Kameswaran","non-dropping-particle":"","parse-names":false,"suffix":""},{"dropping-particle":"","family":"Rajamanickam","given":"Subapriya","non-dropping-particle":"","parse-names":false,"suffix":""},{"dropping-particle":"","family":"Huber","given":"Kendra M.","non-dropping-particle":"","parse-names":false,"suffix":""},{"dropping-particle":"","family":"Serkova","given":"Natalie J.","non-dropping-particle":"","parse-names":false,"suffix":""},{"dropping-particle":"","family":"Agarwal","given":"Rajesh","non-dropping-particle":"","parse-names":false,"suffix":""}],"container-title":"Cancer Prevention Research","id":"ITEM-1","issue":"1","issued":{"date-parts":[["2013","1"]]},"page":"40-50","title":"Inositol hexaphosphate inhibits tumor growth, vascularity, and metabolism in TRAMP mice: A multiparametric magnetic resonance study","type":"article-journal","volume":"6"},"uris":["http://www.mendeley.com/documents/?uuid=66fab0b6-b52a-3bdc-a89e-095d2a845506"]},{"id":"ITEM-2","itemData":{"DOI":"10.1371/journal.pone.0062375","ISSN":"19326203","abstract":"Separating indolent from aggressive prostate cancer is an important clinical challenge for identifying patients eligible for active surveillance, thereby reducing the risk of overtreatment. The purpose of this study was to assess prostate cancer aggressiveness by metabolic profiling of prostatectomy tissue and to identify specific metabolites as biomarkers for aggressiveness. Prostate tissue samples (n = 158, 48 patients) with a high cancer content (mean: 61.8%) were obtained using a new harvesting method, and metabolic profiles of samples representing different Gleason scores (GS) were acquired by high resolution magic angle spinning magnetic resonance spectroscopy (HR-MAS). Multivariate analysis (PLS, PLS-DA) and absolute quantification (LCModel) were used to examine the ability to predict cancer aggressiveness by comparing low grade (GS = 6, n = 30) and high grade (GS≥7, n = 81) cancer with normal adjacent tissue (n = 47). High grade cancer tissue was distinguished from low grade cancer tissue by decreased concentrations of spermine (p = 0.0044) and citrate (p = 7.73·10-4), and an increase in the clinically applied (total choline+creatine+polyamines)/citrate (CCP/C) ratio (p = 2.17·10-4). The metabolic profiles were significantly correlated to the GS obtained from each tissue sample (r = 0.71), and cancer tissue could be distinguished from normal tissue with sensitivity 86.9% and specificity 85.2%. Overall, our findings show that metabolic profiling can separate aggressive from indolent prostate cancer. This holds promise for the benefit of applying in vivo magnetic resonance spectroscopy (MRS) within clinical MR imaging investigations, and HR-MAS analysis of transrectal ultrasound-guided biopsies has a potential as an additional diagnostic tool. © 2013 Giskeødegård et al.","author":[{"dropping-particle":"","family":"Giskeødegård","given":"Guro F.","non-dropping-particle":"","parse-names":false,"suffix":""},{"dropping-particle":"","family":"Bertilsson","given":"Helena","non-dropping-particle":"","parse-names":false,"suffix":""},{"dropping-particle":"","family":"Selnæs","given":"Kirsten M.","non-dropping-particle":"","parse-names":false,"suffix":""},{"dropping-particle":"","family":"Wright","given":"Alan J.","non-dropping-particle":"","parse-names":false,"suffix":""},{"dropping-particle":"","family":"Bathen","given":"Tone F.","non-dropping-particle":"","parse-names":false,"suffix":""},{"dropping-particle":"","family":"Viset","given":"Trond","non-dropping-particle":"","parse-names":false,"suffix":""},{"dropping-particle":"","family":"Halgunset","given":"Jostein","non-dropping-particle":"","parse-names":false,"suffix":""},{"dropping-particle":"","family":"Angelsen","given":"Anders","non-dropping-particle":"","parse-names":false,"suffix":""},{"dropping-particle":"","family":"Gribbestad","given":"Ingrid S.","non-dropping-particle":"","parse-names":false,"suffix":""},{"dropping-particle":"","family":"Tessem","given":"May Britt","non-dropping-particle":"","parse-names":false,"suffix":""}],"container-title":"PLoS ONE","id":"ITEM-2","issue":"4","issued":{"date-parts":[["2013","4","23"]]},"title":"Spermine and Citrate as Metabolic Biomarkers for Assessing Prostate Cancer Aggressiveness","type":"article-journal","volume":"8"},"uris":["http://www.mendeley.com/documents/?uuid=44d68125-d1d2-32b1-ba3d-23e50c229bb1"]}],"mendeley":{"formattedCitation":"[22], [23]","plainTextFormattedCitation":"[22], [23]","previouslyFormattedCitation":"[22], [23]"},"properties":{"noteIndex":0},"schema":"https://github.com/citation-style-language/schema/raw/master/csl-citation.json"}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[22], [23]</w:t>
            </w:r>
            <w:r w:rsidRPr="00DF6C69">
              <w:rPr>
                <w:rFonts w:cs="Times New Roman"/>
                <w:sz w:val="18"/>
                <w:szCs w:val="18"/>
              </w:rPr>
              <w:fldChar w:fldCharType="end"/>
            </w:r>
            <w:r w:rsidRPr="00DF6C69">
              <w:rPr>
                <w:rFonts w:cs="Times New Roman"/>
                <w:sz w:val="18"/>
                <w:szCs w:val="18"/>
              </w:rPr>
              <w:t xml:space="preserve">, glutamic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glutamine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{"citationItems":[{"id":"ITEM-1","itemData":{"DOI":"10.1158/1940-6207.CAPR-12-0387","ISSN":"19406207","abstract":"Herein, employing anatomical and dynamic contrast-enhanced (DCE) magnetic resonance imaging (MRI), we evaluated noninvasively, the in vivo, chemopreventive efficacy of inositol hexaphosphate (IP6), a major constituent of high-fiber diets, against prostate tumor growth and progression in transgenic adenocarcinoma of the mouse prostate (TRAMP) model. Male TRAMP mice, beginning at 4 weeks of age, were fed with 1%, 2%, or 4% (w/v) IP6 in drinking water or only drinking water till 28 weeks of age and monitored using MRI over the course of study. Longitudinal assessment of prostate volumes by conventional MRI and tumor vascularity by gadolinium-based DCE-MRI showed a profound reduction in tumor size, partly due to antiangiogenic effects by IP6 treatment. As potential mechanisms of IP6 efficacy, decrease in the expression of glucose transporter GLUT-4 protein together with an increase in levels of phospho-AMP-activated kinase (AMPK 172) were observed in prostate tissues of mice from IP6 fed-groups, suggesting that IP6 is interfering with the metabolic events occurring in TRAMP prostate. Investigative metabolomics study using quantitative high-resolution 1H-NMR on prostate tissue extracts showed that IP6 significantly decreased glucose metabolism and membrane phospholipid synthesis, in addition to causing an increase in myoinositol levels in the prostate. Together, these findings show that oral IP6 supplement blocks growth and angiogenesis of prostate cancer in the TRAMP model in conjunction with metabolic events involved in tumor sustenance. This results in energy deprivation within the tumor, suggesting a practical and translational potential of IP6 treatment in suppressing growth and progression of prostate cancer in humans. © 2012 AACR.","author":[{"dropping-particle":"","family":"Raina","given":"Komal","non-dropping-particle":"","parse-names":false,"suffix":""},{"dropping-particle":"","family":"Ravichandran","given":"Kameswaran","non-dropping-particle":"","parse-names":false,"suffix":""},{"dropping-particle":"","family":"Rajamanickam","given":"Subapriya","non-dropping-particle":"","parse-names":false,"suffix":""},{"dropping-particle":"","family":"Huber","given":"Kendra M.","non-dropping-particle":"","parse-names":false,"suffix":""},{"dropping-particle":"","family":"Serkova","given":"Natalie J.","non-dropping-particle":"","parse-names":false,"suffix":""},{"dropping-particle":"","family":"Agarwal","given":"Rajesh","non-dropping-particle":"","parse-names":false,"suffix":""}],"container-title":"Cancer Prevention Research","id":"ITEM-1","issue":"1","issued":{"date-parts":[["2013","1"]]},"page":"40-50","title":"Inositol hexaphosphate inhibits tumor growth, vascularity, and metabolism in TRAMP mice: A multiparametric magnetic resonance study","type":"article-journal","volume":"6"},"uris":["http://www.mendeley.com/documents/?uuid=66fab0b6-b52a-3bdc-a89e-095d2a845506"]},{"id":"ITEM-2","itemData":{"DOI":"10.1371/journal.pone.0062375","ISSN":"19326203","abstract":"Separating indolent from aggressive prostate cancer is an important clinical challenge for identifying patients eligible for active surveillance, thereby reducing the risk of overtreatment. The purpose of this study was to assess prostate cancer aggressiveness by metabolic profiling of prostatectomy tissue and to identify specific metabolites as biomarkers for aggressiveness. Prostate tissue samples (n = 158, 48 patients) with a high cancer content (mean: 61.8%) were obtained using a new harvesting method, and metabolic profiles of samples representing different Gleason scores (GS) were acquired by high resolution magic angle spinning magnetic resonance spectroscopy (HR-MAS). Multivariate analysis (PLS, PLS-DA) and absolute quantification (LCModel) were used to examine the ability to predict cancer aggressiveness by comparing low grade (GS = 6, n = 30) and high grade (GS≥7, n = 81) cancer with normal adjacent tissue (n = 47). High grade cancer tissue was distinguished from low grade cancer tissue by decreased concentrations of spermine (p = 0.0044) and citrate (p = 7.73·10-4), and an increase in the clinically applied (total choline+creatine+polyamines)/citrate (CCP/C) ratio (p = 2.17·10-4). The metabolic profiles were significantly correlated to the GS obtained from each tissue sample (r = 0.71), and cancer tissue could be distinguished from normal tissue with sensitivity 86.9% and specificity 85.2%. Overall, our findings show that metabolic profiling can separate aggressive from indolent prostate cancer. This holds promise for the benefit of applying in vivo magnetic resonance spectroscopy (MRS) within clinical MR imaging investigations, and HR-MAS analysis of transrectal ultrasound-guided biopsies has a potential as an additional diagnostic tool. © 2013 Giskeødegård et al.","author":[{"dropping-particle":"","family":"Giskeødegård","given":"Guro F.","non-dropping-particle":"","parse-names":false,"suffix":""},{"dropping-particle":"","family":"Bertilsson","given":"Helena","non-dropping-particle":"","parse-names":false,"suffix":""},{"dropping-particle":"","family":"Selnæs","given":"Kirsten M.","non-dropping-particle":"","parse-names":false,"suffix":""},{"dropping-particle":"","family":"Wright","given":"Alan J.","non-dropping-particle":"","parse-names":false,"suffix":""},{"dropping-particle":"","family":"Bathen","given":"Tone F.","non-dropping-particle":"","parse-names":false,"suffix":""},{"dropping-particle":"","family":"Viset","given":"Trond","non-dropping-particle":"","parse-names":false,"suffix":""},{"dropping-particle":"","family":"Halgunset","given":"Jostein","non-dropping-particle":"","parse-names":false,"suffix":""},{"dropping-particle":"","family":"Angelsen","given":"Anders","non-dropping-particle":"","parse-names":false,"suffix":""},{"dropping-particle":"","family":"Gribbestad","given":"Ingrid S.","non-dropping-particle":"","parse-names":false,"suffix":""},{"dropping-particle":"","family":"Tessem","given":"May Britt","non-dropping-particle":"","parse-names":false,"suffix":""}],"container-title":"PLoS ONE","id":"ITEM-2","issue":"4","issued":{"date-parts":[["2013","4","23"]]},"title":"Spermine and Citrate as Metabolic Biomarkers for Assessing Prostate Cancer Aggressiveness","type":"article-journal","volume":"8"},"uris":["http://www.mendeley.com/documents/?uuid=44d68125-d1d2-32b1-ba3d-23e50c229bb1"]}],"mendeley":{"formattedCitation":"[22], [23]","plainTextFormattedCitation":"[22], [23]","previouslyFormattedCitation":"[22], [23]"},"properties":{"noteIndex":0},"schema":"https://github.com/citation-style-language/schema/raw/master/csl-citation.json"}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[22], [23]</w:t>
            </w:r>
            <w:r w:rsidRPr="00DF6C69">
              <w:rPr>
                <w:rFonts w:cs="Times New Roman"/>
                <w:sz w:val="18"/>
                <w:szCs w:val="18"/>
              </w:rPr>
              <w:fldChar w:fldCharType="end"/>
            </w:r>
            <w:r w:rsidRPr="00DF6C69">
              <w:rPr>
                <w:rFonts w:cs="Times New Roman"/>
                <w:sz w:val="18"/>
                <w:szCs w:val="18"/>
              </w:rPr>
              <w:t xml:space="preserve">, indoxyl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lactate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{"citationItems":[{"id":"ITEM-1","itemData":{"DOI":"10.1021/pr9004162","ISSN":"15353893","abstract":"Colorectal carcinogenesis involves the overexpression of many immediate-early response genes associated with growth and inflammation, which significantly alters downstream protein synthesis and small-molecule metabolite production. We have performed a serum metabolic analysis to test the hypothesis that the distinct metabolite profiles of malignant tumors are reflected in biofluids. In this study, we have analyzed the serum metabolites from 64 colorectal cancer (CRC) patients and 65 healthy controls using gas chromatography time-of-flight mass spectrometry (GC-TOFMS) and Acquity ultraperformance liquid chromatography-quadrupole time-of-flight mass spectrometry (Acquity UPLC-QTOFMS). Orthogonal partial least-squares discriminate analysis (OPLS-DA) models generated from GC-TOFMS and UPLC-QTOFMS metabolic profile data showed robust discrimination from CRC patients and healthy controls. A total of 33 differential metabolites were identified using these two analytical platforms, five of which were detected in both instruments. These metabolites potentially reveal perturbation of glycolysis, arginine and proline metabolism, fatty acid metabolism and oleamide metabolism, associated with CRC morbidity. These results suggest that serum metabolic profiling has great potential in detecting CRC and helping to understand its underlying mechanisms. © 2009 American Chemical Society.","author":[{"dropping-particle":"","family":"Qiu","given":"Yunping","non-dropping-particle":"","parse-names":false,"suffix":""},{"dropping-particle":"","family":"Cai","given":"Guoxiang","non-dropping-particle":"","parse-names":false,"suffix":""},{"dropping-particle":"","family":"Su","given":"Mingming","non-dropping-particle":"","parse-names":false,"suffix":""},{"dropping-particle":"","family":"Chen","given":"Tianlu","non-dropping-particle":"","parse-names":false,"suffix":""},{"dropping-particle":"","family":"Zheng","given":"Xiaojiao","non-dropping-particle":"","parse-names":false,"suffix":""},{"dropping-particle":"","family":"Xu","given":"Ye","non-dropping-particle":"","parse-names":false,"suffix":""},{"dropping-particle":"","family":"Ni","given":"Yan","non-dropping-particle":"","parse-names":false,"suffix":""},{"dropping-particle":"","family":"Zhao","given":"Aihua","non-dropping-particle":"","parse-names":false,"suffix":""},{"dropping-particle":"","family":"Xu","given":"Lisa X.","non-dropping-particle":"","parse-names":false,"suffix":""},{"dropping-particle":"","family":"Cai","given":"Sanjun","non-dropping-particle":"","parse-names":false,"suffix":""},{"dropping-particle":"","family":"Jia","given":"Wei","non-dropping-particle":"","parse-names":false,"suffix":""}],"container-title":"Journal of Proteome Research","id":"ITEM-1","issue":"10","issued":{"date-parts":[["2009"]]},"page":"4844-4850","title":"Serum metabolite profiling of human colorectal cancer using GC-TOFMS and UPLC-QTOFMS","type":"article-journal","volume":"8"},"uris":["http://www.mendeley.com/documents/?uuid=2f4d04cb-cb25-361f-9113-fbf13838ccc5"]}],"mendeley":{"formattedCitation":"[18]","plainTextFormattedCitation":"[18]","previouslyFormattedCitation":"[18]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[18]</w:t>
            </w:r>
            <w:r w:rsidRPr="00DF6C69">
              <w:rPr>
                <w:rFonts w:cs="Times New Roman"/>
                <w:sz w:val="18"/>
                <w:szCs w:val="18"/>
              </w:rPr>
              <w:fldChar w:fldCharType="end"/>
            </w:r>
            <w:r w:rsidRPr="00DF6C69">
              <w:rPr>
                <w:rFonts w:cs="Times New Roman"/>
                <w:sz w:val="18"/>
                <w:szCs w:val="18"/>
              </w:rPr>
              <w:t xml:space="preserve">, linoleic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N1-acetylspermidine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N-acetyl-5-hydroxytryptamine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nicotinic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proline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prognostication","type":"article-journal","volume":"12"},"uris":["http://www.mendeley.com/documents/?uuid=8bde2d36-f5b1-3b6e-a713-7d9198fb9406"]},{"id":"ITEM-2","itemData":{"DOI":"10.2217/fon.10.107","ISSN":"14796694","abstract":"Metabolomics represents one of the new omics sciences and capitalizes on the unique presence and concentration of small molecules in tissues and body fluids to construct a 'fingerprint that can be unique to the individual and, within that individual, unique to environmental influences, including health and disease states. As such, metabolomics has the potential to serve an important role in diagnosis and management of human conditions. Colorectal cancer is a major public health concern. Current population-based screening methods are suboptimal and whether metabolomics could represent a new tool of screening is under investigation. The purpose of this systematic review is to summarize existing literature on metabolomics and colorectal cancer, in terms of diagnostic accuracies and distinguishing metabolites. Eight studies are included. A total of 12 metabolites (taurine, lactate, choline, inositol, glycine, phosphocholine, proline, phenylalanine, alanine, threonine, valine and leucine) were found to be more prevalent in colorectal cancer and glucose was found to be in higher proportion in control specimens using tissue metabolomics. Serum and urine metabolomics identified several other differential metabolites between controls and colorectal cancer patients. This article highlights the novelty of the field of metabolomics in colorectal oncology. © 2010 Future Medicine Ltd.","author":[{"dropping-particle":"","family":"Wang","given":"Haili","non-dropping-particle":"","parse-names":false,"suffix":""},{"dropping-particle":"","family":"Tso","given":"Victor K.","non-dropping-particle":"","parse-names":false,"suffix":""},{"dropping-particle":"","family":"Slupsky","given":"Carolyn M.","non-dropping-particle":"","parse-names":false,"suffix":""},{"dropping-particle":"","family":"Fedorak","given":"Richard N.","non-dropping-particle":"","parse-names":false,"suffix":""}],"container-title":"Future Oncology","id":"ITEM-2","issue":"9","issued":{"date-parts":[["2010","9"]]},"page":"1395-1406","title":"Metabolomics and detection of colorectal cancer in humans: A systematic review","type":"article","volume":"6"},"uris":["http://www.mendeley.com/documents/?uuid=515e3bbe-0629-3540-96ca-70aa8a27c645"]}],"mendeley":{"formattedCitation":"[17], [21]","plainTextFormattedCitation":"[17], [21]","previouslyFormattedCitation":"[17], [21]"},"properties":{"noteIndex":0},"schema":"https://github.com/citation-style-language/schema/raw/master/csl-citation.json"}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[17], [21]</w:t>
            </w:r>
            <w:r w:rsidRPr="00DF6C69">
              <w:rPr>
                <w:rFonts w:cs="Times New Roman"/>
                <w:sz w:val="18"/>
                <w:szCs w:val="18"/>
              </w:rPr>
              <w:fldChar w:fldCharType="end"/>
            </w:r>
            <w:r w:rsidRPr="00DF6C69">
              <w:rPr>
                <w:rFonts w:cs="Times New Roman"/>
                <w:sz w:val="18"/>
                <w:szCs w:val="18"/>
              </w:rPr>
              <w:t xml:space="preserve">, symmetric dimethylarginine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threonine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uracil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r w:rsidRPr="00DF6C69">
              <w:rPr>
                <w:rFonts w:cs="Times New Roman"/>
                <w:sz w:val="18"/>
                <w:szCs w:val="18"/>
              </w:rPr>
              <w:t xml:space="preserve">, urea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{"citationItems":[{"id":"ITEM-1","itemData":{"DOI":"10.1158/1940-6207.CAPR-12-0387","ISSN":"19406207","abstract":"Herein, employing anatomical and dynamic contrast-enhanced (DCE) magnetic resonance imaging (MRI), we evaluated noninvasively, the in vivo, chemopreventive efficacy of inositol hexaphosphate (IP6), a major constituent of high-fiber diets, against prostate tumor growth and progression in transgenic adenocarcinoma of the mouse prostate (TRAMP) model. Male TRAMP mice, beginning at 4 weeks of age, were fed with 1%, 2%, or 4% (w/v) IP6 in drinking water or only drinking water till 28 weeks of age and monitored using MRI over the course of study. Longitudinal assessment of prostate volumes by conventional MRI and tumor vascularity by gadolinium-based DCE-MRI showed a profound reduction in tumor size, partly due to antiangiogenic effects by IP6 treatment. As potential mechanisms of IP6 efficacy, decrease in the expression of glucose transporter GLUT-4 protein together with an increase in levels of phospho-AMP-activated kinase (AMPK 172) were observed in prostate tissues of mice from IP6 fed-groups, suggesting that IP6 is interfering with the metabolic events occurring in TRAMP prostate. Investigative metabolomics study using quantitative high-resolution 1H-NMR on prostate tissue extracts showed that IP6 significantly decreased glucose metabolism and membrane phospholipid synthesis, in addition to causing an increase in myoinositol levels in the prostate. Together, these findings show that oral IP6 supplement blocks growth and angiogenesis of prostate cancer in the TRAMP model in conjunction with metabolic events involved in tumor sustenance. This results in energy deprivation within the tumor, suggesting a practical and translational potential of IP6 treatment in suppressing growth and progression of prostate cancer in humans. © 2012 AACR.","author":[{"dropping-particle":"","family":"Raina","given":"Komal","non-dropping-particle":"","parse-names":false,"suffix":""},{"dropping-particle":"","family":"Ravichandran","given":"Kameswaran","non-dropping-particle":"","parse-names":false,"suffix":""},{"dropping-particle":"","family":"Rajamanickam","given":"Subapriya","non-dropping-particle":"","parse-names":false,"suffix":""},{"dropping-particle":"","family":"Huber","given":"Kendra M.","non-dropping-particle":"","parse-names":false,"suffix":""},{"dropping-particle":"","family":"Serkova","given":"Natalie J.","non-dropping-particle":"","parse-names":false,"suffix":""},{"dropping-particle":"","family":"Agarwal","given":"Rajesh","non-dropping-particle":"","parse-names":false,"suffix":""}],"container-title":"Cancer Prevention Research","id":"ITEM-1","issue":"1","issued":{"date-parts":[["2013","1"]]},"page":"40-50","title":"Inositol hexaphosphate inhibits tumor growth, vascularity, and metabolism in TRAMP mice: A multiparametric magnetic resonance study","type":"article-journal","volume":"6"},"uris":["http://www.mendeley.com/documents/?uuid=66fab0b6-b52a-3bdc-a89e-095d2a845506"]},{"id":"ITEM-2","itemData":{"DOI":"10.1371/journal.pone.0062375","ISSN":"19326203","abstract":"Separating indolent from aggressive prostate cancer is an important clinical challenge for identifying patients eligible for active surveillance, thereby reducing the risk of overtreatment. The purpose of this study was to assess prostate cancer aggressiveness by metabolic profiling of prostatectomy tissue and to identify specific metabolites as biomarkers for aggressiveness. Prostate tissue samples (n = 158, 48 patients) with a high cancer content (mean: 61.8%) were obtained using a new harvesting method, and metabolic profiles of samples representing different Gleason scores (GS) were acquired by high resolution magic angle spinning magnetic resonance spectroscopy (HR-MAS). Multivariate analysis (PLS, PLS-DA) and absolute quantification (LCModel) were used to examine the ability to predict cancer aggressiveness by comparing low grade (GS = 6, n = 30) and high grade (GS≥7, n = 81) cancer with normal adjacent tissue (n = 47). High grade cancer tissue was distinguished from low grade cancer tissue by decreased concentrations of spermine (p = 0.0044) and citrate (p = 7.73·10-4), and an increase in the clinically applied (total choline+creatine+polyamines)/citrate (CCP/C) ratio (p = 2.17·10-4). The metabolic profiles were significantly correlated to the GS obtained from each tissue sample (r = 0.71), and cancer tissue could be distinguished from normal tissue with sensitivity 86.9% and specificity 85.2%. Overall, our findings show that metabolic profiling can separate aggressive from indolent prostate cancer. This holds promise for the benefit of applying in vivo magnetic resonance spectroscopy (MRS) within clinical MR imaging investigations, and HR-MAS analysis of transrectal ultrasound-guided biopsies has a potential as an additional diagnostic tool. © 2013 Giskeødegård et al.","author":[{"dropping-particle":"","family":"Giskeødegård","given":"Guro F.","non-dropping-particle":"","parse-names":false,"suffix":""},{"dropping-particle":"","family":"Bertilsson","given":"Helena","non-dropping-particle":"","parse-names":false,"suffix":""},{"dropping-particle":"","family":"Selnæs","given":"Kirsten M.","non-dropping-particle":"","parse-names":false,"suffix":""},{"dropping-particle":"","family":"Wright","given":"Alan J.","non-dropping-particle":"","parse-names":false,"suffix":""},{"dropping-particle":"","family":"Bathen","given":"Tone F.","non-dropping-particle":"","parse-names":false,"suffix":""},{"dropping-particle":"","family":"Viset","given":"Trond","non-dropping-particle":"","parse-names":false,"suffix":""},{"dropping-particle":"","family":"Halgunset","given":"Jostein","non-dropping-particle":"","parse-names":false,"suffix":""},{"dropping-particle":"","family":"Angelsen","given":"Anders","non-dropping-particle":"","parse-names":false,"suffix":""},{"dropping-particle":"","family":"Gribbestad","given":"Ingrid S.","non-dropping-particle":"","parse-names":false,"suffix":""},{"dropping-particle":"","family":"Tessem","given":"May Britt","non-dropping-particle":"","parse-names":false,"suffix":""}],"container-title":"PLoS ONE","id":"ITEM-2","issue":"4","issued":{"date-parts":[["2013","4","23"]]},"title":"Spermine and Citrate as Metabolic Biomarkers for Assessing Prostate Cancer Aggressiveness","type":"article-journal","volume":"8"},"uris":["http://www.mendeley.com/documents/?uuid=44d68125-d1d2-32b1-ba3d-23e50c229bb1"]},{"id":"ITEM-3","itemData":{"DOI":"10.1002/pros.22704","ISSN":"02704137","abstract":"BACKGROUND Current diagnostic techniques have increased the detection of prostate cancer; however, these tools inadequately stratify patients to minimize mortality. Recent studies have identified a biochemical signature of prostate cancer metastasis, including increased sarcosine abundance. This study examined the association of tissue metabolites with other clinically significant findings. METHODS A state of the art metabolomics platform analyzed prostatectomy tissues (331 prostate tumor, 178 cancer-free prostate tissues) from two independent sites. Biochemicals were analyzed by gas chromatography-mass spectrometry and ultrahigh performance liquid chromatography-tandem mass spectrometry. Statistical analyses identified metabolites associated with cancer aggressiveness: Gleason score, extracapsular extension, and seminal vesicle and lymph node involvement. RESULTS Prostate tumors had significantly altered metabolite profiles compared to cancer-free prostate tissues, including biochemicals associated with cell growth, energetics, stress, and loss of prostate-specific biochemistry. Many metabolites were further associated with clinical findings of aggressive disease. Aggressiveness-associated metabolites stratified prostate tumor tissues with high abundances of compounds associated with normal prostate function (e.g., citrate and polyamines) from more clinically advanced prostate tumors. These aggressive prostate tumors were further subdivided by abundance profiles of metabolites including NAD+ and kynurenine. When added to multiparametric nomograms, metabolites improved prediction of organ confinement (AUROC from 0.53 to 0.62) and 5-year recurrence (AUROC from 0.53 to 0.64). CONCLUSIONS These findings support and extend earlier metabolomic studies in prostate cancer and studies where metabolic enzymes have been associated with carcinogenesis and/or outcome. Furthermore, these data suggest that panels of analytes may be valuable to translate metabolomic findings to clinically useful diagnostic tests. © 2013 Wiley Periodicals, Inc.","author":[{"dropping-particle":"","family":"McDunn","given":"Jonathan E.","non-dropping-particle":"","parse-names":false,"suffix":""},{"dropping-particle":"","family":"Li","given":"Zhen","non-dropping-particle":"","parse-names":false,"suffix":""},{"dropping-particle":"","family":"Adam","given":"Klaus Peter","non-dropping-particle":"","parse-names":false,"suffix":""},{"dropping-particle":"","family":"Neri","given":"Bruce P.","non-dropping-particle":"","parse-names":false,"suffix":""},{"dropping-particle":"","family":"Wolfert","given":"Robert L.","non-dropping-particle":"","parse-names":false,"suffix":""},{"dropping-particle":"V.","family":"Milburn","given":"Michael","non-dropping-particle":"","parse-names":false,"suffix":""},{"dropping-particle":"","family":"Lotan","given":"Yair","non-dropping-particle":"","parse-names":false,"suffix":""},{"dropping-particle":"","family":"Wheeler","given":"Thomas M.","non-dropping-particle":"","parse-names":false,"suffix":""}],"container-title":"Prostate","id":"ITEM-3","issue":"14","issued":{"date-parts":[["2013","10"]]},"page":"1547-1560","title":"Metabolomic signatures of aggressive prostate cancer","type":"article-journal","volume":"73"},"uris":["http://www.mendeley.com/documents/?uuid=64dbf0db-a91c-4f45-84f4-50b4e0774320"]}],"mendeley":{"formattedCitation":"[22]–[24]","plainTextFormattedCitation":"[22]–[24]","previouslyFormattedCitation":"[22]–[24]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[22]–[24]</w:t>
            </w:r>
            <w:r w:rsidRPr="00DF6C69">
              <w:rPr>
                <w:rFonts w:cs="Times New Roman"/>
                <w:sz w:val="18"/>
                <w:szCs w:val="18"/>
              </w:rPr>
              <w:fldChar w:fldCharType="end"/>
            </w:r>
            <w:r w:rsidRPr="00DF6C69">
              <w:rPr>
                <w:rFonts w:cs="Times New Roman"/>
                <w:sz w:val="18"/>
                <w:szCs w:val="18"/>
              </w:rPr>
              <w:t xml:space="preserve">, xanthine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{"citationItems":[{"id":"ITEM-1","itemData":{"DOI":"10.1021/pr3010106","ISSN":"15353893","abstract":"Colorectal cancer (CRC) is a major cause of morbidity and mortality in developed countries. Despite operative advances and the widespread adoption of combined-modality treatment, the 5-year survival rarely exceeds 60%. Improving our understanding of the biological processes involved in CRC development and progression will help generate new diagnostic and prognostic approaches. Previous studies have identified altered metabolism as a common feature in carcinogenesis, and quantitative measurement of this altered activity (metabonomics/metabolomics) has the potential to generate novel metabolite-based biomarkers for CRC diagnosis, staging and prognostication. In the present study we applied high-resolution magic angle spinning nuclear magnetic resonance (HR-MAS NMR) spectroscopy to analyze metabolites in intact tumor samples (n = 83) and samples of adjacent mucosa (n = 87) obtained from 26 patients undergoing surgical resection for CRC. Orthogonal partial least-squares discriminant analysis (OPLS-DA) of metabolic profiles identified marked biochemical differences between cancer tissue and adjacent mucosa (R2 = 0.72; Q2 = 0.45; AUC = 0.91). Taurine, isoglutamine, choline, lactate, phenylalanine, tyrosine (increased concentrations in tumor tissue) together with lipids and triglycerides (decreased concentrations in tumor tissue) were the most discriminant metabolites between the two groups in the model. In addition, tumor tissue metabolic profiles were able to distinguish between tumors of different T- and N-stages according to TNM classification. Moreover, we found that tumor-adjacent mucosa (10 cm from the tumor margin) harbors unique metabolic field changes that distinguish tumors according to T- and N-stage with higher predictive capability than tumor tissue itself and are accurately predictive of 5-year survival (AUC = 0.88), offering a highly novel means of tumor classification and prognostication in CRC. © 2012 American Chemical Society.","author":[{"dropping-particle":"","family":"Jiménez","given":"Beatriz","non-dropping-particle":"","parse-names":false,"suffix":""},{"dropping-particle":"","family":"Mirnezami","given":"Reza","non-dropping-particle":"","parse-names":false,"suffix":""},{"dropping-particle":"","family":"Kinross","given":"James","non-dropping-particle":"","parse-names":false,"suffix":""},{"dropping-particle":"","family":"Cloarec","given":"Olivier","non-dropping-particle":"","parse-names":false,"suffix":""},{"dropping-particle":"","family":"Keun","given":"Hector C.","non-dropping-particle":"","parse-names":false,"suffix":""},{"dropping-particle":"","family":"Holmes","given":"Elaine","non-dropping-particle":"","parse-names":false,"suffix":""},{"dropping-particle":"","family":"Goldin","given":"Robert D.","non-dropping-particle":"","parse-names":false,"suffix":""},{"dropping-particle":"","family":"Ziprin","given":"Paul","non-dropping-particle":"","parse-names":false,"suffix":""},{"dropping-particle":"","family":"Darzi","given":"Ara","non-dropping-particle":"","parse-names":false,"suffix":""},{"dropping-particle":"","family":"Nicholson","given":"Jeremy K.","non-dropping-particle":"","parse-names":false,"suffix":""}],"container-title":"Journal of Proteome Research","id":"ITEM-1","issue":"2","issued":{"date-parts":[["2013","2","1"]]},"page":"959-968","title":"1H HR-MAS NMR spectroscopy of tumor-induced local metabolic \"field-effects\" enables colorectal cancer staging and prognostication","type":"article-journal","volume":"12"},"uris":["http://www.mendeley.com/documents/?uuid=8bde2d36-f5b1-3b6e-a713-7d9198fb9406"]}],"mendeley":{"formattedCitation":"[21]","plainTextFormattedCitation":"[21]","previouslyFormattedCitation":"[21]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[21]</w:t>
            </w:r>
            <w:r w:rsidRPr="00DF6C69">
              <w:rPr>
                <w:rFonts w:cs="Times New Roman"/>
                <w:sz w:val="18"/>
                <w:szCs w:val="18"/>
              </w:rPr>
              <w:fldChar w:fldCharType="end"/>
            </w:r>
          </w:p>
        </w:tc>
      </w:tr>
      <w:tr w:rsidR="00521E89" w:rsidRPr="00DF6C69" w14:paraId="0E100A26" w14:textId="77777777" w:rsidTr="000765CF">
        <w:trPr>
          <w:trHeight w:val="1888"/>
        </w:trPr>
        <w:tc>
          <w:tcPr>
            <w:tcW w:w="1418" w:type="dxa"/>
            <w:vMerge w:val="restart"/>
            <w:shd w:val="clear" w:color="auto" w:fill="FFF2CC" w:themeFill="accent4" w:themeFillTint="33"/>
            <w:vAlign w:val="center"/>
          </w:tcPr>
          <w:p w14:paraId="1153F235" w14:textId="77777777" w:rsidR="00521E89" w:rsidRPr="00DF6C69" w:rsidRDefault="00521E89" w:rsidP="000765CF">
            <w:pPr>
              <w:rPr>
                <w:rFonts w:cs="Times New Roman"/>
                <w:sz w:val="18"/>
                <w:szCs w:val="18"/>
              </w:rPr>
            </w:pPr>
          </w:p>
          <w:p w14:paraId="5C7F8CDB" w14:textId="77777777" w:rsidR="00521E89" w:rsidRPr="00DF6C69" w:rsidRDefault="00521E89" w:rsidP="000765CF">
            <w:pPr>
              <w:rPr>
                <w:rFonts w:cs="Times New Roman"/>
                <w:b/>
                <w:sz w:val="18"/>
                <w:szCs w:val="18"/>
              </w:rPr>
            </w:pPr>
            <w:r w:rsidRPr="00DF6C69">
              <w:rPr>
                <w:rFonts w:cs="Times New Roman"/>
                <w:b/>
                <w:sz w:val="18"/>
                <w:szCs w:val="18"/>
              </w:rPr>
              <w:t>Pancreatic</w:t>
            </w:r>
          </w:p>
          <w:p w14:paraId="244B90D7" w14:textId="77777777" w:rsidR="00521E89" w:rsidRPr="00DF6C69" w:rsidRDefault="00521E89" w:rsidP="000765CF">
            <w:pPr>
              <w:rPr>
                <w:rFonts w:cs="Times New Roman"/>
                <w:sz w:val="18"/>
                <w:szCs w:val="18"/>
              </w:rPr>
            </w:pPr>
          </w:p>
        </w:tc>
        <w:tc>
          <w:tcPr>
            <w:tcW w:w="993" w:type="dxa"/>
            <w:vAlign w:val="center"/>
          </w:tcPr>
          <w:p w14:paraId="02005570" w14:textId="77777777" w:rsidR="00521E89" w:rsidRPr="00DF6C69" w:rsidRDefault="00521E89" w:rsidP="000765CF">
            <w:pPr>
              <w:rPr>
                <w:rFonts w:cs="Times New Roman"/>
                <w:sz w:val="18"/>
                <w:szCs w:val="18"/>
              </w:rPr>
            </w:pPr>
            <w:r w:rsidRPr="00DF6C69">
              <w:rPr>
                <w:rFonts w:cs="Times New Roman"/>
                <w:sz w:val="18"/>
                <w:szCs w:val="18"/>
              </w:rPr>
              <w:t>Serum*</w:t>
            </w:r>
          </w:p>
        </w:tc>
        <w:tc>
          <w:tcPr>
            <w:tcW w:w="6945" w:type="dxa"/>
            <w:vAlign w:val="center"/>
          </w:tcPr>
          <w:p w14:paraId="61DA482E" w14:textId="4EF1CAD8" w:rsidR="00521E89" w:rsidRPr="00DF6C69" w:rsidRDefault="00521E89" w:rsidP="000765CF">
            <w:pPr>
              <w:rPr>
                <w:rFonts w:cs="Times New Roman"/>
                <w:sz w:val="18"/>
                <w:szCs w:val="18"/>
              </w:rPr>
            </w:pPr>
            <w:r w:rsidRPr="00DF6C69">
              <w:rPr>
                <w:rFonts w:cs="Times New Roman"/>
                <w:sz w:val="18"/>
                <w:szCs w:val="18"/>
              </w:rPr>
              <w:t xml:space="preserve">3,6-dihydroxy-5-cholan-24-oic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{"citationItems":[{"id":"ITEM-1","itemData":{"DOI":"10.1007/s11306-012-0476-7","ISSN":"15733882","abstract":"Metabolomics as one of the most rapidly growing technologies in the \"-omics\" field denotes the comprehensive analysis of low molecular-weight compounds and their pathways. Cancer-specific alterations of the metabolome can be detected by high-throughput mass-spectrometric metabolite profiling and serve as a considerable source of new markers for the early differentiation of malignant diseases as well as their distinction from benign states. However, a comprehensive framework for the statistical evaluation of marker panels in a multi-class setting has not yet been established. We collected serum samples of 40 pancreatic carcinoma patients, 40 controls, and 23 pancreatitis patients according to standard protocols and generated amino acid profiles by routine mass-spectrometry. In an intrinsic three-class bioinformatic approach we compared these profiles, evaluated their selectivity and computed multi-marker panels combined with the conventional tumor marker CA 19-9. Additionally, we tested for non-inferiority and superiority to determine the diagnostic surplus value of our multi-metabolite marker panels. Compared to CA 19-9 alone, the combined amino acid-based metabolite panel had a superior selectivity for the discrimination of healthy controls, pancreatitis, and pancreatic carcinoma patients [volume under ROC surface (VUS) = 0.891(95% CI 0:794 - 0:968)] We combined highly standardized samples, a three-class study design, a high-throughput mass-spectrometric technique, and a comprehensive bioinformatic framework to identify metabolite panels selective for all three groups in a single approach. Our results suggest that metabolomic profiling necessitates appropriate evaluation strategies and-despite all its current limitations-can deliver marker panels with high selectivity even in multi-class settings. © 2012 The Author(s).","author":[{"dropping-particle":"","family":"Leichtle","given":"Alexander Benedikt","non-dropping-particle":"","parse-names":false,"suffix":""},{"dropping-particle":"","family":"Ceglarek","given":"Uta","non-dropping-particle":"","parse-names":false,"suffix":""},{"dropping-particle":"","family":"Weinert","given":"Peter","non-dropping-particle":"","parse-names":false,"suffix":""},{"dropping-particle":"","family":"Nakas","given":"Christos T.","non-dropping-particle":"","parse-names":false,"suffix":""},{"dropping-particle":"","family":"Nuoffer","given":"Jean Marc","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Martin","non-dropping-particle":"","parse-names":false,"suffix":""}],"container-title":"Metabolomics","id":"ITEM-1","issue":"3","issued":{"date-parts":[["2013","6"]]},"page":"677-687","title":"Pancreatic carcinoma, pancreatitis, and healthy controls: Metabolite models in a three-class diagnostic dilemma","type":"article-journal","volume":"9"},"uris":["http://www.mendeley.com/documents/?uuid=716efd7d-6811-4814-9b77-a480c07ce032"]}],"mendeley":{"formattedCitation":"[3]","plainTextFormattedCitation":"[3]","previouslyFormattedCitation":"[3]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w:t>
            </w:r>
            <w:r w:rsidRPr="00DF6C69">
              <w:rPr>
                <w:rFonts w:cs="Times New Roman"/>
                <w:sz w:val="18"/>
                <w:szCs w:val="18"/>
              </w:rPr>
              <w:fldChar w:fldCharType="end"/>
            </w:r>
            <w:r w:rsidRPr="00DF6C69">
              <w:rPr>
                <w:rFonts w:cs="Times New Roman"/>
                <w:sz w:val="18"/>
                <w:szCs w:val="18"/>
              </w:rPr>
              <w:t xml:space="preserve">, 3-hydrolybuterate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3-hydrolyisovalerate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3-Hydroxybutyrate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Prevention","id":"ITEM-1","issue":"1","issued":{"date-parts":[["2011"]]},"page":"140-147","title":"Feasibility of identifying pancreatic cancer based on serum metabolomics","type":"article-journal","volume":"20"},"uris":["http://www.mendeley.com/documents/?uuid=a060d321-390f-402d-97cd-f5f6e1b8b0a6"]},{"id":"ITEM-2","itemData":{"DOI":"10.1007/s12010-011-9240-0","ISSN":"15590291","abstract":"Pancreatic cancer is a malignant tumor with the worst prognosis among all cancers. At the time of diagnosis, surgical cure is no longer a feasible option for most patients, thus early detection of pancreatic cancer is crucial for its treatment. Metabolomics is a powerful new analytical approach to detect the metabolome of cells, tissue, or biofluids. Here, we report the application of 1 H nuclear magnetic resonance (NMR) combined with principal components analysis to discriminate pancreatic cancer patients from healthy controls based on metabolomic profiling of the serum. The metabolic analysis revealed significant lower of 3-hydroxybutyrate, 3-hydroxyisovalerate, lactate, and trimethylamine- N-oxide as well as significant higher level of isoleucine, triglyceride, leucine, and creatinine in the serum from pancreatic cancer patients compared to that of healthy controls. Our data demonstrate that the subtle differences in metabolite profiles in serum of pancreatic cancer patients and that of healthy subjects as a result of physiological and pathological variations could be identified by NMR-based metabolomics and exploited as metabolic markers for the early detection of pancreatic cancer. © Springer Science+Business Media, LLC 2011.","author":[{"dropping-particle":"","family":"Yang","given":"Dong Ou","non-dropping-particle":"","parse-names":false,"suffix":""},{"dropping-particle":"","family":"Xu","given":"Jingjing","non-dropping-particle":"","parse-names":false,"suffix":""},{"dropping-particle":"","family":"Huang","given":"Heguang","non-dropping-particle":"","parse-names":false,"suffix":""},{"dropping-particle":"","family":"Chen","given":"Zhong","non-dropping-particle":"","parse-names":false,"suffix":""}],"container-title":"Applied Biochemistry and Biotechnology","id":"ITEM-2","issue":"1","issued":{"date-parts":[["2011"]]},"page":"148-154","publisher":"Humana Press Inc.","title":"Metabolomic profiling of serum from human pancreatic cancer patients Using 1 H NMR spectroscopy and principal component analysis","type":"article-journal","volume":"165"},"uris":["http://www.mendeley.com/documents/?uuid=f27f1ced-f5b6-3b61-aadc-b9b679f09cf4"]}],"mendeley":{"formattedCitation":"[25], [26]","plainTextFormattedCitation":"[25], [26]","previouslyFormattedCitation":"[25], [26]"},"properties":{"noteIndex":0},"schema":"https://github.com/citation-style-language/schema/raw/master/csl-citation.json"}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 [26]</w:t>
            </w:r>
            <w:r w:rsidRPr="00DF6C69">
              <w:rPr>
                <w:rFonts w:cs="Times New Roman"/>
                <w:sz w:val="18"/>
                <w:szCs w:val="18"/>
              </w:rPr>
              <w:fldChar w:fldCharType="end"/>
            </w:r>
            <w:r w:rsidRPr="00DF6C69">
              <w:rPr>
                <w:rFonts w:cs="Times New Roman"/>
                <w:sz w:val="18"/>
                <w:szCs w:val="18"/>
              </w:rPr>
              <w:t xml:space="preserve">, 3-hydroxyisovalerate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Prevention","id":"ITEM-1","issue":"1","issued":{"date-parts":[["2011"]]},"page":"140-147","title":"Feasibility of identifying pancreatic cancer based on serum metabolomics","type":"article-journal","volume":"20"},"uris":["http://www.mendeley.com/documents/?uuid=a060d321-390f-402d-97cd-f5f6e1b8b0a6"]}],"mendeley":{"formattedCitation":"[25]","plainTextFormattedCitation":"[25]","previouslyFormattedCitation":"[25]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w:t>
            </w:r>
            <w:r w:rsidRPr="00DF6C69">
              <w:rPr>
                <w:rFonts w:cs="Times New Roman"/>
                <w:sz w:val="18"/>
                <w:szCs w:val="18"/>
              </w:rPr>
              <w:fldChar w:fldCharType="end"/>
            </w:r>
            <w:r w:rsidRPr="00DF6C69">
              <w:rPr>
                <w:rFonts w:cs="Times New Roman"/>
                <w:sz w:val="18"/>
                <w:szCs w:val="18"/>
              </w:rPr>
              <w:t xml:space="preserve">, acetone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{"citationItems":[{"id":"ITEM-1","itemData":{"DOI":"10.1016/j.clinbiochem.2012.05.012","ISSN":"00099120","abstract":"Objectives: To develop a noninvasive and accessible diagnostic method for pancreatic cancer (PC). Design and methods: We presented a metabolomic method, pattern recognition techniques applied to 1H nuclear magnetic resonance (1H NMR) spectra, to investigate the plasma metabolites obtained from 19 patients with PC, 20 patients with chronic pancreatitis (CP) and 20 healthy individuals. Results: Metabolic changes associated with PC included abnormal amino acid and lipid metabolism, and possible multiple metabolic syndrome. PC elevated plasma levels of N-acetyl glycoprotein (NAG), dimethylamine (DMA), very low density lipoprotein (VLDL), and acetone, and reduced levels of 3-hydroxybutyrate, lactate, high density lipoprotein (HDL), low density lipoprotein (LDL), citrate, alanine, glutamate, glutamine, histidine, isoleucine, lysine, and valine. These metabolites could be a biomarker group for PC that distinguishes between PC and CP patients and healthy individuals. Conclusions: NMR-based metabonomic strategy appears as a promising approach for distinguishing pancreatic cancer and identifying new strategies for prevention or therapy in the clinical practice. © 2012 The Canadian Society of Clinical Chemists.","author":[{"dropping-particle":"","family":"Zhang","given":"Lin","non-dropping-particle":"","parse-names":false,"suffix":""},{"dropping-particle":"","family":"Jin","given":"Haifeng","non-dropping-particle":"","parse-names":false,"suffix":""},{"dropping-particle":"","family":"Guo","given":"Xuegang","non-dropping-particle":"","parse-names":false,"suffix":""},{"dropping-particle":"","family":"Yang","given":"Zhao","non-dropping-particle":"","parse-names":false,"suffix":""},{"dropping-particle":"","family":"Zhao","given":"Lina","non-dropping-particle":"","parse-names":false,"suffix":""},{"dropping-particle":"","family":"Tang","given":"Shanhong","non-dropping-particle":"","parse-names":false,"suffix":""},{"dropping-particle":"","family":"Mo","given":"Ping","non-dropping-particle":"","parse-names":false,"suffix":""},{"dropping-particle":"","family":"Wu","given":"Kaichun","non-dropping-particle":"","parse-names":false,"suffix":""},{"dropping-particle":"","family":"Nie","given":"Yongzhan","non-dropping-particle":"","parse-names":false,"suffix":""},{"dropping-particle":"","family":"Pan","given":"Yanglin","non-dropping-particle":"","parse-names":false,"suffix":""},{"dropping-particle":"","family":"Fan","given":"Daiming","non-dropping-particle":"","parse-names":false,"suffix":""}],"container-title":"Clinical Biochemistry","id":"ITEM-1","issue":"13-14","issued":{"date-parts":[["2012","9"]]},"page":"1064-1069","title":"Distinguishing pancreatic cancer from chronic pancreatitis and healthy individuals by 1H nuclear magnetic resonance-based metabonomic profiles","type":"article-journal","volume":"45"},"uris":["http://www.mendeley.com/documents/?uuid=fe55e5b2-455b-33ec-96b3-d8f5e0f7513a"]},{"id":"ITEM-2","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Prevention","id":"ITEM-2","issue":"1","issued":{"date-parts":[["2011"]]},"page":"140-147","title":"Feasibility of identifying pancreatic cancer based on serum metabolomics","type":"article-journal","volume":"20"},"uris":["http://www.mendeley.com/documents/?uuid=a060d321-390f-402d-97cd-f5f6e1b8b0a6"]}],"mendeley":{"formattedCitation":"[25], [27]","plainTextFormattedCitation":"[25], [27]","previouslyFormattedCitation":"[25], [27]"},"properties":{"noteIndex":0},"schema":"https://github.com/citation-style-language/schema/raw/master/csl-citation.json"}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 [27]</w:t>
            </w:r>
            <w:r w:rsidRPr="00DF6C69">
              <w:rPr>
                <w:rFonts w:cs="Times New Roman"/>
                <w:sz w:val="18"/>
                <w:szCs w:val="18"/>
              </w:rPr>
              <w:fldChar w:fldCharType="end"/>
            </w:r>
            <w:r w:rsidRPr="00DF6C69">
              <w:rPr>
                <w:rFonts w:cs="Times New Roman"/>
                <w:sz w:val="18"/>
                <w:szCs w:val="18"/>
              </w:rPr>
              <w:t xml:space="preserve">, 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{"citationItems":[{"id":"ITEM-1","itemData":{"DOI":"10.1021/ac4016787","ISSN":"00032700","abstract":"Untargeted analysis performed using full-scan mass spectrometry (MS) coupled with liquid chromatography (LC) is commonly used in metabolomics. Although they are commonly employed, full-scan MS methods such as quadrupole-time-of-flight (Q-TOF) MS have been restricted by various factors including their limited linear range and complicated data processing. LC coupled with triple quadrupole (QQQ) MS operated in the multiple reaction monitoring (MRM) mode is the gold standard for metabolite quantification; however, only known metabolites are generally quantified, limiting its applications in metabolomic analysis. In this study, a pseudotargeted approach was proposed to perform serum metabolomic analysis using an ultra high-performance liquid chromatography (UHPLC)/QQQ MS system operated in the MRM mode, for which the MRM ion pairs were acquired from the serum samples through untargeted tandem MS using UHPLC/Q-TOF MS. The UHPLC/QQQ MRM MS-based pseudotargeted method displayed better repeatability and wider linear range than the traditional UHPLC/Q-TOF MS-based untargeted metabolomics method, and no complicated peak alignment was required. The developed method was applied to discover serum biomarkers for patients with hepatocellular carcinoma (HCC). Patients with HCC had decreased lysophosphatidylcholine, increased long-chain and decreased medium-chain acylcarnitines, and increased aromatic and decreased branched-chain amino acid levels compared to healthy controls. The novelty of this work is that it provides an approach to acquire MRM ion pairs from real samples, is not limited to metabolite standards, and it provides a foundation to achieve pseudotargeted metabolomic analysis on the widely used LC/QQQ MS platform. © 2013 American Chemical Society.","author":[{"dropping-particle":"","family":"Chen","given":"Shili","non-dropping-particle":"","parse-names":false,"suffix":""},{"dropping-particle":"","family":"Kong","given":"Hongwei","non-dropping-particle":"","parse-names":false,"suffix":""},{"dropping-particle":"","family":"Lu","given":"Xin","non-dropping-particle":"","parse-names":false,"suffix":""},{"dropping-particle":"","family":"Li","given":"Yong","non-dropping-particle":"","parse-names":false,"suffix":""},{"dropping-particle":"","family":"Yin","given":"Peiyuan","non-dropping-particle":"","parse-names":false,"suffix":""},{"dropping-particle":"","family":"Zeng","given":"Zhongda","non-dropping-particle":"","parse-names":false,"suffix":""},{"dropping-particle":"","family":"Xu","given":"Guowang","non-dropping-particle":"","parse-names":false,"suffix":""}],"container-title":"Analytical Chemistry","id":"ITEM-1","issue":"17","issued":{"date-parts":[["2013"]]},"page":"8326-8333","title":"Pseudotargeted metabolomics method and its application in serum biomarker discovery for hepatocellular carcinoma based on ultra high-performance liquid chromatography/triple quadrupole mass spectrometry","type":"article-journal","volume":"85"},"uris":["http://www.mendeley.com/documents/?uuid=332218bf-734b-3bb6-860b-037631e9d408"]}],"mendeley":{"formattedCitation":"[28]","plainTextFormattedCitation":"[28]","previouslyFormattedCitation":"[28]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[28]</w:t>
            </w:r>
            <w:r w:rsidRPr="00DF6C69">
              <w:rPr>
                <w:rFonts w:cs="Times New Roman"/>
                <w:sz w:val="18"/>
                <w:szCs w:val="18"/>
              </w:rPr>
              <w:fldChar w:fldCharType="end"/>
            </w:r>
            <w:r w:rsidRPr="00DF6C69">
              <w:rPr>
                <w:rFonts w:cs="Times New Roman"/>
                <w:sz w:val="18"/>
                <w:szCs w:val="18"/>
              </w:rPr>
              <w:t xml:space="preserve">, arachidonic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{"citationItems":[{"id":"ITEM-1","itemData":{"DOI":"10.1002/rcm.4420","ISSN":"09514198","abstract":"Poor outcome of pancreatic cancer necessitates development of an early diagnostic method to reduce mortality. No reliable early diagnostic test for pancreatic cancer detection has been developed and validated to date. In the current study, metabolic profiling of plasma samples from selected cancer patients and noncancerous controls was performed to seek novel metabolic biomarkers of pancreatic cancer. A comprehensive mass spectrometry based analytical platform established at the Metabo-lomics Core of the UC Davis Genome Center allowed detection of multiple compounds previously unreported in plasma from pancreatic cancer patients. It was found that selective amino acids, bile acids, and polar lipids were detected with increased or decreased levels in pancreatic cancer samples compared to controls. These findings on blood plasma levels of the relevant metabolites might be very useful clinical parameters for early diagnosis of pancreatic cancer. © 2010 John Wiley &amp; Sons, Ltd.","author":[{"dropping-particle":"","family":"Urayama","given":"Shiro","non-dropping-particle":"","parse-names":false,"suffix":""},{"dropping-particle":"","family":"Zou","given":"Wei","non-dropping-particle":"","parse-names":false,"suffix":""},{"dropping-particle":"","family":"Brooks","given":"Kindra","non-dropping-particle":"","parse-names":false,"suffix":""},{"dropping-particle":"","family":"Tolstikov","given":"Vladimir","non-dropping-particle":"","parse-names":false,"suffix":""}],"container-title":"Rapid Communications in Mass Spectrometry","id":"ITEM-1","issue":"5","issued":{"date-parts":[["2010","3","15"]]},"page":"613-620","title":"Comprehensive mass spectrometry based metabolic profiling of blood plasma reveals potent discriminatory classifiers of pancreatic cancer","type":"article-journal","volume":"24"},"uris":["http://www.mendeley.com/documents/?uuid=8d91bad6-1063-3b75-8679-1610c6f8709a"]}],"mendeley":{"formattedCitation":"[29]","plainTextFormattedCitation":"[29]","previouslyFormattedCitation":"[29]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[29]</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arachidyl</w:t>
            </w:r>
            <w:proofErr w:type="spellEnd"/>
            <w:r w:rsidRPr="00DF6C69">
              <w:rPr>
                <w:rFonts w:cs="Times New Roman"/>
                <w:sz w:val="18"/>
                <w:szCs w:val="18"/>
              </w:rPr>
              <w:t xml:space="preserve"> carnitine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{"citationItems":[{"id":"ITEM-1","itemData":{"DOI":"10.1021/pr300673x","ISSN":"15353893","abstract":"Although hepatocellular carcinoma (HCC) has been subjected to continuous investigation and its symptoms are well-known, early stage diagnosis of this disease remains difficult and the survival rate after diagnosis is typically very low (3-5%). Early and accurate detection of metabolic changes in the sera of patients with liver cirrhosis can help improve the prognosis of HCC and lead to a better understanding of its mechanism at the molecular level, thus providing patients with in-time treatment of the disease. In this study, we compared metabolite levels in sera of 40 HCC patients and 49 cirrhosis patients from Egypt by using ultraperformance liquid chromatography coupled with quadrupole time-of-flight mass spectrometer (UPLC-QTOF MS). Following data preprocessing, the most relevant ions in distinguishing HCC cases from cirrhotic controls are selected by statistical methods. Putative metabolite identifications for these ions are obtained through mass-based database search. The identities of some of the putative identifications are verified by comparing their MS/MS fragmentation patterns and retention times with those from authentic compounds. Finally, the serum samples are reanalyzed for quantitation of selected metabolites as candidate biomarkers of HCC. This quantitation was performed using isotope dilution by selected reaction monitoring (SRM) on a triple quadrupole linear ion trap (QqQLIT) coupled to UPLC. Statistical analysis of the UPLC-QTOF data identified 274 monoisotopic ion masses with statistically significant differences in ion intensities between HCC cases and cirrhotic controls. Putative identifications were obtained for 158 ions by mass based search against databases. We verified the identities of selected putative identifications including glycholic acid (GCA), glycodeoxycholic acid (GDCA), 3, 6β-dihydroxy-5β-cholan-24-oic acid, oleoyl carnitine, and Phe-Phe. SRM-based quantitation confirmed significant differences between HCC and cirrhotic controls in metabolite levels of bile acid metabolites, long chain carnitines and small peptide. Our study provides useful insight into appropriate experimental design and computational methods for serum biomarker discovery using LC-MS/MS based metabolomics. This study has led to the identification of candidate biomarkers with significant changes in metabolite levels between HCC cases and cirrhotic controls. This is the first MS-based metabolic biomarker discovery study on Egyptian subjects that led t…","author":[{"dropping-particle":"","family":"Xiao","given":"Jun Feng","non-dropping-particle":"","parse-names":false,"suffix":""},{"dropping-particle":"","family":"Varghese","given":"Rency S.","non-dropping-particle":"","parse-names":false,"suffix":""},{"dropping-particle":"","family":"Zhou","given":"Bin","non-dropping-particle":"","parse-names":false,"suffix":""},{"dropping-particle":"","family":"Nezami Ranjbar","given":"Mohammad R.","non-dropping-particle":"","parse-names":false,"suffix":""},{"dropping-particle":"","family":"Zhao","given":"Yi","non-dropping-particle":"","parse-names":false,"suffix":""},{"dropping-particle":"","family":"Tsai","given":"Tsung Heng","non-dropping-particle":"","parse-names":false,"suffix":""},{"dropping-particle":"","family":"Poto","given":"Cristina","non-dropping-particle":"Di","parse-names":false,"suffix":""},{"dropping-particle":"","family":"Wang","given":"Jinlian","non-dropping-particle":"","parse-names":false,"suffix":""},{"dropping-particle":"","family":"Goerlitz","given":"David","non-dropping-particle":"","parse-names":false,"suffix":""},{"dropping-particle":"","family":"Luo","given":"Yue","non-dropping-particle":"","parse-names":false,"suffix":""},{"dropping-particle":"","family":"Cheema","given":"Amrita K.","non-dropping-particle":"","parse-names":false,"suffix":""},{"dropping-particle":"","family":"Sarhan","given":"Naglaa","non-dropping-particle":"","parse-names":false,"suffix":""},{"dropping-particle":"","family":"Soliman","given":"Hanan","non-dropping-particle":"","parse-names":false,"suffix":""},{"dropping-particle":"","family":"Tadesse","given":"Mahlet G.","non-dropping-particle":"","parse-names":false,"suffix":""},{"dropping-particle":"","family":"Ziada","given":"Dina Hazem","non-dropping-particle":"","parse-names":false,"suffix":""},{"dropping-particle":"","family":"Ressom","given":"Habtom W.","non-dropping-particle":"","parse-names":false,"suffix":""}],"container-title":"Journal of Proteome Research","id":"ITEM-1","issue":"12","issued":{"date-parts":[["2012","12","7"]]},"page":"5914-5923","title":"LC-MS based serum metabolomics for identification of hepatocellular carcinoma biomarkers in Egyptian cohort","type":"article-journal","volume":"11"},"uris":["http://www.mendeley.com/documents/?uuid=a8ddf598-ddbf-3fe4-af80-1834e40dfea6"]}],"mendeley":{"formattedCitation":"[30]","plainTextFormattedCitation":"[30]","previouslyFormattedCitation":"[30]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[30]</w:t>
            </w:r>
            <w:r w:rsidRPr="00DF6C69">
              <w:rPr>
                <w:rFonts w:cs="Times New Roman"/>
                <w:sz w:val="18"/>
                <w:szCs w:val="18"/>
              </w:rPr>
              <w:fldChar w:fldCharType="end"/>
            </w:r>
            <w:r w:rsidRPr="00DF6C69">
              <w:rPr>
                <w:rFonts w:cs="Times New Roman"/>
                <w:sz w:val="18"/>
                <w:szCs w:val="18"/>
              </w:rPr>
              <w:t xml:space="preserve">, butanoic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{"citationItems":[{"id":"ITEM-1","itemData":{"DOI":"10.1002/rcm.4420","ISSN":"09514198","abstract":"Poor outcome of pancreatic cancer necessitates development of an early diagnostic method to reduce mortality. No reliable early diagnostic test for pancreatic cancer detection has been developed and validated to date. In the current study, metabolic profiling of plasma samples from selected cancer patients and noncancerous controls was performed to seek novel metabolic biomarkers of pancreatic cancer. A comprehensive mass spectrometry based analytical platform established at the Metabo-lomics Core of the UC Davis Genome Center allowed detection of multiple compounds previously unreported in plasma from pancreatic cancer patients. It was found that selective amino acids, bile acids, and polar lipids were detected with increased or decreased levels in pancreatic cancer samples compared to controls. These findings on blood plasma levels of the relevant metabolites might be very useful clinical parameters for early diagnosis of pancreatic cancer. © 2010 John Wiley &amp; Sons, Ltd.","author":[{"dropping-particle":"","family":"Urayama","given":"Shiro","non-dropping-particle":"","parse-names":false,"suffix":""},{"dropping-particle":"","family":"Zou","given":"Wei","non-dropping-particle":"","parse-names":false,"suffix":""},{"dropping-particle":"","family":"Brooks","given":"Kindra","non-dropping-particle":"","parse-names":false,"suffix":""},{"dropping-particle":"","family":"Tolstikov","given":"Vladimir","non-dropping-particle":"","parse-names":false,"suffix":""}],"container-title":"Rapid Communications in Mass Spectrometry","id":"ITEM-1","issue":"5","issued":{"date-parts":[["2010","3","15"]]},"page":"613-620","title":"Comprehensive mass spectrometry based metabolic profiling of blood plasma reveals potent discriminatory classifiers of pancreatic cancer","type":"article-journal","volume":"24"},"uris":["http://www.mendeley.com/documents/?uuid=8d91bad6-1063-3b75-8679-1610c6f8709a"]}],"mendeley":{"formattedCitation":"[29]","plainTextFormattedCitation":"[29]","previouslyFormattedCitation":"[29]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[29]</w:t>
            </w:r>
            <w:r w:rsidRPr="00DF6C69">
              <w:rPr>
                <w:rFonts w:cs="Times New Roman"/>
                <w:sz w:val="18"/>
                <w:szCs w:val="18"/>
              </w:rPr>
              <w:fldChar w:fldCharType="end"/>
            </w:r>
            <w:r w:rsidRPr="00DF6C69">
              <w:rPr>
                <w:rFonts w:cs="Times New Roman"/>
                <w:sz w:val="18"/>
                <w:szCs w:val="18"/>
              </w:rPr>
              <w:t xml:space="preserve">, chenodeoxycholic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{"citationItems":[{"id":"ITEM-1","itemData":{"DOI":"10.1021/pr300673x","ISSN":"15353893","abstract":"Although hepatocellular carcinoma (HCC) has been subjected to continuous investigation and its symptoms are well-known, early stage diagnosis of this disease remains difficult and the survival rate after diagnosis is typically very low (3-5%). Early and accurate detection of metabolic changes in the sera of patients with liver cirrhosis can help improve the prognosis of HCC and lead to a better understanding of its mechanism at the molecular level, thus providing patients with in-time treatment of the disease. In this study, we compared metabolite levels in sera of 40 HCC patients and 49 cirrhosis patients from Egypt by using ultraperformance liquid chromatography coupled with quadrupole time-of-flight mass spectrometer (UPLC-QTOF MS). Following data preprocessing, the most relevant ions in distinguishing HCC cases from cirrhotic controls are selected by statistical methods. Putative metabolite identifications for these ions are obtained through mass-based database search. The identities of some of the putative identifications are verified by comparing their MS/MS fragmentation patterns and retention times with those from authentic compounds. Finally, the serum samples are reanalyzed for quantitation of selected metabolites as candidate biomarkers of HCC. This quantitation was performed using isotope dilution by selected reaction monitoring (SRM) on a triple quadrupole linear ion trap (QqQLIT) coupled to UPLC. Statistical analysis of the UPLC-QTOF data identified 274 monoisotopic ion masses with statistically significant differences in ion intensities between HCC cases and cirrhotic controls. Putative identifications were obtained for 158 ions by mass based search against databases. We verified the identities of selected putative identifications including glycholic acid (GCA), glycodeoxycholic acid (GDCA), 3, 6β-dihydroxy-5β-cholan-24-oic acid, oleoyl carnitine, and Phe-Phe. SRM-based quantitation confirmed significant differences between HCC and cirrhotic controls in metabolite levels of bile acid metabolites, long chain carnitines and small peptide. Our study provides useful insight into appropriate experimental design and computational methods for serum biomarker discovery using LC-MS/MS based metabolomics. This study has led to the identification of candidate biomarkers with significant changes in metabolite levels between HCC cases and cirrhotic controls. This is the first MS-based metabolic biomarker discovery study on Egyptian subjects that led t…","author":[{"dropping-particle":"","family":"Xiao","given":"Jun Feng","non-dropping-particle":"","parse-names":false,"suffix":""},{"dropping-particle":"","family":"Varghese","given":"Rency S.","non-dropping-particle":"","parse-names":false,"suffix":""},{"dropping-particle":"","family":"Zhou","given":"Bin","non-dropping-particle":"","parse-names":false,"suffix":""},{"dropping-particle":"","family":"Nezami Ranjbar","given":"Mohammad R.","non-dropping-particle":"","parse-names":false,"suffix":""},{"dropping-particle":"","family":"Zhao","given":"Yi","non-dropping-particle":"","parse-names":false,"suffix":""},{"dropping-particle":"","family":"Tsai","given":"Tsung Heng","non-dropping-particle":"","parse-names":false,"suffix":""},{"dropping-particle":"","family":"Poto","given":"Cristina","non-dropping-particle":"Di","parse-names":false,"suffix":""},{"dropping-particle":"","family":"Wang","given":"Jinlian","non-dropping-particle":"","parse-names":false,"suffix":""},{"dropping-particle":"","family":"Goerlitz","given":"David","non-dropping-particle":"","parse-names":false,"suffix":""},{"dropping-particle":"","family":"Luo","given":"Yue","non-dropping-particle":"","parse-names":false,"suffix":""},{"dropping-particle":"","family":"Cheema","given":"Amrita K.","non-dropping-particle":"","parse-names":false,"suffix":""},{"dropping-particle":"","family":"Sarhan","given":"Naglaa","non-dropping-particle":"","parse-names":false,"suffix":""},{"dropping-particle":"","family":"Soliman","given":"Hanan","non-dropping-particle":"","parse-names":false,"suffix":""},{"dropping-particle":"","family":"Tadesse","given":"Mahlet G.","non-dropping-particle":"","parse-names":false,"suffix":""},{"dropping-particle":"","family":"Ziada","given":"Dina Hazem","non-dropping-particle":"","parse-names":false,"suffix":""},{"dropping-particle":"","family":"Ressom","given":"Habtom W.","non-dropping-particle":"","parse-names":false,"suffix":""}],"container-title":"Journal of Proteome Research","id":"ITEM-1","issue":"12","issued":{"date-parts":[["2012","12","7"]]},"page":"5914-5923","title":"LC-MS based serum metabolomics for identification of hepatocellular carcinoma biomarkers in Egyptian cohort","type":"article-journal","volume":"11"},"uris":["http://www.mendeley.com/documents/?uuid=a8ddf598-ddbf-3fe4-af80-1834e40dfea6"]}],"mendeley":{"formattedCitation":"[30]","plainTextFormattedCitation":"[30]","previouslyFormattedCitation":"[30]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[30]</w:t>
            </w:r>
            <w:r w:rsidRPr="00DF6C69">
              <w:rPr>
                <w:rFonts w:cs="Times New Roman"/>
                <w:sz w:val="18"/>
                <w:szCs w:val="18"/>
              </w:rPr>
              <w:fldChar w:fldCharType="end"/>
            </w:r>
            <w:r w:rsidRPr="00DF6C69">
              <w:rPr>
                <w:rFonts w:cs="Times New Roman"/>
                <w:sz w:val="18"/>
                <w:szCs w:val="18"/>
              </w:rPr>
              <w:t xml:space="preserve">, 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{"citationItems":[{"id":"ITEM-1","itemData":{"DOI":"10.1021/ac4016787","ISSN":"00032700","abstract":"Untargeted analysis performed using full-scan mass spectrometry (MS) coupled with liquid chromatography (LC) is commonly used in metabolomics. Although they are commonly employed, full-scan MS methods such as quadrupole-time-of-flight (Q-TOF) MS have been restricted by various factors including their limited linear range and complicated data processing. LC coupled with triple quadrupole (QQQ) MS operated in the multiple reaction monitoring (MRM) mode is the gold standard for metabolite quantification; however, only known metabolites are generally quantified, limiting its applications in metabolomic analysis. In this study, a pseudotargeted approach was proposed to perform serum metabolomic analysis using an ultra high-performance liquid chromatography (UHPLC)/QQQ MS system operated in the MRM mode, for which the MRM ion pairs were acquired from the serum samples through untargeted tandem MS using UHPLC/Q-TOF MS. The UHPLC/QQQ MRM MS-based pseudotargeted method displayed better repeatability and wider linear range than the traditional UHPLC/Q-TOF MS-based untargeted metabolomics method, and no complicated peak alignment was required. The developed method was applied to discover serum biomarkers for patients with hepatocellular carcinoma (HCC). Patients with HCC had decreased lysophosphatidylcholine, increased long-chain and decreased medium-chain acylcarnitines, and increased aromatic and decreased branched-chain amino acid levels compared to healthy controls. The novelty of this work is that it provides an approach to acquire MRM ion pairs from real samples, is not limited to metabolite standards, and it provides a foundation to achieve pseudotargeted metabolomic analysis on the widely used LC/QQQ MS platform. © 2013 American Chemical Society.","author":[{"dropping-particle":"","family":"Chen","given":"Shili","non-dropping-particle":"","parse-names":false,"suffix":""},{"dropping-particle":"","family":"Kong","given":"Hongwei","non-dropping-particle":"","parse-names":false,"suffix":""},{"dropping-particle":"","family":"Lu","given":"Xin","non-dropping-particle":"","parse-names":false,"suffix":""},{"dropping-particle":"","family":"Li","given":"Yong","non-dropping-particle":"","parse-names":false,"suffix":""},{"dropping-particle":"","family":"Yin","given":"Peiyuan","non-dropping-particle":"","parse-names":false,"suffix":""},{"dropping-particle":"","family":"Zeng","given":"Zhongda","non-dropping-particle":"","parse-names":false,"suffix":""},{"dropping-particle":"","family":"Xu","given":"Guowang","non-dropping-particle":"","parse-names":false,"suffix":""}],"container-title":"Analytical Chemistry","id":"ITEM-1","issue":"17","issued":{"date-parts":[["2013"]]},"page":"8326-8333","title":"Pseudotargeted metabolomics method and its application in serum biomarker discovery for hepatocellular carcinoma based on ultra high-performance liquid chromatography/triple quadrupole mass spectrometry","type":"article-journal","volume":"85"},"uris":["http://www.mendeley.com/documents/?uuid=332218bf-734b-3bb6-860b-037631e9d408"]}],"mendeley":{"formattedCitation":"[28]","plainTextFormattedCitation":"[28]","previouslyFormattedCitation":"[28]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[28]</w:t>
            </w:r>
            <w:r w:rsidRPr="00DF6C69">
              <w:rPr>
                <w:rFonts w:cs="Times New Roman"/>
                <w:sz w:val="18"/>
                <w:szCs w:val="18"/>
              </w:rPr>
              <w:fldChar w:fldCharType="end"/>
            </w:r>
            <w:r w:rsidRPr="00DF6C69">
              <w:rPr>
                <w:rFonts w:cs="Times New Roman"/>
                <w:sz w:val="18"/>
                <w:szCs w:val="18"/>
              </w:rPr>
              <w:t xml:space="preserve">, citrate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{"citationItems":[{"id":"ITEM-1","itemData":{"DOI":"10.1016/j.clinbiochem.2012.05.012","ISSN":"00099120","abstract":"Objectives: To develop a noninvasive and accessible diagnostic method for pancreatic cancer (PC). Design and methods: We presented a metabolomic method, pattern recognition techniques applied to 1H nuclear magnetic resonance (1H NMR) spectra, to investigate the plasma metabolites obtained from 19 patients with PC, 20 patients with chronic pancreatitis (CP) and 20 healthy individuals. Results: Metabolic changes associated with PC included abnormal amino acid and lipid metabolism, and possible multiple metabolic syndrome. PC elevated plasma levels of N-acetyl glycoprotein (NAG), dimethylamine (DMA), very low density lipoprotein (VLDL), and acetone, and reduced levels of 3-hydroxybutyrate, lactate, high density lipoprotein (HDL), low density lipoprotein (LDL), citrate, alanine, glutamate, glutamine, histidine, isoleucine, lysine, and valine. These metabolites could be a biomarker group for PC that distinguishes between PC and CP patients and healthy individuals. Conclusions: NMR-based metabonomic strategy appears as a promising approach for distinguishing pancreatic cancer and identifying new strategies for prevention or therapy in the clinical practice. © 2012 The Canadian Society of Clinical Chemists.","author":[{"dropping-particle":"","family":"Zhang","given":"Lin","non-dropping-particle":"","parse-names":false,"suffix":""},{"dropping-particle":"","family":"Jin","given":"Haifeng","non-dropping-particle":"","parse-names":false,"suffix":""},{"dropping-particle":"","family":"Guo","given":"Xuegang","non-dropping-particle":"","parse-names":false,"suffix":""},{"dropping-particle":"","family":"Yang","given":"Zhao","non-dropping-particle":"","parse-names":false,"suffix":""},{"dropping-particle":"","family":"Zhao","given":"Lina","non-dropping-particle":"","parse-names":false,"suffix":""},{"dropping-particle":"","family":"Tang","given":"Shanhong","non-dropping-particle":"","parse-names":false,"suffix":""},{"dropping-particle":"","family":"Mo","given":"Ping","non-dropping-particle":"","parse-names":false,"suffix":""},{"dropping-particle":"","family":"Wu","given":"Kaichun","non-dropping-particle":"","parse-names":false,"suffix":""},{"dropping-particle":"","family":"Nie","given":"Yongzhan","non-dropping-particle":"","parse-names":false,"suffix":""},{"dropping-particle":"","family":"Pan","given":"Yanglin","non-dropping-particle":"","parse-names":false,"suffix":""},{"dropping-particle":"","family":"Fan","given":"Daiming","non-dropping-particle":"","parse-names":false,"suffix":""}],"container-title":"Clinical Biochemistry","id":"ITEM-1","issue":"13-14","issued":{"date-parts":[["2012","9"]]},"page":"1064-1069","title":"Distinguishing pancreatic cancer from chronic pancreatitis and healthy individuals by 1H nuclear magnetic resonance-based metabonomic profiles","type":"article-journal","volume":"45"},"uris":["http://www.mendeley.com/documents/?uuid=fe55e5b2-455b-33ec-96b3-d8f5e0f7513a"]}],"mendeley":{"formattedCitation":"[27]","plainTextFormattedCitation":"[27]","previouslyFormattedCitation":"[27]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[27]</w:t>
            </w:r>
            <w:r w:rsidRPr="00DF6C69">
              <w:rPr>
                <w:rFonts w:cs="Times New Roman"/>
                <w:sz w:val="18"/>
                <w:szCs w:val="18"/>
              </w:rPr>
              <w:fldChar w:fldCharType="end"/>
            </w:r>
            <w:r w:rsidRPr="00DF6C69">
              <w:rPr>
                <w:rFonts w:cs="Times New Roman"/>
                <w:sz w:val="18"/>
                <w:szCs w:val="18"/>
              </w:rPr>
              <w:t xml:space="preserve">, creatine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{"citationItems":[{"id":"ITEM-1","itemData":{"DOI":"10.1007/s12010-011-9240-0","ISSN":"15590291","abstract":"Pancreatic cancer is a malignant tumor with the worst prognosis among all cancers. At the time of diagnosis, surgical cure is no longer a feasible option for most patients, thus early detection of pancreatic cancer is crucial for its treatment. Metabolomics is a powerful new analytical approach to detect the metabolome of cells, tissue, or biofluids. Here, we report the application of 1 H nuclear magnetic resonance (NMR) combined with principal components analysis to discriminate pancreatic cancer patients from healthy controls based on metabolomic profiling of the serum. The metabolic analysis revealed significant lower of 3-hydroxybutyrate, 3-hydroxyisovalerate, lactate, and trimethylamine- N-oxide as well as significant higher level of isoleucine, triglyceride, leucine, and creatinine in the serum from pancreatic cancer patients compared to that of healthy controls. Our data demonstrate that the subtle differences in metabolite profiles in serum of pancreatic cancer patients and that of healthy subjects as a result of physiological and pathological variations could be identified by NMR-based metabolomics and exploited as metabolic markers for the early detection of pancreatic cancer. © Springer Science+Business Media, LLC 2011.","author":[{"dropping-particle":"","family":"Yang","given":"Dong Ou","non-dropping-particle":"","parse-names":false,"suffix":""},{"dropping-particle":"","family":"Xu","given":"Jingjing","non-dropping-particle":"","parse-names":false,"suffix":""},{"dropping-particle":"","family":"Huang","given":"Heguang","non-dropping-particle":"","parse-names":false,"suffix":""},{"dropping-particle":"","family":"Chen","given":"Zhong","non-dropping-particle":"","parse-names":false,"suffix":""}],"container-title":"Applied Biochemistry and Biotechnology","id":"ITEM-1","issue":"1","issued":{"date-parts":[["2011"]]},"page":"148-154","publisher":"Humana Press Inc.","title":"Metabolomic profiling of serum from human pancreatic cancer patients Using 1 H NMR spectroscopy and principal component analysis","type":"article-journal","volume":"165"},"uris":["http://www.mendeley.com/documents/?uuid=f27f1ced-f5b6-3b61-aadc-b9b679f09cf4"]},{"id":"ITEM-2","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Prevention","id":"ITEM-2","issue":"1","issued":{"date-parts":[["2011"]]},"page":"140-147","title":"Feasibility of identifying pancreatic cancer based on serum metabolomics","type":"article-journal","volume":"20"},"uris":["http://www.mendeley.com/documents/?uuid=a060d321-390f-402d-97cd-f5f6e1b8b0a6"]},{"id":"ITEM-3","itemData":{"DOI":"10.1016/j.clinbiochem.2012.05.012","ISSN":"00099120","abstract":"Objectives: To develop a noninvasive and accessible diagnostic method for pancreatic cancer (PC). Design and methods: We presented a metabolomic method, pattern recognition techniques applied to 1H nuclear magnetic resonance (1H NMR) spectra, to investigate the plasma metabolites obtained from 19 patients with PC, 20 patients with chronic pancreatitis (CP) and 20 healthy individuals. Results: Metabolic changes associated with PC included abnormal amino acid and lipid metabolism, and possible multiple metabolic syndrome. PC elevated plasma levels of N-acetyl glycoprotein (NAG), dimethylamine (DMA), very low density lipoprotein (VLDL), and acetone, and reduced levels of 3-hydroxybutyrate, lactate, high density lipoprotein (HDL), low density lipoprotein (LDL), citrate, alanine, glutamate, glutamine, histidine, isoleucine, lysine, and valine. These metabolites could be a biomarker group for PC that distinguishes between PC and CP patients and healthy individuals. Conclusions: NMR-based metabonomic strategy appears as a promising approach for distinguishing pancreatic cancer and identifying new strategies for prevention or therapy in the clinical practice. © 2012 The Canadian Society of Clinical Chemists.","author":[{"dropping-particle":"","family":"Zhang","given":"Lin","non-dropping-particle":"","parse-names":false,"suffix":""},{"dropping-particle":"","family":"Jin","given":"Haifeng","non-dropping-particle":"","parse-names":false,"suffix":""},{"dropping-particle":"","family":"Guo","given":"Xuegang","non-dropping-particle":"","parse-names":false,"suffix":""},{"dropping-particle":"","family":"Yang","given":"Zhao","non-dropping-particle":"","parse-names":false,"suffix":""},{"dropping-particle":"","family":"Zhao","given":"Lina","non-dropping-particle":"","parse-names":false,"suffix":""},{"dropping-particle":"","family":"Tang","given":"Shanhong","non-dropping-particle":"","parse-names":false,"suffix":""},{"dropping-particle":"","family":"Mo","given":"Ping","non-dropping-particle":"","parse-names":false,"suffix":""},{"dropping-particle":"","family":"Wu","given":"Kaichun","non-dropping-particle":"","parse-names":false,"suffix":""},{"dropping-particle":"","family":"Nie","given":"Yongzhan","non-dropping-particle":"","parse-names":false,"suffix":""},{"dropping-particle":"","family":"Pan","given":"Yanglin","non-dropping-particle":"","parse-names":false,"suffix":""},{"dropping-particle":"","family":"Fan","given":"Daiming","non-dropping-particle":"","parse-names":false,"suffix":""}],"container-title":"Clinical Biochemistry","id":"ITEM-3","issue":"13-14","issued":{"date-parts":[["2012","9"]]},"page":"1064-1069","title":"Distinguishing pancreatic cancer from chronic pancreatitis and healthy individuals by 1H nuclear magnetic resonance-based metabonomic profiles","type":"article-journal","volume":"45"},"uris":["http://www.mendeley.com/documents/?uuid=fe55e5b2-455b-33ec-96b3-d8f5e0f7513a"]}],"mendeley":{"formattedCitation":"[25]–[27]","plainTextFormattedCitation":"[25]–[27]","previouslyFormattedCitation":"[25]–[27]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[25]–[27]</w:t>
            </w:r>
            <w:r w:rsidRPr="00DF6C69">
              <w:rPr>
                <w:rFonts w:cs="Times New Roman"/>
                <w:sz w:val="18"/>
                <w:szCs w:val="18"/>
              </w:rPr>
              <w:fldChar w:fldCharType="end"/>
            </w:r>
            <w:r w:rsidRPr="00DF6C69">
              <w:rPr>
                <w:rFonts w:cs="Times New Roman"/>
                <w:sz w:val="18"/>
                <w:szCs w:val="18"/>
              </w:rPr>
              <w:t xml:space="preserve">, cysteine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{"citationItems":[{"id":"ITEM-1","itemData":{"DOI":"10.1002/rcm.4420","ISSN":"09514198","abstract":"Poor outcome of pancreatic cancer necessitates development of an early diagnostic method to reduce mortality. No reliable early diagnostic test for pancreatic cancer detection has been developed and validated to date. In the current study, metabolic profiling of plasma samples from selected cancer patients and noncancerous controls was performed to seek novel metabolic biomarkers of pancreatic cancer. A comprehensive mass spectrometry based analytical platform established at the Metabo-lomics Core of the UC Davis Genome Center allowed detection of multiple compounds previously unreported in plasma from pancreatic cancer patients. It was found that selective amino acids, bile acids, and polar lipids were detected with increased or decreased levels in pancreatic cancer samples compared to controls. These findings on blood plasma levels of the relevant metabolites might be very useful clinical parameters for early diagnosis of pancreatic cancer. © 2010 John Wiley &amp; Sons, Ltd.","author":[{"dropping-particle":"","family":"Urayama","given":"Shiro","non-dropping-particle":"","parse-names":false,"suffix":""},{"dropping-particle":"","family":"Zou","given":"Wei","non-dropping-particle":"","parse-names":false,"suffix":""},{"dropping-particle":"","family":"Brooks","given":"Kindra","non-dropping-particle":"","parse-names":false,"suffix":""},{"dropping-particle":"","family":"Tolstikov","given":"Vladimir","non-dropping-particle":"","parse-names":false,"suffix":""}],"container-title":"Rapid Communications in Mass Spectrometry","id":"ITEM-1","issue":"5","issued":{"date-parts":[["2010","3","15"]]},"page":"613-620","title":"Comprehensive mass spectrometry based metabolic profiling of blood plasma reveals potent discriminatory classifiers of pancreatic cancer","type":"article-journal","volume":"24"},"uris":["http://www.mendeley.com/documents/?uuid=8d91bad6-1063-3b75-8679-1610c6f8709a"]}],"mendeley":{"formattedCitation":"[29]","plainTextFormattedCitation":"[29]","previouslyFormattedCitation":"[29]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[29]</w:t>
            </w:r>
            <w:r w:rsidRPr="00DF6C69">
              <w:rPr>
                <w:rFonts w:cs="Times New Roman"/>
                <w:sz w:val="18"/>
                <w:szCs w:val="18"/>
              </w:rPr>
              <w:fldChar w:fldCharType="end"/>
            </w:r>
            <w:r w:rsidRPr="00DF6C69">
              <w:rPr>
                <w:rFonts w:cs="Times New Roman"/>
                <w:sz w:val="18"/>
                <w:szCs w:val="18"/>
              </w:rPr>
              <w:t xml:space="preserve">, ethanol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Prevention","id":"ITEM-1","issue":"1","issued":{"date-parts":[["2011"]]},"page":"140-147","title":"Feasibility of identifying pancreatic cancer based on serum metabolomics","type":"article-journal","volume":"20"},"uris":["http://www.mendeley.com/documents/?uuid=a060d321-390f-402d-97cd-f5f6e1b8b0a6"]}],"mendeley":{"formattedCitation":"[25]","plainTextFormattedCitation":"[25]","previouslyFormattedCitation":"[25]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formate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Prevention","id":"ITEM-1","issue":"1","issued":{"date-parts":[["2011"]]},"page":"140-147","title":"Feasibility of identifying pancreatic cancer based on serum metabolomics","type":"article-journal","volume":"20"},"uris":["http://www.mendeley.com/documents/?uuid=a060d321-390f-402d-97cd-f5f6e1b8b0a6"]},{"id":"ITEM-2","itemData":{"DOI":"10.1016/j.clinbiochem.2012.05.012","ISSN":"00099120","abstract":"Objectives: To develop a noninvasive and accessible diagnostic method for pancreatic cancer (PC). Design and methods: We presented a metabolomic method, pattern recognition techniques applied to 1H nuclear magnetic resonance (1H NMR) spectra, to investigate the plasma metabolites obtained from 19 patients with PC, 20 patients with chronic pancreatitis (CP) and 20 healthy individuals. Results: Metabolic changes associated with PC included abnormal amino acid and lipid metabolism, and possible multiple metabolic syndrome. PC elevated plasma levels of N-acetyl glycoprotein (NAG), dimethylamine (DMA), very low density lipoprotein (VLDL), and acetone, and reduced levels of 3-hydroxybutyrate, lactate, high density lipoprotein (HDL), low density lipoprotein (LDL), citrate, alanine, glutamate, glutamine, histidine, isoleucine, lysine, and valine. These metabolites could be a biomarker group for PC that distinguishes between PC and CP patients and healthy individuals. Conclusions: NMR-based metabonomic strategy appears as a promising approach for distinguishing pancreatic cancer and identifying new strategies for prevention or therapy in the clinical practice. © 2012 The Canadian Society of Clinical Chemists.","author":[{"dropping-particle":"","family":"Zhang","given":"Lin","non-dropping-particle":"","parse-names":false,"suffix":""},{"dropping-particle":"","family":"Jin","given":"Haifeng","non-dropping-particle":"","parse-names":false,"suffix":""},{"dropping-particle":"","family":"Guo","given":"Xuegang","non-dropping-particle":"","parse-names":false,"suffix":""},{"dropping-particle":"","family":"Yang","given":"Zhao","non-dropping-particle":"","parse-names":false,"suffix":""},{"dropping-particle":"","family":"Zhao","given":"Lina","non-dropping-particle":"","parse-names":false,"suffix":""},{"dropping-particle":"","family":"Tang","given":"Shanhong","non-dropping-particle":"","parse-names":false,"suffix":""},{"dropping-particle":"","family":"Mo","given":"Ping","non-dropping-particle":"","parse-names":false,"suffix":""},{"dropping-particle":"","family":"Wu","given":"Kaichun","non-dropping-particle":"","parse-names":false,"suffix":""},{"dropping-particle":"","family":"Nie","given":"Yongzhan","non-dropping-particle":"","parse-names":false,"suffix":""},{"dropping-particle":"","family":"Pan","given":"Yanglin","non-dropping-particle":"","parse-names":false,"suffix":""},{"dropping-particle":"","family":"Fan","given":"Daiming","non-dropping-particle":"","parse-names":false,"suffix":""}],"container-title":"Clinical Biochemistry","id":"ITEM-2","issue":"13-14","issued":{"date-parts":[["2012","9"]]},"page":"1064-1069","title":"Distinguishing pancreatic cancer from chronic pancreatitis and healthy individuals by 1H nuclear magnetic resonance-based metabonomic profiles","type":"article-journal","volume":"45"},"uris":["http://www.mendeley.com/documents/?uuid=fe55e5b2-455b-33ec-96b3-d8f5e0f7513a"]}],"mendeley":{"formattedCitation":"[25], [27]","plainTextFormattedCitation":"[25], [27]","previouslyFormattedCitation":"[25], [27]"},"properties":{"noteIndex":0},"schema":"https://github.com/citation-style-language/schema/raw/master/csl-citation.json"}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 [27]</w:t>
            </w:r>
            <w:r w:rsidRPr="00DF6C69">
              <w:rPr>
                <w:rFonts w:cs="Times New Roman"/>
                <w:sz w:val="18"/>
                <w:szCs w:val="18"/>
              </w:rPr>
              <w:fldChar w:fldCharType="end"/>
            </w:r>
            <w:r w:rsidRPr="00DF6C69">
              <w:rPr>
                <w:rFonts w:cs="Times New Roman"/>
                <w:sz w:val="18"/>
                <w:szCs w:val="18"/>
              </w:rPr>
              <w:t xml:space="preserve">, glucose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Prevention","id":"ITEM-1","issue":"1","issued":{"date-parts":[["2011"]]},"page":"140-147","title":"Feasibility of identifying pancreatic cancer based on serum metabolomics","type":"article-journal","volume":"20"},"uris":["http://www.mendeley.com/documents/?uuid=a060d321-390f-402d-97cd-f5f6e1b8b0a6"]},{"id":"ITEM-2","itemData":{"DOI":"10.1021/ac4016787","ISSN":"00032700","abstract":"Untargeted analysis performed using full-scan mass spectrometry (MS) coupled with liquid chromatography (LC) is commonly used in metabolomics. Although they are commonly employed, full-scan MS methods such as quadrupole-time-of-flight (Q-TOF) MS have been restricted by various factors including their limited linear range and complicated data processing. LC coupled with triple quadrupole (QQQ) MS operated in the multiple reaction monitoring (MRM) mode is the gold standard for metabolite quantification; however, only known metabolites are generally quantified, limiting its applications in metabolomic analysis. In this study, a pseudotargeted approach was proposed to perform serum metabolomic analysis using an ultra high-performance liquid chromatography (UHPLC)/QQQ MS system operated in the MRM mode, for which the MRM ion pairs were acquired from the serum samples through untargeted tandem MS using UHPLC/Q-TOF MS. The UHPLC/QQQ MRM MS-based pseudotargeted method displayed better repeatability and wider linear range than the traditional UHPLC/Q-TOF MS-based untargeted metabolomics method, and no complicated peak alignment was required. The developed method was applied to discover serum biomarkers for patients with hepatocellular carcinoma (HCC). Patients with HCC had decreased lysophosphatidylcholine, increased long-chain and decreased medium-chain acylcarnitines, and increased aromatic and decreased branched-chain amino acid levels compared to healthy controls. The novelty of this work is that it provides an approach to acquire MRM ion pairs from real samples, is not limited to metabolite standards, and it provides a foundation to achieve pseudotargeted metabolomic analysis on the widely used LC/QQQ MS platform. © 2013 American Chemical Society.","author":[{"dropping-particle":"","family":"Chen","given":"Shili","non-dropping-particle":"","parse-names":false,"suffix":""},{"dropping-particle":"","family":"Kong","given":"Hongwei","non-dropping-particle":"","parse-names":false,"suffix":""},{"dropping-particle":"","family":"Lu","given":"Xin","non-dropping-particle":"","parse-names":false,"suffix":""},{"dropping-particle":"","family":"Li","given":"Yong","non-dropping-particle":"","parse-names":false,"suffix":""},{"dropping-particle":"","family":"Yin","given":"Peiyuan","non-dropping-particle":"","parse-names":false,"suffix":""},{"dropping-particle":"","family":"Zeng","given":"Zhongda","non-dropping-particle":"","parse-names":false,"suffix":""},{"dropping-particle":"","family":"Xu","given":"Guowang","non-dropping-particle":"","parse-names":false,"suffix":""}],"container-title":"Analytical Chemistry","id":"ITEM-2","issue":"17","issued":{"date-parts":[["2013"]]},"page":"8326-8333","title":"Pseudotargeted metabolomics method and its application in serum biomarker discovery for hepatocellular carcinoma based on ultra high-performance liquid chromatography/triple quadrupole mass spectrometry","type":"article-journal","volume":"85"},"uris":["http://www.mendeley.com/documents/?uuid=332218bf-734b-3bb6-860b-037631e9d408"]}],"mendeley":{"formattedCitation":"[25], [28]","plainTextFormattedCitation":"[25], [28]","previouslyFormattedCitation":"[25], [28]"},"properties":{"noteIndex":0},"schema":"https://github.com/citation-style-language/schema/raw/master/csl-citation.json"}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 [28]</w:t>
            </w:r>
            <w:r w:rsidRPr="00DF6C69">
              <w:rPr>
                <w:rFonts w:cs="Times New Roman"/>
                <w:sz w:val="18"/>
                <w:szCs w:val="18"/>
              </w:rPr>
              <w:fldChar w:fldCharType="end"/>
            </w:r>
            <w:r w:rsidRPr="00DF6C69">
              <w:rPr>
                <w:rFonts w:cs="Times New Roman"/>
                <w:sz w:val="18"/>
                <w:szCs w:val="18"/>
              </w:rPr>
              <w:t xml:space="preserve">, glutamate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Prevention","id":"ITEM-1","issue":"1","issued":{"date-parts":[["2011"]]},"page":"140-147","title":"Feasibility of identifying pancreatic cancer based on serum metabolomics","type":"article-journal","volume":"20"},"uris":["http://www.mendeley.com/documents/?uuid=a060d321-390f-402d-97cd-f5f6e1b8b0a6"]}],"mendeley":{"formattedCitation":"[25]","plainTextFormattedCitation":"[25]","previouslyFormattedCitation":"[25]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w:t>
            </w:r>
            <w:r w:rsidRPr="00DF6C69">
              <w:rPr>
                <w:rFonts w:cs="Times New Roman"/>
                <w:sz w:val="18"/>
                <w:szCs w:val="18"/>
              </w:rPr>
              <w:fldChar w:fldCharType="end"/>
            </w:r>
            <w:r w:rsidRPr="00DF6C69">
              <w:rPr>
                <w:rFonts w:cs="Times New Roman"/>
                <w:sz w:val="18"/>
                <w:szCs w:val="18"/>
              </w:rPr>
              <w:t xml:space="preserve">, glutamine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Prevention","id":"ITEM-1","issue":"1","issued":{"date-parts":[["2011"]]},"page":"140-147","title":"Feasibility of identifying pancreatic cancer based on serum metabolomics","type":"article-journal","volume":"20"},"uris":["http://www.mendeley.com/documents/?uuid=a060d321-390f-402d-97cd-f5f6e1b8b0a6"]},{"id":"ITEM-2","itemData":{"DOI":"10.1002/rcm.4420","ISSN":"09514198","abstract":"Poor outcome of pancreatic cancer necessitates development of an early diagnostic method to reduce mortality. No reliable early diagnostic test for pancreatic cancer detection has been developed and validated to date. In the current study, metabolic profiling of plasma samples from selected cancer patients and noncancerous controls was performed to seek novel metabolic biomarkers of pancreatic cancer. A comprehensive mass spectrometry based analytical platform established at the Metabo-lomics Core of the UC Davis Genome Center allowed detection of multiple compounds previously unreported in plasma from pancreatic cancer patients. It was found that selective amino acids, bile acids, and polar lipids were detected with increased or decreased levels in pancreatic cancer samples compared to controls. These findings on blood plasma levels of the relevant metabolites might be very useful clinical parameters for early diagnosis of pancreatic cancer. © 2010 John Wiley &amp; Sons, Ltd.","author":[{"dropping-particle":"","family":"Urayama","given":"Shiro","non-dropping-particle":"","parse-names":false,"suffix":""},{"dropping-particle":"","family":"Zou","given":"Wei","non-dropping-particle":"","parse-names":false,"suffix":""},{"dropping-particle":"","family":"Brooks","given":"Kindra","non-dropping-particle":"","parse-names":false,"suffix":""},{"dropping-particle":"","family":"Tolstikov","given":"Vladimir","non-dropping-particle":"","parse-names":false,"suffix":""}],"container-title":"Rapid Communications in Mass Spectrometry","id":"ITEM-2","issue":"5","issued":{"date-parts":[["2010","3","15"]]},"page":"613-620","title":"Comprehensive mass spectrometry based metabolic profiling of blood plasma reveals potent discriminatory classifiers of pancreatic cancer","type":"article-journal","volume":"24"},"uris":["http://www.mendeley.com/documents/?uuid=8d91bad6-1063-3b75-8679-1610c6f8709a"]}],"mendeley":{"formattedCitation":"[25], [29]","plainTextFormattedCitation":"[25], [29]","previouslyFormattedCitation":"[25], [29]"},"properties":{"noteIndex":0},"schema":"https://github.com/citation-style-language/schema/raw/master/csl-citation.json"}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 [29]</w:t>
            </w:r>
            <w:r w:rsidRPr="00DF6C69">
              <w:rPr>
                <w:rFonts w:cs="Times New Roman"/>
                <w:sz w:val="18"/>
                <w:szCs w:val="18"/>
              </w:rPr>
              <w:fldChar w:fldCharType="end"/>
            </w:r>
            <w:r w:rsidRPr="00DF6C69">
              <w:rPr>
                <w:rFonts w:cs="Times New Roman"/>
                <w:sz w:val="18"/>
                <w:szCs w:val="18"/>
              </w:rPr>
              <w:t xml:space="preserve">, glycerol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Prevention","id":"ITEM-1","issue":"1","issued":{"date-parts":[["2011"]]},"page":"140-147","title":"Feasibility of identifying pancreatic cancer based on serum metabolomics","type":"article-journal","volume":"20"},"uris":["http://www.mendeley.com/documents/?uuid=a060d321-390f-402d-97cd-f5f6e1b8b0a6"]}],"mendeley":{"formattedCitation":"[25]","plainTextFormattedCitation":"[25]","previouslyFormattedCitation":"[25]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w:t>
            </w:r>
            <w:r w:rsidRPr="00DF6C69">
              <w:rPr>
                <w:rFonts w:cs="Times New Roman"/>
                <w:sz w:val="18"/>
                <w:szCs w:val="18"/>
              </w:rPr>
              <w:fldChar w:fldCharType="end"/>
            </w:r>
            <w:r w:rsidRPr="00DF6C69">
              <w:rPr>
                <w:rFonts w:cs="Times New Roman"/>
                <w:sz w:val="18"/>
                <w:szCs w:val="18"/>
              </w:rPr>
              <w:t xml:space="preserve">, glycerol 2-phosphate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{"citationItems":[{"id":"ITEM-1","itemData":{"DOI":"10.1021/ac4016787","ISSN":"00032700","abstract":"Untargeted analysis performed using full-scan mass spectrometry (MS) coupled with liquid chromatography (LC) is commonly used in metabolomics. Although they are commonly employed, full-scan MS methods such as quadrupole-time-of-flight (Q-TOF) MS have been restricted by various factors including their limited linear range and complicated data processing. LC coupled with triple quadrupole (QQQ) MS operated in the multiple reaction monitoring (MRM) mode is the gold standard for metabolite quantification; however, only known metabolites are generally quantified, limiting its applications in metabolomic analysis. In this study, a pseudotargeted approach was proposed to perform serum metabolomic analysis using an ultra high-performance liquid chromatography (UHPLC)/QQQ MS system operated in the MRM mode, for which the MRM ion pairs were acquired from the serum samples through untargeted tandem MS using UHPLC/Q-TOF MS. The UHPLC/QQQ MRM MS-based pseudotargeted method displayed better repeatability and wider linear range than the traditional UHPLC/Q-TOF MS-based untargeted metabolomics method, and no complicated peak alignment was required. The developed method was applied to discover serum biomarkers for patients with hepatocellular carcinoma (HCC). Patients with HCC had decreased lysophosphatidylcholine, increased long-chain and decreased medium-chain acylcarnitines, and increased aromatic and decreased branched-chain amino acid levels compared to healthy controls. The novelty of this work is that it provides an approach to acquire MRM ion pairs from real samples, is not limited to metabolite standards, and it provides a foundation to achieve pseudotargeted metabolomic analysis on the widely used LC/QQQ MS platform. © 2013 American Chemical Society.","author":[{"dropping-particle":"","family":"Chen","given":"Shili","non-dropping-particle":"","parse-names":false,"suffix":""},{"dropping-particle":"","family":"Kong","given":"Hongwei","non-dropping-particle":"","parse-names":false,"suffix":""},{"dropping-particle":"","family":"Lu","given":"Xin","non-dropping-particle":"","parse-names":false,"suffix":""},{"dropping-particle":"","family":"Li","given":"Yong","non-dropping-particle":"","parse-names":false,"suffix":""},{"dropping-particle":"","family":"Yin","given":"Peiyuan","non-dropping-particle":"","parse-names":false,"suffix":""},{"dropping-particle":"","family":"Zeng","given":"Zhongda","non-dropping-particle":"","parse-names":false,"suffix":""},{"dropping-particle":"","family":"Xu","given":"Guowang","non-dropping-particle":"","parse-names":false,"suffix":""}],"container-title":"Analytical Chemistry","id":"ITEM-1","issue":"17","issued":{"date-parts":[["2013"]]},"page":"8326-8333","title":"Pseudotargeted metabolomics method and its application in serum biomarker discovery for hepatocellular carcinoma based on ultra high-performance liquid chromatography/triple quadrupole mass spectrometry","type":"article-journal","volume":"85"},"uris":["http://www.mendeley.com/documents/?uuid=332218bf-734b-3bb6-860b-037631e9d408"]}],"mendeley":{"formattedCitation":"[28]","plainTextFormattedCitation":"[28]","previouslyFormattedCitation":"[28]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[28]</w:t>
            </w:r>
            <w:r w:rsidRPr="00DF6C69">
              <w:rPr>
                <w:rFonts w:cs="Times New Roman"/>
                <w:sz w:val="18"/>
                <w:szCs w:val="18"/>
              </w:rPr>
              <w:fldChar w:fldCharType="end"/>
            </w:r>
            <w:r w:rsidRPr="00DF6C69">
              <w:rPr>
                <w:rFonts w:cs="Times New Roman"/>
                <w:sz w:val="18"/>
                <w:szCs w:val="18"/>
              </w:rPr>
              <w:t xml:space="preserve">, glycerol 3-phosphate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{"citationItems":[{"id":"ITEM-1","itemData":{"DOI":"10.1021/ac4016787","ISSN":"00032700","abstract":"Untargeted analysis performed using full-scan mass spectrometry (MS) coupled with liquid chromatography (LC) is commonly used in metabolomics. Although they are commonly employed, full-scan MS methods such as quadrupole-time-of-flight (Q-TOF) MS have been restricted by various factors including their limited linear range and complicated data processing. LC coupled with triple quadrupole (QQQ) MS operated in the multiple reaction monitoring (MRM) mode is the gold standard for metabolite quantification; however, only known metabolites are generally quantified, limiting its applications in metabolomic analysis. In this study, a pseudotargeted approach was proposed to perform serum metabolomic analysis using an ultra high-performance liquid chromatography (UHPLC)/QQQ MS system operated in the MRM mode, for which the MRM ion pairs were acquired from the serum samples through untargeted tandem MS using UHPLC/Q-TOF MS. The UHPLC/QQQ MRM MS-based pseudotargeted method displayed better repeatability and wider linear range than the traditional UHPLC/Q-TOF MS-based untargeted metabolomics method, and no complicated peak alignment was required. The developed method was applied to discover serum biomarkers for patients with hepatocellular carcinoma (HCC). Patients with HCC had decreased lysophosphatidylcholine, increased long-chain and decreased medium-chain acylcarnitines, and increased aromatic and decreased branched-chain amino acid levels compared to healthy controls. The novelty of this work is that it provides an approach to acquire MRM ion pairs from real samples, is not limited to metabolite standards, and it provides a foundation to achieve pseudotargeted metabolomic analysis on the widely used LC/QQQ MS platform. © 2013 American Chemical Society.","author":[{"dropping-particle":"","family":"Chen","given":"Shili","non-dropping-particle":"","parse-names":false,"suffix":""},{"dropping-particle":"","family":"Kong","given":"Hongwei","non-dropping-particle":"","parse-names":false,"suffix":""},{"dropping-particle":"","family":"Lu","given":"Xin","non-dropping-particle":"","parse-names":false,"suffix":""},{"dropping-particle":"","family":"Li","given":"Yong","non-dropping-particle":"","parse-names":false,"suffix":""},{"dropping-particle":"","family":"Yin","given":"Peiyuan","non-dropping-particle":"","parse-names":false,"suffix":""},{"dropping-particle":"","family":"Zeng","given":"Zhongda","non-dropping-particle":"","parse-names":false,"suffix":""},{"dropping-particle":"","family":"Xu","given":"Guowang","non-dropping-particle":"","parse-names":false,"suffix":""}],"container-title":"Analytical Chemistry","id":"ITEM-1","issue":"17","issued":{"date-parts":[["2013"]]},"page":"8326-8333","title":"Pseudotargeted metabolomics method and its application in serum biomarker discovery for hepatocellular carcinoma based on ultra high-performance liquid chromatography/triple quadrupole mass spectrometry","type":"article-journal","volume":"85"},"uris":["http://www.mendeley.com/documents/?uuid=332218bf-734b-3bb6-860b-037631e9d408"]}],"mendeley":{"formattedCitation":"[28]","plainTextFormattedCitation":"[28]","previouslyFormattedCitation":"[28]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[28]</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Glycholic</w:t>
            </w:r>
            <w:proofErr w:type="spellEnd"/>
            <w:r w:rsidRPr="00DF6C69">
              <w:rPr>
                <w:rFonts w:cs="Times New Roman"/>
                <w:sz w:val="18"/>
                <w:szCs w:val="18"/>
              </w:rPr>
              <w:t xml:space="preserve">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{"citationItems":[{"id":"ITEM-1","itemData":{"DOI":"10.1007/s11306-012-0476-7","ISSN":"15733882","abstract":"Metabolomics as one of the most rapidly growing technologies in the \"-omics\" field denotes the comprehensive analysis of low molecular-weight compounds and their pathways. Cancer-specific alterations of the metabolome can be detected by high-throughput mass-spectrometric metabolite profiling and serve as a considerable source of new markers for the early differentiation of malignant diseases as well as their distinction from benign states. However, a comprehensive framework for the statistical evaluation of marker panels in a multi-class setting has not yet been established. We collected serum samples of 40 pancreatic carcinoma patients, 40 controls, and 23 pancreatitis patients according to standard protocols and generated amino acid profiles by routine mass-spectrometry. In an intrinsic three-class bioinformatic approach we compared these profiles, evaluated their selectivity and computed multi-marker panels combined with the conventional tumor marker CA 19-9. Additionally, we tested for non-inferiority and superiority to determine the diagnostic surplus value of our multi-metabolite marker panels. Compared to CA 19-9 alone, the combined amino acid-based metabolite panel had a superior selectivity for the discrimination of healthy controls, pancreatitis, and pancreatic carcinoma patients [volume under ROC surface (VUS) = 0.891(95% CI 0:794 - 0:968)] We combined highly standardized samples, a three-class study design, a high-throughput mass-spectrometric technique, and a comprehensive bioinformatic framework to identify metabolite panels selective for all three groups in a single approach. Our results suggest that metabolomic profiling necessitates appropriate evaluation strategies and-despite all its current limitations-can deliver marker panels with high selectivity even in multi-class settings. © 2012 The Author(s).","author":[{"dropping-particle":"","family":"Leichtle","given":"Alexander Benedikt","non-dropping-particle":"","parse-names":false,"suffix":""},{"dropping-particle":"","family":"Ceglarek","given":"Uta","non-dropping-particle":"","parse-names":false,"suffix":""},{"dropping-particle":"","family":"Weinert","given":"Peter","non-dropping-particle":"","parse-names":false,"suffix":""},{"dropping-particle":"","family":"Nakas","given":"Christos T.","non-dropping-particle":"","parse-names":false,"suffix":""},{"dropping-particle":"","family":"Nuoffer","given":"Jean Marc","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Martin","non-dropping-particle":"","parse-names":false,"suffix":""}],"container-title":"Metabolomics","id":"ITEM-1","issue":"3","issued":{"date-parts":[["2013","6"]]},"page":"677-687","title":"Pancreatic carcinoma, pancreatitis, and healthy controls: Metabolite models in a three-class diagnostic dilemma","type":"article-journal","volume":"9"},"uris":["http://www.mendeley.com/documents/?uuid=716efd7d-6811-4814-9b77-a480c07ce032"]}],"mendeley":{"formattedCitation":"[3]","plainTextFormattedCitation":"[3]","previouslyFormattedCitation":"[3]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glycodeoxycholic</w:t>
            </w:r>
            <w:proofErr w:type="spellEnd"/>
            <w:r w:rsidRPr="00DF6C69">
              <w:rPr>
                <w:rFonts w:cs="Times New Roman"/>
                <w:sz w:val="18"/>
                <w:szCs w:val="18"/>
              </w:rPr>
              <w:t xml:space="preserve">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{"citationItems":[{"id":"ITEM-1","itemData":{"DOI":"10.1007/s11306-012-0476-7","ISSN":"15733882","abstract":"Metabolomics as one of the most rapidly growing technologies in the \"-omics\" field denotes the comprehensive analysis of low molecular-weight compounds and their pathways. Cancer-specific alterations of the metabolome can be detected by high-throughput mass-spectrometric metabolite profiling and serve as a considerable source of new markers for the early differentiation of malignant diseases as well as their distinction from benign states. However, a comprehensive framework for the statistical evaluation of marker panels in a multi-class setting has not yet been established. We collected serum samples of 40 pancreatic carcinoma patients, 40 controls, and 23 pancreatitis patients according to standard protocols and generated amino acid profiles by routine mass-spectrometry. In an intrinsic three-class bioinformatic approach we compared these profiles, evaluated their selectivity and computed multi-marker panels combined with the conventional tumor marker CA 19-9. Additionally, we tested for non-inferiority and superiority to determine the diagnostic surplus value of our multi-metabolite marker panels. Compared to CA 19-9 alone, the combined amino acid-based metabolite panel had a superior selectivity for the discrimination of healthy controls, pancreatitis, and pancreatic carcinoma patients [volume under ROC surface (VUS) = 0.891(95% CI 0:794 - 0:968)] We combined highly standardized samples, a three-class study design, a high-throughput mass-spectrometric technique, and a comprehensive bioinformatic framework to identify metabolite panels selective for all three groups in a single approach. Our results suggest that metabolomic profiling necessitates appropriate evaluation strategies and-despite all its current limitations-can deliver marker panels with high selectivity even in multi-class settings. © 2012 The Author(s).","author":[{"dropping-particle":"","family":"Leichtle","given":"Alexander Benedikt","non-dropping-particle":"","parse-names":false,"suffix":""},{"dropping-particle":"","family":"Ceglarek","given":"Uta","non-dropping-particle":"","parse-names":false,"suffix":""},{"dropping-particle":"","family":"Weinert","given":"Peter","non-dropping-particle":"","parse-names":false,"suffix":""},{"dropping-particle":"","family":"Nakas","given":"Christos T.","non-dropping-particle":"","parse-names":false,"suffix":""},{"dropping-particle":"","family":"Nuoffer","given":"Jean Marc","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Martin","non-dropping-particle":"","parse-names":false,"suffix":""}],"container-title":"Metabolomics","id":"ITEM-1","issue":"3","issued":{"date-parts":[["2013","6"]]},"page":"677-687","title":"Pancreatic carcinoma, pancreatitis, and healthy controls: Metabolite models in a three-class diagnostic dilemma","type":"article-journal","volume":"9"},"uris":["http://www.mendeley.com/documents/?uuid=716efd7d-6811-4814-9b77-a480c07ce032"]}],"mendeley":{"formattedCitation":"[3]","plainTextFormattedCitation":"[3]","previouslyFormattedCitation":"[3]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w:t>
            </w:r>
            <w:r w:rsidRPr="00DF6C69">
              <w:rPr>
                <w:rFonts w:cs="Times New Roman"/>
                <w:sz w:val="18"/>
                <w:szCs w:val="18"/>
              </w:rPr>
              <w:fldChar w:fldCharType="end"/>
            </w:r>
            <w:r w:rsidRPr="00DF6C69">
              <w:rPr>
                <w:rFonts w:cs="Times New Roman"/>
                <w:sz w:val="18"/>
                <w:szCs w:val="18"/>
              </w:rPr>
              <w:t xml:space="preserve">, hydroxybutyrate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{"citationItems":[{"id":"ITEM-1","itemData":{"DOI":"10.1016/j.clinbiochem.2012.05.012","ISSN":"00099120","abstract":"Objectives: To develop a noninvasive and accessible diagnostic method for pancreatic cancer (PC). Design and methods: We presented a metabolomic method, pattern recognition techniques applied to 1H nuclear magnetic resonance (1H NMR) spectra, to investigate the plasma metabolites obtained from 19 patients with PC, 20 patients with chronic pancreatitis (CP) and 20 healthy individuals. Results: Metabolic changes associated with PC included abnormal amino acid and lipid metabolism, and possible multiple metabolic syndrome. PC elevated plasma levels of N-acetyl glycoprotein (NAG), dimethylamine (DMA), very low density lipoprotein (VLDL), and acetone, and reduced levels of 3-hydroxybutyrate, lactate, high density lipoprotein (HDL), low density lipoprotein (LDL), citrate, alanine, glutamate, glutamine, histidine, isoleucine, lysine, and valine. These metabolites could be a biomarker group for PC that distinguishes between PC and CP patients and healthy individuals. Conclusions: NMR-based metabonomic strategy appears as a promising approach for distinguishing pancreatic cancer and identifying new strategies for prevention or therapy in the clinical practice. © 2012 The Canadian Society of Clinical Chemists.","author":[{"dropping-particle":"","family":"Zhang","given":"Lin","non-dropping-particle":"","parse-names":false,"suffix":""},{"dropping-particle":"","family":"Jin","given":"Haifeng","non-dropping-particle":"","parse-names":false,"suffix":""},{"dropping-particle":"","family":"Guo","given":"Xuegang","non-dropping-particle":"","parse-names":false,"suffix":""},{"dropping-particle":"","family":"Yang","given":"Zhao","non-dropping-particle":"","parse-names":false,"suffix":""},{"dropping-particle":"","family":"Zhao","given":"Lina","non-dropping-particle":"","parse-names":false,"suffix":""},{"dropping-particle":"","family":"Tang","given":"Shanhong","non-dropping-particle":"","parse-names":false,"suffix":""},{"dropping-particle":"","family":"Mo","given":"Ping","non-dropping-particle":"","parse-names":false,"suffix":""},{"dropping-particle":"","family":"Wu","given":"Kaichun","non-dropping-particle":"","parse-names":false,"suffix":""},{"dropping-particle":"","family":"Nie","given":"Yongzhan","non-dropping-particle":"","parse-names":false,"suffix":""},{"dropping-particle":"","family":"Pan","given":"Yanglin","non-dropping-particle":"","parse-names":false,"suffix":""},{"dropping-particle":"","family":"Fan","given":"Daiming","non-dropping-particle":"","parse-names":false,"suffix":""}],"container-title":"Clinical Biochemistry","id":"ITEM-1","issue":"13-14","issued":{"date-parts":[["2012","9"]]},"page":"1064-1069","title":"Distinguishing pancreatic cancer from chronic pancreatitis and healthy individuals by 1H nuclear magnetic resonance-based metabonomic profiles","type":"article-journal","volume":"45"},"uris":["http://www.mendeley.com/documents/?uuid=fe55e5b2-455b-33ec-96b3-d8f5e0f7513a"]}],"mendeley":{"formattedCitation":"[27]","plainTextFormattedCitation":"[27]","previouslyFormattedCitation":"[27]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[27]</w:t>
            </w:r>
            <w:r w:rsidRPr="00DF6C69">
              <w:rPr>
                <w:rFonts w:cs="Times New Roman"/>
                <w:sz w:val="18"/>
                <w:szCs w:val="18"/>
              </w:rPr>
              <w:fldChar w:fldCharType="end"/>
            </w:r>
            <w:r w:rsidRPr="00DF6C69">
              <w:rPr>
                <w:rFonts w:cs="Times New Roman"/>
                <w:sz w:val="18"/>
                <w:szCs w:val="18"/>
              </w:rPr>
              <w:t xml:space="preserve">, hypoxanthine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{"citationItems":[{"id":"ITEM-1","itemData":{"DOI":"10.1002/rcm.4420","ISSN":"09514198","abstract":"Poor outcome of pancreatic cancer necessitates development of an early diagnostic method to reduce mortality. No reliable early diagnostic test for pancreatic cancer detection has been developed and validated to date. In the current study, metabolic profiling of plasma samples from selected cancer patients and noncancerous controls was performed to seek novel metabolic biomarkers of pancreatic cancer. A comprehensive mass spectrometry based analytical platform established at the Metabo-lomics Core of the UC Davis Genome Center allowed detection of multiple compounds previously unreported in plasma from pancreatic cancer patients. It was found that selective amino acids, bile acids, and polar lipids were detected with increased or decreased levels in pancreatic cancer samples compared to controls. These findings on blood plasma levels of the relevant metabolites might be very useful clinical parameters for early diagnosis of pancreatic cancer. © 2010 John Wiley &amp; Sons, Ltd.","author":[{"dropping-particle":"","family":"Urayama","given":"Shiro","non-dropping-particle":"","parse-names":false,"suffix":""},{"dropping-particle":"","family":"Zou","given":"Wei","non-dropping-particle":"","parse-names":false,"suffix":""},{"dropping-particle":"","family":"Brooks","given":"Kindra","non-dropping-particle":"","parse-names":false,"suffix":""},{"dropping-particle":"","family":"Tolstikov","given":"Vladimir","non-dropping-particle":"","parse-names":false,"suffix":""}],"container-title":"Rapid Communications in Mass Spectrometry","id":"ITEM-1","issue":"5","issued":{"date-parts":[["2010","3","15"]]},"page":"613-620","title":"Comprehensive mass spectrometry based metabolic profiling of blood plasma reveals potent discriminatory classifiers of pancreatic cancer","type":"article-journal","volume":"24"},"uris":["http://www.mendeley.com/documents/?uuid=8d91bad6-1063-3b75-8679-1610c6f8709a"]}],"mendeley":{"formattedCitation":"[29]","plainTextFormattedCitation":"[29]","previouslyFormattedCitation":"[29]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[29]</w:t>
            </w:r>
            <w:r w:rsidRPr="00DF6C69">
              <w:rPr>
                <w:rFonts w:cs="Times New Roman"/>
                <w:sz w:val="18"/>
                <w:szCs w:val="18"/>
              </w:rPr>
              <w:fldChar w:fldCharType="end"/>
            </w:r>
            <w:r w:rsidRPr="00DF6C69">
              <w:rPr>
                <w:rFonts w:cs="Times New Roman"/>
                <w:sz w:val="18"/>
                <w:szCs w:val="18"/>
              </w:rPr>
              <w:t xml:space="preserve">, isoleucine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{"citationItems":[{"id":"ITEM-1","itemData":{"DOI":"10.1007/s12010-011-9240-0","ISSN":"15590291","abstract":"Pancreatic cancer is a malignant tumor with the worst prognosis among all cancers. At the time of diagnosis, surgical cure is no longer a feasible option for most patients, thus early detection of pancreatic cancer is crucial for its treatment. Metabolomics is a powerful new analytical approach to detect the metabolome of cells, tissue, or biofluids. Here, we report the application of 1 H nuclear magnetic resonance (NMR) combined with principal components analysis to discriminate pancreatic cancer patients from healthy controls based on metabolomic profiling of the serum. The metabolic analysis revealed significant lower of 3-hydroxybutyrate, 3-hydroxyisovalerate, lactate, and trimethylamine- N-oxide as well as significant higher level of isoleucine, triglyceride, leucine, and creatinine in the serum from pancreatic cancer patients compared to that of healthy controls. Our data demonstrate that the subtle differences in metabolite profiles in serum of pancreatic cancer patients and that of healthy subjects as a result of physiological and pathological variations could be identified by NMR-based metabolomics and exploited as metabolic markers for the early detection of pancreatic cancer. © Springer Science+Business Media, LLC 2011.","author":[{"dropping-particle":"","family":"Yang","given":"Dong Ou","non-dropping-particle":"","parse-names":false,"suffix":""},{"dropping-particle":"","family":"Xu","given":"Jingjing","non-dropping-particle":"","parse-names":false,"suffix":""},{"dropping-particle":"","family":"Huang","given":"Heguang","non-dropping-particle":"","parse-names":false,"suffix":""},{"dropping-particle":"","family":"Chen","given":"Zhong","non-dropping-particle":"","parse-names":false,"suffix":""}],"container-title":"Applied Biochemistry and Biotechnology","id":"ITEM-1","issue":"1","issued":{"date-parts":[["2011"]]},"page":"148-154","publisher":"Humana Press Inc.","title":"Metabolomic profiling of serum from human pancreatic cancer patients Using 1 H NMR spectroscopy and principal component analysis","type":"article-journal","volume":"165"},"uris":["http://www.mendeley.com/documents/?uuid=f27f1ced-f5b6-3b61-aadc-b9b679f09cf4"]}],"mendeley":{"formattedCitation":"[26]","plainTextFormattedCitation":"[26]","previouslyFormattedCitation":"[26]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[26]</w:t>
            </w:r>
            <w:r w:rsidRPr="00DF6C69">
              <w:rPr>
                <w:rFonts w:cs="Times New Roman"/>
                <w:sz w:val="18"/>
                <w:szCs w:val="18"/>
              </w:rPr>
              <w:fldChar w:fldCharType="end"/>
            </w:r>
            <w:r w:rsidRPr="00DF6C69">
              <w:rPr>
                <w:rFonts w:cs="Times New Roman"/>
                <w:sz w:val="18"/>
                <w:szCs w:val="18"/>
              </w:rPr>
              <w:t xml:space="preserve">, lactate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{"citationItems":[{"id":"ITEM-1","itemData":{"DOI":"10.1007/s12010-011-9240-0","ISSN":"15590291","abstract":"Pancreatic cancer is a malignant tumor with the worst prognosis among all cancers. At the time of diagnosis, surgical cure is no longer a feasible option for most patients, thus early detection of pancreatic cancer is crucial for its treatment. Metabolomics is a powerful new analytical approach to detect the metabolome of cells, tissue, or biofluids. Here, we report the application of 1 H nuclear magnetic resonance (NMR) combined with principal components analysis to discriminate pancreatic cancer patients from healthy controls based on metabolomic profiling of the serum. The metabolic analysis revealed significant lower of 3-hydroxybutyrate, 3-hydroxyisovalerate, lactate, and trimethylamine- N-oxide as well as significant higher level of isoleucine, triglyceride, leucine, and creatinine in the serum from pancreatic cancer patients compared to that of healthy controls. Our data demonstrate that the subtle differences in metabolite profiles in serum of pancreatic cancer patients and that of healthy subjects as a result of physiological and pathological variations could be identified by NMR-based metabolomics and exploited as metabolic markers for the early detection of pancreatic cancer. © Springer Science+Business Media, LLC 2011.","author":[{"dropping-particle":"","family":"Yang","given":"Dong Ou","non-dropping-particle":"","parse-names":false,"suffix":""},{"dropping-particle":"","family":"Xu","given":"Jingjing","non-dropping-particle":"","parse-names":false,"suffix":""},{"dropping-particle":"","family":"Huang","given":"Heguang","non-dropping-particle":"","parse-names":false,"suffix":""},{"dropping-particle":"","family":"Chen","given":"Zhong","non-dropping-particle":"","parse-names":false,"suffix":""}],"container-title":"Applied Biochemistry and Biotechnology","id":"ITEM-1","issue":"1","issued":{"date-parts":[["2011"]]},"page":"148-154","publisher":"Humana Press Inc.","title":"Metabolomic profiling of serum from human pancreatic cancer patients Using 1 H NMR spectroscopy and principal component analysis","type":"article-journal","volume":"165"},"uris":["http://www.mendeley.com/documents/?uuid=f27f1ced-f5b6-3b61-aadc-b9b679f09cf4"]}],"mendeley":{"formattedCitation":"[26]","plainTextFormattedCitation":"[26]","previouslyFormattedCitation":"[26]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[26]</w:t>
            </w:r>
            <w:r w:rsidRPr="00DF6C69">
              <w:rPr>
                <w:rFonts w:cs="Times New Roman"/>
                <w:sz w:val="18"/>
                <w:szCs w:val="18"/>
              </w:rPr>
              <w:fldChar w:fldCharType="end"/>
            </w:r>
            <w:r w:rsidRPr="00DF6C69">
              <w:rPr>
                <w:rFonts w:cs="Times New Roman"/>
                <w:sz w:val="18"/>
                <w:szCs w:val="18"/>
              </w:rPr>
              <w:t xml:space="preserve">, linoleic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{"citationItems":[{"id":"ITEM-1","itemData":{"DOI":"10.1021/ac4016787","ISSN":"00032700","abstract":"Untargeted analysis performed using full-scan mass spectrometry (MS) coupled with liquid chromatography (LC) is commonly used in metabolomics. Although they are commonly employed, full-scan MS methods such as quadrupole-time-of-flight (Q-TOF) MS have been restricted by various factors including their limited linear range and complicated data processing. LC coupled with triple quadrupole (QQQ) MS operated in the multiple reaction monitoring (MRM) mode is the gold standard for metabolite quantification; however, only known metabolites are generally quantified, limiting its applications in metabolomic analysis. In this study, a pseudotargeted approach was proposed to perform serum metabolomic analysis using an ultra high-performance liquid chromatography (UHPLC)/QQQ MS system operated in the MRM mode, for which the MRM ion pairs were acquired from the serum samples through untargeted tandem MS using UHPLC/Q-TOF MS. The UHPLC/QQQ MRM MS-based pseudotargeted method displayed better repeatability and wider linear range than the traditional UHPLC/Q-TOF MS-based untargeted metabolomics method, and no complicated peak alignment was required. The developed method was applied to discover serum biomarkers for patients with hepatocellular carcinoma (HCC). Patients with HCC had decreased lysophosphatidylcholine, increased long-chain and decreased medium-chain acylcarnitines, and increased aromatic and decreased branched-chain amino acid levels compared to healthy controls. The novelty of this work is that it provides an approach to acquire MRM ion pairs from real samples, is not limited to metabolite standards, and it provides a foundation to achieve pseudotargeted metabolomic analysis on the widely used LC/QQQ MS platform. © 2013 American Chemical Society.","author":[{"dropping-particle":"","family":"Chen","given":"Shili","non-dropping-particle":"","parse-names":false,"suffix":""},{"dropping-particle":"","family":"Kong","given":"Hongwei","non-dropping-particle":"","parse-names":false,"suffix":""},{"dropping-particle":"","family":"Lu","given":"Xin","non-dropping-particle":"","parse-names":false,"suffix":""},{"dropping-particle":"","family":"Li","given":"Yong","non-dropping-particle":"","parse-names":false,"suffix":""},{"dropping-particle":"","family":"Yin","given":"Peiyuan","non-dropping-particle":"","parse-names":false,"suffix":""},{"dropping-particle":"","family":"Zeng","given":"Zhongda","non-dropping-particle":"","parse-names":false,"suffix":""},{"dropping-particle":"","family":"Xu","given":"Guowang","non-dropping-particle":"","parse-names":false,"suffix":""}],"container-title":"Analytical Chemistry","id":"ITEM-1","issue":"17","issued":{"date-parts":[["2013"]]},"page":"8326-8333","title":"Pseudotargeted metabolomics method and its application in serum biomarker discovery for hepatocellular carcinoma based on ultra high-performance liquid chromatography/triple quadrupole mass spectrometry","type":"article-journal","volume":"85"},"uris":["http://www.mendeley.com/documents/?uuid=332218bf-734b-3bb6-860b-037631e9d408"]}],"mendeley":{"formattedCitation":"[28]","plainTextFormattedCitation":"[28]","previouslyFormattedCitation":"[28]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[28]</w:t>
            </w:r>
            <w:r w:rsidRPr="00DF6C69">
              <w:rPr>
                <w:rFonts w:cs="Times New Roman"/>
                <w:sz w:val="18"/>
                <w:szCs w:val="18"/>
              </w:rPr>
              <w:fldChar w:fldCharType="end"/>
            </w:r>
            <w:r w:rsidRPr="00DF6C69">
              <w:rPr>
                <w:rFonts w:cs="Times New Roman"/>
                <w:sz w:val="18"/>
                <w:szCs w:val="18"/>
              </w:rPr>
              <w:t xml:space="preserve">, lipids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{"citationItems":[{"id":"ITEM-1","itemData":{"DOI":"10.1016/j.clinbiochem.2012.05.012","ISSN":"00099120","abstract":"Objectives: To develop a noninvasive and accessible diagnostic method for pancreatic cancer (PC). Design and methods: We presented a metabolomic method, pattern recognition techniques applied to 1H nuclear magnetic resonance (1H NMR) spectra, to investigate the plasma metabolites obtained from 19 patients with PC, 20 patients with chronic pancreatitis (CP) and 20 healthy individuals. Results: Metabolic changes associated with PC included abnormal amino acid and lipid metabolism, and possible multiple metabolic syndrome. PC elevated plasma levels of N-acetyl glycoprotein (NAG), dimethylamine (DMA), very low density lipoprotein (VLDL), and acetone, and reduced levels of 3-hydroxybutyrate, lactate, high density lipoprotein (HDL), low density lipoprotein (LDL), citrate, alanine, glutamate, glutamine, histidine, isoleucine, lysine, and valine. These metabolites could be a biomarker group for PC that distinguishes between PC and CP patients and healthy individuals. Conclusions: NMR-based metabonomic strategy appears as a promising approach for distinguishing pancreatic cancer and identifying new strategies for prevention or therapy in the clinical practice. © 2012 The Canadian Society of Clinical Chemists.","author":[{"dropping-particle":"","family":"Zhang","given":"Lin","non-dropping-particle":"","parse-names":false,"suffix":""},{"dropping-particle":"","family":"Jin","given":"Haifeng","non-dropping-particle":"","parse-names":false,"suffix":""},{"dropping-particle":"","family":"Guo","given":"Xuegang","non-dropping-particle":"","parse-names":false,"suffix":""},{"dropping-particle":"","family":"Yang","given":"Zhao","non-dropping-particle":"","parse-names":false,"suffix":""},{"dropping-particle":"","family":"Zhao","given":"Lina","non-dropping-particle":"","parse-names":false,"suffix":""},{"dropping-particle":"","family":"Tang","given":"Shanhong","non-dropping-particle":"","parse-names":false,"suffix":""},{"dropping-particle":"","family":"Mo","given":"Ping","non-dropping-particle":"","parse-names":false,"suffix":""},{"dropping-particle":"","family":"Wu","given":"Kaichun","non-dropping-particle":"","parse-names":false,"suffix":""},{"dropping-particle":"","family":"Nie","given":"Yongzhan","non-dropping-particle":"","parse-names":false,"suffix":""},{"dropping-particle":"","family":"Pan","given":"Yanglin","non-dropping-particle":"","parse-names":false,"suffix":""},{"dropping-particle":"","family":"Fan","given":"Daiming","non-dropping-particle":"","parse-names":false,"suffix":""}],"container-title":"Clinical Biochemistry","id":"ITEM-1","issue":"13-14","issued":{"date-parts":[["2012","9"]]},"page":"1064-1069","title":"Distinguishing pancreatic cancer from chronic pancreatitis and healthy individuals by 1H nuclear magnetic resonance-based metabonomic profiles","type":"article-journal","volume":"45"},"uris":["http://www.mendeley.com/documents/?uuid=fe55e5b2-455b-33ec-96b3-d8f5e0f7513a"]}],"mendeley":{"formattedCitation":"[27]","plainTextFormattedCitation":"[27]","previouslyFormattedCitation":"[27]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[27]</w:t>
            </w:r>
            <w:r w:rsidRPr="00DF6C69">
              <w:rPr>
                <w:rFonts w:cs="Times New Roman"/>
                <w:sz w:val="18"/>
                <w:szCs w:val="18"/>
              </w:rPr>
              <w:fldChar w:fldCharType="end"/>
            </w:r>
            <w:r w:rsidRPr="00DF6C69">
              <w:rPr>
                <w:rFonts w:cs="Times New Roman"/>
                <w:sz w:val="18"/>
                <w:szCs w:val="18"/>
              </w:rPr>
              <w:t xml:space="preserve">, lysine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{"citationItems":[{"id":"ITEM-1","itemData":{"DOI":"10.1002/rcm.4420","ISSN":"09514198","abstract":"Poor outcome of pancreatic cancer necessitates development of an early diagnostic method to reduce mortality. No reliable early diagnostic test for pancreatic cancer detection has been developed and validated to date. In the current study, metabolic profiling of plasma samples from selected cancer patients and noncancerous controls was performed to seek novel metabolic biomarkers of pancreatic cancer. A comprehensive mass spectrometry based analytical platform established at the Metabo-lomics Core of the UC Davis Genome Center allowed detection of multiple compounds previously unreported in plasma from pancreatic cancer patients. It was found that selective amino acids, bile acids, and polar lipids were detected with increased or decreased levels in pancreatic cancer samples compared to controls. These findings on blood plasma levels of the relevant metabolites might be very useful clinical parameters for early diagnosis of pancreatic cancer. © 2010 John Wiley &amp; Sons, Ltd.","author":[{"dropping-particle":"","family":"Urayama","given":"Shiro","non-dropping-particle":"","parse-names":false,"suffix":""},{"dropping-particle":"","family":"Zou","given":"Wei","non-dropping-particle":"","parse-names":false,"suffix":""},{"dropping-particle":"","family":"Brooks","given":"Kindra","non-dropping-particle":"","parse-names":false,"suffix":""},{"dropping-particle":"","family":"Tolstikov","given":"Vladimir","non-dropping-particle":"","parse-names":false,"suffix":""}],"container-title":"Rapid Communications in Mass Spectrometry","id":"ITEM-1","issue":"5","issued":{"date-parts":[["2010","3","15"]]},"page":"613-620","title":"Comprehensive mass spectrometry based metabolic profiling of blood plasma reveals potent discriminatory classifiers of pancreatic cancer","type":"article-journal","volume":"24"},"uris":["http://www.mendeley.com/documents/?uuid=8d91bad6-1063-3b75-8679-1610c6f8709a"]}],"mendeley":{"formattedCitation":"[29]","plainTextFormattedCitation":"[29]","previouslyFormattedCitation":"[29]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[29]</w:t>
            </w:r>
            <w:r w:rsidRPr="00DF6C69">
              <w:rPr>
                <w:rFonts w:cs="Times New Roman"/>
                <w:sz w:val="18"/>
                <w:szCs w:val="18"/>
              </w:rPr>
              <w:fldChar w:fldCharType="end"/>
            </w:r>
            <w:r w:rsidRPr="00DF6C69">
              <w:rPr>
                <w:rFonts w:cs="Times New Roman"/>
                <w:sz w:val="18"/>
                <w:szCs w:val="18"/>
              </w:rPr>
              <w:t xml:space="preserve">, malate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{"citationItems":[{"id":"ITEM-1","itemData":{"DOI":"10.1021/ac4016787","ISSN":"00032700","abstract":"Untargeted analysis performed using full-scan mass spectrometry (MS) coupled with liquid chromatography (LC) is commonly used in metabolomics. Although they are commonly employed, full-scan MS methods such as quadrupole-time-of-flight (Q-TOF) MS have been restricted by various factors including their limited linear range and complicated data processing. LC coupled with triple quadrupole (QQQ) MS operated in the multiple reaction monitoring (MRM) mode is the gold standard for metabolite quantification; however, only known metabolites are generally quantified, limiting its applications in metabolomic analysis. In this study, a pseudotargeted approach was proposed to perform serum metabolomic analysis using an ultra high-performance liquid chromatography (UHPLC)/QQQ MS system operated in the MRM mode, for which the MRM ion pairs were acquired from the serum samples through untargeted tandem MS using UHPLC/Q-TOF MS. The UHPLC/QQQ MRM MS-based pseudotargeted method displayed better repeatability and wider linear range than the traditional UHPLC/Q-TOF MS-based untargeted metabolomics method, and no complicated peak alignment was required. The developed method was applied to discover serum biomarkers for patients with hepatocellular carcinoma (HCC). Patients with HCC had decreased lysophosphatidylcholine, increased long-chain and decreased medium-chain acylcarnitines, and increased aromatic and decreased branched-chain amino acid levels compared to healthy controls. The novelty of this work is that it provides an approach to acquire MRM ion pairs from real samples, is not limited to metabolite standards, and it provides a foundation to achieve pseudotargeted metabolomic analysis on the widely used LC/QQQ MS platform. © 2013 American Chemical Society.","author":[{"dropping-particle":"","family":"Chen","given":"Shili","non-dropping-particle":"","parse-names":false,"suffix":""},{"dropping-particle":"","family":"Kong","given":"Hongwei","non-dropping-particle":"","parse-names":false,"suffix":""},{"dropping-particle":"","family":"Lu","given":"Xin","non-dropping-particle":"","parse-names":false,"suffix":""},{"dropping-particle":"","family":"Li","given":"Yong","non-dropping-particle":"","parse-names":false,"suffix":""},{"dropping-particle":"","family":"Yin","given":"Peiyuan","non-dropping-particle":"","parse-names":false,"suffix":""},{"dropping-particle":"","family":"Zeng","given":"Zhongda","non-dropping-particle":"","parse-names":false,"suffix":""},{"dropping-particle":"","family":"Xu","given":"Guowang","non-dropping-particle":"","parse-names":false,"suffix":""}],"container-title":"Analytical Chemistry","id":"ITEM-1","issue":"17","issued":{"date-parts":[["2013"]]},"page":"8326-8333","title":"Pseudotargeted metabolomics method and its application in serum biomarker discovery for hepatocellular carcinoma based on ultra high-performance liquid chromatography/triple quadrupole mass spectrometry","type":"article-journal","volume":"85"},"uris":["http://www.mendeley.com/documents/?uuid=332218bf-734b-3bb6-860b-037631e9d408"]}],"mendeley":{"formattedCitation":"[28]","plainTextFormattedCitation":"[28]","previouslyFormattedCitation":"[28]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[28]</w:t>
            </w:r>
            <w:r w:rsidRPr="00DF6C69">
              <w:rPr>
                <w:rFonts w:cs="Times New Roman"/>
                <w:sz w:val="18"/>
                <w:szCs w:val="18"/>
              </w:rPr>
              <w:fldChar w:fldCharType="end"/>
            </w:r>
            <w:r w:rsidRPr="00DF6C69">
              <w:rPr>
                <w:rFonts w:cs="Times New Roman"/>
                <w:sz w:val="18"/>
                <w:szCs w:val="18"/>
              </w:rPr>
              <w:t xml:space="preserve">, mannose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Prevention","id":"ITEM-1","issue":"1","issued":{"date-parts":[["2011"]]},"page":"140-147","title":"Feasibility of identifying pancreatic cancer based on serum metabolomics","type":"article-journal","volume":"20"},"uris":["http://www.mendeley.com/documents/?uuid=a060d321-390f-402d-97cd-f5f6e1b8b0a6"]}],"mendeley":{"formattedCitation":"[25]","plainTextFormattedCitation":"[25]","previouslyFormattedCitation":"[25]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w:t>
            </w:r>
            <w:r w:rsidRPr="00DF6C69">
              <w:rPr>
                <w:rFonts w:cs="Times New Roman"/>
                <w:sz w:val="18"/>
                <w:szCs w:val="18"/>
              </w:rPr>
              <w:fldChar w:fldCharType="end"/>
            </w:r>
            <w:r w:rsidRPr="00DF6C69">
              <w:rPr>
                <w:rFonts w:cs="Times New Roman"/>
                <w:sz w:val="18"/>
                <w:szCs w:val="18"/>
              </w:rPr>
              <w:t xml:space="preserve">, medium-chain </w:t>
            </w:r>
            <w:proofErr w:type="spellStart"/>
            <w:r w:rsidRPr="00DF6C69">
              <w:rPr>
                <w:rFonts w:cs="Times New Roman"/>
                <w:sz w:val="18"/>
                <w:szCs w:val="18"/>
              </w:rPr>
              <w:t>acylcarnitines</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{"citationItems":[{"id":"ITEM-1","itemData":{"DOI":"10.1186/1471-2407-13-416","ISSN":"14712407","abstract":"Background: The prognosis of pancreatic cancer (PC) is one of the poorest among all cancers, due largely to the lack of methods for screening and early detection. New biomarkers for identifying high-risk or early-stage subjects could significantly impact PC mortality. The goal of this study was to find metabolic biomarkers associated with PC by using a comprehensive metabolomics technology to compare serum profiles of PC patients to healthy control subjects.Methods: A non-targeted metabolomics approach based on high-resolution, flow-injection Fourier transform ion cyclotron resonance mass spectrometry (FI-FTICR-MS) was used to generate comprehensive metabolomic profiles containing 2478 accurate mass measurements from the serum of Japanese PC patients (n=40) and disease-free subjects (n=50). Targeted flow-injection tandem mass spectrometry (FI-MS/MS) assays for specific metabolic systems were developed and used to validate the FI-FTICR-MS results. A FI-MS/MS assay for the most discriminating metabolite discovered by FI-FTICR-MS (PC-594) was further validated in two USA Caucasian populations; one comprised 14 PCs, six intraductal papillary mucinous neoplasims (IPMN) and 40 controls, and a second comprised 1000 reference subjects aged 30 to 80, which was used to create a distribution of PC-594 levels among the general population.Results: FI-FTICR-MS metabolomic analysis showed significant reductions in the serum levels of metabolites belonging to five systems in PC patients compared to controls (all p&lt;0.000025). The metabolic systems included 36-carbon ultra long-chain fatty acids, multiple choline-related systems including phosphatidylcholines, lysophosphatidylcholines and sphingomyelins, as well as vinyl ether-containing plasmalogen ethanolamines. ROC-AUCs based on FI-MS/MS of selected markers from each system ranged between 0.93 ±0.03 and 0.97 ±0.02. No significant correlations between any of the systems and disease-stage, gender, or treatment were observed. Biomarker PC-594 (an ultra long-chain fatty acid), was further validated using an independently-collected US Caucasian population (blinded analysis, n=60, p=9.9E-14, AUC=0.97 ±0.02). PC-594 levels across 1000 reference subjects showed an inverse correlation with age, resulting in a drop in the AUC from 0.99 ±0.01 to 0.90 ±0.02 for subjects aged 30 to 80, respectively. A PC-594 test positivity rate of 5.0% in low-risk reference subjects resulted in a PC sensitivity of 87% and a significant improvemen…","author":[{"dropping-particle":"","family":"Ritchie","given":"Shawn A.","non-dropping-particle":"","parse-names":false,"suffix":""},{"dropping-particle":"","family":"Akita","given":"Hirofumi","non-dropping-particle":"","parse-names":false,"suffix":""},{"dropping-particle":"","family":"Takemasa","given":"Ichiro","non-dropping-particle":"","parse-names":false,"suffix":""},{"dropping-particle":"","family":"Eguchi","given":"Hidetoshi","non-dropping-particle":"","parse-names":false,"suffix":""},{"dropping-particle":"","family":"Pastural","given":"Elodie","non-dropping-particle":"","parse-names":false,"suffix":""},{"dropping-particle":"","family":"Nagano","given":"Hiroaki","non-dropping-particle":"","parse-names":false,"suffix":""},{"dropping-particle":"","family":"Monden","given":"Morito","non-dropping-particle":"","parse-names":false,"suffix":""},{"dropping-particle":"","family":"Doki","given":"Yuichiro","non-dropping-particle":"","parse-names":false,"suffix":""},{"dropping-particle":"","family":"Mori","given":"Masaki","non-dropping-particle":"","parse-names":false,"suffix":""},{"dropping-particle":"","family":"Jin","given":"Wei","non-dropping-particle":"","parse-names":false,"suffix":""},{"dropping-particle":"","family":"Sajobi","given":"Tolulope T.","non-dropping-particle":"","parse-names":false,"suffix":""},{"dropping-particle":"","family":"Jayasinghe","given":"Dushmanthi","non-dropping-particle":"","parse-names":false,"suffix":""},{"dropping-particle":"","family":"Chitou","given":"Bassirou","non-dropping-particle":"","parse-names":false,"suffix":""},{"dropping-particle":"","family":"Yamazaki","given":"Yasuyo","non-dropping-particle":"","parse-names":false,"suffix":""},{"dropping-particle":"","family":"White","given":"Thayer","non-dropping-particle":"","parse-names":false,"suffix":""},{"dropping-particle":"","family":"Goodenowe","given":"Dayan B.","non-dropping-particle":"","parse-names":false,"suffix":""}],"container-title":"BMC Cancer","id":"ITEM-1","issued":{"date-parts":[["2013","9"]]},"title":"Metabolic system alterations in pancreatic cancer patient serum: Potential for early detection","type":"article-journal","volume":"13"},"uris":["http://www.mendeley.com/documents/?uuid=6358c61b-f2d4-3ed2-9266-33335aa99e96"]}],"mendeley":{"formattedCitation":"[31]","plainTextFormattedCitation":"[31]","previouslyFormattedCitation":"[31]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[31]</w:t>
            </w:r>
            <w:r w:rsidRPr="00DF6C69">
              <w:rPr>
                <w:rFonts w:cs="Times New Roman"/>
                <w:sz w:val="18"/>
                <w:szCs w:val="18"/>
              </w:rPr>
              <w:fldChar w:fldCharType="end"/>
            </w:r>
            <w:r w:rsidRPr="00DF6C69">
              <w:rPr>
                <w:rFonts w:cs="Times New Roman"/>
                <w:sz w:val="18"/>
                <w:szCs w:val="18"/>
              </w:rPr>
              <w:t xml:space="preserve">, myoinositol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{"citationItems":[{"id":"ITEM-1","itemData":{"DOI":"10.1021/ac4016787","ISSN":"00032700","abstract":"Untargeted analysis performed using full-scan mass spectrometry (MS) coupled with liquid chromatography (LC) is commonly used in metabolomics. Although they are commonly employed, full-scan MS methods such as quadrupole-time-of-flight (Q-TOF) MS have been restricted by various factors including their limited linear range and complicated data processing. LC coupled with triple quadrupole (QQQ) MS operated in the multiple reaction monitoring (MRM) mode is the gold standard for metabolite quantification; however, only known metabolites are generally quantified, limiting its applications in metabolomic analysis. In this study, a pseudotargeted approach was proposed to perform serum metabolomic analysis using an ultra high-performance liquid chromatography (UHPLC)/QQQ MS system operated in the MRM mode, for which the MRM ion pairs were acquired from the serum samples through untargeted tandem MS using UHPLC/Q-TOF MS. The UHPLC/QQQ MRM MS-based pseudotargeted method displayed better repeatability and wider linear range than the traditional UHPLC/Q-TOF MS-based untargeted metabolomics method, and no complicated peak alignment was required. The developed method was applied to discover serum biomarkers for patients with hepatocellular carcinoma (HCC). Patients with HCC had decreased lysophosphatidylcholine, increased long-chain and decreased medium-chain acylcarnitines, and increased aromatic and decreased branched-chain amino acid levels compared to healthy controls. The novelty of this work is that it provides an approach to acquire MRM ion pairs from real samples, is not limited to metabolite standards, and it provides a foundation to achieve pseudotargeted metabolomic analysis on the widely used LC/QQQ MS platform. © 2013 American Chemical Society.","author":[{"dropping-particle":"","family":"Chen","given":"Shili","non-dropping-particle":"","parse-names":false,"suffix":""},{"dropping-particle":"","family":"Kong","given":"Hongwei","non-dropping-particle":"","parse-names":false,"suffix":""},{"dropping-particle":"","family":"Lu","given":"Xin","non-dropping-particle":"","parse-names":false,"suffix":""},{"dropping-particle":"","family":"Li","given":"Yong","non-dropping-particle":"","parse-names":false,"suffix":""},{"dropping-particle":"","family":"Yin","given":"Peiyuan","non-dropping-particle":"","parse-names":false,"suffix":""},{"dropping-particle":"","family":"Zeng","given":"Zhongda","non-dropping-particle":"","parse-names":false,"suffix":""},{"dropping-particle":"","family":"Xu","given":"Guowang","non-dropping-particle":"","parse-names":false,"suffix":""}],"container-title":"Analytical Chemistry","id":"ITEM-1","issue":"17","issued":{"date-parts":[["2013"]]},"page":"8326-8333","title":"Pseudotargeted metabolomics method and its application in serum biomarker discovery for hepatocellular carcinoma based on ultra high-performance liquid chromatography/triple quadrupole mass spectrometry","type":"article-journal","volume":"85"},"uris":["http://www.mendeley.com/documents/?uuid=332218bf-734b-3bb6-860b-037631e9d408"]}],"mendeley":{"formattedCitation":"[28]","plainTextFormattedCitation":"[28]","previouslyFormattedCitation":"[28]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[28]</w:t>
            </w:r>
            <w:r w:rsidRPr="00DF6C69">
              <w:rPr>
                <w:rFonts w:cs="Times New Roman"/>
                <w:sz w:val="18"/>
                <w:szCs w:val="18"/>
              </w:rPr>
              <w:fldChar w:fldCharType="end"/>
            </w:r>
            <w:r w:rsidRPr="00DF6C69">
              <w:rPr>
                <w:rFonts w:cs="Times New Roman"/>
                <w:sz w:val="18"/>
                <w:szCs w:val="18"/>
              </w:rPr>
              <w:t xml:space="preserve">, N-acetyl glycoprotein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{"citationItems":[{"id":"ITEM-1","itemData":{"DOI":"10.1016/j.clinbiochem.2012.05.012","ISSN":"00099120","abstract":"Objectives: To develop a noninvasive and accessible diagnostic method for pancreatic cancer (PC). Design and methods: We presented a metabolomic method, pattern recognition techniques applied to 1H nuclear magnetic resonance (1H NMR) spectra, to investigate the plasma metabolites obtained from 19 patients with PC, 20 patients with chronic pancreatitis (CP) and 20 healthy individuals. Results: Metabolic changes associated with PC included abnormal amino acid and lipid metabolism, and possible multiple metabolic syndrome. PC elevated plasma levels of N-acetyl glycoprotein (NAG), dimethylamine (DMA), very low density lipoprotein (VLDL), and acetone, and reduced levels of 3-hydroxybutyrate, lactate, high density lipoprotein (HDL), low density lipoprotein (LDL), citrate, alanine, glutamate, glutamine, histidine, isoleucine, lysine, and valine. These metabolites could be a biomarker group for PC that distinguishes between PC and CP patients and healthy individuals. Conclusions: NMR-based metabonomic strategy appears as a promising approach for distinguishing pancreatic cancer and identifying new strategies for prevention or therapy in the clinical practice. © 2012 The Canadian Society of Clinical Chemists.","author":[{"dropping-particle":"","family":"Zhang","given":"Lin","non-dropping-particle":"","parse-names":false,"suffix":""},{"dropping-particle":"","family":"Jin","given":"Haifeng","non-dropping-particle":"","parse-names":false,"suffix":""},{"dropping-particle":"","family":"Guo","given":"Xuegang","non-dropping-particle":"","parse-names":false,"suffix":""},{"dropping-particle":"","family":"Yang","given":"Zhao","non-dropping-particle":"","parse-names":false,"suffix":""},{"dropping-particle":"","family":"Zhao","given":"Lina","non-dropping-particle":"","parse-names":false,"suffix":""},{"dropping-particle":"","family":"Tang","given":"Shanhong","non-dropping-particle":"","parse-names":false,"suffix":""},{"dropping-particle":"","family":"Mo","given":"Ping","non-dropping-particle":"","parse-names":false,"suffix":""},{"dropping-particle":"","family":"Wu","given":"Kaichun","non-dropping-particle":"","parse-names":false,"suffix":""},{"dropping-particle":"","family":"Nie","given":"Yongzhan","non-dropping-particle":"","parse-names":false,"suffix":""},{"dropping-particle":"","family":"Pan","given":"Yanglin","non-dropping-particle":"","parse-names":false,"suffix":""},{"dropping-particle":"","family":"Fan","given":"Daiming","non-dropping-particle":"","parse-names":false,"suffix":""}],"container-title":"Clinical Biochemistry","id":"ITEM-1","issue":"13-14","issued":{"date-parts":[["2012","9"]]},"page":"1064-1069","title":"Distinguishing pancreatic cancer from chronic pancreatitis and healthy individuals by 1H nuclear magnetic resonance-based metabonomic profiles","type":"article-journal","volume":"45"},"uris":["http://www.mendeley.com/documents/?uuid=fe55e5b2-455b-33ec-96b3-d8f5e0f7513a"]}],"mendeley":{"formattedCitation":"[27]","plainTextFormattedCitation":"[27]","previouslyFormattedCitation":"[27]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[27]</w:t>
            </w:r>
            <w:r w:rsidRPr="00DF6C69">
              <w:rPr>
                <w:rFonts w:cs="Times New Roman"/>
                <w:sz w:val="18"/>
                <w:szCs w:val="18"/>
              </w:rPr>
              <w:fldChar w:fldCharType="end"/>
            </w:r>
            <w:r w:rsidRPr="00DF6C69">
              <w:rPr>
                <w:rFonts w:cs="Times New Roman"/>
                <w:sz w:val="18"/>
                <w:szCs w:val="18"/>
              </w:rPr>
              <w:t>, N-</w:t>
            </w:r>
            <w:proofErr w:type="spellStart"/>
            <w:r w:rsidRPr="00DF6C69">
              <w:rPr>
                <w:rFonts w:cs="Times New Roman"/>
                <w:sz w:val="18"/>
                <w:szCs w:val="18"/>
              </w:rPr>
              <w:t>methylalanine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{"citationItems":[{"id":"ITEM-1","itemData":{"DOI":"10.1002/rcm.4420","ISSN":"09514198","abstract":"Poor outcome of pancreatic cancer necessitates development of an early diagnostic method to reduce mortality. No reliable early diagnostic test for pancreatic cancer detection has been developed and validated to date. In the current study, metabolic profiling of plasma samples from selected cancer patients and noncancerous controls was performed to seek novel metabolic biomarkers of pancreatic cancer. A comprehensive mass spectrometry based analytical platform established at the Metabo-lomics Core of the UC Davis Genome Center allowed detection of multiple compounds previously unreported in plasma from pancreatic cancer patients. It was found that selective amino acids, bile acids, and polar lipids were detected with increased or decreased levels in pancreatic cancer samples compared to controls. These findings on blood plasma levels of the relevant metabolites might be very useful clinical parameters for early diagnosis of pancreatic cancer. © 2010 John Wiley &amp; Sons, Ltd.","author":[{"dropping-particle":"","family":"Urayama","given":"Shiro","non-dropping-particle":"","parse-names":false,"suffix":""},{"dropping-particle":"","family":"Zou","given":"Wei","non-dropping-particle":"","parse-names":false,"suffix":""},{"dropping-particle":"","family":"Brooks","given":"Kindra","non-dropping-particle":"","parse-names":false,"suffix":""},{"dropping-particle":"","family":"Tolstikov","given":"Vladimir","non-dropping-particle":"","parse-names":false,"suffix":""}],"container-title":"Rapid Communications in Mass Spectrometry","id":"ITEM-1","issue":"5","issued":{"date-parts":[["2010","3","15"]]},"page":"613-620","title":"Comprehensive mass spectrometry based metabolic profiling of blood plasma reveals potent discriminatory classifiers of pancreatic cancer","type":"article-journal","volume":"24"},"uris":["http://www.mendeley.com/documents/?uuid=8d91bad6-1063-3b75-8679-1610c6f8709a"]}],"mendeley":{"formattedCitation":"[29]","plainTextFormattedCitation":"[29]","previouslyFormattedCitation":"[29]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[29]</w:t>
            </w:r>
            <w:r w:rsidRPr="00DF6C69">
              <w:rPr>
                <w:rFonts w:cs="Times New Roman"/>
                <w:sz w:val="18"/>
                <w:szCs w:val="18"/>
              </w:rPr>
              <w:fldChar w:fldCharType="end"/>
            </w:r>
            <w:r w:rsidRPr="00DF6C69">
              <w:rPr>
                <w:rFonts w:cs="Times New Roman"/>
                <w:sz w:val="18"/>
                <w:szCs w:val="18"/>
              </w:rPr>
              <w:t xml:space="preserve">, oleoyl carnitine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{"citationItems":[{"id":"ITEM-1","itemData":{"DOI":"10.1007/s11306-012-0476-7","ISSN":"15733882","abstract":"Metabolomics as one of the most rapidly growing technologies in the \"-omics\" field denotes the comprehensive analysis of low molecular-weight compounds and their pathways. Cancer-specific alterations of the metabolome can be detected by high-throughput mass-spectrometric metabolite profiling and serve as a considerable source of new markers for the early differentiation of malignant diseases as well as their distinction from benign states. However, a comprehensive framework for the statistical evaluation of marker panels in a multi-class setting has not yet been established. We collected serum samples of 40 pancreatic carcinoma patients, 40 controls, and 23 pancreatitis patients according to standard protocols and generated amino acid profiles by routine mass-spectrometry. In an intrinsic three-class bioinformatic approach we compared these profiles, evaluated their selectivity and computed multi-marker panels combined with the conventional tumor marker CA 19-9. Additionally, we tested for non-inferiority and superiority to determine the diagnostic surplus value of our multi-metabolite marker panels. Compared to CA 19-9 alone, the combined amino acid-based metabolite panel had a superior selectivity for the discrimination of healthy controls, pancreatitis, and pancreatic carcinoma patients [volume under ROC surface (VUS) = 0.891(95% CI 0:794 - 0:968)] We combined highly standardized samples, a three-class study design, a high-throughput mass-spectrometric technique, and a comprehensive bioinformatic framework to identify metabolite panels selective for all three groups in a single approach. Our results suggest that metabolomic profiling necessitates appropriate evaluation strategies and-despite all its current limitations-can deliver marker panels with high selectivity even in multi-class settings. © 2012 The Author(s).","author":[{"dropping-particle":"","family":"Leichtle","given":"Alexander Benedikt","non-dropping-particle":"","parse-names":false,"suffix":""},{"dropping-particle":"","family":"Ceglarek","given":"Uta","non-dropping-particle":"","parse-names":false,"suffix":""},{"dropping-particle":"","family":"Weinert","given":"Peter","non-dropping-particle":"","parse-names":false,"suffix":""},{"dropping-particle":"","family":"Nakas","given":"Christos T.","non-dropping-particle":"","parse-names":false,"suffix":""},{"dropping-particle":"","family":"Nuoffer","given":"Jean Marc","non-dropping-particle":"","parse-names":false,"suffix":""},{"dropping-particle":"","family":"Kase","given":"Julia","non-dropping-particle":"","parse-names":false,"suffix":""},{"dropping-particle":"","family":"Conrad","given":"Tim","non-dropping-particle":"","parse-names":false,"suffix":""},{"dropping-particle":"","family":"Witzigmann","given":"Helmut","non-dropping-particle":"","parse-names":false,"suffix":""},{"dropping-particle":"","family":"Thiery","given":"Joachim","non-dropping-particle":"","parse-names":false,"suffix":""},{"dropping-particle":"","family":"Fiedler","given":"Georg Martin","non-dropping-particle":"","parse-names":false,"suffix":""}],"container-title":"Metabolomics","id":"ITEM-1","issue":"3","issued":{"date-parts":[["2013","6"]]},"page":"677-687","title":"Pancreatic carcinoma, pancreatitis, and healthy controls: Metabolite models in a three-class diagnostic dilemma","type":"article-journal","volume":"9"},"uris":["http://www.mendeley.com/documents/?uuid=716efd7d-6811-4814-9b77-a480c07ce032"]}],"mendeley":{"formattedCitation":"[3]","plainTextFormattedCitation":"[3]","previouslyFormattedCitation":"[3]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phenanthrenol</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{"citationItems":[{"id":"ITEM-1","itemData":{"DOI":"10.1002/rcm.4420","ISSN":"09514198","abstract":"Poor outcome of pancreatic cancer necessitates development of an early diagnostic method to reduce mortality. No reliable early diagnostic test for pancreatic cancer detection has been developed and validated to date. In the current study, metabolic profiling of plasma samples from selected cancer patients and noncancerous controls was performed to seek novel metabolic biomarkers of pancreatic cancer. A comprehensive mass spectrometry based analytical platform established at the Metabo-lomics Core of the UC Davis Genome Center allowed detection of multiple compounds previously unreported in plasma from pancreatic cancer patients. It was found that selective amino acids, bile acids, and polar lipids were detected with increased or decreased levels in pancreatic cancer samples compared to controls. These findings on blood plasma levels of the relevant metabolites might be very useful clinical parameters for early diagnosis of pancreatic cancer. © 2010 John Wiley &amp; Sons, Ltd.","author":[{"dropping-particle":"","family":"Urayama","given":"Shiro","non-dropping-particle":"","parse-names":false,"suffix":""},{"dropping-particle":"","family":"Zou","given":"Wei","non-dropping-particle":"","parse-names":false,"suffix":""},{"dropping-particle":"","family":"Brooks","given":"Kindra","non-dropping-particle":"","parse-names":false,"suffix":""},{"dropping-particle":"","family":"Tolstikov","given":"Vladimir","non-dropping-particle":"","parse-names":false,"suffix":""}],"container-title":"Rapid Communications in Mass Spectrometry","id":"ITEM-1","issue":"5","issued":{"date-parts":[["2010","3","15"]]},"page":"613-620","title":"Comprehensive mass spectrometry based metabolic profiling of blood plasma reveals potent discriminatory classifiers of pancreatic cancer","type":"article-journal","volume":"24"},"uris":["http://www.mendeley.com/documents/?uuid=8d91bad6-1063-3b75-8679-1610c6f8709a"]}],"mendeley":{"formattedCitation":"[29]","plainTextFormattedCitation":"[29]","previouslyFormattedCitation":"[29]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[29]</w:t>
            </w:r>
            <w:r w:rsidRPr="00DF6C69">
              <w:rPr>
                <w:rFonts w:cs="Times New Roman"/>
                <w:sz w:val="18"/>
                <w:szCs w:val="18"/>
              </w:rPr>
              <w:fldChar w:fldCharType="end"/>
            </w:r>
            <w:r w:rsidRPr="00DF6C69">
              <w:rPr>
                <w:rFonts w:cs="Times New Roman"/>
                <w:sz w:val="18"/>
                <w:szCs w:val="18"/>
              </w:rPr>
              <w:t xml:space="preserve">, phenylalanine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Prevention","id":"ITEM-1","issue":"1","issued":{"date-parts":[["2011"]]},"page":"140-147","title":"Feasibility of identifying pancreatic cancer based on serum metabolomics","type":"article-journal","volume":"20"},"uris":["http://www.mendeley.com/documents/?uuid=a060d321-390f-402d-97cd-f5f6e1b8b0a6"]},{"id":"ITEM-2","itemData":{"DOI":"10.1002/rcm.4420","ISSN":"09514198","abstract":"Poor outcome of pancreatic cancer necessitates development of an early diagnostic method to reduce mortality. No reliable early diagnostic test for pancreatic cancer detection has been developed and validated to date. In the current study, metabolic profiling of plasma samples from selected cancer patients and noncancerous controls was performed to seek novel metabolic biomarkers of pancreatic cancer. A comprehensive mass spectrometry based analytical platform established at the Metabo-lomics Core of the UC Davis Genome Center allowed detection of multiple compounds previously unreported in plasma from pancreatic cancer patients. It was found that selective amino acids, bile acids, and polar lipids were detected with increased or decreased levels in pancreatic cancer samples compared to controls. These findings on blood plasma levels of the relevant metabolites might be very useful clinical parameters for early diagnosis of pancreatic cancer. © 2010 John Wiley &amp; Sons, Ltd.","author":[{"dropping-particle":"","family":"Urayama","given":"Shiro","non-dropping-particle":"","parse-names":false,"suffix":""},{"dropping-particle":"","family":"Zou","given":"Wei","non-dropping-particle":"","parse-names":false,"suffix":""},{"dropping-particle":"","family":"Brooks","given":"Kindra","non-dropping-particle":"","parse-names":false,"suffix":""},{"dropping-particle":"","family":"Tolstikov","given":"Vladimir","non-dropping-particle":"","parse-names":false,"suffix":""}],"container-title":"Rapid Communications in Mass Spectrometry","id":"ITEM-2","issue":"5","issued":{"date-parts":[["2010","3","15"]]},"page":"613-620","title":"Comprehensive mass spectrometry based metabolic profiling of blood plasma reveals potent discriminatory classifiers of pancreatic cancer","type":"article-journal","volume":"24"},"uris":["http://www.mendeley.com/documents/?uuid=8d91bad6-1063-3b75-8679-1610c6f8709a"]}],"mendeley":{"formattedCitation":"[25], [29]","plainTextFormattedCitation":"[25], [29]","previouslyFormattedCitation":"[25], [29]"},"properties":{"noteIndex":0},"schema":"https://github.com/citation-style-language/schema/raw/master/csl-citation.json"}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 [29]</w:t>
            </w:r>
            <w:r w:rsidRPr="00DF6C69">
              <w:rPr>
                <w:rFonts w:cs="Times New Roman"/>
                <w:sz w:val="18"/>
                <w:szCs w:val="18"/>
              </w:rPr>
              <w:fldChar w:fldCharType="end"/>
            </w:r>
            <w:r w:rsidRPr="00DF6C69">
              <w:rPr>
                <w:rFonts w:cs="Times New Roman"/>
                <w:sz w:val="18"/>
                <w:szCs w:val="18"/>
              </w:rPr>
              <w:t xml:space="preserve">, phosphatidylcholine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proline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{"citationItems":[{"id":"ITEM-1","itemData":{"DOI":"10.1158/1055-9965.EPI-10-0712","ISBN":"4035213179","ISSN":"10559965","PMID":"21098649","abstract":"Background: We postulated that the abundance of various metabolites in blood would facilitate the diagnosis of pancreatic and biliary lesions, which could potentially prevent unnecessary surgery. Methods: Serum samples from patients with benign hepatobiliary disease (n = 43) and from patients with pancreatic cancer (n = 56) were examined by 1H NMR spectroscopy to quantify 58 unique metabolites. Data were analyzed by \"targeted profiling\" followed by supervised pattern recognition and orthogonal partial least-squares discriminant analysis (O-PLS-DA) of the most significant metabolites, which enables comparison of the whole sample spectrum between groups. Results: The metabolomic profile of patients with pancreatic cancer was significantly different from that of patients with benign disease (AUROC, area under the ROC curve, = 0.8372). Overt diabetes mellitus (DM) was identified as a possible confounding factor in the pancreatic cancer group. Thus, diabetics were excluded from further analysis. In this more homogeneous pancreatic cancer group, compared with benign cases, serum concentrations of glutamate and glucose were most elevated on multivariate analysis. In benign cases, creatine and glutamine were most abundant. To examine the usefulness of this test, a comparison was made to age- and gender-matched controls with benign lesions that mimic cancer, controlling also for presence of jaundice and diabetes (n = 14 per group). The metabolic profile in patients with pancreatic cancer remained distinguishable from patients with benign pancreatic lesions (AUROC = 0.8308). Conclusions: The serum metabolomic profile may be useful for distinguishing benign from malignant pancreatic lesions. ©2011 American Association for Cancer Research.","author":[{"dropping-particle":"","family":"Bathe","given":"Oliver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dropping-particle":"","family":"O.F.","given":"Bathe","non-dropping-particle":"","parse-names":false,"suffix":""},{"dropping-particle":"","family":"R.","given":"Shaykhutdinov","non-dropping-particle":"","parse-names":false,"suffix":""},{"dropping-particle":"","family":"K.","given":"Kopciuk","non-dropping-particle":"","parse-names":false,"suffix":""},{"dropping-particle":"","family":"A.M.","given":"Weljie","non-dropping-particle":"","parse-names":false,"suffix":""},{"dropping-particle":"","family":"A.","given":"McKay","non-dropping-particle":"","parse-names":false,"suffix":""},{"dropping-particle":"","family":"F.R.","given":"Sutherland","non-dropping-particle":"","parse-names":false,"suffix":""},{"dropping-particle":"","family":"E.","given":"Dixon","non-dropping-particle":"","parse-names":false,"suffix":""},{"dropping-particle":"","family":"N.","given":"Dunse","non-dropping-particle":"","parse-names":false,"suffix":""},{"dropping-particle":"","family":"D.","given":"Sotiropoulos","non-dropping-particle":"","parse-names":false,"suffix":""},{"dropping-particle":"","family":"H.J.","given":"Vogel","non-dropping-particle":"","parse-names":false,"suffix":""},{"dropping-particle":"","family":"Bathe","given":"Oliver F.","non-dropping-particle":"","parse-names":false,"suffix":""},{"dropping-particle":"","family":"Shaykhutdinov","given":"Rustem","non-dropping-particle":"","parse-names":false,"suffix":""},{"dropping-particle":"","family":"Kopciuk","given":"Karen","non-dropping-particle":"","parse-names":false,"suffix":""},{"dropping-particle":"","family":"Weljie","given":"Aalim M.","non-dropping-particle":"","parse-names":false,"suffix":""},{"dropping-particle":"","family":"McKay","given":"Andrew","non-dropping-particle":"","parse-names":false,"suffix":""},{"dropping-particle":"","family":"Sutherland","given":"Francis R.","non-dropping-particle":"","parse-names":false,"suffix":""},{"dropping-particle":"","family":"Dixon","given":"Elijah","non-dropping-particle":"","parse-names":false,"suffix":""},{"dropping-particle":"","family":"Dunse","given":"Nicole","non-dropping-particle":"","parse-names":false,"suffix":""},{"dropping-particle":"","family":"Sotiropoulos","given":"Dina","non-dropping-particle":"","parse-names":false,"suffix":""},{"dropping-particle":"","family":"Vogel","given":"Hans J.","non-dropping-particle":"","parse-names":false,"suffix":""}],"container-title":"Cancer Epidemiology Biomarkers and Prevention","id":"ITEM-1","issue":"1","issued":{"date-parts":[["2011"]]},"page":"140-147","title":"Feasibility of identifying pancreatic cancer based on serum metabolomics","type":"article-journal","volume":"20"},"uris":["http://www.mendeley.com/documents/?uuid=a060d321-390f-402d-97cd-f5f6e1b8b0a6"]}],"mendeley":{"formattedCitation":"[25]","plainTextFormattedCitation":"[25]","previouslyFormattedCitation":"[25]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[25]</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quinaldic</w:t>
            </w:r>
            <w:proofErr w:type="spellEnd"/>
            <w:r w:rsidRPr="00DF6C69">
              <w:rPr>
                <w:rFonts w:cs="Times New Roman"/>
                <w:sz w:val="18"/>
                <w:szCs w:val="18"/>
              </w:rPr>
              <w:t xml:space="preserve">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{"citationItems":[{"id":"ITEM-1","itemData":{"DOI":"10.1021/pr300673x","ISSN":"15353893","abstract":"Although hepatocellular carcinoma (HCC) has been subjected to continuous investigation and its symptoms are well-known, early stage diagnosis of this disease remains difficult and the survival rate after diagnosis is typically very low (3-5%). Early and accurate detection of metabolic changes in the sera of patients with liver cirrhosis can help improve the prognosis of HCC and lead to a better understanding of its mechanism at the molecular level, thus providing patients with in-time treatment of the disease. In this study, we compared metabolite levels in sera of 40 HCC patients and 49 cirrhosis patients from Egypt by using ultraperformance liquid chromatography coupled with quadrupole time-of-flight mass spectrometer (UPLC-QTOF MS). Following data preprocessing, the most relevant ions in distinguishing HCC cases from cirrhotic controls are selected by statistical methods. Putative metabolite identifications for these ions are obtained through mass-based database search. The identities of some of the putative identifications are verified by comparing their MS/MS fragmentation patterns and retention times with those from authentic compounds. Finally, the serum samples are reanalyzed for quantitation of selected metabolites as candidate biomarkers of HCC. This quantitation was performed using isotope dilution by selected reaction monitoring (SRM) on a triple quadrupole linear ion trap (QqQLIT) coupled to UPLC. Statistical analysis of the UPLC-QTOF data identified 274 monoisotopic ion masses with statistically significant differences in ion intensities between HCC cases and cirrhotic controls. Putative identifications were obtained for 158 ions by mass based search against databases. We verified the identities of selected putative identifications including glycholic acid (GCA), glycodeoxycholic acid (GDCA), 3, 6β-dihydroxy-5β-cholan-24-oic acid, oleoyl carnitine, and Phe-Phe. SRM-based quantitation confirmed significant differences between HCC and cirrhotic controls in metabolite levels of bile acid metabolites, long chain carnitines and small peptide. Our study provides useful insight into appropriate experimental design and computational methods for serum biomarker discovery using LC-MS/MS based metabolomics. This study has led to the identification of candidate biomarkers with significant changes in metabolite levels between HCC cases and cirrhotic controls. This is the first MS-based metabolic biomarker discovery study on Egyptian subjects that led t…","author":[{"dropping-particle":"","family":"Xiao","given":"Jun Feng","non-dropping-particle":"","parse-names":false,"suffix":""},{"dropping-particle":"","family":"Varghese","given":"Rency S.","non-dropping-particle":"","parse-names":false,"suffix":""},{"dropping-particle":"","family":"Zhou","given":"Bin","non-dropping-particle":"","parse-names":false,"suffix":""},{"dropping-particle":"","family":"Nezami Ranjbar","given":"Mohammad R.","non-dropping-particle":"","parse-names":false,"suffix":""},{"dropping-particle":"","family":"Zhao","given":"Yi","non-dropping-particle":"","parse-names":false,"suffix":""},{"dropping-particle":"","family":"Tsai","given":"Tsung Heng","non-dropping-particle":"","parse-names":false,"suffix":""},{"dropping-particle":"","family":"Poto","given":"Cristina","non-dropping-particle":"Di","parse-names":false,"suffix":""},{"dropping-particle":"","family":"Wang","given":"Jinlian","non-dropping-particle":"","parse-names":false,"suffix":""},{"dropping-particle":"","family":"Goerlitz","given":"David","non-dropping-particle":"","parse-names":false,"suffix":""},{"dropping-particle":"","family":"Luo","given":"Yue","non-dropping-particle":"","parse-names":false,"suffix":""},{"dropping-particle":"","family":"Cheema","given":"Amrita K.","non-dropping-particle":"","parse-names":false,"suffix":""},{"dropping-particle":"","family":"Sarhan","given":"Naglaa","non-dropping-particle":"","parse-names":false,"suffix":""},{"dropping-particle":"","family":"Soliman","given":"Hanan","non-dropping-particle":"","parse-names":false,"suffix":""},{"dropping-particle":"","family":"Tadesse","given":"Mahlet G.","non-dropping-particle":"","parse-names":false,"suffix":""},{"dropping-particle":"","family":"Ziada","given":"Dina Hazem","non-dropping-particle":"","parse-names":false,"suffix":""},{"dropping-particle":"","family":"Ressom","given":"Habtom W.","non-dropping-particle":"","parse-names":false,"suffix":""}],"container-title":"Journal of Proteome Research","id":"ITEM-1","issue":"12","issued":{"date-parts":[["2012","12","7"]]},"page":"5914-5923","title":"LC-MS based serum metabolomics for identification of hepatocellular carcinoma biomarkers in Egyptian cohort","type":"article-journal","volume":"11"},"uris":["http://www.mendeley.com/documents/?uuid=a8ddf598-ddbf-3fe4-af80-1834e40dfea6"]}],"mendeley":{"formattedCitation":"[30]","plainTextFormattedCitation":"[30]","previouslyFormattedCitation":"[30]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[30]</w:t>
            </w:r>
            <w:r w:rsidRPr="00DF6C69">
              <w:rPr>
                <w:rFonts w:cs="Times New Roman"/>
                <w:sz w:val="18"/>
                <w:szCs w:val="18"/>
              </w:rPr>
              <w:fldChar w:fldCharType="end"/>
            </w:r>
            <w:r w:rsidRPr="00DF6C69">
              <w:rPr>
                <w:rFonts w:cs="Times New Roman"/>
                <w:sz w:val="18"/>
                <w:szCs w:val="18"/>
              </w:rPr>
              <w:t xml:space="preserve">, sitosterol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{"citationItems":[{"id":"ITEM-1","itemData":{"DOI":"10.1021/pr300673x","ISSN":"15353893","abstract":"Although hepatocellular carcinoma (HCC) has been subjected to continuous investigation and its symptoms are well-known, early stage diagnosis of this disease remains difficult and the survival rate after diagnosis is typically very low (3-5%). Early and accurate detection of metabolic changes in the sera of patients with liver cirrhosis can help improve the prognosis of HCC and lead to a better understanding of its mechanism at the molecular level, thus providing patients with in-time treatment of the disease. In this study, we compared metabolite levels in sera of 40 HCC patients and 49 cirrhosis patients from Egypt by using ultraperformance liquid chromatography coupled with quadrupole time-of-flight mass spectrometer (UPLC-QTOF MS). Following data preprocessing, the most relevant ions in distinguishing HCC cases from cirrhotic controls are selected by statistical methods. Putative metabolite identifications for these ions are obtained through mass-based database search. The identities of some of the putative identifications are verified by comparing their MS/MS fragmentation patterns and retention times with those from authentic compounds. Finally, the serum samples are reanalyzed for quantitation of selected metabolites as candidate biomarkers of HCC. This quantitation was performed using isotope dilution by selected reaction monitoring (SRM) on a triple quadrupole linear ion trap (QqQLIT) coupled to UPLC. Statistical analysis of the UPLC-QTOF data identified 274 monoisotopic ion masses with statistically significant differences in ion intensities between HCC cases and cirrhotic controls. Putative identifications were obtained for 158 ions by mass based search against databases. We verified the identities of selected putative identifications including glycholic acid (GCA), glycodeoxycholic acid (GDCA), 3, 6β-dihydroxy-5β-cholan-24-oic acid, oleoyl carnitine, and Phe-Phe. SRM-based quantitation confirmed significant differences between HCC and cirrhotic controls in metabolite levels of bile acid metabolites, long chain carnitines and small peptide. Our study provides useful insight into appropriate experimental design and computational methods for serum biomarker discovery using LC-MS/MS based metabolomics. This study has led to the identification of candidate biomarkers with significant changes in metabolite levels between HCC cases and cirrhotic controls. This is the first MS-based metabolic biomarker discovery study on Egyptian subjects that led t…","author":[{"dropping-particle":"","family":"Xiao","given":"Jun Feng","non-dropping-particle":"","parse-names":false,"suffix":""},{"dropping-particle":"","family":"Varghese","given":"Rency S.","non-dropping-particle":"","parse-names":false,"suffix":""},{"dropping-particle":"","family":"Zhou","given":"Bin","non-dropping-particle":"","parse-names":false,"suffix":""},{"dropping-particle":"","family":"Nezami Ranjbar","given":"Mohammad R.","non-dropping-particle":"","parse-names":false,"suffix":""},{"dropping-particle":"","family":"Zhao","given":"Yi","non-dropping-particle":"","parse-names":false,"suffix":""},{"dropping-particle":"","family":"Tsai","given":"Tsung Heng","non-dropping-particle":"","parse-names":false,"suffix":""},{"dropping-particle":"","family":"Poto","given":"Cristina","non-dropping-particle":"Di","parse-names":false,"suffix":""},{"dropping-particle":"","family":"Wang","given":"Jinlian","non-dropping-particle":"","parse-names":false,"suffix":""},{"dropping-particle":"","family":"Goerlitz","given":"David","non-dropping-particle":"","parse-names":false,"suffix":""},{"dropping-particle":"","family":"Luo","given":"Yue","non-dropping-particle":"","parse-names":false,"suffix":""},{"dropping-particle":"","family":"Cheema","given":"Amrita K.","non-dropping-particle":"","parse-names":false,"suffix":""},{"dropping-particle":"","family":"Sarhan","given":"Naglaa","non-dropping-particle":"","parse-names":false,"suffix":""},{"dropping-particle":"","family":"Soliman","given":"Hanan","non-dropping-particle":"","parse-names":false,"suffix":""},{"dropping-particle":"","family":"Tadesse","given":"Mahlet G.","non-dropping-particle":"","parse-names":false,"suffix":""},{"dropping-particle":"","family":"Ziada","given":"Dina Hazem","non-dropping-particle":"","parse-names":false,"suffix":""},{"dropping-particle":"","family":"Ressom","given":"Habtom W.","non-dropping-particle":"","parse-names":false,"suffix":""}],"container-title":"Journal of Proteome Research","id":"ITEM-1","issue":"12","issued":{"date-parts":[["2012","12","7"]]},"page":"5914-5923","title":"LC-MS based serum metabolomics for identification of hepatocellular carcinoma biomarkers in Egyptian cohort","type":"article-journal","volume":"11"},"uris":["http://www.mendeley.com/documents/?uuid=a8ddf598-ddbf-3fe4-af80-1834e40dfea6"]}],"mendeley":{"formattedCitation":"[30]","plainTextFormattedCitation":"[30]","previouslyFormattedCitation":"[30]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[30]</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tauro</w:t>
            </w:r>
            <w:proofErr w:type="spellEnd"/>
            <w:r w:rsidRPr="00DF6C69">
              <w:rPr>
                <w:rFonts w:cs="Times New Roman"/>
                <w:sz w:val="18"/>
                <w:szCs w:val="18"/>
              </w:rPr>
              <w:t>(</w:t>
            </w:r>
            <w:proofErr w:type="spellStart"/>
            <w:r w:rsidRPr="00DF6C69">
              <w:rPr>
                <w:rFonts w:cs="Times New Roman"/>
                <w:sz w:val="18"/>
                <w:szCs w:val="18"/>
              </w:rPr>
              <w:t>ursodeoxy</w:t>
            </w:r>
            <w:proofErr w:type="spellEnd"/>
            <w:r w:rsidRPr="00DF6C69">
              <w:rPr>
                <w:rFonts w:cs="Times New Roman"/>
                <w:sz w:val="18"/>
                <w:szCs w:val="18"/>
              </w:rPr>
              <w:t xml:space="preserve">)cholic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{"citationItems":[{"id":"ITEM-1","itemData":{"DOI":"10.1002/rcm.4420","ISSN":"09514198","abstract":"Poor outcome of pancreatic cancer necessitates development of an early diagnostic method to reduce mortality. No reliable early diagnostic test for pancreatic cancer detection has been developed and validated to date. In the current study, metabolic profiling of plasma samples from selected cancer patients and noncancerous controls was performed to seek novel metabolic biomarkers of pancreatic cancer. A comprehensive mass spectrometry based analytical platform established at the Metabo-lomics Core of the UC Davis Genome Center allowed detection of multiple compounds previously unreported in plasma from pancreatic cancer patients. It was found that selective amino acids, bile acids, and polar lipids were detected with increased or decreased levels in pancreatic cancer samples compared to controls. These findings on blood plasma levels of the relevant metabolites might be very useful clinical parameters for early diagnosis of pancreatic cancer. © 2010 John Wiley &amp; Sons, Ltd.","author":[{"dropping-particle":"","family":"Urayama","given":"Shiro","non-dropping-particle":"","parse-names":false,"suffix":""},{"dropping-particle":"","family":"Zou","given":"Wei","non-dropping-particle":"","parse-names":false,"suffix":""},{"dropping-particle":"","family":"Brooks","given":"Kindra","non-dropping-particle":"","parse-names":false,"suffix":""},{"dropping-particle":"","family":"Tolstikov","given":"Vladimir","non-dropping-particle":"","parse-names":false,"suffix":""}],"container-title":"Rapid Communications in Mass Spectrometry","id":"ITEM-1","issue":"5","issued":{"date-parts":[["2010","3","15"]]},"page":"613-620","title":"Comprehensive mass spectrometry based metabolic profiling of blood plasma reveals potent discriminatory classifiers of pancreatic cancer","type":"article-journal","volume":"24"},"uris":["http://www.mendeley.com/documents/?uuid=8d91bad6-1063-3b75-8679-1610c6f8709a"]}],"mendeley":{"formattedCitation":"[29]","plainTextFormattedCitation":"[29]","previouslyFormattedCitation":"[29]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[29]</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tetradecanal</w:t>
            </w:r>
            <w:proofErr w:type="spellEnd"/>
            <w:r w:rsidRPr="00DF6C69">
              <w:rPr>
                <w:rFonts w:cs="Times New Roman"/>
                <w:sz w:val="18"/>
                <w:szCs w:val="18"/>
              </w:rPr>
              <w:t xml:space="preserve"> oleamide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{"citationItems":[{"id":"ITEM-1","itemData":{"DOI":"10.1021/pr300673x","ISSN":"15353893","abstract":"Although hepatocellular carcinoma (HCC) has been subjected to continuous investigation and its symptoms are well-known, early stage diagnosis of this disease remains difficult and the survival rate after diagnosis is typically very low (3-5%). Early and accurate detection of metabolic changes in the sera of patients with liver cirrhosis can help improve the prognosis of HCC and lead to a better understanding of its mechanism at the molecular level, thus providing patients with in-time treatment of the disease. In this study, we compared metabolite levels in sera of 40 HCC patients and 49 cirrhosis patients from Egypt by using ultraperformance liquid chromatography coupled with quadrupole time-of-flight mass spectrometer (UPLC-QTOF MS). Following data preprocessing, the most relevant ions in distinguishing HCC cases from cirrhotic controls are selected by statistical methods. Putative metabolite identifications for these ions are obtained through mass-based database search. The identities of some of the putative identifications are verified by comparing their MS/MS fragmentation patterns and retention times with those from authentic compounds. Finally, the serum samples are reanalyzed for quantitation of selected metabolites as candidate biomarkers of HCC. This quantitation was performed using isotope dilution by selected reaction monitoring (SRM) on a triple quadrupole linear ion trap (QqQLIT) coupled to UPLC. Statistical analysis of the UPLC-QTOF data identified 274 monoisotopic ion masses with statistically significant differences in ion intensities between HCC cases and cirrhotic controls. Putative identifications were obtained for 158 ions by mass based search against databases. We verified the identities of selected putative identifications including glycholic acid (GCA), glycodeoxycholic acid (GDCA), 3, 6β-dihydroxy-5β-cholan-24-oic acid, oleoyl carnitine, and Phe-Phe. SRM-based quantitation confirmed significant differences between HCC and cirrhotic controls in metabolite levels of bile acid metabolites, long chain carnitines and small peptide. Our study provides useful insight into appropriate experimental design and computational methods for serum biomarker discovery using LC-MS/MS based metabolomics. This study has led to the identification of candidate biomarkers with significant changes in metabolite levels between HCC cases and cirrhotic controls. This is the first MS-based metabolic biomarker discovery study on Egyptian subjects that led t…","author":[{"dropping-particle":"","family":"Xiao","given":"Jun Feng","non-dropping-particle":"","parse-names":false,"suffix":""},{"dropping-particle":"","family":"Varghese","given":"Rency S.","non-dropping-particle":"","parse-names":false,"suffix":""},{"dropping-particle":"","family":"Zhou","given":"Bin","non-dropping-particle":"","parse-names":false,"suffix":""},{"dropping-particle":"","family":"Nezami Ranjbar","given":"Mohammad R.","non-dropping-particle":"","parse-names":false,"suffix":""},{"dropping-particle":"","family":"Zhao","given":"Yi","non-dropping-particle":"","parse-names":false,"suffix":""},{"dropping-particle":"","family":"Tsai","given":"Tsung Heng","non-dropping-particle":"","parse-names":false,"suffix":""},{"dropping-particle":"","family":"Poto","given":"Cristina","non-dropping-particle":"Di","parse-names":false,"suffix":""},{"dropping-particle":"","family":"Wang","given":"Jinlian","non-dropping-particle":"","parse-names":false,"suffix":""},{"dropping-particle":"","family":"Goerlitz","given":"David","non-dropping-particle":"","parse-names":false,"suffix":""},{"dropping-particle":"","family":"Luo","given":"Yue","non-dropping-particle":"","parse-names":false,"suffix":""},{"dropping-particle":"","family":"Cheema","given":"Amrita K.","non-dropping-particle":"","parse-names":false,"suffix":""},{"dropping-particle":"","family":"Sarhan","given":"Naglaa","non-dropping-particle":"","parse-names":false,"suffix":""},{"dropping-particle":"","family":"Soliman","given":"Hanan","non-dropping-particle":"","parse-names":false,"suffix":""},{"dropping-particle":"","family":"Tadesse","given":"Mahlet G.","non-dropping-particle":"","parse-names":false,"suffix":""},{"dropping-particle":"","family":"Ziada","given":"Dina Hazem","non-dropping-particle":"","parse-names":false,"suffix":""},{"dropping-particle":"","family":"Ressom","given":"Habtom W.","non-dropping-particle":"","parse-names":false,"suffix":""}],"container-title":"Journal of Proteome Research","id":"ITEM-1","issue":"12","issued":{"date-parts":[["2012","12","7"]]},"page":"5914-5923","title":"LC-MS based serum metabolomics for identification of hepatocellular carcinoma biomarkers in Egyptian cohort","type":"article-journal","volume":"11"},"uris":["http://www.mendeley.com/documents/?uuid=a8ddf598-ddbf-3fe4-af80-1834e40dfea6"]}],"mendeley":{"formattedCitation":"[30]","plainTextFormattedCitation":"[30]","previouslyFormattedCitation":"[30]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[30]</w:t>
            </w:r>
            <w:r w:rsidRPr="00DF6C69">
              <w:rPr>
                <w:rFonts w:cs="Times New Roman"/>
                <w:sz w:val="18"/>
                <w:szCs w:val="18"/>
              </w:rPr>
              <w:fldChar w:fldCharType="end"/>
            </w:r>
            <w:r w:rsidRPr="00DF6C69">
              <w:rPr>
                <w:rFonts w:cs="Times New Roman"/>
                <w:sz w:val="18"/>
                <w:szCs w:val="18"/>
              </w:rPr>
              <w:t xml:space="preserve">, triglycerides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{"citationItems":[{"id":"ITEM-1","itemData":{"DOI":"10.1007/s12010-011-9240-0","ISSN":"15590291","abstract":"Pancreatic cancer is a malignant tumor with the worst prognosis among all cancers. At the time of diagnosis, surgical cure is no longer a feasible option for most patients, thus early detection of pancreatic cancer is crucial for its treatment. Metabolomics is a powerful new analytical approach to detect the metabolome of cells, tissue, or biofluids. Here, we report the application of 1 H nuclear magnetic resonance (NMR) combined with principal components analysis to discriminate pancreatic cancer patients from healthy controls based on metabolomic profiling of the serum. The metabolic analysis revealed significant lower of 3-hydroxybutyrate, 3-hydroxyisovalerate, lactate, and trimethylamine- N-oxide as well as significant higher level of isoleucine, triglyceride, leucine, and creatinine in the serum from pancreatic cancer patients compared to that of healthy controls. Our data demonstrate that the subtle differences in metabolite profiles in serum of pancreatic cancer patients and that of healthy subjects as a result of physiological and pathological variations could be identified by NMR-based metabolomics and exploited as metabolic markers for the early detection of pancreatic cancer. © Springer Science+Business Media, LLC 2011.","author":[{"dropping-particle":"","family":"Yang","given":"Dong Ou","non-dropping-particle":"","parse-names":false,"suffix":""},{"dropping-particle":"","family":"Xu","given":"Jingjing","non-dropping-particle":"","parse-names":false,"suffix":""},{"dropping-particle":"","family":"Huang","given":"Heguang","non-dropping-particle":"","parse-names":false,"suffix":""},{"dropping-particle":"","family":"Chen","given":"Zhong","non-dropping-particle":"","parse-names":false,"suffix":""}],"container-title":"Applied Biochemistry and Biotechnology","id":"ITEM-1","issue":"1","issued":{"date-parts":[["2011"]]},"page":"148-154","publisher":"Humana Press Inc.","title":"Metabolomic profiling of serum from human pancreatic cancer patients Using 1 H NMR spectroscopy and principal component analysis","type":"article-journal","volume":"165"},"uris":["http://www.mendeley.com/documents/?uuid=f27f1ced-f5b6-3b61-aadc-b9b679f09cf4"]}],"mendeley":{"formattedCitation":"[26]","plainTextFormattedCitation":"[26]","previouslyFormattedCitation":"[26]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[26]</w:t>
            </w:r>
            <w:r w:rsidRPr="00DF6C69">
              <w:rPr>
                <w:rFonts w:cs="Times New Roman"/>
                <w:sz w:val="18"/>
                <w:szCs w:val="18"/>
              </w:rPr>
              <w:fldChar w:fldCharType="end"/>
            </w:r>
            <w:r w:rsidRPr="00DF6C69">
              <w:rPr>
                <w:rFonts w:cs="Times New Roman"/>
                <w:sz w:val="18"/>
                <w:szCs w:val="18"/>
              </w:rPr>
              <w:t xml:space="preserve">, trimethylamine-N-Oxide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{"citationItems":[{"id":"ITEM-1","itemData":{"DOI":"10.1007/s12010-011-9240-0","ISSN":"15590291","abstract":"Pancreatic cancer is a malignant tumor with the worst prognosis among all cancers. At the time of diagnosis, surgical cure is no longer a feasible option for most patients, thus early detection of pancreatic cancer is crucial for its treatment. Metabolomics is a powerful new analytical approach to detect the metabolome of cells, tissue, or biofluids. Here, we report the application of 1 H nuclear magnetic resonance (NMR) combined with principal components analysis to discriminate pancreatic cancer patients from healthy controls based on metabolomic profiling of the serum. The metabolic analysis revealed significant lower of 3-hydroxybutyrate, 3-hydroxyisovalerate, lactate, and trimethylamine- N-oxide as well as significant higher level of isoleucine, triglyceride, leucine, and creatinine in the serum from pancreatic cancer patients compared to that of healthy controls. Our data demonstrate that the subtle differences in metabolite profiles in serum of pancreatic cancer patients and that of healthy subjects as a result of physiological and pathological variations could be identified by NMR-based metabolomics and exploited as metabolic markers for the early detection of pancreatic cancer. © Springer Science+Business Media, LLC 2011.","author":[{"dropping-particle":"","family":"Yang","given":"Dong Ou","non-dropping-particle":"","parse-names":false,"suffix":""},{"dropping-particle":"","family":"Xu","given":"Jingjing","non-dropping-particle":"","parse-names":false,"suffix":""},{"dropping-particle":"","family":"Huang","given":"Heguang","non-dropping-particle":"","parse-names":false,"suffix":""},{"dropping-particle":"","family":"Chen","given":"Zhong","non-dropping-particle":"","parse-names":false,"suffix":""}],"container-title":"Applied Biochemistry and Biotechnology","id":"ITEM-1","issue":"1","issued":{"date-parts":[["2011"]]},"page":"148-154","publisher":"Humana Press Inc.","title":"Metabolomic profiling of serum from human pancreatic cancer patients Using 1 H NMR spectroscopy and principal component analysis","type":"article-journal","volume":"165"},"uris":["http://www.mendeley.com/documents/?uuid=f27f1ced-f5b6-3b61-aadc-b9b679f09cf4"]}],"mendeley":{"formattedCitation":"[26]","plainTextFormattedCitation":"[26]","previouslyFormattedCitation":"[26]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[26]</w:t>
            </w:r>
            <w:r w:rsidRPr="00DF6C69">
              <w:rPr>
                <w:rFonts w:cs="Times New Roman"/>
                <w:sz w:val="18"/>
                <w:szCs w:val="18"/>
              </w:rPr>
              <w:fldChar w:fldCharType="end"/>
            </w:r>
            <w:r w:rsidRPr="00DF6C69">
              <w:rPr>
                <w:rFonts w:cs="Times New Roman"/>
                <w:sz w:val="18"/>
                <w:szCs w:val="18"/>
              </w:rPr>
              <w:t xml:space="preserve">, tyrosine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{"citationItems":[{"id":"ITEM-1","itemData":{"DOI":"10.1002/rcm.4420","ISSN":"09514198","abstract":"Poor outcome of pancreatic cancer necessitates development of an early diagnostic method to reduce mortality. No reliable early diagnostic test for pancreatic cancer detection has been developed and validated to date. In the current study, metabolic profiling of plasma samples from selected cancer patients and noncancerous controls was performed to seek novel metabolic biomarkers of pancreatic cancer. A comprehensive mass spectrometry based analytical platform established at the Metabo-lomics Core of the UC Davis Genome Center allowed detection of multiple compounds previously unreported in plasma from pancreatic cancer patients. It was found that selective amino acids, bile acids, and polar lipids were detected with increased or decreased levels in pancreatic cancer samples compared to controls. These findings on blood plasma levels of the relevant metabolites might be very useful clinical parameters for early diagnosis of pancreatic cancer. © 2010 John Wiley &amp; Sons, Ltd.","author":[{"dropping-particle":"","family":"Urayama","given":"Shiro","non-dropping-particle":"","parse-names":false,"suffix":""},{"dropping-particle":"","family":"Zou","given":"Wei","non-dropping-particle":"","parse-names":false,"suffix":""},{"dropping-particle":"","family":"Brooks","given":"Kindra","non-dropping-particle":"","parse-names":false,"suffix":""},{"dropping-particle":"","family":"Tolstikov","given":"Vladimir","non-dropping-particle":"","parse-names":false,"suffix":""}],"container-title":"Rapid Communications in Mass Spectrometry","id":"ITEM-1","issue":"5","issued":{"date-parts":[["2010","3","15"]]},"page":"613-620","title":"Comprehensive mass spectrometry based metabolic profiling of blood plasma reveals potent discriminatory classifiers of pancreatic cancer","type":"article-journal","volume":"24"},"uris":["http://www.mendeley.com/documents/?uuid=8d91bad6-1063-3b75-8679-1610c6f8709a"]}],"mendeley":{"formattedCitation":"[29]","plainTextFormattedCitation":"[29]","previouslyFormattedCitation":"[29]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[29]</w:t>
            </w:r>
            <w:r w:rsidRPr="00DF6C69">
              <w:rPr>
                <w:rFonts w:cs="Times New Roman"/>
                <w:sz w:val="18"/>
                <w:szCs w:val="18"/>
              </w:rPr>
              <w:fldChar w:fldCharType="end"/>
            </w:r>
          </w:p>
        </w:tc>
      </w:tr>
      <w:tr w:rsidR="00521E89" w:rsidRPr="00DF6C69" w14:paraId="12260D57" w14:textId="77777777" w:rsidTr="000765CF">
        <w:trPr>
          <w:trHeight w:val="658"/>
        </w:trPr>
        <w:tc>
          <w:tcPr>
            <w:tcW w:w="1418" w:type="dxa"/>
            <w:vMerge/>
            <w:shd w:val="clear" w:color="auto" w:fill="FFF2CC" w:themeFill="accent4" w:themeFillTint="33"/>
            <w:vAlign w:val="center"/>
          </w:tcPr>
          <w:p w14:paraId="1861FA78" w14:textId="77777777" w:rsidR="00521E89" w:rsidRPr="00DF6C69" w:rsidRDefault="00521E89" w:rsidP="000765CF">
            <w:pPr>
              <w:rPr>
                <w:rFonts w:cs="Times New Roman"/>
                <w:sz w:val="18"/>
                <w:szCs w:val="18"/>
              </w:rPr>
            </w:pPr>
          </w:p>
        </w:tc>
        <w:tc>
          <w:tcPr>
            <w:tcW w:w="993" w:type="dxa"/>
            <w:vAlign w:val="center"/>
          </w:tcPr>
          <w:p w14:paraId="01D29CF2" w14:textId="77777777" w:rsidR="00521E89" w:rsidRPr="00DF6C69" w:rsidRDefault="00521E89" w:rsidP="000765CF">
            <w:pPr>
              <w:rPr>
                <w:rFonts w:cs="Times New Roman"/>
                <w:sz w:val="18"/>
                <w:szCs w:val="18"/>
              </w:rPr>
            </w:pPr>
            <w:r w:rsidRPr="00DF6C69">
              <w:rPr>
                <w:rFonts w:cs="Times New Roman"/>
                <w:sz w:val="18"/>
                <w:szCs w:val="18"/>
              </w:rPr>
              <w:t>Tissue**</w:t>
            </w:r>
          </w:p>
        </w:tc>
        <w:tc>
          <w:tcPr>
            <w:tcW w:w="6945" w:type="dxa"/>
            <w:vAlign w:val="center"/>
          </w:tcPr>
          <w:p w14:paraId="07DBB11B" w14:textId="4960612B" w:rsidR="00521E89" w:rsidRPr="00DF6C69" w:rsidRDefault="00521E89" w:rsidP="000765CF">
            <w:pPr>
              <w:rPr>
                <w:rFonts w:cs="Times New Roman"/>
                <w:sz w:val="18"/>
                <w:szCs w:val="18"/>
              </w:rPr>
            </w:pPr>
            <w:r w:rsidRPr="00DF6C69">
              <w:rPr>
                <w:rFonts w:cs="Times New Roman"/>
                <w:sz w:val="18"/>
                <w:szCs w:val="18"/>
              </w:rPr>
              <w:t xml:space="preserve">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{"citationItems":[{"id":"ITEM-1","itemData":{"DOI":"10.1186/1476-4598-12-25","abstract":"Background: The biomarker identification of human esophageal cancer is critical for its early diagnosis and therapeutic approaches that will significantly improve patient survival. Specially, those that involves in progression of disease would be helpful to mechanism research.Methods: In the present study, we investigated the distinguishing metabolites in human esophageal cancer tissues (n = 89) and normal esophageal mucosae (n = 26) using a 1H nuclear magnetic resonance (1H-NMR) based assay, which is a highly sensitive and non-destructive method for biomarker identification in biological systems. Principal component analysis (PCA), partial least squares-discriminant analysis (PLS-DA) and orthogonal partial least-squares-discriminant anlaysis (OPLS-DA) were applied to analyse 1H-NMR profiling data to identify potential biomarkers.Results: The constructed OPLS-DA model achieved an excellent separation of the esophageal cancer tissues and normal mucosae. Excellent separation was obtained between the different stages of esophageal cancer tissues (stage II = 28; stage III = 45 and stage IV = 16) and normal mucosae. A total of 45 metabolites were identified, and 12 of them were closely correlated with the stage of esophageal cancer. The downregulation of glucose, AMP and NAD, upregulation of formate indicated the large energy requirement due to accelerated cell proliferation in esophageal cancer. The increases in acetate, short-chain fatty acid and GABA in esophageal cancer tissue revealed the activation of fatty acids metabolism, which could satisfy the need for cellular membrane formation. Other modified metabolites were involved in choline metabolic pathway, including creatinine, creatine, DMG, DMA and TMA. These 12 metabolites, which are involved in energy, fatty acids and choline metabolism, may be associated with the progression of human esophageal cancer.Conclusion: Our findings firstly identify the distinguishing metabolites in different stages of esophageal cancer tissues, indicating the attribution of metabolites disturbance to the progression of esophageal cancer. The potential biomarkers provide a promising molecular diagnostic approach for clinical diagnosis of human esophageal cancer and a new direction for the mechanism study. © 2013 Wang et al.; licensee BioMed Central Ltd.","author":[{"dropping-particle":"","family":"Wang","given":"Liang","non-dropping-particle":"","parse-names":false,"suffix":""},{"dropping-particle":"","family":"Chen","given":"Jie","non-dropping-particle":"","parse-names":false,"suffix":""},{"dropping-particle":"","family":"Chen","given":"Longqi","non-dropping-particle":"","parse-names":false,"suffix":""},{"dropping-particle":"","family":"Deng","given":"Pengchi","non-dropping-particle":"","parse-names":false,"suffix":""},{"dropping-particle":"","family":"bu","given":"Qian","non-dropping-particle":"","parse-names":false,"suffix":""},{"dropping-particle":"","family":"Xiang","given":"Pu","non-dropping-particle":"","parse-names":false,"suffix":""},{"dropping-particle":"","family":"Li","given":"Manli","non-dropping-particle":"","parse-names":false,"suffix":""},{"dropping-particle":"","family":"Lu","given":"Wenjie","non-dropping-particle":"","parse-names":false,"suffix":""},{"dropping-particle":"","family":"Xu","given":"Youzhi","non-dropping-particle":"","parse-names":false,"suffix":""},{"dropping-particle":"","family":"Lin","given":"Hongjun","non-dropping-particle":"","parse-names":false,"suffix":""},{"dropping-particle":"","family":"Wu","given":"Tianming","non-dropping-particle":"","parse-names":false,"suffix":""},{"dropping-particle":"","family":"Wang","given":"Huijuan","non-dropping-particle":"","parse-names":false,"suffix":""},{"dropping-particle":"","family":"Hu","given":"Jing","non-dropping-particle":"","parse-names":false,"suffix":""},{"dropping-particle":"","family":"Shao","given":"Xiaoni","non-dropping-particle":"","parse-names":false,"suffix":""},{"dropping-particle":"","family":"Cen","given":"Xiaobo","non-dropping-particle":"","parse-names":false,"suffix":""},{"dropping-particle":"","family":"Zhao","given":"Ying-Lan Lan","non-dropping-particle":"","parse-names":false,"suffix":""}],"container-title":"Molecular Cancer","id":"ITEM-1","issue":"1","issued":{"date-parts":[["2013","4","4"]]},"page":"25","title":"1H-NMR based metabonomic profiling of human esophageal cancer tissue","type":"article-journal","volume":"12"},"uris":["http://www.mendeley.com/documents/?uuid=bcc64550-7d67-45d2-b87c-46ffeecd32f4"]}],"mendeley":{"formattedCitation":"[4]","plainTextFormattedCitation":"[4]","previouslyFormattedCitation":"[4]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w:t>
            </w:r>
            <w:r w:rsidRPr="00DF6C69">
              <w:rPr>
                <w:rFonts w:cs="Times New Roman"/>
                <w:sz w:val="18"/>
                <w:szCs w:val="18"/>
              </w:rPr>
              <w:fldChar w:fldCharType="end"/>
            </w:r>
            <w:r w:rsidRPr="00DF6C69">
              <w:rPr>
                <w:rFonts w:cs="Times New Roman"/>
                <w:sz w:val="18"/>
                <w:szCs w:val="18"/>
              </w:rPr>
              <w:t xml:space="preserve">, arachidonic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{"citationItems":[{"id":"ITEM-1","itemData":{"DOI":"10.1016/j.biocel.2012.06.025","ISSN":"13572725","abstract":"A better understanding of molecular pathways involved in malignant transformation of head and neck squamous cell carcinoma (HNSCC) is essential for the development of novel and efficient anti-cancer drugs. To delineate the global metabolism of HNSCC, we report 1H NMR-based metabolic profiling of HNSCC cells from five different patients that were derived from various sites of the upper aerodigestive tract, including the floor of mouth, tongue and larynx. Primary cultures of normal human oral keratinocytes (NHOK) from three different donors were used for comparison. 1H NMR spectra of polar and non-polar extracts of cells were used to identify more than thirty-five metabolites. Principal component analysis performed on the NMR data revealed a clear classification of NHOK and HNSCC cells. HNSCC cells exhibited significantly altered levels of various metabolites that clearly revealed dysregulation in multiple metabolic events, including Warburg effect, oxidative phosphorylation, energy metabolism, TCA cycle anaplerotic flux, glutaminolysis, hexosamine pathway, osmo-regulatory and anti-oxidant mechanism. In addition, significant alterations in the ratios of phosphatidylcholine/ lysophosphatidylcholine and phosphocholine/glycerophosphocholine, and elevated arachidonic acid observed in HNSCC cells reveal an altered membrane choline phospholipid metabolism (MCPM). Furthermore, significantly increased activity of phospholipase A2 (PLA2), particularly cytosolic PLA 2 (cPLA2) observed in all the HNSCC cells confirm an altered MCPM. In summary, the metabolomic findings presented here can be useful to further elucidate the biological aspects that lead to HNSCC, and also provide a rational basis for monitoring molecular mechanisms in response to chemotherapy. Moreover, cPLA2 may serve as a potential therapeutic target for anti-cancer therapy of HNSCC. © 2012 Elsevier Ltd.","author":[{"dropping-particle":"","family":"Tripathi","given":"Pratima","non-dropping-particle":"","parse-names":false,"suffix":""},{"dropping-particle":"","family":"Kamarajan","given":"Pachiyappan","non-dropping-particle":"","parse-names":false,"suffix":""},{"dropping-particle":"","family":"Somashekar","given":"Bagganahalli S.","non-dropping-particle":"","parse-names":false,"suffix":""},{"dropping-particle":"","family":"MacKinnon","given":"Neil","non-dropping-particle":"","parse-names":false,"suffix":""},{"dropping-particle":"","family":"Chinnaiyan","given":"Arul M.","non-dropping-particle":"","parse-names":false,"suffix":""},{"dropping-particle":"","family":"Kapila","given":"Yvonne L.","non-dropping-particle":"","parse-names":false,"suffix":""},{"dropping-particle":"","family":"Rajendiran","given":"Thekkelnaycke M.","non-dropping-particle":"","parse-names":false,"suffix":""},{"dropping-particle":"","family":"Ramamoorthy","given":"Ayyalusamy","non-dropping-particle":"","parse-names":false,"suffix":""}],"container-title":"International Journal of Biochemistry and Cell Biology","id":"ITEM-1","issue":"11","issued":{"date-parts":[["2012","11"]]},"page":"1852-1861","title":"Delineating metabolic signatures of head and neck squamous cell carcinoma: Phospholipase A2, a potential therapeutic target","type":"article-journal","volume":"44"},"uris":["http://www.mendeley.com/documents/?uuid=53e7784b-0ca1-32e9-9c59-f116e3db4270"]}],"mendeley":{"formattedCitation":"[32]","plainTextFormattedCitation":"[32]","previouslyFormattedCitation":"[32]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[32]</w:t>
            </w:r>
            <w:r w:rsidRPr="00DF6C69">
              <w:rPr>
                <w:rFonts w:cs="Times New Roman"/>
                <w:sz w:val="18"/>
                <w:szCs w:val="18"/>
              </w:rPr>
              <w:fldChar w:fldCharType="end"/>
            </w:r>
            <w:r w:rsidRPr="00DF6C69">
              <w:rPr>
                <w:rFonts w:cs="Times New Roman"/>
                <w:sz w:val="18"/>
                <w:szCs w:val="18"/>
              </w:rPr>
              <w:t xml:space="preserve">, asparagine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{"citationItems":[{"id":"ITEM-1","itemData":{"DOI":"10.1186/1476-4598-12-25","abstract":"Background: The biomarker identification of human esophageal cancer is critical for its early diagnosis and therapeutic approaches that will significantly improve patient survival. Specially, those that involves in progression of disease would be helpful to mechanism research.Methods: In the present study, we investigated the distinguishing metabolites in human esophageal cancer tissues (n = 89) and normal esophageal mucosae (n = 26) using a 1H nuclear magnetic resonance (1H-NMR) based assay, which is a highly sensitive and non-destructive method for biomarker identification in biological systems. Principal component analysis (PCA), partial least squares-discriminant analysis (PLS-DA) and orthogonal partial least-squares-discriminant anlaysis (OPLS-DA) were applied to analyse 1H-NMR profiling data to identify potential biomarkers.Results: The constructed OPLS-DA model achieved an excellent separation of the esophageal cancer tissues and normal mucosae. Excellent separation was obtained between the different stages of esophageal cancer tissues (stage II = 28; stage III = 45 and stage IV = 16) and normal mucosae. A total of 45 metabolites were identified, and 12 of them were closely correlated with the stage of esophageal cancer. The downregulation of glucose, AMP and NAD, upregulation of formate indicated the large energy requirement due to accelerated cell proliferation in esophageal cancer. The increases in acetate, short-chain fatty acid and GABA in esophageal cancer tissue revealed the activation of fatty acids metabolism, which could satisfy the need for cellular membrane formation. Other modified metabolites were involved in choline metabolic pathway, including creatinine, creatine, DMG, DMA and TMA. These 12 metabolites, which are involved in energy, fatty acids and choline metabolism, may be associated with the progression of human esophageal cancer.Conclusion: Our findings firstly identify the distinguishing metabolites in different stages of esophageal cancer tissues, indicating the attribution of metabolites disturbance to the progression of esophageal cancer. The potential biomarkers provide a promising molecular diagnostic approach for clinical diagnosis of human esophageal cancer and a new direction for the mechanism study. © 2013 Wang et al.; licensee BioMed Central Ltd.","author":[{"dropping-particle":"","family":"Wang","given":"Liang","non-dropping-particle":"","parse-names":false,"suffix":""},{"dropping-particle":"","family":"Chen","given":"Jie","non-dropping-particle":"","parse-names":false,"suffix":""},{"dropping-particle":"","family":"Chen","given":"Longqi","non-dropping-particle":"","parse-names":false,"suffix":""},{"dropping-particle":"","family":"Deng","given":"Pengchi","non-dropping-particle":"","parse-names":false,"suffix":""},{"dropping-particle":"","family":"bu","given":"Qian","non-dropping-particle":"","parse-names":false,"suffix":""},{"dropping-particle":"","family":"Xiang","given":"Pu","non-dropping-particle":"","parse-names":false,"suffix":""},{"dropping-particle":"","family":"Li","given":"Manli","non-dropping-particle":"","parse-names":false,"suffix":""},{"dropping-particle":"","family":"Lu","given":"Wenjie","non-dropping-particle":"","parse-names":false,"suffix":""},{"dropping-particle":"","family":"Xu","given":"Youzhi","non-dropping-particle":"","parse-names":false,"suffix":""},{"dropping-particle":"","family":"Lin","given":"Hongjun","non-dropping-particle":"","parse-names":false,"suffix":""},{"dropping-particle":"","family":"Wu","given":"Tianming","non-dropping-particle":"","parse-names":false,"suffix":""},{"dropping-particle":"","family":"Wang","given":"Huijuan","non-dropping-particle":"","parse-names":false,"suffix":""},{"dropping-particle":"","family":"Hu","given":"Jing","non-dropping-particle":"","parse-names":false,"suffix":""},{"dropping-particle":"","family":"Shao","given":"Xiaoni","non-dropping-particle":"","parse-names":false,"suffix":""},{"dropping-particle":"","family":"Cen","given":"Xiaobo","non-dropping-particle":"","parse-names":false,"suffix":""},{"dropping-particle":"","family":"Zhao","given":"Ying-Lan Lan","non-dropping-particle":"","parse-names":false,"suffix":""}],"container-title":"Molecular Cancer","id":"ITEM-1","issue":"1","issued":{"date-parts":[["2013","4","4"]]},"page":"25","title":"1H-NMR based metabonomic profiling of human esophageal cancer tissue","type":"article-journal","volume":"12"},"uris":["http://www.mendeley.com/documents/?uuid=bcc64550-7d67-45d2-b87c-46ffeecd32f4"]}],"mendeley":{"formattedCitation":"[4]","plainTextFormattedCitation":"[4]","previouslyFormattedCitation":"[4]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w:t>
            </w:r>
            <w:r w:rsidRPr="00DF6C69">
              <w:rPr>
                <w:rFonts w:cs="Times New Roman"/>
                <w:sz w:val="18"/>
                <w:szCs w:val="18"/>
              </w:rPr>
              <w:fldChar w:fldCharType="end"/>
            </w:r>
            <w:r w:rsidRPr="00DF6C69">
              <w:rPr>
                <w:rFonts w:cs="Times New Roman"/>
                <w:sz w:val="18"/>
                <w:szCs w:val="18"/>
              </w:rPr>
              <w:t xml:space="preserve">, 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{"citationItems":[{"id":"ITEM-1","itemData":{"DOI":"10.1186/1476-4598-12-25","abstract":"Background: The biomarker identification of human esophageal cancer is critical for its early diagnosis and therapeutic approaches that will significantly improve patient survival. Specially, those that involves in progression of disease would be helpful to mechanism research.Methods: In the present study, we investigated the distinguishing metabolites in human esophageal cancer tissues (n = 89) and normal esophageal mucosae (n = 26) using a 1H nuclear magnetic resonance (1H-NMR) based assay, which is a highly sensitive and non-destructive method for biomarker identification in biological systems. Principal component analysis (PCA), partial least squares-discriminant analysis (PLS-DA) and orthogonal partial least-squares-discriminant anlaysis (OPLS-DA) were applied to analyse 1H-NMR profiling data to identify potential biomarkers.Results: The constructed OPLS-DA model achieved an excellent separation of the esophageal cancer tissues and normal mucosae. Excellent separation was obtained between the different stages of esophageal cancer tissues (stage II = 28; stage III = 45 and stage IV = 16) and normal mucosae. A total of 45 metabolites were identified, and 12 of them were closely correlated with the stage of esophageal cancer. The downregulation of glucose, AMP and NAD, upregulation of formate indicated the large energy requirement due to accelerated cell proliferation in esophageal cancer. The increases in acetate, short-chain fatty acid and GABA in esophageal cancer tissue revealed the activation of fatty acids metabolism, which could satisfy the need for cellular membrane formation. Other modified metabolites were involved in choline metabolic pathway, including creatinine, creatine, DMG, DMA and TMA. These 12 metabolites, which are involved in energy, fatty acids and choline metabolism, may be associated with the progression of human esophageal cancer.Conclusion: Our findings firstly identify the distinguishing metabolites in different stages of esophageal cancer tissues, indicating the attribution of metabolites disturbance to the progression of esophageal cancer. The potential biomarkers provide a promising molecular diagnostic approach for clinical diagnosis of human esophageal cancer and a new direction for the mechanism study. © 2013 Wang et al.; licensee BioMed Central Ltd.","author":[{"dropping-particle":"","family":"Wang","given":"Liang","non-dropping-particle":"","parse-names":false,"suffix":""},{"dropping-particle":"","family":"Chen","given":"Jie","non-dropping-particle":"","parse-names":false,"suffix":""},{"dropping-particle":"","family":"Chen","given":"Longqi","non-dropping-particle":"","parse-names":false,"suffix":""},{"dropping-particle":"","family":"Deng","given":"Pengchi","non-dropping-particle":"","parse-names":false,"suffix":""},{"dropping-particle":"","family":"bu","given":"Qian","non-dropping-particle":"","parse-names":false,"suffix":""},{"dropping-particle":"","family":"Xiang","given":"Pu","non-dropping-particle":"","parse-names":false,"suffix":""},{"dropping-particle":"","family":"Li","given":"Manli","non-dropping-particle":"","parse-names":false,"suffix":""},{"dropping-particle":"","family":"Lu","given":"Wenjie","non-dropping-particle":"","parse-names":false,"suffix":""},{"dropping-particle":"","family":"Xu","given":"Youzhi","non-dropping-particle":"","parse-names":false,"suffix":""},{"dropping-particle":"","family":"Lin","given":"Hongjun","non-dropping-particle":"","parse-names":false,"suffix":""},{"dropping-particle":"","family":"Wu","given":"Tianming","non-dropping-particle":"","parse-names":false,"suffix":""},{"dropping-particle":"","family":"Wang","given":"Huijuan","non-dropping-particle":"","parse-names":false,"suffix":""},{"dropping-particle":"","family":"Hu","given":"Jing","non-dropping-particle":"","parse-names":false,"suffix":""},{"dropping-particle":"","family":"Shao","given":"Xiaoni","non-dropping-particle":"","parse-names":false,"suffix":""},{"dropping-particle":"","family":"Cen","given":"Xiaobo","non-dropping-particle":"","parse-names":false,"suffix":""},{"dropping-particle":"","family":"Zhao","given":"Ying-Lan Lan","non-dropping-particle":"","parse-names":false,"suffix":""}],"container-title":"Molecular Cancer","id":"ITEM-1","issue":"1","issued":{"date-parts":[["2013","4","4"]]},"page":"25","title":"1H-NMR based metabonomic profiling of human esophageal cancer tissue","type":"article-journal","volume":"12"},"uris":["http://www.mendeley.com/documents/?uuid=bcc64550-7d67-45d2-b87c-46ffeecd32f4"]}],"mendeley":{"formattedCitation":"[4]","plainTextFormattedCitation":"[4]","previouslyFormattedCitation":"[4]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w:t>
            </w:r>
            <w:r w:rsidRPr="00DF6C69">
              <w:rPr>
                <w:rFonts w:cs="Times New Roman"/>
                <w:sz w:val="18"/>
                <w:szCs w:val="18"/>
              </w:rPr>
              <w:fldChar w:fldCharType="end"/>
            </w:r>
            <w:r w:rsidRPr="00DF6C69">
              <w:rPr>
                <w:rFonts w:cs="Times New Roman"/>
                <w:sz w:val="18"/>
                <w:szCs w:val="18"/>
              </w:rPr>
              <w:t xml:space="preserve">, citrate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{"citationItems":[{"id":"ITEM-1","itemData":{"DOI":"10.1007/s10620-013-2873-9","ISSN":"01632116","abstract":"Background: The worldwide prevalences of nonalcoholic fatty liver disease (NAFLD) and nonalcoholic steatohepatitis (NASH) are estimated to range from 30 to 40 % and 5-17 %, respectively. Hepatocellular carcinoma (HCC) is primarily caused by hepatitis B infection, but retrospective data suggest that 4-29 % of NASH cases will progress to HCC. Currently the connection between NASH and HCC is unclear. Aims: The purpose of this study was to identify changes in expression of HCC-related genes and metabolite profiles in NAFLD progression. Methods: Transcriptomic and metabolomic datasets from human liver tissue representing NAFLD progression (normal, steatosis, NASH) were utilized and compared to published data for HCC. Results: Genes involved in Wnt signaling were downregulated in NASH but have been reported to be upregulated in HCC. Extracellular matrix/angiogenesis genes were upregulated in NASH, similar to reports in HCC. Iron homeostasis is known to be perturbed in HCC and we observed downregulation of genes in this pathway. In the metabolomics analysis of hepatic NAFLD samples, several changes were opposite to what has been reported in plasma of HCC patients (lysine, phenylalanine, citrulline, creatine, creatinine, glycodeoxycholic acid, inosine, and alpha-ketoglutarate). In contrast, multiple acyl-lyso-phosphatidylcholine metabolites were downregulated in NASH livers, consistent with observations in HCC patient plasma. Conclusions: These data indicate an overlap in the pathogenesis of NAFLD and HCC where several classes of HCC related genes and metabolites are altered in NAFLD. Importantly, Wnt signaling and several metabolites are different, thus implicating these genes and metabolites as mediators in the transition from NASH to HCC. © 2013 Springer Science+Business Media New York.","author":[{"dropping-particle":"","family":"Clarke","given":"John D.","non-dropping-particle":"","parse-names":false,"suffix":""},{"dropping-particle":"","family":"Novak","given":"Petr","non-dropping-particle":"","parse-names":false,"suffix":""},{"dropping-particle":"","family":"Lake","given":"April D.","non-dropping-particle":"","parse-names":false,"suffix":""},{"dropping-particle":"","family":"Shipkova","given":"Petia","non-dropping-particle":"","parse-names":false,"suffix":""},{"dropping-particle":"","family":"Aranibar","given":"Nelly","non-dropping-particle":"","parse-names":false,"suffix":""},{"dropping-particle":"","family":"Robertson","given":"Donald","non-dropping-particle":"","parse-names":false,"suffix":""},{"dropping-particle":"","family":"Severson","given":"Paul L.","non-dropping-particle":"","parse-names":false,"suffix":""},{"dropping-particle":"","family":"Reily","given":"Michael D.","non-dropping-particle":"","parse-names":false,"suffix":""},{"dropping-particle":"","family":"Futscher","given":"Bernard W.","non-dropping-particle":"","parse-names":false,"suffix":""},{"dropping-particle":"","family":"Lehman-Mckeeman","given":"Lois D.","non-dropping-particle":"","parse-names":false,"suffix":""},{"dropping-particle":"","family":"Cherrington","given":"Nathan J.","non-dropping-particle":"","parse-names":false,"suffix":""}],"container-title":"Digestive Diseases and Sciences","id":"ITEM-1","issue":"2","issued":{"date-parts":[["2014","2"]]},"page":"365-374","title":"Characterization of hepatocellular carcinoma related genes and metabolites in human nonalcoholic fatty liver disease","type":"article-journal","volume":"59"},"uris":["http://www.mendeley.com/documents/?uuid=1097e8d0-d865-31f9-bf24-f899d8db3e88"]}],"mendeley":{"formattedCitation":"[33]","plainTextFormattedCitation":"[33]","previouslyFormattedCitation":"[33]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[33]</w:t>
            </w:r>
            <w:r w:rsidRPr="00DF6C69">
              <w:rPr>
                <w:rFonts w:cs="Times New Roman"/>
                <w:sz w:val="18"/>
                <w:szCs w:val="18"/>
              </w:rPr>
              <w:fldChar w:fldCharType="end"/>
            </w:r>
            <w:r w:rsidRPr="00DF6C69">
              <w:rPr>
                <w:rFonts w:cs="Times New Roman"/>
                <w:sz w:val="18"/>
                <w:szCs w:val="18"/>
              </w:rPr>
              <w:t xml:space="preserve">, fatty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{"citationItems":[{"id":"ITEM-1","itemData":{"DOI":"10.1007/s10620-013-2873-9","ISSN":"01632116","abstract":"Background: The worldwide prevalences of nonalcoholic fatty liver disease (NAFLD) and nonalcoholic steatohepatitis (NASH) are estimated to range from 30 to 40 % and 5-17 %, respectively. Hepatocellular carcinoma (HCC) is primarily caused by hepatitis B infection, but retrospective data suggest that 4-29 % of NASH cases will progress to HCC. Currently the connection between NASH and HCC is unclear. Aims: The purpose of this study was to identify changes in expression of HCC-related genes and metabolite profiles in NAFLD progression. Methods: Transcriptomic and metabolomic datasets from human liver tissue representing NAFLD progression (normal, steatosis, NASH) were utilized and compared to published data for HCC. Results: Genes involved in Wnt signaling were downregulated in NASH but have been reported to be upregulated in HCC. Extracellular matrix/angiogenesis genes were upregulated in NASH, similar to reports in HCC. Iron homeostasis is known to be perturbed in HCC and we observed downregulation of genes in this pathway. In the metabolomics analysis of hepatic NAFLD samples, several changes were opposite to what has been reported in plasma of HCC patients (lysine, phenylalanine, citrulline, creatine, creatinine, glycodeoxycholic acid, inosine, and alpha-ketoglutarate). In contrast, multiple acyl-lyso-phosphatidylcholine metabolites were downregulated in NASH livers, consistent with observations in HCC patient plasma. Conclusions: These data indicate an overlap in the pathogenesis of NAFLD and HCC where several classes of HCC related genes and metabolites are altered in NAFLD. Importantly, Wnt signaling and several metabolites are different, thus implicating these genes and metabolites as mediators in the transition from NASH to HCC. © 2013 Springer Science+Business Media New York.","author":[{"dropping-particle":"","family":"Clarke","given":"John D.","non-dropping-particle":"","parse-names":false,"suffix":""},{"dropping-particle":"","family":"Novak","given":"Petr","non-dropping-particle":"","parse-names":false,"suffix":""},{"dropping-particle":"","family":"Lake","given":"April D.","non-dropping-particle":"","parse-names":false,"suffix":""},{"dropping-particle":"","family":"Shipkova","given":"Petia","non-dropping-particle":"","parse-names":false,"suffix":""},{"dropping-particle":"","family":"Aranibar","given":"Nelly","non-dropping-particle":"","parse-names":false,"suffix":""},{"dropping-particle":"","family":"Robertson","given":"Donald","non-dropping-particle":"","parse-names":false,"suffix":""},{"dropping-particle":"","family":"Severson","given":"Paul L.","non-dropping-particle":"","parse-names":false,"suffix":""},{"dropping-particle":"","family":"Reily","given":"Michael D.","non-dropping-particle":"","parse-names":false,"suffix":""},{"dropping-particle":"","family":"Futscher","given":"Bernard W.","non-dropping-particle":"","parse-names":false,"suffix":""},{"dropping-particle":"","family":"Lehman-Mckeeman","given":"Lois D.","non-dropping-particle":"","parse-names":false,"suffix":""},{"dropping-particle":"","family":"Cherrington","given":"Nathan J.","non-dropping-particle":"","parse-names":false,"suffix":""}],"container-title":"Digestive Diseases and Sciences","id":"ITEM-1","issue":"2","issued":{"date-parts":[["2014","2"]]},"page":"365-374","title":"Characterization of hepatocellular carcinoma related genes and metabolites in human nonalcoholic fatty liver disease","type":"article-journal","volume":"59"},"uris":["http://www.mendeley.com/documents/?uuid=1097e8d0-d865-31f9-bf24-f899d8db3e88"]}],"mendeley":{"formattedCitation":"[33]","plainTextFormattedCitation":"[33]","previouslyFormattedCitation":"[33]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[33]</w:t>
            </w:r>
            <w:r w:rsidRPr="00DF6C69">
              <w:rPr>
                <w:rFonts w:cs="Times New Roman"/>
                <w:sz w:val="18"/>
                <w:szCs w:val="18"/>
              </w:rPr>
              <w:fldChar w:fldCharType="end"/>
            </w:r>
            <w:r w:rsidRPr="00DF6C69">
              <w:rPr>
                <w:rFonts w:cs="Times New Roman"/>
                <w:sz w:val="18"/>
                <w:szCs w:val="18"/>
              </w:rPr>
              <w:t xml:space="preserve">, glutamic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{"citationItems":[{"id":"ITEM-1","itemData":{"DOI":"10.1186/1476-4598-12-25","abstract":"Background: The biomarker identification of human esophageal cancer is critical for its early diagnosis and therapeutic approaches that will significantly improve patient survival. Specially, those that involves in progression of disease would be helpful to mechanism research.Methods: In the present study, we investigated the distinguishing metabolites in human esophageal cancer tissues (n = 89) and normal esophageal mucosae (n = 26) using a 1H nuclear magnetic resonance (1H-NMR) based assay, which is a highly sensitive and non-destructive method for biomarker identification in biological systems. Principal component analysis (PCA), partial least squares-discriminant analysis (PLS-DA) and orthogonal partial least-squares-discriminant anlaysis (OPLS-DA) were applied to analyse 1H-NMR profiling data to identify potential biomarkers.Results: The constructed OPLS-DA model achieved an excellent separation of the esophageal cancer tissues and normal mucosae. Excellent separation was obtained between the different stages of esophageal cancer tissues (stage II = 28; stage III = 45 and stage IV = 16) and normal mucosae. A total of 45 metabolites were identified, and 12 of them were closely correlated with the stage of esophageal cancer. The downregulation of glucose, AMP and NAD, upregulation of formate indicated the large energy requirement due to accelerated cell proliferation in esophageal cancer. The increases in acetate, short-chain fatty acid and GABA in esophageal cancer tissue revealed the activation of fatty acids metabolism, which could satisfy the need for cellular membrane formation. Other modified metabolites were involved in choline metabolic pathway, including creatinine, creatine, DMG, DMA and TMA. These 12 metabolites, which are involved in energy, fatty acids and choline metabolism, may be associated with the progression of human esophageal cancer.Conclusion: Our findings firstly identify the distinguishing metabolites in different stages of esophageal cancer tissues, indicating the attribution of metabolites disturbance to the progression of esophageal cancer. The potential biomarkers provide a promising molecular diagnostic approach for clinical diagnosis of human esophageal cancer and a new direction for the mechanism study. © 2013 Wang et al.; licensee BioMed Central Ltd.","author":[{"dropping-particle":"","family":"Wang","given":"Liang","non-dropping-particle":"","parse-names":false,"suffix":""},{"dropping-particle":"","family":"Chen","given":"Jie","non-dropping-particle":"","parse-names":false,"suffix":""},{"dropping-particle":"","family":"Chen","given":"Longqi","non-dropping-particle":"","parse-names":false,"suffix":""},{"dropping-particle":"","family":"Deng","given":"Pengchi","non-dropping-particle":"","parse-names":false,"suffix":""},{"dropping-particle":"","family":"bu","given":"Qian","non-dropping-particle":"","parse-names":false,"suffix":""},{"dropping-particle":"","family":"Xiang","given":"Pu","non-dropping-particle":"","parse-names":false,"suffix":""},{"dropping-particle":"","family":"Li","given":"Manli","non-dropping-particle":"","parse-names":false,"suffix":""},{"dropping-particle":"","family":"Lu","given":"Wenjie","non-dropping-particle":"","parse-names":false,"suffix":""},{"dropping-particle":"","family":"Xu","given":"Youzhi","non-dropping-particle":"","parse-names":false,"suffix":""},{"dropping-particle":"","family":"Lin","given":"Hongjun","non-dropping-particle":"","parse-names":false,"suffix":""},{"dropping-particle":"","family":"Wu","given":"Tianming","non-dropping-particle":"","parse-names":false,"suffix":""},{"dropping-particle":"","family":"Wang","given":"Huijuan","non-dropping-particle":"","parse-names":false,"suffix":""},{"dropping-particle":"","family":"Hu","given":"Jing","non-dropping-particle":"","parse-names":false,"suffix":""},{"dropping-particle":"","family":"Shao","given":"Xiaoni","non-dropping-particle":"","parse-names":false,"suffix":""},{"dropping-particle":"","family":"Cen","given":"Xiaobo","non-dropping-particle":"","parse-names":false,"suffix":""},{"dropping-particle":"","family":"Zhao","given":"Ying-Lan Lan","non-dropping-particle":"","parse-names":false,"suffix":""}],"container-title":"Molecular Cancer","id":"ITEM-1","issue":"1","issued":{"date-parts":[["2013","4","4"]]},"page":"25","title":"1H-NMR based metabonomic profiling of human esophageal cancer tissue","type":"article-journal","volume":"12"},"uris":["http://www.mendeley.com/documents/?uuid=bcc64550-7d67-45d2-b87c-46ffeecd32f4"]}],"mendeley":{"formattedCitation":"[4]","plainTextFormattedCitation":"[4]","previouslyFormattedCitation":"[4]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w:t>
            </w:r>
            <w:r w:rsidRPr="00DF6C69">
              <w:rPr>
                <w:rFonts w:cs="Times New Roman"/>
                <w:sz w:val="18"/>
                <w:szCs w:val="18"/>
              </w:rPr>
              <w:fldChar w:fldCharType="end"/>
            </w:r>
            <w:r w:rsidRPr="00DF6C69">
              <w:rPr>
                <w:rFonts w:cs="Times New Roman"/>
                <w:sz w:val="18"/>
                <w:szCs w:val="18"/>
              </w:rPr>
              <w:t xml:space="preserve">, glutamine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{"citationItems":[{"id":"ITEM-1","itemData":{"DOI":"10.1016/j.biocel.2012.06.025","ISSN":"13572725","abstract":"A better understanding of molecular pathways involved in malignant transformation of head and neck squamous cell carcinoma (HNSCC) is essential for the development of novel and efficient anti-cancer drugs. To delineate the global metabolism of HNSCC, we report 1H NMR-based metabolic profiling of HNSCC cells from five different patients that were derived from various sites of the upper aerodigestive tract, including the floor of mouth, tongue and larynx. Primary cultures of normal human oral keratinocytes (NHOK) from three different donors were used for comparison. 1H NMR spectra of polar and non-polar extracts of cells were used to identify more than thirty-five metabolites. Principal component analysis performed on the NMR data revealed a clear classification of NHOK and HNSCC cells. HNSCC cells exhibited significantly altered levels of various metabolites that clearly revealed dysregulation in multiple metabolic events, including Warburg effect, oxidative phosphorylation, energy metabolism, TCA cycle anaplerotic flux, glutaminolysis, hexosamine pathway, osmo-regulatory and anti-oxidant mechanism. In addition, significant alterations in the ratios of phosphatidylcholine/ lysophosphatidylcholine and phosphocholine/glycerophosphocholine, and elevated arachidonic acid observed in HNSCC cells reveal an altered membrane choline phospholipid metabolism (MCPM). Furthermore, significantly increased activity of phospholipase A2 (PLA2), particularly cytosolic PLA 2 (cPLA2) observed in all the HNSCC cells confirm an altered MCPM. In summary, the metabolomic findings presented here can be useful to further elucidate the biological aspects that lead to HNSCC, and also provide a rational basis for monitoring molecular mechanisms in response to chemotherapy. Moreover, cPLA2 may serve as a potential therapeutic target for anti-cancer therapy of HNSCC. © 2012 Elsevier Ltd.","author":[{"dropping-particle":"","family":"Tripathi","given":"Pratima","non-dropping-particle":"","parse-names":false,"suffix":""},{"dropping-particle":"","family":"Kamarajan","given":"Pachiyappan","non-dropping-particle":"","parse-names":false,"suffix":""},{"dropping-particle":"","family":"Somashekar","given":"Bagganahalli S.","non-dropping-particle":"","parse-names":false,"suffix":""},{"dropping-particle":"","family":"MacKinnon","given":"Neil","non-dropping-particle":"","parse-names":false,"suffix":""},{"dropping-particle":"","family":"Chinnaiyan","given":"Arul M.","non-dropping-particle":"","parse-names":false,"suffix":""},{"dropping-particle":"","family":"Kapila","given":"Yvonne L.","non-dropping-particle":"","parse-names":false,"suffix":""},{"dropping-particle":"","family":"Rajendiran","given":"Thekkelnaycke M.","non-dropping-particle":"","parse-names":false,"suffix":""},{"dropping-particle":"","family":"Ramamoorthy","given":"Ayyalusamy","non-dropping-particle":"","parse-names":false,"suffix":""}],"container-title":"International Journal of Biochemistry and Cell Biology","id":"ITEM-1","issue":"11","issued":{"date-parts":[["2012","11"]]},"page":"1852-1861","title":"Delineating metabolic signatures of head and neck squamous cell carcinoma: Phospholipase A2, a potential therapeutic target","type":"article-journal","volume":"44"},"uris":["http://www.mendeley.com/documents/?uuid=53e7784b-0ca1-32e9-9c59-f116e3db4270"]}],"mendeley":{"formattedCitation":"[32]","plainTextFormattedCitation":"[32]","previouslyFormattedCitation":"[32]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[32]</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glycerophosphocholine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{"citationItems":[{"id":"ITEM-1","itemData":{"DOI":"10.1016/j.jhep.2009.11.002","ISSN":"01688278","abstract":"Background &amp; Aims: Biliary tract cancer is highly lethal at presentation, with increasing mortality worldwide. Current diagnostic measures employing multiple criteria such as imaging, cytology, and serum tumor markers are not satisfactory, and a new diagnostic tool is needed. Because bile is a cognate metabolite-rich bio-fluid in the biliary ductal system, we tested a new metabolomic approach to develop an effective diagnostic tool. Methods: Biles were collected prospectively from patients with cancer (n = 17) or benign biliary tract diseases (n = 21) with percutaneous or endoscopic methods. Nuclear magnetic resonance spectra (NMR) of these biles were analyzed using orthogonal partial least square discriminant analysis (OPLS-DA). Results: The metabolomic 2-D score plot showed good separation between cancer and benign groups. The contributing NMR signals were analyzed using a statistical TOCSY approach. The diagnostic performance assessed by leave-one-out analysis exhibited 88% sensitivity and 81% specificity, better than the conventional markers (CEA, CA19-9, and bile cytology). Conclusion: The NMR-based metabolomics approach provides good performance in discriminating cancer and benign biliary duct diseases. The excellent predictability of the method suggests that it can, at least, augment the currently available diagnostic approaches. © 2009 European Association for the Study of the Liver.","author":[{"dropping-particle":"","family":"Wen","given":"He","non-dropping-particle":"","parse-names":false,"suffix":""},{"dropping-particle":"","family":"Yoo","given":"Sung Soo","non-dropping-particle":"","parse-names":false,"suffix":""},{"dropping-particle":"","family":"Kang","given":"Jinho","non-dropping-particle":"","parse-names":false,"suffix":""},{"dropping-particle":"","family":"Kim","given":"Hee Goo","non-dropping-particle":"","parse-names":false,"suffix":""},{"dropping-particle":"","family":"Park","given":"Jin Seok","non-dropping-particle":"","parse-names":false,"suffix":""},{"dropping-particle":"","family":"Jeong","given":"Seok","non-dropping-particle":"","parse-names":false,"suffix":""},{"dropping-particle":"Il","family":"Lee","given":"Jung","non-dropping-particle":"","parse-names":false,"suffix":""},{"dropping-particle":"","family":"Kwon","given":"Hyuk Nam","non-dropping-particle":"","parse-names":false,"suffix":""},{"dropping-particle":"","family":"Kang","given":"Sunmi","non-dropping-particle":"","parse-names":false,"suffix":""},{"dropping-particle":"","family":"Lee","given":"Don Haeng","non-dropping-particle":"","parse-names":false,"suffix":""},{"dropping-particle":"","family":"Park","given":"Sunghyouk","non-dropping-particle":"","parse-names":false,"suffix":""}],"container-title":"Journal of Hepatology","id":"ITEM-1","issue":"2","issued":{"date-parts":[["2010","2"]]},"page":"228-233","title":"A new NMR-based metabolomics approach for the diagnosis of biliary tract cancer","type":"article-journal","volume":"52"},"uris":["http://www.mendeley.com/documents/?uuid=14639ef3-6d45-3b10-8821-956a22351376"]}],"mendeley":{"formattedCitation":"[34]","plainTextFormattedCitation":"[34]","previouslyFormattedCitation":"[34]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[34]</w:t>
            </w:r>
            <w:r w:rsidRPr="00DF6C69">
              <w:rPr>
                <w:rFonts w:cs="Times New Roman"/>
                <w:sz w:val="18"/>
                <w:szCs w:val="18"/>
              </w:rPr>
              <w:fldChar w:fldCharType="end"/>
            </w:r>
            <w:r w:rsidRPr="00DF6C69">
              <w:rPr>
                <w:rFonts w:cs="Times New Roman"/>
                <w:sz w:val="18"/>
                <w:szCs w:val="18"/>
              </w:rPr>
              <w:t xml:space="preserve">, ketones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{"citationItems":[{"id":"ITEM-1","itemData":{"DOI":"10.1007/s10620-013-2873-9","ISSN":"01632116","abstract":"Background: The worldwide prevalences of nonalcoholic fatty liver disease (NAFLD) and nonalcoholic steatohepatitis (NASH) are estimated to range from 30 to 40 % and 5-17 %, respectively. Hepatocellular carcinoma (HCC) is primarily caused by hepatitis B infection, but retrospective data suggest that 4-29 % of NASH cases will progress to HCC. Currently the connection between NASH and HCC is unclear. Aims: The purpose of this study was to identify changes in expression of HCC-related genes and metabolite profiles in NAFLD progression. Methods: Transcriptomic and metabolomic datasets from human liver tissue representing NAFLD progression (normal, steatosis, NASH) were utilized and compared to published data for HCC. Results: Genes involved in Wnt signaling were downregulated in NASH but have been reported to be upregulated in HCC. Extracellular matrix/angiogenesis genes were upregulated in NASH, similar to reports in HCC. Iron homeostasis is known to be perturbed in HCC and we observed downregulation of genes in this pathway. In the metabolomics analysis of hepatic NAFLD samples, several changes were opposite to what has been reported in plasma of HCC patients (lysine, phenylalanine, citrulline, creatine, creatinine, glycodeoxycholic acid, inosine, and alpha-ketoglutarate). In contrast, multiple acyl-lyso-phosphatidylcholine metabolites were downregulated in NASH livers, consistent with observations in HCC patient plasma. Conclusions: These data indicate an overlap in the pathogenesis of NAFLD and HCC where several classes of HCC related genes and metabolites are altered in NAFLD. Importantly, Wnt signaling and several metabolites are different, thus implicating these genes and metabolites as mediators in the transition from NASH to HCC. © 2013 Springer Science+Business Media New York.","author":[{"dropping-particle":"","family":"Clarke","given":"John D.","non-dropping-particle":"","parse-names":false,"suffix":""},{"dropping-particle":"","family":"Novak","given":"Petr","non-dropping-particle":"","parse-names":false,"suffix":""},{"dropping-particle":"","family":"Lake","given":"April D.","non-dropping-particle":"","parse-names":false,"suffix":""},{"dropping-particle":"","family":"Shipkova","given":"Petia","non-dropping-particle":"","parse-names":false,"suffix":""},{"dropping-particle":"","family":"Aranibar","given":"Nelly","non-dropping-particle":"","parse-names":false,"suffix":""},{"dropping-particle":"","family":"Robertson","given":"Donald","non-dropping-particle":"","parse-names":false,"suffix":""},{"dropping-particle":"","family":"Severson","given":"Paul L.","non-dropping-particle":"","parse-names":false,"suffix":""},{"dropping-particle":"","family":"Reily","given":"Michael D.","non-dropping-particle":"","parse-names":false,"suffix":""},{"dropping-particle":"","family":"Futscher","given":"Bernard W.","non-dropping-particle":"","parse-names":false,"suffix":""},{"dropping-particle":"","family":"Lehman-Mckeeman","given":"Lois D.","non-dropping-particle":"","parse-names":false,"suffix":""},{"dropping-particle":"","family":"Cherrington","given":"Nathan J.","non-dropping-particle":"","parse-names":false,"suffix":""}],"container-title":"Digestive Diseases and Sciences","id":"ITEM-1","issue":"2","issued":{"date-parts":[["2014","2"]]},"page":"365-374","title":"Characterization of hepatocellular carcinoma related genes and metabolites in human nonalcoholic fatty liver disease","type":"article-journal","volume":"59"},"uris":["http://www.mendeley.com/documents/?uuid=1097e8d0-d865-31f9-bf24-f899d8db3e88"]}],"mendeley":{"formattedCitation":"[33]","plainTextFormattedCitation":"[33]","previouslyFormattedCitation":"[33]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[33]</w:t>
            </w:r>
            <w:r w:rsidRPr="00DF6C69">
              <w:rPr>
                <w:rFonts w:cs="Times New Roman"/>
                <w:sz w:val="18"/>
                <w:szCs w:val="18"/>
              </w:rPr>
              <w:fldChar w:fldCharType="end"/>
            </w:r>
            <w:r w:rsidRPr="00DF6C69">
              <w:rPr>
                <w:rFonts w:cs="Times New Roman"/>
                <w:sz w:val="18"/>
                <w:szCs w:val="18"/>
              </w:rPr>
              <w:t xml:space="preserve">, lactate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{"citationItems":[{"id":"ITEM-1","itemData":{"DOI":"10.1186/1476-4598-12-25","abstract":"Background: The biomarker identification of human esophageal cancer is critical for its early diagnosis and therapeutic approaches that will significantly improve patient survival. Specially, those that involves in progression of disease would be helpful to mechanism research.Methods: In the present study, we investigated the distinguishing metabolites in human esophageal cancer tissues (n = 89) and normal esophageal mucosae (n = 26) using a 1H nuclear magnetic resonance (1H-NMR) based assay, which is a highly sensitive and non-destructive method for biomarker identification in biological systems. Principal component analysis (PCA), partial least squares-discriminant analysis (PLS-DA) and orthogonal partial least-squares-discriminant anlaysis (OPLS-DA) were applied to analyse 1H-NMR profiling data to identify potential biomarkers.Results: The constructed OPLS-DA model achieved an excellent separation of the esophageal cancer tissues and normal mucosae. Excellent separation was obtained between the different stages of esophageal cancer tissues (stage II = 28; stage III = 45 and stage IV = 16) and normal mucosae. A total of 45 metabolites were identified, and 12 of them were closely correlated with the stage of esophageal cancer. The downregulation of glucose, AMP and NAD, upregulation of formate indicated the large energy requirement due to accelerated cell proliferation in esophageal cancer. The increases in acetate, short-chain fatty acid and GABA in esophageal cancer tissue revealed the activation of fatty acids metabolism, which could satisfy the need for cellular membrane formation. Other modified metabolites were involved in choline metabolic pathway, including creatinine, creatine, DMG, DMA and TMA. These 12 metabolites, which are involved in energy, fatty acids and choline metabolism, may be associated with the progression of human esophageal cancer.Conclusion: Our findings firstly identify the distinguishing metabolites in different stages of esophageal cancer tissues, indicating the attribution of metabolites disturbance to the progression of esophageal cancer. The potential biomarkers provide a promising molecular diagnostic approach for clinical diagnosis of human esophageal cancer and a new direction for the mechanism study. © 2013 Wang et al.; licensee BioMed Central Ltd.","author":[{"dropping-particle":"","family":"Wang","given":"Liang","non-dropping-particle":"","parse-names":false,"suffix":""},{"dropping-particle":"","family":"Chen","given":"Jie","non-dropping-particle":"","parse-names":false,"suffix":""},{"dropping-particle":"","family":"Chen","given":"Longqi","non-dropping-particle":"","parse-names":false,"suffix":""},{"dropping-particle":"","family":"Deng","given":"Pengchi","non-dropping-particle":"","parse-names":false,"suffix":""},{"dropping-particle":"","family":"bu","given":"Qian","non-dropping-particle":"","parse-names":false,"suffix":""},{"dropping-particle":"","family":"Xiang","given":"Pu","non-dropping-particle":"","parse-names":false,"suffix":""},{"dropping-particle":"","family":"Li","given":"Manli","non-dropping-particle":"","parse-names":false,"suffix":""},{"dropping-particle":"","family":"Lu","given":"Wenjie","non-dropping-particle":"","parse-names":false,"suffix":""},{"dropping-particle":"","family":"Xu","given":"Youzhi","non-dropping-particle":"","parse-names":false,"suffix":""},{"dropping-particle":"","family":"Lin","given":"Hongjun","non-dropping-particle":"","parse-names":false,"suffix":""},{"dropping-particle":"","family":"Wu","given":"Tianming","non-dropping-particle":"","parse-names":false,"suffix":""},{"dropping-particle":"","family":"Wang","given":"Huijuan","non-dropping-particle":"","parse-names":false,"suffix":""},{"dropping-particle":"","family":"Hu","given":"Jing","non-dropping-particle":"","parse-names":false,"suffix":""},{"dropping-particle":"","family":"Shao","given":"Xiaoni","non-dropping-particle":"","parse-names":false,"suffix":""},{"dropping-particle":"","family":"Cen","given":"Xiaobo","non-dropping-particle":"","parse-names":false,"suffix":""},{"dropping-particle":"","family":"Zhao","given":"Ying-Lan Lan","non-dropping-particle":"","parse-names":false,"suffix":""}],"container-title":"Molecular Cancer","id":"ITEM-1","issue":"1","issued":{"date-parts":[["2013","4","4"]]},"page":"25","title":"1H-NMR based metabonomic profiling of human esophageal cancer tissue","type":"article-journal","volume":"12"},"uris":["http://www.mendeley.com/documents/?uuid=bcc64550-7d67-45d2-b87c-46ffeecd32f4"]}],"mendeley":{"formattedCitation":"[4]","plainTextFormattedCitation":"[4]","previouslyFormattedCitation":"[4]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w:t>
            </w:r>
            <w:r w:rsidRPr="00DF6C69">
              <w:rPr>
                <w:rFonts w:cs="Times New Roman"/>
                <w:sz w:val="18"/>
                <w:szCs w:val="18"/>
              </w:rPr>
              <w:fldChar w:fldCharType="end"/>
            </w:r>
            <w:r w:rsidRPr="00DF6C69">
              <w:rPr>
                <w:rFonts w:cs="Times New Roman"/>
                <w:sz w:val="18"/>
                <w:szCs w:val="18"/>
              </w:rPr>
              <w:t xml:space="preserve">, leucine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{"citationItems":[{"id":"ITEM-1","itemData":{"DOI":"10.1186/1476-4598-12-25","abstract":"Background: The biomarker identification of human esophageal cancer is critical for its early diagnosis and therapeutic approaches that will significantly improve patient survival. Specially, those that involves in progression of disease would be helpful to mechanism research.Methods: In the present study, we investigated the distinguishing metabolites in human esophageal cancer tissues (n = 89) and normal esophageal mucosae (n = 26) using a 1H nuclear magnetic resonance (1H-NMR) based assay, which is a highly sensitive and non-destructive method for biomarker identification in biological systems. Principal component analysis (PCA), partial least squares-discriminant analysis (PLS-DA) and orthogonal partial least-squares-discriminant anlaysis (OPLS-DA) were applied to analyse 1H-NMR profiling data to identify potential biomarkers.Results: The constructed OPLS-DA model achieved an excellent separation of the esophageal cancer tissues and normal mucosae. Excellent separation was obtained between the different stages of esophageal cancer tissues (stage II = 28; stage III = 45 and stage IV = 16) and normal mucosae. A total of 45 metabolites were identified, and 12 of them were closely correlated with the stage of esophageal cancer. The downregulation of glucose, AMP and NAD, upregulation of formate indicated the large energy requirement due to accelerated cell proliferation in esophageal cancer. The increases in acetate, short-chain fatty acid and GABA in esophageal cancer tissue revealed the activation of fatty acids metabolism, which could satisfy the need for cellular membrane formation. Other modified metabolites were involved in choline metabolic pathway, including creatinine, creatine, DMG, DMA and TMA. These 12 metabolites, which are involved in energy, fatty acids and choline metabolism, may be associated with the progression of human esophageal cancer.Conclusion: Our findings firstly identify the distinguishing metabolites in different stages of esophageal cancer tissues, indicating the attribution of metabolites disturbance to the progression of esophageal cancer. The potential biomarkers provide a promising molecular diagnostic approach for clinical diagnosis of human esophageal cancer and a new direction for the mechanism study. © 2013 Wang et al.; licensee BioMed Central Ltd.","author":[{"dropping-particle":"","family":"Wang","given":"Liang","non-dropping-particle":"","parse-names":false,"suffix":""},{"dropping-particle":"","family":"Chen","given":"Jie","non-dropping-particle":"","parse-names":false,"suffix":""},{"dropping-particle":"","family":"Chen","given":"Longqi","non-dropping-particle":"","parse-names":false,"suffix":""},{"dropping-particle":"","family":"Deng","given":"Pengchi","non-dropping-particle":"","parse-names":false,"suffix":""},{"dropping-particle":"","family":"bu","given":"Qian","non-dropping-particle":"","parse-names":false,"suffix":""},{"dropping-particle":"","family":"Xiang","given":"Pu","non-dropping-particle":"","parse-names":false,"suffix":""},{"dropping-particle":"","family":"Li","given":"Manli","non-dropping-particle":"","parse-names":false,"suffix":""},{"dropping-particle":"","family":"Lu","given":"Wenjie","non-dropping-particle":"","parse-names":false,"suffix":""},{"dropping-particle":"","family":"Xu","given":"Youzhi","non-dropping-particle":"","parse-names":false,"suffix":""},{"dropping-particle":"","family":"Lin","given":"Hongjun","non-dropping-particle":"","parse-names":false,"suffix":""},{"dropping-particle":"","family":"Wu","given":"Tianming","non-dropping-particle":"","parse-names":false,"suffix":""},{"dropping-particle":"","family":"Wang","given":"Huijuan","non-dropping-particle":"","parse-names":false,"suffix":""},{"dropping-particle":"","family":"Hu","given":"Jing","non-dropping-particle":"","parse-names":false,"suffix":""},{"dropping-particle":"","family":"Shao","given":"Xiaoni","non-dropping-particle":"","parse-names":false,"suffix":""},{"dropping-particle":"","family":"Cen","given":"Xiaobo","non-dropping-particle":"","parse-names":false,"suffix":""},{"dropping-particle":"","family":"Zhao","given":"Ying-Lan Lan","non-dropping-particle":"","parse-names":false,"suffix":""}],"container-title":"Molecular Cancer","id":"ITEM-1","issue":"1","issued":{"date-parts":[["2013","4","4"]]},"page":"25","title":"1H-NMR based metabonomic profiling of human esophageal cancer tissue","type":"article-journal","volume":"12"},"uris":["http://www.mendeley.com/documents/?uuid=bcc64550-7d67-45d2-b87c-46ffeecd32f4"]}],"mendeley":{"formattedCitation":"[4]","plainTextFormattedCitation":"[4]","previouslyFormattedCitation":"[4]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w:t>
            </w:r>
            <w:r w:rsidRPr="00DF6C69">
              <w:rPr>
                <w:rFonts w:cs="Times New Roman"/>
                <w:sz w:val="18"/>
                <w:szCs w:val="18"/>
              </w:rPr>
              <w:fldChar w:fldCharType="end"/>
            </w:r>
            <w:r w:rsidRPr="00DF6C69">
              <w:rPr>
                <w:rFonts w:cs="Times New Roman"/>
                <w:sz w:val="18"/>
                <w:szCs w:val="18"/>
              </w:rPr>
              <w:t xml:space="preserve">, lysine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{"citationItems":[{"id":"ITEM-1","itemData":{"DOI":"10.1016/j.biocel.2012.06.025","ISSN":"13572725","abstract":"A better understanding of molecular pathways involved in malignant transformation of head and neck squamous cell carcinoma (HNSCC) is essential for the development of novel and efficient anti-cancer drugs. To delineate the global metabolism of HNSCC, we report 1H NMR-based metabolic profiling of HNSCC cells from five different patients that were derived from various sites of the upper aerodigestive tract, including the floor of mouth, tongue and larynx. Primary cultures of normal human oral keratinocytes (NHOK) from three different donors were used for comparison. 1H NMR spectra of polar and non-polar extracts of cells were used to identify more than thirty-five metabolites. Principal component analysis performed on the NMR data revealed a clear classification of NHOK and HNSCC cells. HNSCC cells exhibited significantly altered levels of various metabolites that clearly revealed dysregulation in multiple metabolic events, including Warburg effect, oxidative phosphorylation, energy metabolism, TCA cycle anaplerotic flux, glutaminolysis, hexosamine pathway, osmo-regulatory and anti-oxidant mechanism. In addition, significant alterations in the ratios of phosphatidylcholine/ lysophosphatidylcholine and phosphocholine/glycerophosphocholine, and elevated arachidonic acid observed in HNSCC cells reveal an altered membrane choline phospholipid metabolism (MCPM). Furthermore, significantly increased activity of phospholipase A2 (PLA2), particularly cytosolic PLA 2 (cPLA2) observed in all the HNSCC cells confirm an altered MCPM. In summary, the metabolomic findings presented here can be useful to further elucidate the biological aspects that lead to HNSCC, and also provide a rational basis for monitoring molecular mechanisms in response to chemotherapy. Moreover, cPLA2 may serve as a potential therapeutic target for anti-cancer therapy of HNSCC. © 2012 Elsevier Ltd.","author":[{"dropping-particle":"","family":"Tripathi","given":"Pratima","non-dropping-particle":"","parse-names":false,"suffix":""},{"dropping-particle":"","family":"Kamarajan","given":"Pachiyappan","non-dropping-particle":"","parse-names":false,"suffix":""},{"dropping-particle":"","family":"Somashekar","given":"Bagganahalli S.","non-dropping-particle":"","parse-names":false,"suffix":""},{"dropping-particle":"","family":"MacKinnon","given":"Neil","non-dropping-particle":"","parse-names":false,"suffix":""},{"dropping-particle":"","family":"Chinnaiyan","given":"Arul M.","non-dropping-particle":"","parse-names":false,"suffix":""},{"dropping-particle":"","family":"Kapila","given":"Yvonne L.","non-dropping-particle":"","parse-names":false,"suffix":""},{"dropping-particle":"","family":"Rajendiran","given":"Thekkelnaycke M.","non-dropping-particle":"","parse-names":false,"suffix":""},{"dropping-particle":"","family":"Ramamoorthy","given":"Ayyalusamy","non-dropping-particle":"","parse-names":false,"suffix":""}],"container-title":"International Journal of Biochemistry and Cell Biology","id":"ITEM-1","issue":"11","issued":{"date-parts":[["2012","11"]]},"page":"1852-1861","title":"Delineating metabolic signatures of head and neck squamous cell carcinoma: Phospholipase A2, a potential therapeutic target","type":"article-journal","volume":"44"},"uris":["http://www.mendeley.com/documents/?uuid=53e7784b-0ca1-32e9-9c59-f116e3db4270"]}],"mendeley":{"formattedCitation":"[32]","plainTextFormattedCitation":"[32]","previouslyFormattedCitation":"[32]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[32]</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lysophosphatidylcholine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{"citationItems":[{"id":"ITEM-1","itemData":{"DOI":"10.3748/wjg.v19.i26.4200","ISSN":"10079327","abstract":"Aim: To investigate the metabolic profiles of xenograft pancreatic cancer before and after radiotherapy by high-resolution magic angle spinning proton magnetic resonance spectroscopy (HRMAS 1H NMR) combined with principal components analysis (PCA) and evaluate the radiotherapeutic effect. Methods: The nude mouse xenograft model of human pancreatic cancer was established by injecting human pancreatic cancer cell SW1990 subcutaneously into the nude mice. When the tumors volume reached 800 mm3, the mice received various radiation doses. Two weeks later, tumor tissue sections were prepared for running the NMR measurements. 1H NMR and PCA were used to determine the changes in the metabolic profiles of tumor tissues after radiotherapy. Metabolic profiles of normal pancreas, pancreatic tumor tissues, and radiation- treated pancreatic tumor tissues were compared. Results: Compared with 1H NMR spectra of the normal nude mouse pancreas, the levels of choline, taurine, alanine, isoleucine, leucine, valine, lactate, and glutamic acid of the pancreatic cancer group were increased, whereas an opposite trend for phosphocholine, glycerophosphocholine, and betaine was observed. The ratio of phosphocholine to creatine, and glycerophosphocholine to creatine showed noticeable decrease in the pancreatic cancer group. After further evaluation of the tissue metabolic profile after treatment with three different radiation doses, no significant change in metabolites was observed in the 1H NMR spectra, while the inhibition of tumor growth was in proportion to the radiation doses. However, PCA results showed that the levels of choline and betaine were decreased with the increased radiation dose, and conversely, the level of acetic acid was dramatically increased. Conclusion: The combined methods were demonstrated to have the potential for allowing early diagnosis and assessment of pancreatic cancer response to radiotherapy. © 2013 Baishideng. All rights reserved.","author":[{"dropping-particle":"","family":"He","given":"Xin Hong","non-dropping-particle":"","parse-names":false,"suffix":""},{"dropping-particle":"","family":"Li","given":"Wen Tao","non-dropping-particle":"","parse-names":false,"suffix":""},{"dropping-particle":"","family":"Gu","given":"Ya Jia","non-dropping-particle":"","parse-names":false,"suffix":""},{"dropping-particle":"","family":"Yang","given":"Bao Feng","non-dropping-particle":"","parse-names":false,"suffix":""},{"dropping-particle":"","family":"Deng","given":"Hui Wen","non-dropping-particle":"","parse-names":false,"suffix":""},{"dropping-particle":"","family":"Yu","given":"Yi Hua","non-dropping-particle":"","parse-names":false,"suffix":""},{"dropping-particle":"","family":"Peng","given":"Wei Jun","non-dropping-particle":"","parse-names":false,"suffix":""}],"container-title":"World Journal of Gastroenterology","id":"ITEM-1","issue":"26","issued":{"date-parts":[["2013","7"]]},"page":"4200-4208","title":"Metabonomic studies of pancreatic cancer response to radiotherapy in a mouse xenograft model using magnetic resonance spectroscopy and principal components analysis","type":"article-journal","volume":"19"},"uris":["http://www.mendeley.com/documents/?uuid=011cef87-2a31-327a-9c6c-963380f08821"]}],"mendeley":{"formattedCitation":"[35]","plainTextFormattedCitation":"[35]","previouslyFormattedCitation":"[35]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[35]</w:t>
            </w:r>
            <w:r w:rsidRPr="00DF6C69">
              <w:rPr>
                <w:rFonts w:cs="Times New Roman"/>
                <w:sz w:val="18"/>
                <w:szCs w:val="18"/>
              </w:rPr>
              <w:fldChar w:fldCharType="end"/>
            </w:r>
            <w:r w:rsidRPr="00DF6C69">
              <w:rPr>
                <w:rFonts w:cs="Times New Roman"/>
                <w:sz w:val="18"/>
                <w:szCs w:val="18"/>
              </w:rPr>
              <w:t>, N-</w:t>
            </w:r>
            <w:proofErr w:type="spellStart"/>
            <w:r w:rsidRPr="00DF6C69">
              <w:rPr>
                <w:rFonts w:cs="Times New Roman"/>
                <w:sz w:val="18"/>
                <w:szCs w:val="18"/>
              </w:rPr>
              <w:t>methylalanine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{"citationItems":[{"id":"ITEM-1","itemData":{"DOI":"10.1016/j.biocel.2012.06.025","ISSN":"13572725","abstract":"A better understanding of molecular pathways involved in malignant transformation of head and neck squamous cell carcinoma (HNSCC) is essential for the development of novel and efficient anti-cancer drugs. To delineate the global metabolism of HNSCC, we report 1H NMR-based metabolic profiling of HNSCC cells from five different patients that were derived from various sites of the upper aerodigestive tract, including the floor of mouth, tongue and larynx. Primary cultures of normal human oral keratinocytes (NHOK) from three different donors were used for comparison. 1H NMR spectra of polar and non-polar extracts of cells were used to identify more than thirty-five metabolites. Principal component analysis performed on the NMR data revealed a clear classification of NHOK and HNSCC cells. HNSCC cells exhibited significantly altered levels of various metabolites that clearly revealed dysregulation in multiple metabolic events, including Warburg effect, oxidative phosphorylation, energy metabolism, TCA cycle anaplerotic flux, glutaminolysis, hexosamine pathway, osmo-regulatory and anti-oxidant mechanism. In addition, significant alterations in the ratios of phosphatidylcholine/ lysophosphatidylcholine and phosphocholine/glycerophosphocholine, and elevated arachidonic acid observed in HNSCC cells reveal an altered membrane choline phospholipid metabolism (MCPM). Furthermore, significantly increased activity of phospholipase A2 (PLA2), particularly cytosolic PLA 2 (cPLA2) observed in all the HNSCC cells confirm an altered MCPM. In summary, the metabolomic findings presented here can be useful to further elucidate the biological aspects that lead to HNSCC, and also provide a rational basis for monitoring molecular mechanisms in response to chemotherapy. Moreover, cPLA2 may serve as a potential therapeutic target for anti-cancer therapy of HNSCC. © 2012 Elsevier Ltd.","author":[{"dropping-particle":"","family":"Tripathi","given":"Pratima","non-dropping-particle":"","parse-names":false,"suffix":""},{"dropping-particle":"","family":"Kamarajan","given":"Pachiyappan","non-dropping-particle":"","parse-names":false,"suffix":""},{"dropping-particle":"","family":"Somashekar","given":"Bagganahalli S.","non-dropping-particle":"","parse-names":false,"suffix":""},{"dropping-particle":"","family":"MacKinnon","given":"Neil","non-dropping-particle":"","parse-names":false,"suffix":""},{"dropping-particle":"","family":"Chinnaiyan","given":"Arul M.","non-dropping-particle":"","parse-names":false,"suffix":""},{"dropping-particle":"","family":"Kapila","given":"Yvonne L.","non-dropping-particle":"","parse-names":false,"suffix":""},{"dropping-particle":"","family":"Rajendiran","given":"Thekkelnaycke M.","non-dropping-particle":"","parse-names":false,"suffix":""},{"dropping-particle":"","family":"Ramamoorthy","given":"Ayyalusamy","non-dropping-particle":"","parse-names":false,"suffix":""}],"container-title":"International Journal of Biochemistry and Cell Biology","id":"ITEM-1","issue":"11","issued":{"date-parts":[["2012","11"]]},"page":"1852-1861","title":"Delineating metabolic signatures of head and neck squamous cell carcinoma: Phospholipase A2, a potential therapeutic target","type":"article-journal","volume":"44"},"uris":["http://www.mendeley.com/documents/?uuid=53e7784b-0ca1-32e9-9c59-f116e3db4270"]}],"mendeley":{"formattedCitation":"[32]","plainTextFormattedCitation":"[32]","previouslyFormattedCitation":"[32]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[32]</w:t>
            </w:r>
            <w:r w:rsidRPr="00DF6C69">
              <w:rPr>
                <w:rFonts w:cs="Times New Roman"/>
                <w:sz w:val="18"/>
                <w:szCs w:val="18"/>
              </w:rPr>
              <w:fldChar w:fldCharType="end"/>
            </w:r>
            <w:r w:rsidRPr="00DF6C69">
              <w:rPr>
                <w:rFonts w:cs="Times New Roman"/>
                <w:sz w:val="18"/>
                <w:szCs w:val="18"/>
              </w:rPr>
              <w:t xml:space="preserve">, phenylalanine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{"citationItems":[{"id":"ITEM-1","itemData":{"DOI":"10.1016/j.biocel.2012.06.025","ISSN":"13572725","abstract":"A better understanding of molecular pathways involved in malignant transformation of head and neck squamous cell carcinoma (HNSCC) is essential for the development of novel and efficient anti-cancer drugs. To delineate the global metabolism of HNSCC, we report 1H NMR-based metabolic profiling of HNSCC cells from five different patients that were derived from various sites of the upper aerodigestive tract, including the floor of mouth, tongue and larynx. Primary cultures of normal human oral keratinocytes (NHOK) from three different donors were used for comparison. 1H NMR spectra of polar and non-polar extracts of cells were used to identify more than thirty-five metabolites. Principal component analysis performed on the NMR data revealed a clear classification of NHOK and HNSCC cells. HNSCC cells exhibited significantly altered levels of various metabolites that clearly revealed dysregulation in multiple metabolic events, including Warburg effect, oxidative phosphorylation, energy metabolism, TCA cycle anaplerotic flux, glutaminolysis, hexosamine pathway, osmo-regulatory and anti-oxidant mechanism. In addition, significant alterations in the ratios of phosphatidylcholine/ lysophosphatidylcholine and phosphocholine/glycerophosphocholine, and elevated arachidonic acid observed in HNSCC cells reveal an altered membrane choline phospholipid metabolism (MCPM). Furthermore, significantly increased activity of phospholipase A2 (PLA2), particularly cytosolic PLA 2 (cPLA2) observed in all the HNSCC cells confirm an altered MCPM. In summary, the metabolomic findings presented here can be useful to further elucidate the biological aspects that lead to HNSCC, and also provide a rational basis for monitoring molecular mechanisms in response to chemotherapy. Moreover, cPLA2 may serve as a potential therapeutic target for anti-cancer therapy of HNSCC. © 2012 Elsevier Ltd.","author":[{"dropping-particle":"","family":"Tripathi","given":"Pratima","non-dropping-particle":"","parse-names":false,"suffix":""},{"dropping-particle":"","family":"Kamarajan","given":"Pachiyappan","non-dropping-particle":"","parse-names":false,"suffix":""},{"dropping-particle":"","family":"Somashekar","given":"Bagganahalli S.","non-dropping-particle":"","parse-names":false,"suffix":""},{"dropping-particle":"","family":"MacKinnon","given":"Neil","non-dropping-particle":"","parse-names":false,"suffix":""},{"dropping-particle":"","family":"Chinnaiyan","given":"Arul M.","non-dropping-particle":"","parse-names":false,"suffix":""},{"dropping-particle":"","family":"Kapila","given":"Yvonne L.","non-dropping-particle":"","parse-names":false,"suffix":""},{"dropping-particle":"","family":"Rajendiran","given":"Thekkelnaycke M.","non-dropping-particle":"","parse-names":false,"suffix":""},{"dropping-particle":"","family":"Ramamoorthy","given":"Ayyalusamy","non-dropping-particle":"","parse-names":false,"suffix":""}],"container-title":"International Journal of Biochemistry and Cell Biology","id":"ITEM-1","issue":"11","issued":{"date-parts":[["2012","11"]]},"page":"1852-1861","title":"Delineating metabolic signatures of head and neck squamous cell carcinoma: Phospholipase A2, a potential therapeutic target","type":"article-journal","volume":"44"},"uris":["http://www.mendeley.com/documents/?uuid=53e7784b-0ca1-32e9-9c59-f116e3db4270"]}],"mendeley":{"formattedCitation":"[32]","plainTextFormattedCitation":"[32]","previouslyFormattedCitation":"[32]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[32]</w:t>
            </w:r>
            <w:r w:rsidRPr="00DF6C69">
              <w:rPr>
                <w:rFonts w:cs="Times New Roman"/>
                <w:sz w:val="18"/>
                <w:szCs w:val="18"/>
              </w:rPr>
              <w:fldChar w:fldCharType="end"/>
            </w:r>
            <w:r w:rsidRPr="00DF6C69">
              <w:rPr>
                <w:rFonts w:cs="Times New Roman"/>
                <w:sz w:val="18"/>
                <w:szCs w:val="18"/>
              </w:rPr>
              <w:t xml:space="preserve">, phosphatidylcholine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{"citationItems":[{"id":"ITEM-1","itemData":{"DOI":"10.3748/wjg.v19.i26.4200","ISSN":"10079327","abstract":"Aim: To investigate the metabolic profiles of xenograft pancreatic cancer before and after radiotherapy by high-resolution magic angle spinning proton magnetic resonance spectroscopy (HRMAS 1H NMR) combined with principal components analysis (PCA) and evaluate the radiotherapeutic effect. Methods: The nude mouse xenograft model of human pancreatic cancer was established by injecting human pancreatic cancer cell SW1990 subcutaneously into the nude mice. When the tumors volume reached 800 mm3, the mice received various radiation doses. Two weeks later, tumor tissue sections were prepared for running the NMR measurements. 1H NMR and PCA were used to determine the changes in the metabolic profiles of tumor tissues after radiotherapy. Metabolic profiles of normal pancreas, pancreatic tumor tissues, and radiation- treated pancreatic tumor tissues were compared. Results: Compared with 1H NMR spectra of the normal nude mouse pancreas, the levels of choline, taurine, alanine, isoleucine, leucine, valine, lactate, and glutamic acid of the pancreatic cancer group were increased, whereas an opposite trend for phosphocholine, glycerophosphocholine, and betaine was observed. The ratio of phosphocholine to creatine, and glycerophosphocholine to creatine showed noticeable decrease in the pancreatic cancer group. After further evaluation of the tissue metabolic profile after treatment with three different radiation doses, no significant change in metabolites was observed in the 1H NMR spectra, while the inhibition of tumor growth was in proportion to the radiation doses. However, PCA results showed that the levels of choline and betaine were decreased with the increased radiation dose, and conversely, the level of acetic acid was dramatically increased. Conclusion: The combined methods were demonstrated to have the potential for allowing early diagnosis and assessment of pancreatic cancer response to radiotherapy. © 2013 Baishideng. All rights reserved.","author":[{"dropping-particle":"","family":"He","given":"Xin Hong","non-dropping-particle":"","parse-names":false,"suffix":""},{"dropping-particle":"","family":"Li","given":"Wen Tao","non-dropping-particle":"","parse-names":false,"suffix":""},{"dropping-particle":"","family":"Gu","given":"Ya Jia","non-dropping-particle":"","parse-names":false,"suffix":""},{"dropping-particle":"","family":"Yang","given":"Bao Feng","non-dropping-particle":"","parse-names":false,"suffix":""},{"dropping-particle":"","family":"Deng","given":"Hui Wen","non-dropping-particle":"","parse-names":false,"suffix":""},{"dropping-particle":"","family":"Yu","given":"Yi Hua","non-dropping-particle":"","parse-names":false,"suffix":""},{"dropping-particle":"","family":"Peng","given":"Wei Jun","non-dropping-particle":"","parse-names":false,"suffix":""}],"container-title":"World Journal of Gastroenterology","id":"ITEM-1","issue":"26","issued":{"date-parts":[["2013","7"]]},"page":"4200-4208","title":"Metabonomic studies of pancreatic cancer response to radiotherapy in a mouse xenograft model using magnetic resonance spectroscopy and principal components analysis","type":"article-journal","volume":"19"},"uris":["http://www.mendeley.com/documents/?uuid=011cef87-2a31-327a-9c6c-963380f08821"]}],"mendeley":{"formattedCitation":"[35]","plainTextFormattedCitation":"[35]","previouslyFormattedCitation":"[35]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[35]</w:t>
            </w:r>
            <w:r w:rsidRPr="00DF6C69">
              <w:rPr>
                <w:rFonts w:cs="Times New Roman"/>
                <w:sz w:val="18"/>
                <w:szCs w:val="18"/>
              </w:rPr>
              <w:fldChar w:fldCharType="end"/>
            </w:r>
            <w:r w:rsidRPr="00DF6C69">
              <w:rPr>
                <w:rFonts w:cs="Times New Roman"/>
                <w:sz w:val="18"/>
                <w:szCs w:val="18"/>
              </w:rPr>
              <w:t xml:space="preserve">, phosphocholine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{"citationItems":[{"id":"ITEM-1","itemData":{"DOI":"10.1016/j.jhep.2009.11.002","ISSN":"01688278","abstract":"Background &amp; Aims: Biliary tract cancer is highly lethal at presentation, with increasing mortality worldwide. Current diagnostic measures employing multiple criteria such as imaging, cytology, and serum tumor markers are not satisfactory, and a new diagnostic tool is needed. Because bile is a cognate metabolite-rich bio-fluid in the biliary ductal system, we tested a new metabolomic approach to develop an effective diagnostic tool. Methods: Biles were collected prospectively from patients with cancer (n = 17) or benign biliary tract diseases (n = 21) with percutaneous or endoscopic methods. Nuclear magnetic resonance spectra (NMR) of these biles were analyzed using orthogonal partial least square discriminant analysis (OPLS-DA). Results: The metabolomic 2-D score plot showed good separation between cancer and benign groups. The contributing NMR signals were analyzed using a statistical TOCSY approach. The diagnostic performance assessed by leave-one-out analysis exhibited 88% sensitivity and 81% specificity, better than the conventional markers (CEA, CA19-9, and bile cytology). Conclusion: The NMR-based metabolomics approach provides good performance in discriminating cancer and benign biliary duct diseases. The excellent predictability of the method suggests that it can, at least, augment the currently available diagnostic approaches. © 2009 European Association for the Study of the Liver.","author":[{"dropping-particle":"","family":"Wen","given":"He","non-dropping-particle":"","parse-names":false,"suffix":""},{"dropping-particle":"","family":"Yoo","given":"Sung Soo","non-dropping-particle":"","parse-names":false,"suffix":""},{"dropping-particle":"","family":"Kang","given":"Jinho","non-dropping-particle":"","parse-names":false,"suffix":""},{"dropping-particle":"","family":"Kim","given":"Hee Goo","non-dropping-particle":"","parse-names":false,"suffix":""},{"dropping-particle":"","family":"Park","given":"Jin Seok","non-dropping-particle":"","parse-names":false,"suffix":""},{"dropping-particle":"","family":"Jeong","given":"Seok","non-dropping-particle":"","parse-names":false,"suffix":""},{"dropping-particle":"Il","family":"Lee","given":"Jung","non-dropping-particle":"","parse-names":false,"suffix":""},{"dropping-particle":"","family":"Kwon","given":"Hyuk Nam","non-dropping-particle":"","parse-names":false,"suffix":""},{"dropping-particle":"","family":"Kang","given":"Sunmi","non-dropping-particle":"","parse-names":false,"suffix":""},{"dropping-particle":"","family":"Lee","given":"Don Haeng","non-dropping-particle":"","parse-names":false,"suffix":""},{"dropping-particle":"","family":"Park","given":"Sunghyouk","non-dropping-particle":"","parse-names":false,"suffix":""}],"container-title":"Journal of Hepatology","id":"ITEM-1","issue":"2","issued":{"date-parts":[["2010","2"]]},"page":"228-233","title":"A new NMR-based metabolomics approach for the diagnosis of biliary tract cancer","type":"article-journal","volume":"52"},"uris":["http://www.mendeley.com/documents/?uuid=14639ef3-6d45-3b10-8821-956a22351376"]}],"mendeley":{"formattedCitation":"[34]","plainTextFormattedCitation":"[34]","previouslyFormattedCitation":"[34]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[34]</w:t>
            </w:r>
            <w:r w:rsidRPr="00DF6C69">
              <w:rPr>
                <w:rFonts w:cs="Times New Roman"/>
                <w:sz w:val="18"/>
                <w:szCs w:val="18"/>
              </w:rPr>
              <w:fldChar w:fldCharType="end"/>
            </w:r>
            <w:r w:rsidRPr="00DF6C69">
              <w:rPr>
                <w:rFonts w:cs="Times New Roman"/>
                <w:sz w:val="18"/>
                <w:szCs w:val="18"/>
              </w:rPr>
              <w:t xml:space="preserve">, sphingolipid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{"citationItems":[{"id":"ITEM-1","itemData":{"DOI":"10.1007/s10620-013-2873-9","ISSN":"01632116","abstract":"Background: The worldwide prevalences of nonalcoholic fatty liver disease (NAFLD) and nonalcoholic steatohepatitis (NASH) are estimated to range from 30 to 40 % and 5-17 %, respectively. Hepatocellular carcinoma (HCC) is primarily caused by hepatitis B infection, but retrospective data suggest that 4-29 % of NASH cases will progress to HCC. Currently the connection between NASH and HCC is unclear. Aims: The purpose of this study was to identify changes in expression of HCC-related genes and metabolite profiles in NAFLD progression. Methods: Transcriptomic and metabolomic datasets from human liver tissue representing NAFLD progression (normal, steatosis, NASH) were utilized and compared to published data for HCC. Results: Genes involved in Wnt signaling were downregulated in NASH but have been reported to be upregulated in HCC. Extracellular matrix/angiogenesis genes were upregulated in NASH, similar to reports in HCC. Iron homeostasis is known to be perturbed in HCC and we observed downregulation of genes in this pathway. In the metabolomics analysis of hepatic NAFLD samples, several changes were opposite to what has been reported in plasma of HCC patients (lysine, phenylalanine, citrulline, creatine, creatinine, glycodeoxycholic acid, inosine, and alpha-ketoglutarate). In contrast, multiple acyl-lyso-phosphatidylcholine metabolites were downregulated in NASH livers, consistent with observations in HCC patient plasma. Conclusions: These data indicate an overlap in the pathogenesis of NAFLD and HCC where several classes of HCC related genes and metabolites are altered in NAFLD. Importantly, Wnt signaling and several metabolites are different, thus implicating these genes and metabolites as mediators in the transition from NASH to HCC. © 2013 Springer Science+Business Media New York.","author":[{"dropping-particle":"","family":"Clarke","given":"John D.","non-dropping-particle":"","parse-names":false,"suffix":""},{"dropping-particle":"","family":"Novak","given":"Petr","non-dropping-particle":"","parse-names":false,"suffix":""},{"dropping-particle":"","family":"Lake","given":"April D.","non-dropping-particle":"","parse-names":false,"suffix":""},{"dropping-particle":"","family":"Shipkova","given":"Petia","non-dropping-particle":"","parse-names":false,"suffix":""},{"dropping-particle":"","family":"Aranibar","given":"Nelly","non-dropping-particle":"","parse-names":false,"suffix":""},{"dropping-particle":"","family":"Robertson","given":"Donald","non-dropping-particle":"","parse-names":false,"suffix":""},{"dropping-particle":"","family":"Severson","given":"Paul L.","non-dropping-particle":"","parse-names":false,"suffix":""},{"dropping-particle":"","family":"Reily","given":"Michael D.","non-dropping-particle":"","parse-names":false,"suffix":""},{"dropping-particle":"","family":"Futscher","given":"Bernard W.","non-dropping-particle":"","parse-names":false,"suffix":""},{"dropping-particle":"","family":"Lehman-Mckeeman","given":"Lois D.","non-dropping-particle":"","parse-names":false,"suffix":""},{"dropping-particle":"","family":"Cherrington","given":"Nathan J.","non-dropping-particle":"","parse-names":false,"suffix":""}],"container-title":"Digestive Diseases and Sciences","id":"ITEM-1","issue":"2","issued":{"date-parts":[["2014","2"]]},"page":"365-374","title":"Characterization of hepatocellular carcinoma related genes and metabolites in human nonalcoholic fatty liver disease","type":"article-journal","volume":"59"},"uris":["http://www.mendeley.com/documents/?uuid=1097e8d0-d865-31f9-bf24-f899d8db3e88"]}],"mendeley":{"formattedCitation":"[33]","plainTextFormattedCitation":"[33]","previouslyFormattedCitation":"[33]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[33]</w:t>
            </w:r>
            <w:r w:rsidRPr="00DF6C69">
              <w:rPr>
                <w:rFonts w:cs="Times New Roman"/>
                <w:sz w:val="18"/>
                <w:szCs w:val="18"/>
              </w:rPr>
              <w:fldChar w:fldCharType="end"/>
            </w:r>
            <w:r w:rsidRPr="00DF6C69">
              <w:rPr>
                <w:rFonts w:cs="Times New Roman"/>
                <w:sz w:val="18"/>
                <w:szCs w:val="18"/>
              </w:rPr>
              <w:t xml:space="preserve">, sphingomyelin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{"citationItems":[{"id":"ITEM-1","itemData":{"DOI":"10.3748/wjg.v19.i26.4200","ISSN":"10079327","abstract":"Aim: To investigate the metabolic profiles of xenograft pancreatic cancer before and after radiotherapy by high-resolution magic angle spinning proton magnetic resonance spectroscopy (HRMAS 1H NMR) combined with principal components analysis (PCA) and evaluate the radiotherapeutic effect. Methods: The nude mouse xenograft model of human pancreatic cancer was established by injecting human pancreatic cancer cell SW1990 subcutaneously into the nude mice. When the tumors volume reached 800 mm3, the mice received various radiation doses. Two weeks later, tumor tissue sections were prepared for running the NMR measurements. 1H NMR and PCA were used to determine the changes in the metabolic profiles of tumor tissues after radiotherapy. Metabolic profiles of normal pancreas, pancreatic tumor tissues, and radiation- treated pancreatic tumor tissues were compared. Results: Compared with 1H NMR spectra of the normal nude mouse pancreas, the levels of choline, taurine, alanine, isoleucine, leucine, valine, lactate, and glutamic acid of the pancreatic cancer group were increased, whereas an opposite trend for phosphocholine, glycerophosphocholine, and betaine was observed. The ratio of phosphocholine to creatine, and glycerophosphocholine to creatine showed noticeable decrease in the pancreatic cancer group. After further evaluation of the tissue metabolic profile after treatment with three different radiation doses, no significant change in metabolites was observed in the 1H NMR spectra, while the inhibition of tumor growth was in proportion to the radiation doses. However, PCA results showed that the levels of choline and betaine were decreased with the increased radiation dose, and conversely, the level of acetic acid was dramatically increased. Conclusion: The combined methods were demonstrated to have the potential for allowing early diagnosis and assessment of pancreatic cancer response to radiotherapy. © 2013 Baishideng. All rights reserved.","author":[{"dropping-particle":"","family":"He","given":"Xin Hong","non-dropping-particle":"","parse-names":false,"suffix":""},{"dropping-particle":"","family":"Li","given":"Wen Tao","non-dropping-particle":"","parse-names":false,"suffix":""},{"dropping-particle":"","family":"Gu","given":"Ya Jia","non-dropping-particle":"","parse-names":false,"suffix":""},{"dropping-particle":"","family":"Yang","given":"Bao Feng","non-dropping-particle":"","parse-names":false,"suffix":""},{"dropping-particle":"","family":"Deng","given":"Hui Wen","non-dropping-particle":"","parse-names":false,"suffix":""},{"dropping-particle":"","family":"Yu","given":"Yi Hua","non-dropping-particle":"","parse-names":false,"suffix":""},{"dropping-particle":"","family":"Peng","given":"Wei Jun","non-dropping-particle":"","parse-names":false,"suffix":""}],"container-title":"World Journal of Gastroenterology","id":"ITEM-1","issue":"26","issued":{"date-parts":[["2013","7"]]},"page":"4200-4208","title":"Metabonomic studies of pancreatic cancer response to radiotherapy in a mouse xenograft model using magnetic resonance spectroscopy and principal components analysis","type":"article-journal","volume":"19"},"uris":["http://www.mendeley.com/documents/?uuid=011cef87-2a31-327a-9c6c-963380f08821"]}],"mendeley":{"formattedCitation":"[35]","plainTextFormattedCitation":"[35]","previouslyFormattedCitation":"[35]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[35]</w:t>
            </w:r>
            <w:r w:rsidRPr="00DF6C69">
              <w:rPr>
                <w:rFonts w:cs="Times New Roman"/>
                <w:sz w:val="18"/>
                <w:szCs w:val="18"/>
              </w:rPr>
              <w:fldChar w:fldCharType="end"/>
            </w:r>
            <w:r w:rsidRPr="00DF6C69">
              <w:rPr>
                <w:rFonts w:cs="Times New Roman"/>
                <w:sz w:val="18"/>
                <w:szCs w:val="18"/>
              </w:rPr>
              <w:t xml:space="preserve">,  taurine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{"citationItems":[{"id":"ITEM-1","itemData":{"DOI":"10.1186/1476-4598-12-25","abstract":"Background: The biomarker identification of human esophageal cancer is critical for its early diagnosis and therapeutic approaches that will significantly improve patient survival. Specially, those that involves in progression of disease would be helpful to mechanism research.Methods: In the present study, we investigated the distinguishing metabolites in human esophageal cancer tissues (n = 89) and normal esophageal mucosae (n = 26) using a 1H nuclear magnetic resonance (1H-NMR) based assay, which is a highly sensitive and non-destructive method for biomarker identification in biological systems. Principal component analysis (PCA), partial least squares-discriminant analysis (PLS-DA) and orthogonal partial least-squares-discriminant anlaysis (OPLS-DA) were applied to analyse 1H-NMR profiling data to identify potential biomarkers.Results: The constructed OPLS-DA model achieved an excellent separation of the esophageal cancer tissues and normal mucosae. Excellent separation was obtained between the different stages of esophageal cancer tissues (stage II = 28; stage III = 45 and stage IV = 16) and normal mucosae. A total of 45 metabolites were identified, and 12 of them were closely correlated with the stage of esophageal cancer. The downregulation of glucose, AMP and NAD, upregulation of formate indicated the large energy requirement due to accelerated cell proliferation in esophageal cancer. The increases in acetate, short-chain fatty acid and GABA in esophageal cancer tissue revealed the activation of fatty acids metabolism, which could satisfy the need for cellular membrane formation. Other modified metabolites were involved in choline metabolic pathway, including creatinine, creatine, DMG, DMA and TMA. These 12 metabolites, which are involved in energy, fatty acids and choline metabolism, may be associated with the progression of human esophageal cancer.Conclusion: Our findings firstly identify the distinguishing metabolites in different stages of esophageal cancer tissues, indicating the attribution of metabolites disturbance to the progression of esophageal cancer. The potential biomarkers provide a promising molecular diagnostic approach for clinical diagnosis of human esophageal cancer and a new direction for the mechanism study. © 2013 Wang et al.; licensee BioMed Central Ltd.","author":[{"dropping-particle":"","family":"Wang","given":"Liang","non-dropping-particle":"","parse-names":false,"suffix":""},{"dropping-particle":"","family":"Chen","given":"Jie","non-dropping-particle":"","parse-names":false,"suffix":""},{"dropping-particle":"","family":"Chen","given":"Longqi","non-dropping-particle":"","parse-names":false,"suffix":""},{"dropping-particle":"","family":"Deng","given":"Pengchi","non-dropping-particle":"","parse-names":false,"suffix":""},{"dropping-particle":"","family":"bu","given":"Qian","non-dropping-particle":"","parse-names":false,"suffix":""},{"dropping-particle":"","family":"Xiang","given":"Pu","non-dropping-particle":"","parse-names":false,"suffix":""},{"dropping-particle":"","family":"Li","given":"Manli","non-dropping-particle":"","parse-names":false,"suffix":""},{"dropping-particle":"","family":"Lu","given":"Wenjie","non-dropping-particle":"","parse-names":false,"suffix":""},{"dropping-particle":"","family":"Xu","given":"Youzhi","non-dropping-particle":"","parse-names":false,"suffix":""},{"dropping-particle":"","family":"Lin","given":"Hongjun","non-dropping-particle":"","parse-names":false,"suffix":""},{"dropping-particle":"","family":"Wu","given":"Tianming","non-dropping-particle":"","parse-names":false,"suffix":""},{"dropping-particle":"","family":"Wang","given":"Huijuan","non-dropping-particle":"","parse-names":false,"suffix":""},{"dropping-particle":"","family":"Hu","given":"Jing","non-dropping-particle":"","parse-names":false,"suffix":""},{"dropping-particle":"","family":"Shao","given":"Xiaoni","non-dropping-particle":"","parse-names":false,"suffix":""},{"dropping-particle":"","family":"Cen","given":"Xiaobo","non-dropping-particle":"","parse-names":false,"suffix":""},{"dropping-particle":"","family":"Zhao","given":"Ying-Lan Lan","non-dropping-particle":"","parse-names":false,"suffix":""}],"container-title":"Molecular Cancer","id":"ITEM-1","issue":"1","issued":{"date-parts":[["2013","4","4"]]},"page":"25","title":"1H-NMR based metabonomic profiling of human esophageal cancer tissue","type":"article-journal","volume":"12"},"uris":["http://www.mendeley.com/documents/?uuid=bcc64550-7d67-45d2-b87c-46ffeecd32f4"]}],"mendeley":{"formattedCitation":"[4]","plainTextFormattedCitation":"[4]","previouslyFormattedCitation":"[4]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tauro</w:t>
            </w:r>
            <w:proofErr w:type="spellEnd"/>
            <w:r w:rsidRPr="00DF6C69">
              <w:rPr>
                <w:rFonts w:cs="Times New Roman"/>
                <w:sz w:val="18"/>
                <w:szCs w:val="18"/>
              </w:rPr>
              <w:t>(</w:t>
            </w:r>
            <w:proofErr w:type="spellStart"/>
            <w:r w:rsidRPr="00DF6C69">
              <w:rPr>
                <w:rFonts w:cs="Times New Roman"/>
                <w:sz w:val="18"/>
                <w:szCs w:val="18"/>
              </w:rPr>
              <w:t>ursodeoxy</w:t>
            </w:r>
            <w:proofErr w:type="spellEnd"/>
            <w:r w:rsidRPr="00DF6C69">
              <w:rPr>
                <w:rFonts w:cs="Times New Roman"/>
                <w:sz w:val="18"/>
                <w:szCs w:val="18"/>
              </w:rPr>
              <w:t xml:space="preserve">)cholic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{"citationItems":[{"id":"ITEM-1","itemData":{"DOI":"10.1016/j.biocel.2012.06.025","ISSN":"13572725","abstract":"A better understanding of molecular pathways involved in malignant transformation of head and neck squamous cell carcinoma (HNSCC) is essential for the development of novel and efficient anti-cancer drugs. To delineate the global metabolism of HNSCC, we report 1H NMR-based metabolic profiling of HNSCC cells from five different patients that were derived from various sites of the upper aerodigestive tract, including the floor of mouth, tongue and larynx. Primary cultures of normal human oral keratinocytes (NHOK) from three different donors were used for comparison. 1H NMR spectra of polar and non-polar extracts of cells were used to identify more than thirty-five metabolites. Principal component analysis performed on the NMR data revealed a clear classification of NHOK and HNSCC cells. HNSCC cells exhibited significantly altered levels of various metabolites that clearly revealed dysregulation in multiple metabolic events, including Warburg effect, oxidative phosphorylation, energy metabolism, TCA cycle anaplerotic flux, glutaminolysis, hexosamine pathway, osmo-regulatory and anti-oxidant mechanism. In addition, significant alterations in the ratios of phosphatidylcholine/ lysophosphatidylcholine and phosphocholine/glycerophosphocholine, and elevated arachidonic acid observed in HNSCC cells reveal an altered membrane choline phospholipid metabolism (MCPM). Furthermore, significantly increased activity of phospholipase A2 (PLA2), particularly cytosolic PLA 2 (cPLA2) observed in all the HNSCC cells confirm an altered MCPM. In summary, the metabolomic findings presented here can be useful to further elucidate the biological aspects that lead to HNSCC, and also provide a rational basis for monitoring molecular mechanisms in response to chemotherapy. Moreover, cPLA2 may serve as a potential therapeutic target for anti-cancer therapy of HNSCC. © 2012 Elsevier Ltd.","author":[{"dropping-particle":"","family":"Tripathi","given":"Pratima","non-dropping-particle":"","parse-names":false,"suffix":""},{"dropping-particle":"","family":"Kamarajan","given":"Pachiyappan","non-dropping-particle":"","parse-names":false,"suffix":""},{"dropping-particle":"","family":"Somashekar","given":"Bagganahalli S.","non-dropping-particle":"","parse-names":false,"suffix":""},{"dropping-particle":"","family":"MacKinnon","given":"Neil","non-dropping-particle":"","parse-names":false,"suffix":""},{"dropping-particle":"","family":"Chinnaiyan","given":"Arul M.","non-dropping-particle":"","parse-names":false,"suffix":""},{"dropping-particle":"","family":"Kapila","given":"Yvonne L.","non-dropping-particle":"","parse-names":false,"suffix":""},{"dropping-particle":"","family":"Rajendiran","given":"Thekkelnaycke M.","non-dropping-particle":"","parse-names":false,"suffix":""},{"dropping-particle":"","family":"Ramamoorthy","given":"Ayyalusamy","non-dropping-particle":"","parse-names":false,"suffix":""}],"container-title":"International Journal of Biochemistry and Cell Biology","id":"ITEM-1","issue":"11","issued":{"date-parts":[["2012","11"]]},"page":"1852-1861","title":"Delineating metabolic signatures of head and neck squamous cell carcinoma: Phospholipase A2, a potential therapeutic target","type":"article-journal","volume":"44"},"uris":["http://www.mendeley.com/documents/?uuid=53e7784b-0ca1-32e9-9c59-f116e3db4270"]}],"mendeley":{"formattedCitation":"[32]","plainTextFormattedCitation":"[32]","previouslyFormattedCitation":"[32]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[32]</w:t>
            </w:r>
            <w:r w:rsidRPr="00DF6C69">
              <w:rPr>
                <w:rFonts w:cs="Times New Roman"/>
                <w:sz w:val="18"/>
                <w:szCs w:val="18"/>
              </w:rPr>
              <w:fldChar w:fldCharType="end"/>
            </w:r>
            <w:r w:rsidRPr="00DF6C69">
              <w:rPr>
                <w:rFonts w:cs="Times New Roman"/>
                <w:sz w:val="18"/>
                <w:szCs w:val="18"/>
              </w:rPr>
              <w:t xml:space="preserve">, valine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{"citationItems":[{"id":"ITEM-1","itemData":{"DOI":"10.1186/1476-4598-12-25","abstract":"Background: The biomarker identification of human esophageal cancer is critical for its early diagnosis and therapeutic approaches that will significantly improve patient survival. Specially, those that involves in progression of disease would be helpful to mechanism research.Methods: In the present study, we investigated the distinguishing metabolites in human esophageal cancer tissues (n = 89) and normal esophageal mucosae (n = 26) using a 1H nuclear magnetic resonance (1H-NMR) based assay, which is a highly sensitive and non-destructive method for biomarker identification in biological systems. Principal component analysis (PCA), partial least squares-discriminant analysis (PLS-DA) and orthogonal partial least-squares-discriminant anlaysis (OPLS-DA) were applied to analyse 1H-NMR profiling data to identify potential biomarkers.Results: The constructed OPLS-DA model achieved an excellent separation of the esophageal cancer tissues and normal mucosae. Excellent separation was obtained between the different stages of esophageal cancer tissues (stage II = 28; stage III = 45 and stage IV = 16) and normal mucosae. A total of 45 metabolites were identified, and 12 of them were closely correlated with the stage of esophageal cancer. The downregulation of glucose, AMP and NAD, upregulation of formate indicated the large energy requirement due to accelerated cell proliferation in esophageal cancer. The increases in acetate, short-chain fatty acid and GABA in esophageal cancer tissue revealed the activation of fatty acids metabolism, which could satisfy the need for cellular membrane formation. Other modified metabolites were involved in choline metabolic pathway, including creatinine, creatine, DMG, DMA and TMA. These 12 metabolites, which are involved in energy, fatty acids and choline metabolism, may be associated with the progression of human esophageal cancer.Conclusion: Our findings firstly identify the distinguishing metabolites in different stages of esophageal cancer tissues, indicating the attribution of metabolites disturbance to the progression of esophageal cancer. The potential biomarkers provide a promising molecular diagnostic approach for clinical diagnosis of human esophageal cancer and a new direction for the mechanism study. © 2013 Wang et al.; licensee BioMed Central Ltd.","author":[{"dropping-particle":"","family":"Wang","given":"Liang","non-dropping-particle":"","parse-names":false,"suffix":""},{"dropping-particle":"","family":"Chen","given":"Jie","non-dropping-particle":"","parse-names":false,"suffix":""},{"dropping-particle":"","family":"Chen","given":"Longqi","non-dropping-particle":"","parse-names":false,"suffix":""},{"dropping-particle":"","family":"Deng","given":"Pengchi","non-dropping-particle":"","parse-names":false,"suffix":""},{"dropping-particle":"","family":"bu","given":"Qian","non-dropping-particle":"","parse-names":false,"suffix":""},{"dropping-particle":"","family":"Xiang","given":"Pu","non-dropping-particle":"","parse-names":false,"suffix":""},{"dropping-particle":"","family":"Li","given":"Manli","non-dropping-particle":"","parse-names":false,"suffix":""},{"dropping-particle":"","family":"Lu","given":"Wenjie","non-dropping-particle":"","parse-names":false,"suffix":""},{"dropping-particle":"","family":"Xu","given":"Youzhi","non-dropping-particle":"","parse-names":false,"suffix":""},{"dropping-particle":"","family":"Lin","given":"Hongjun","non-dropping-particle":"","parse-names":false,"suffix":""},{"dropping-particle":"","family":"Wu","given":"Tianming","non-dropping-particle":"","parse-names":false,"suffix":""},{"dropping-particle":"","family":"Wang","given":"Huijuan","non-dropping-particle":"","parse-names":false,"suffix":""},{"dropping-particle":"","family":"Hu","given":"Jing","non-dropping-particle":"","parse-names":false,"suffix":""},{"dropping-particle":"","family":"Shao","given":"Xiaoni","non-dropping-particle":"","parse-names":false,"suffix":""},{"dropping-particle":"","family":"Cen","given":"Xiaobo","non-dropping-particle":"","parse-names":false,"suffix":""},{"dropping-particle":"","family":"Zhao","given":"Ying-Lan Lan","non-dropping-particle":"","parse-names":false,"suffix":""}],"container-title":"Molecular Cancer","id":"ITEM-1","issue":"1","issued":{"date-parts":[["2013","4","4"]]},"page":"25","title":"1H-NMR based metabonomic profiling of human esophageal cancer tissue","type":"article-journal","volume":"12"},"uris":["http://www.mendeley.com/documents/?uuid=bcc64550-7d67-45d2-b87c-46ffeecd32f4"]}],"mendeley":{"formattedCitation":"[4]","plainTextFormattedCitation":"[4]","previouslyFormattedCitation":"[4]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w:t>
            </w:r>
            <w:r w:rsidRPr="00DF6C69">
              <w:rPr>
                <w:rFonts w:cs="Times New Roman"/>
                <w:sz w:val="18"/>
                <w:szCs w:val="18"/>
              </w:rPr>
              <w:fldChar w:fldCharType="end"/>
            </w:r>
          </w:p>
        </w:tc>
      </w:tr>
      <w:tr w:rsidR="00521E89" w:rsidRPr="00DF6C69" w14:paraId="54A65DDB" w14:textId="77777777" w:rsidTr="000765CF">
        <w:trPr>
          <w:trHeight w:val="438"/>
        </w:trPr>
        <w:tc>
          <w:tcPr>
            <w:tcW w:w="1418" w:type="dxa"/>
            <w:vMerge w:val="restart"/>
            <w:shd w:val="clear" w:color="auto" w:fill="FFF2CC" w:themeFill="accent4" w:themeFillTint="33"/>
            <w:vAlign w:val="center"/>
          </w:tcPr>
          <w:p w14:paraId="58DA7360" w14:textId="77777777" w:rsidR="00521E89" w:rsidRPr="00DF6C69" w:rsidRDefault="00521E89" w:rsidP="000765CF">
            <w:pPr>
              <w:rPr>
                <w:rFonts w:cs="Times New Roman"/>
                <w:b/>
                <w:sz w:val="18"/>
                <w:szCs w:val="18"/>
              </w:rPr>
            </w:pPr>
            <w:r w:rsidRPr="00DF6C69">
              <w:rPr>
                <w:rFonts w:cs="Times New Roman"/>
                <w:b/>
                <w:sz w:val="18"/>
                <w:szCs w:val="18"/>
              </w:rPr>
              <w:t>Ovarian, uterus, cervix</w:t>
            </w:r>
          </w:p>
        </w:tc>
        <w:tc>
          <w:tcPr>
            <w:tcW w:w="993" w:type="dxa"/>
            <w:vAlign w:val="center"/>
          </w:tcPr>
          <w:p w14:paraId="4F88FDFB" w14:textId="77777777" w:rsidR="00521E89" w:rsidRPr="00DF6C69" w:rsidRDefault="00521E89" w:rsidP="000765CF">
            <w:pPr>
              <w:rPr>
                <w:rFonts w:cs="Times New Roman"/>
                <w:sz w:val="18"/>
                <w:szCs w:val="18"/>
              </w:rPr>
            </w:pPr>
            <w:r w:rsidRPr="00DF6C69">
              <w:rPr>
                <w:rFonts w:cs="Times New Roman"/>
                <w:sz w:val="18"/>
                <w:szCs w:val="18"/>
              </w:rPr>
              <w:t>Serum*</w:t>
            </w:r>
          </w:p>
        </w:tc>
        <w:tc>
          <w:tcPr>
            <w:tcW w:w="6945" w:type="dxa"/>
            <w:vAlign w:val="center"/>
          </w:tcPr>
          <w:p w14:paraId="55846F15" w14:textId="6E0D5437" w:rsidR="00521E89" w:rsidRPr="00DF6C69" w:rsidRDefault="00521E89" w:rsidP="000765CF">
            <w:pPr>
              <w:rPr>
                <w:rFonts w:cs="Times New Roman"/>
                <w:sz w:val="18"/>
                <w:szCs w:val="18"/>
              </w:rPr>
            </w:pPr>
            <w:r w:rsidRPr="00DF6C69">
              <w:rPr>
                <w:rFonts w:cs="Times New Roman"/>
                <w:sz w:val="18"/>
                <w:szCs w:val="18"/>
              </w:rPr>
              <w:t xml:space="preserve">2-Piperidinone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{"citationItems":[{"id":"ITEM-1","itemData":{"DOI":"10.1016/j.cca.2012.01.026","ISSN":"00098981","abstract":"Background: Discrimination between epithelial ovarian cancer (EOC) and benign ovarian tumor (BOT) has always been difficult in clinical practice. We investigated the application of metabolomics in distinguishing EOC and BOT and tried to discover valuable biomarkers. Methods: Plasma metabolomic profiling was performed using ultra-performance liquid chromatography mass spectrometry (UPLC/MS). Partial least-squares discriminant analysis was employed to classify EOC and BOT, and reveal their metabolic differences. The area under the receiver-operating characteristic curve (AUC) was utilized to evaluate the predictive performance of the metabolic profiles for external validation set. Results: The metabolomic profiles consisting of 535 metabolites revealed a clear separation between EOC and BOT, with AUC of 0.86 for the external validation set. 6 metabolic biomarkers were identified, and the plasma concentrations of the 4 ascertained biomarkers (L-tryptophan, LysoPC(18:3), LysoPC(14:0), and 2-Piperidinone) were lower in EOC patients than those in BOT patients. Among them, tryptophan and LysoPC have been suspected to participate in cancer progression, and 2-Piperidinone might be a novel biomarker for EOC. Conclusions: Metabolomics could be used to discriminate EOC from BOT in clinical practice, and the identified metabolic biomarkers might be important on investigating the biological mechanisms of EOC. © 2012 Elsevier B.V.","author":[{"dropping-particle":"","family":"Zhang","given":"Tao","non-dropping-particle":"","parse-names":false,"suffix":""},{"dropping-particle":"","family":"Wu","given":"Xiaoyan","non-dropping-particle":"","parse-names":false,"suffix":""},{"dropping-particle":"","family":"Yin","given":"Mingzhu","non-dropping-particle":"","parse-names":false,"suffix":""},{"dropping-particle":"","family":"Fan","given":"Lijun","non-dropping-particle":"","parse-names":false,"suffix":""},{"dropping-particle":"","family":"Zhang","given":"Haiyu","non-dropping-particle":"","parse-names":false,"suffix":""},{"dropping-particle":"","family":"Zhao","given":"Falin","non-dropping-particle":"","parse-names":false,"suffix":""},{"dropping-particle":"","family":"Zhang","given":"Wang","non-dropping-particle":"","parse-names":false,"suffix":""},{"dropping-particle":"","family":"Ke","given":"Chaofu","non-dropping-particle":"","parse-names":false,"suffix":""},{"dropping-particle":"","family":"Zhang","given":"Guangming","non-dropping-particle":"","parse-names":false,"suffix":""},{"dropping-particle":"","family":"Hou","given":"Yan","non-dropping-particle":"","parse-names":false,"suffix":""},{"dropping-particle":"","family":"Zhou","given":"Xiaohua","non-dropping-particle":"","parse-names":false,"suffix":""},{"dropping-particle":"","family":"Lou","given":"Ge","non-dropping-particle":"","parse-names":false,"suffix":""},{"dropping-particle":"","family":"Li","given":"Kang","non-dropping-particle":"","parse-names":false,"suffix":""}],"container-title":"Clinica Chimica Acta","id":"ITEM-1","issue":"9-10","issued":{"date-parts":[["2012","5","18"]]},"page":"861-868","title":"Discrimination between malignant and benign ovarian tumors by plasma metabolomic profiling using ultra performance liquid chromatography/mass spectrometry","type":"article-journal","volume":"413"},"uris":["http://www.mendeley.com/documents/?uuid=1990ae36-1216-3503-b2c7-e344fcb5350b"]}],"mendeley":{"formattedCitation":"[36]","plainTextFormattedCitation":"[36]","previouslyFormattedCitation":"[36]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[36]</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glycin</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lysophosphatidylcholine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{"citationItems":[{"id":"ITEM-1","itemData":{"DOI":"10.1016/j.cca.2012.01.026","ISSN":"00098981","abstract":"Background: Discrimination between epithelial ovarian cancer (EOC) and benign ovarian tumor (BOT) has always been difficult in clinical practice. We investigated the application of metabolomics in distinguishing EOC and BOT and tried to discover valuable biomarkers. Methods: Plasma metabolomic profiling was performed using ultra-performance liquid chromatography mass spectrometry (UPLC/MS). Partial least-squares discriminant analysis was employed to classify EOC and BOT, and reveal their metabolic differences. The area under the receiver-operating characteristic curve (AUC) was utilized to evaluate the predictive performance of the metabolic profiles for external validation set. Results: The metabolomic profiles consisting of 535 metabolites revealed a clear separation between EOC and BOT, with AUC of 0.86 for the external validation set. 6 metabolic biomarkers were identified, and the plasma concentrations of the 4 ascertained biomarkers (L-tryptophan, LysoPC(18:3), LysoPC(14:0), and 2-Piperidinone) were lower in EOC patients than those in BOT patients. Among them, tryptophan and LysoPC have been suspected to participate in cancer progression, and 2-Piperidinone might be a novel biomarker for EOC. Conclusions: Metabolomics could be used to discriminate EOC from BOT in clinical practice, and the identified metabolic biomarkers might be important on investigating the biological mechanisms of EOC. © 2012 Elsevier B.V.","author":[{"dropping-particle":"","family":"Zhang","given":"Tao","non-dropping-particle":"","parse-names":false,"suffix":""},{"dropping-particle":"","family":"Wu","given":"Xiaoyan","non-dropping-particle":"","parse-names":false,"suffix":""},{"dropping-particle":"","family":"Yin","given":"Mingzhu","non-dropping-particle":"","parse-names":false,"suffix":""},{"dropping-particle":"","family":"Fan","given":"Lijun","non-dropping-particle":"","parse-names":false,"suffix":""},{"dropping-particle":"","family":"Zhang","given":"Haiyu","non-dropping-particle":"","parse-names":false,"suffix":""},{"dropping-particle":"","family":"Zhao","given":"Falin","non-dropping-particle":"","parse-names":false,"suffix":""},{"dropping-particle":"","family":"Zhang","given":"Wang","non-dropping-particle":"","parse-names":false,"suffix":""},{"dropping-particle":"","family":"Ke","given":"Chaofu","non-dropping-particle":"","parse-names":false,"suffix":""},{"dropping-particle":"","family":"Zhang","given":"Guangming","non-dropping-particle":"","parse-names":false,"suffix":""},{"dropping-particle":"","family":"Hou","given":"Yan","non-dropping-particle":"","parse-names":false,"suffix":""},{"dropping-particle":"","family":"Zhou","given":"Xiaohua","non-dropping-particle":"","parse-names":false,"suffix":""},{"dropping-particle":"","family":"Lou","given":"Ge","non-dropping-particle":"","parse-names":false,"suffix":""},{"dropping-particle":"","family":"Li","given":"Kang","non-dropping-particle":"","parse-names":false,"suffix":""}],"container-title":"Clinica Chimica Acta","id":"ITEM-1","issue":"9-10","issued":{"date-parts":[["2012","5","18"]]},"page":"861-868","title":"Discrimination between malignant and benign ovarian tumors by plasma metabolomic profiling using ultra performance liquid chromatography/mass spectrometry","type":"article-journal","volume":"413"},"uris":["http://www.mendeley.com/documents/?uuid=1990ae36-1216-3503-b2c7-e344fcb5350b"]}],"mendeley":{"formattedCitation":"[36]","plainTextFormattedCitation":"[36]","previouslyFormattedCitation":"[36]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[36]</w:t>
            </w:r>
            <w:r w:rsidRPr="00DF6C69">
              <w:rPr>
                <w:rFonts w:cs="Times New Roman"/>
                <w:sz w:val="18"/>
                <w:szCs w:val="18"/>
              </w:rPr>
              <w:fldChar w:fldCharType="end"/>
            </w:r>
            <w:r w:rsidRPr="00DF6C69">
              <w:rPr>
                <w:rFonts w:cs="Times New Roman"/>
                <w:sz w:val="18"/>
                <w:szCs w:val="18"/>
              </w:rPr>
              <w:t xml:space="preserve">, pyrimidine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tryoptophan</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{"citationItems":[{"id":"ITEM-1","itemData":{"DOI":"10.1016/j.cca.2012.01.026","ISSN":"00098981","abstract":"Background: Discrimination between epithelial ovarian cancer (EOC) and benign ovarian tumor (BOT) has always been difficult in clinical practice. We investigated the application of metabolomics in distinguishing EOC and BOT and tried to discover valuable biomarkers. Methods: Plasma metabolomic profiling was performed using ultra-performance liquid chromatography mass spectrometry (UPLC/MS). Partial least-squares discriminant analysis was employed to classify EOC and BOT, and reveal their metabolic differences. The area under the receiver-operating characteristic curve (AUC) was utilized to evaluate the predictive performance of the metabolic profiles for external validation set. Results: The metabolomic profiles consisting of 535 metabolites revealed a clear separation between EOC and BOT, with AUC of 0.86 for the external validation set. 6 metabolic biomarkers were identified, and the plasma concentrations of the 4 ascertained biomarkers (L-tryptophan, LysoPC(18:3), LysoPC(14:0), and 2-Piperidinone) were lower in EOC patients than those in BOT patients. Among them, tryptophan and LysoPC have been suspected to participate in cancer progression, and 2-Piperidinone might be a novel biomarker for EOC. Conclusions: Metabolomics could be used to discriminate EOC from BOT in clinical practice, and the identified metabolic biomarkers might be important on investigating the biological mechanisms of EOC. © 2012 Elsevier B.V.","author":[{"dropping-particle":"","family":"Zhang","given":"Tao","non-dropping-particle":"","parse-names":false,"suffix":""},{"dropping-particle":"","family":"Wu","given":"Xiaoyan","non-dropping-particle":"","parse-names":false,"suffix":""},{"dropping-particle":"","family":"Yin","given":"Mingzhu","non-dropping-particle":"","parse-names":false,"suffix":""},{"dropping-particle":"","family":"Fan","given":"Lijun","non-dropping-particle":"","parse-names":false,"suffix":""},{"dropping-particle":"","family":"Zhang","given":"Haiyu","non-dropping-particle":"","parse-names":false,"suffix":""},{"dropping-particle":"","family":"Zhao","given":"Falin","non-dropping-particle":"","parse-names":false,"suffix":""},{"dropping-particle":"","family":"Zhang","given":"Wang","non-dropping-particle":"","parse-names":false,"suffix":""},{"dropping-particle":"","family":"Ke","given":"Chaofu","non-dropping-particle":"","parse-names":false,"suffix":""},{"dropping-particle":"","family":"Zhang","given":"Guangming","non-dropping-particle":"","parse-names":false,"suffix":""},{"dropping-particle":"","family":"Hou","given":"Yan","non-dropping-particle":"","parse-names":false,"suffix":""},{"dropping-particle":"","family":"Zhou","given":"Xiaohua","non-dropping-particle":"","parse-names":false,"suffix":""},{"dropping-particle":"","family":"Lou","given":"Ge","non-dropping-particle":"","parse-names":false,"suffix":""},{"dropping-particle":"","family":"Li","given":"Kang","non-dropping-particle":"","parse-names":false,"suffix":""}],"container-title":"Clinica Chimica Acta","id":"ITEM-1","issue":"9-10","issued":{"date-parts":[["2012","5","18"]]},"page":"861-868","title":"Discrimination between malignant and benign ovarian tumors by plasma metabolomic profiling using ultra performance liquid chromatography/mass spectrometry","type":"article-journal","volume":"413"},"uris":["http://www.mendeley.com/documents/?uuid=1990ae36-1216-3503-b2c7-e344fcb5350b"]}],"mendeley":{"formattedCitation":"[36]","plainTextFormattedCitation":"[36]","previouslyFormattedCitation":"[36]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[36]</w:t>
            </w:r>
            <w:r w:rsidRPr="00DF6C69">
              <w:rPr>
                <w:rFonts w:cs="Times New Roman"/>
                <w:sz w:val="18"/>
                <w:szCs w:val="18"/>
              </w:rPr>
              <w:fldChar w:fldCharType="end"/>
            </w:r>
          </w:p>
        </w:tc>
      </w:tr>
      <w:tr w:rsidR="00521E89" w:rsidRPr="00DF6C69" w14:paraId="61CBCAC1" w14:textId="77777777" w:rsidTr="000765CF">
        <w:trPr>
          <w:trHeight w:val="220"/>
        </w:trPr>
        <w:tc>
          <w:tcPr>
            <w:tcW w:w="1418" w:type="dxa"/>
            <w:vMerge/>
            <w:shd w:val="clear" w:color="auto" w:fill="FFF2CC" w:themeFill="accent4" w:themeFillTint="33"/>
            <w:vAlign w:val="center"/>
          </w:tcPr>
          <w:p w14:paraId="0D6B839D" w14:textId="77777777" w:rsidR="00521E89" w:rsidRPr="00DF6C69" w:rsidRDefault="00521E89" w:rsidP="000765CF">
            <w:pPr>
              <w:rPr>
                <w:rFonts w:cs="Times New Roman"/>
                <w:sz w:val="18"/>
                <w:szCs w:val="18"/>
              </w:rPr>
            </w:pPr>
          </w:p>
        </w:tc>
        <w:tc>
          <w:tcPr>
            <w:tcW w:w="993" w:type="dxa"/>
            <w:vAlign w:val="center"/>
          </w:tcPr>
          <w:p w14:paraId="70A4C479" w14:textId="77777777" w:rsidR="00521E89" w:rsidRPr="00DF6C69" w:rsidRDefault="00521E89" w:rsidP="000765CF">
            <w:pPr>
              <w:rPr>
                <w:rFonts w:cs="Times New Roman"/>
                <w:sz w:val="18"/>
                <w:szCs w:val="18"/>
              </w:rPr>
            </w:pPr>
            <w:r w:rsidRPr="00DF6C69">
              <w:rPr>
                <w:rFonts w:cs="Times New Roman"/>
                <w:sz w:val="18"/>
                <w:szCs w:val="18"/>
              </w:rPr>
              <w:t>Urine</w:t>
            </w:r>
          </w:p>
        </w:tc>
        <w:tc>
          <w:tcPr>
            <w:tcW w:w="6945" w:type="dxa"/>
            <w:vAlign w:val="center"/>
          </w:tcPr>
          <w:p w14:paraId="7C1236C3" w14:textId="429FBF36" w:rsidR="00521E89" w:rsidRPr="00DF6C69" w:rsidRDefault="00521E89" w:rsidP="000765CF">
            <w:pPr>
              <w:rPr>
                <w:rFonts w:cs="Times New Roman"/>
                <w:sz w:val="18"/>
                <w:szCs w:val="18"/>
              </w:rPr>
            </w:pPr>
            <w:r w:rsidRPr="00DF6C69">
              <w:rPr>
                <w:rFonts w:cs="Times New Roman"/>
                <w:sz w:val="18"/>
                <w:szCs w:val="18"/>
              </w:rPr>
              <w:t xml:space="preserve">1-methylguanine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{"citationItems":[{"id":"ITEM-1","itemData":{"DOI":"10.1016/j.chroma.2013.01.111","ISSN":"00219673","abstract":"The aim of this work was a comprehensive analysis of metabolite profiles of nucleosides from biological samples obtained from patients with urogenital cancer disease as well as an interpretation of cancer-related patterns of the analyzed profiles. In our study we proposed a targeted approach that was focused on the simultaneous determination of twelve nucleosides from over a hundred urine samples. For analytes' quantification high performance liquid chromatography technique hyphenated with tripple quadrupole mass spectrometer was applied. The developed method was validated in terms of linearity, precision, accuracy as well as in terms of limit of quantification and limit of detection. The obtained, normalized data set was analyzed using univariate statistical analysis. The achieved results revealed statistically significant (p&lt;. 0.05) differences between levels of five nucleosides determined in urine samples from cancer patients and healthy volunteers, namely: 6-methyladenosine, inosine, N-2-methylguanosine, 3-methyluridine and N,N-dimethylguanosine. Basing on the putative markers we built the discrimination models using partial least squares discriminant analysis as well as K-nearest neighbor method. The sensitivity and specificity of the markers calculated from the obtained models were in the range of 61.9-88.89% and 27.78-50%, respectively. The proposed procedure can be considered as a holistic approach for metabolites' analysis and includes clinical, analytical and bioinformatics sections. © 2013 Elsevier B.V.","author":[{"dropping-particle":"","family":"Struck","given":"Wiktoria","non-dropping-particle":"","parse-names":false,"suffix":""},{"dropping-particle":"","family":"Siluk","given":"Danuta","non-dropping-particle":"","parse-names":false,"suffix":""},{"dropping-particle":"","family":"Yumba-Mpanga","given":"Arlette","non-dropping-particle":"","parse-names":false,"suffix":""},{"dropping-particle":"","family":"Markuszewski","given":"Marcin","non-dropping-particle":"","parse-names":false,"suffix":""},{"dropping-particle":"","family":"Kaliszan","given":"Roman","non-dropping-particle":"","parse-names":false,"suffix":""},{"dropping-particle":"","family":"Markuszewski","given":"Michał Jan","non-dropping-particle":"","parse-names":false,"suffix":""}],"container-title":"Journal of Chromatography A","id":"ITEM-1","issued":{"date-parts":[["2013","3","29"]]},"page":"122-131","title":"Liquid chromatography tandem mass spectrometry study of urinary nucleosides as potential cancer markers","type":"article-journal","volume":"1283"},"uris":["http://www.mendeley.com/documents/?uuid=c502d669-a511-3307-9176-2021db77486d"]}],"mendeley":{"formattedCitation":"[37]","plainTextFormattedCitation":"[37]","previouslyFormattedCitation":"[37]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[37]</w:t>
            </w:r>
            <w:r w:rsidRPr="00DF6C69">
              <w:rPr>
                <w:rFonts w:cs="Times New Roman"/>
                <w:sz w:val="18"/>
                <w:szCs w:val="18"/>
              </w:rPr>
              <w:fldChar w:fldCharType="end"/>
            </w:r>
            <w:r w:rsidRPr="00DF6C69">
              <w:rPr>
                <w:rFonts w:cs="Times New Roman"/>
                <w:sz w:val="18"/>
                <w:szCs w:val="18"/>
              </w:rPr>
              <w:t xml:space="preserve">, histidine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{"citationItems":[{"id":"ITEM-1","itemData":{"DOI":"10.1016/j.chroma.2013.10.002","ISSN":"00219673","abstract":"The incidence and rate of recurrence of bladder cancer is high, particularly in developed countries, however current methods for diagnosis are limited to detecting high-grade tumours using often invasive methods. A panel of biomarkers to characterise tumours of different grades that could also distinguish between patients exhibiting the disease with first incidence or recurrence could be useful for bladder cancer diagnostics. In this study, potential metabolic biomarkers have been discovered through mass spectrometry based metabolomics of urine. Pre-treatment urine samples were collected from 48 patients diagnosed of urothelial bladder cancer. Patients were followed-up through the hospital pathological charts to identify whether and when the disease recurred or progressed. Subsequently, they were classified according to whether or not they suffered a tumour recurrence (recurrent or stable) as well as their risk group according to tumour grade and stage. Identified metabolites have been analysed in terms of disease characteristics (tumour stage and recurrence) and have provided an insight into bladder cancer progression. Using both liquid chromatography and capillary electrophoresis-mass spectrometry, a total of 27 metabolite features were highlighted as significantly different between patient groups. Some, for example histidine, phenylalanine, tyrosine and tryptophan have been previously linked with bladder cancer, however until now their connection with bladder cancer progression has not been previously reported. The candidate biomarkers revealed in this study could be useful in the clinic for diagnosis of bladder cancer and, through characterising the stage of the disease, could also be useful in prognostics. © 2013 Elsevier B.V.","author":[{"dropping-particle":"","family":"Alberice","given":"Juliana Vieira","non-dropping-particle":"","parse-names":false,"suffix":""},{"dropping-particle":"","family":"Amaral","given":"Andre F.S.","non-dropping-particle":"","parse-names":false,"suffix":""},{"dropping-particle":"","family":"Armitage","given":"Emily Grace","non-dropping-particle":"","parse-names":false,"suffix":""},{"dropping-particle":"","family":"Lorente","given":"José Antonio","non-dropping-particle":"","parse-names":false,"suffix":""},{"dropping-particle":"","family":"Algaba","given":"Ferrán","non-dropping-particle":"","parse-names":false,"suffix":""},{"dropping-particle":"","family":"Carrilho","given":"Emanuel","non-dropping-particle":"","parse-names":false,"suffix":""},{"dropping-particle":"","family":"Márquez","given":"Mirari","non-dropping-particle":"","parse-names":false,"suffix":""},{"dropping-particle":"","family":"García","given":"Antonia","non-dropping-particle":"","parse-names":false,"suffix":""},{"dropping-particle":"","family":"Malats","given":"Núria","non-dropping-particle":"","parse-names":false,"suffix":""},{"dropping-particle":"","family":"Barbas","given":"Coral","non-dropping-particle":"","parse-names":false,"suffix":""}],"container-title":"Journal of Chromatography A","id":"ITEM-1","issued":{"date-parts":[["2013","11","29"]]},"page":"163-170","title":"Searching for urine biomarkers of bladder cancer recurrence using a liquid chromatography-mass spectrometry and capillary electrophoresis-mass spectrometry metabolomics approach","type":"article-journal","volume":"1318"},"uris":["http://www.mendeley.com/documents/?uuid=6ea1d4d3-e7a2-36d6-9c9a-55c5b50d749f"]}],"mendeley":{"formattedCitation":"[38]","plainTextFormattedCitation":"[38]","previouslyFormattedCitation":"[38]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[38]</w:t>
            </w:r>
            <w:r w:rsidRPr="00DF6C69">
              <w:rPr>
                <w:rFonts w:cs="Times New Roman"/>
                <w:sz w:val="18"/>
                <w:szCs w:val="18"/>
              </w:rPr>
              <w:fldChar w:fldCharType="end"/>
            </w:r>
            <w:r w:rsidRPr="00DF6C69">
              <w:rPr>
                <w:rFonts w:cs="Times New Roman"/>
                <w:sz w:val="18"/>
                <w:szCs w:val="18"/>
              </w:rPr>
              <w:t xml:space="preserve">, ketones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{"citationItems":[{"id":"ITEM-1","itemData":{"DOI":"10.1021/pr4004135","ISSN":"15353893","abstract":"Effective diagnosis and surveillance of bladder cancer (BCa) is currently challenged by detection methods that are of poor sensitivity, particularly for low-grade tumors, resulting in unnecessary invasive procedures and economic burden. We performed HR-MAS NMR-based global metabolomic profiling and applied unsupervised principal component analysis (PCA) and hierarchical clustering performed on NMR data set of bladder-derived tissues and identified metabolic signatures that differentiate BCa from benign disease. A partial least-squares discriminant analysis (PLS-DA) model (leave-one-out cross-validation) was used as a diagnostic model to distinguish benign and BCa tissues. Receiver operating characteristic curve generated either from PC1 loadings of PCA or from predicted Y-values resulted in an area under curve of 0.97. Relative quantification of more than 15 tissue metabolites derived from HR-MAS NMR showed significant differences (P &lt; 0.001) between benign and BCa samples. Noticeably, striking metabolic signatures were observed even for early stage BCa tissues (Ta-T1), demonstrating the sensitivity in detecting BCa. With the goal of cross-validating metabolic signatures derived from HR-MAS NMR, we utilized the same tissue samples to analyze 8 metabolites through gas chromatography-mass spectrometry (GC-MS)-targeted analysis, which undoubtedly complements HR-MAS NMR-derived metabolomic information. Cross-validation through GC-MS clearly demonstrates the utility of a straightforward, nondestructive, and rapid HR-MAS NMR technique for clinical diagnosis of BCa with even greater sensitivity. In addition to its utility as a diagnostic tool, these studies will lead to a better understanding of aberrant metabolic pathways in cancer as well as the design and implementation of personalized cancer therapy through metabolic modulation. © 2013 American Chemical Society.","author":[{"dropping-particle":"","family":"Tripathi","given":"Pratima","non-dropping-particle":"","parse-names":false,"suffix":""},{"dropping-particle":"","family":"Somashekar","given":"Bagganahalli S.","non-dropping-particle":"","parse-names":false,"suffix":""},{"dropping-particle":"","family":"Ponnusamy","given":"M.","non-dropping-particle":"","parse-names":false,"suffix":""},{"dropping-particle":"","family":"Gursky","given":"Amy","non-dropping-particle":"","parse-names":false,"suffix":""},{"dropping-particle":"","family":"Dailey","given":"Stephen","non-dropping-particle":"","parse-names":false,"suffix":""},{"dropping-particle":"","family":"Kunju","given":"Priya","non-dropping-particle":"","parse-names":false,"suffix":""},{"dropping-particle":"","family":"Lee","given":"Cheryl T.","non-dropping-particle":"","parse-names":false,"suffix":""},{"dropping-particle":"","family":"Chinnaiyan","given":"Arul M.","non-dropping-particle":"","parse-names":false,"suffix":""},{"dropping-particle":"","family":"Rajendiran","given":"Thekkelnaycke M.","non-dropping-particle":"","parse-names":false,"suffix":""},{"dropping-particle":"","family":"Ramamoorthy","given":"Ayyalusamy","non-dropping-particle":"","parse-names":false,"suffix":""}],"container-title":"Journal of Proteome Research","id":"ITEM-1","issue":"7","issued":{"date-parts":[["2013","7","5"]]},"page":"3519-3528","title":"HR-MAS NMR tissue metabolomic signatures cross-validated by mass spectrometry distinguish bladder cancer from benign disease","type":"article-journal","volume":"12"},"uris":["http://www.mendeley.com/documents/?uuid=a4f86434-7b90-3d09-be67-381a08de43d3"]}],"mendeley":{"formattedCitation":"[39]","plainTextFormattedCitation":"[39]","previouslyFormattedCitation":"[39]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[39]</w:t>
            </w:r>
            <w:r w:rsidRPr="00DF6C69">
              <w:rPr>
                <w:rFonts w:cs="Times New Roman"/>
                <w:sz w:val="18"/>
                <w:szCs w:val="18"/>
              </w:rPr>
              <w:fldChar w:fldCharType="end"/>
            </w:r>
            <w:r w:rsidRPr="00DF6C69">
              <w:rPr>
                <w:rFonts w:cs="Times New Roman"/>
                <w:sz w:val="18"/>
                <w:szCs w:val="18"/>
              </w:rPr>
              <w:t xml:space="preserve">, lactate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{"citationItems":[{"id":"ITEM-1","itemData":{"DOI":"10.1021/pr4004135","ISSN":"15353893","abstract":"Effective diagnosis and surveillance of bladder cancer (BCa) is currently challenged by detection methods that are of poor sensitivity, particularly for low-grade tumors, resulting in unnecessary invasive procedures and economic burden. We performed HR-MAS NMR-based global metabolomic profiling and applied unsupervised principal component analysis (PCA) and hierarchical clustering performed on NMR data set of bladder-derived tissues and identified metabolic signatures that differentiate BCa from benign disease. A partial least-squares discriminant analysis (PLS-DA) model (leave-one-out cross-validation) was used as a diagnostic model to distinguish benign and BCa tissues. Receiver operating characteristic curve generated either from PC1 loadings of PCA or from predicted Y-values resulted in an area under curve of 0.97. Relative quantification of more than 15 tissue metabolites derived from HR-MAS NMR showed significant differences (P &lt; 0.001) between benign and BCa samples. Noticeably, striking metabolic signatures were observed even for early stage BCa tissues (Ta-T1), demonstrating the sensitivity in detecting BCa. With the goal of cross-validating metabolic signatures derived from HR-MAS NMR, we utilized the same tissue samples to analyze 8 metabolites through gas chromatography-mass spectrometry (GC-MS)-targeted analysis, which undoubtedly complements HR-MAS NMR-derived metabolomic information. Cross-validation through GC-MS clearly demonstrates the utility of a straightforward, nondestructive, and rapid HR-MAS NMR technique for clinical diagnosis of BCa with even greater sensitivity. In addition to its utility as a diagnostic tool, these studies will lead to a better understanding of aberrant metabolic pathways in cancer as well as the design and implementation of personalized cancer therapy through metabolic modulation. © 2013 American Chemical Society.","author":[{"dropping-particle":"","family":"Tripathi","given":"Pratima","non-dropping-particle":"","parse-names":false,"suffix":""},{"dropping-particle":"","family":"Somashekar","given":"Bagganahalli S.","non-dropping-particle":"","parse-names":false,"suffix":""},{"dropping-particle":"","family":"Ponnusamy","given":"M.","non-dropping-particle":"","parse-names":false,"suffix":""},{"dropping-particle":"","family":"Gursky","given":"Amy","non-dropping-particle":"","parse-names":false,"suffix":""},{"dropping-particle":"","family":"Dailey","given":"Stephen","non-dropping-particle":"","parse-names":false,"suffix":""},{"dropping-particle":"","family":"Kunju","given":"Priya","non-dropping-particle":"","parse-names":false,"suffix":""},{"dropping-particle":"","family":"Lee","given":"Cheryl T.","non-dropping-particle":"","parse-names":false,"suffix":""},{"dropping-particle":"","family":"Chinnaiyan","given":"Arul M.","non-dropping-particle":"","parse-names":false,"suffix":""},{"dropping-particle":"","family":"Rajendiran","given":"Thekkelnaycke M.","non-dropping-particle":"","parse-names":false,"suffix":""},{"dropping-particle":"","family":"Ramamoorthy","given":"Ayyalusamy","non-dropping-particle":"","parse-names":false,"suffix":""}],"container-title":"Journal of Proteome Research","id":"ITEM-1","issue":"7","issued":{"date-parts":[["2013","7","5"]]},"page":"3519-3528","title":"HR-MAS NMR tissue metabolomic signatures cross-validated by mass spectrometry distinguish bladder cancer from benign disease","type":"article-journal","volume":"12"},"uris":["http://www.mendeley.com/documents/?uuid=a4f86434-7b90-3d09-be67-381a08de43d3"]}],"mendeley":{"formattedCitation":"[39]","plainTextFormattedCitation":"[39]","previouslyFormattedCitation":"[39]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[39]</w:t>
            </w:r>
            <w:r w:rsidRPr="00DF6C69">
              <w:rPr>
                <w:rFonts w:cs="Times New Roman"/>
                <w:sz w:val="18"/>
                <w:szCs w:val="18"/>
              </w:rPr>
              <w:fldChar w:fldCharType="end"/>
            </w:r>
            <w:r w:rsidRPr="00DF6C69">
              <w:rPr>
                <w:rFonts w:cs="Times New Roman"/>
                <w:sz w:val="18"/>
                <w:szCs w:val="18"/>
              </w:rPr>
              <w:t xml:space="preserve">, methylxanthine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{"citationItems":[{"id":"ITEM-1","itemData":{"DOI":"10.1016/j.chroma.2013.01.111","ISSN":"00219673","abstract":"The aim of this work was a comprehensive analysis of metabolite profiles of nucleosides from biological samples obtained from patients with urogenital cancer disease as well as an interpretation of cancer-related patterns of the analyzed profiles. In our study we proposed a targeted approach that was focused on the simultaneous determination of twelve nucleosides from over a hundred urine samples. For analytes' quantification high performance liquid chromatography technique hyphenated with tripple quadrupole mass spectrometer was applied. The developed method was validated in terms of linearity, precision, accuracy as well as in terms of limit of quantification and limit of detection. The obtained, normalized data set was analyzed using univariate statistical analysis. The achieved results revealed statistically significant (p&lt;. 0.05) differences between levels of five nucleosides determined in urine samples from cancer patients and healthy volunteers, namely: 6-methyladenosine, inosine, N-2-methylguanosine, 3-methyluridine and N,N-dimethylguanosine. Basing on the putative markers we built the discrimination models using partial least squares discriminant analysis as well as K-nearest neighbor method. The sensitivity and specificity of the markers calculated from the obtained models were in the range of 61.9-88.89% and 27.78-50%, respectively. The proposed procedure can be considered as a holistic approach for metabolites' analysis and includes clinical, analytical and bioinformatics sections. © 2013 Elsevier B.V.","author":[{"dropping-particle":"","family":"Struck","given":"Wiktoria","non-dropping-particle":"","parse-names":false,"suffix":""},{"dropping-particle":"","family":"Siluk","given":"Danuta","non-dropping-particle":"","parse-names":false,"suffix":""},{"dropping-particle":"","family":"Yumba-Mpanga","given":"Arlette","non-dropping-particle":"","parse-names":false,"suffix":""},{"dropping-particle":"","family":"Markuszewski","given":"Marcin","non-dropping-particle":"","parse-names":false,"suffix":""},{"dropping-particle":"","family":"Kaliszan","given":"Roman","non-dropping-particle":"","parse-names":false,"suffix":""},{"dropping-particle":"","family":"Markuszewski","given":"Michał Jan","non-dropping-particle":"","parse-names":false,"suffix":""}],"container-title":"Journal of Chromatography A","id":"ITEM-1","issued":{"date-parts":[["2013","3","29"]]},"page":"122-131","title":"Liquid chromatography tandem mass spectrometry study of urinary nucleosides as potential cancer markers","type":"article-journal","volume":"1283"},"uris":["http://www.mendeley.com/documents/?uuid=c502d669-a511-3307-9176-2021db77486d"]}],"mendeley":{"formattedCitation":"[37]","plainTextFormattedCitation":"[37]","previouslyFormattedCitation":"[37]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[37]</w:t>
            </w:r>
            <w:r w:rsidRPr="00DF6C69">
              <w:rPr>
                <w:rFonts w:cs="Times New Roman"/>
                <w:sz w:val="18"/>
                <w:szCs w:val="18"/>
              </w:rPr>
              <w:fldChar w:fldCharType="end"/>
            </w:r>
            <w:r w:rsidRPr="00DF6C69">
              <w:rPr>
                <w:rFonts w:cs="Times New Roman"/>
                <w:sz w:val="18"/>
                <w:szCs w:val="18"/>
              </w:rPr>
              <w:t xml:space="preserve">, mucin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{"citationItems":[{"id":"ITEM-1","itemData":{"DOI":"10.1016/j.chroma.2013.10.002","ISSN":"00219673","abstract":"The incidence and rate of recurrence of bladder cancer is high, particularly in developed countries, however current methods for diagnosis are limited to detecting high-grade tumours using often invasive methods. A panel of biomarkers to characterise tumours of different grades that could also distinguish between patients exhibiting the disease with first incidence or recurrence could be useful for bladder cancer diagnostics. In this study, potential metabolic biomarkers have been discovered through mass spectrometry based metabolomics of urine. Pre-treatment urine samples were collected from 48 patients diagnosed of urothelial bladder cancer. Patients were followed-up through the hospital pathological charts to identify whether and when the disease recurred or progressed. Subsequently, they were classified according to whether or not they suffered a tumour recurrence (recurrent or stable) as well as their risk group according to tumour grade and stage. Identified metabolites have been analysed in terms of disease characteristics (tumour stage and recurrence) and have provided an insight into bladder cancer progression. Using both liquid chromatography and capillary electrophoresis-mass spectrometry, a total of 27 metabolite features were highlighted as significantly different between patient groups. Some, for example histidine, phenylalanine, tyrosine and tryptophan have been previously linked with bladder cancer, however until now their connection with bladder cancer progression has not been previously reported. The candidate biomarkers revealed in this study could be useful in the clinic for diagnosis of bladder cancer and, through characterising the stage of the disease, could also be useful in prognostics. © 2013 Elsevier B.V.","author":[{"dropping-particle":"","family":"Alberice","given":"Juliana Vieira","non-dropping-particle":"","parse-names":false,"suffix":""},{"dropping-particle":"","family":"Amaral","given":"Andre F.S.","non-dropping-particle":"","parse-names":false,"suffix":""},{"dropping-particle":"","family":"Armitage","given":"Emily Grace","non-dropping-particle":"","parse-names":false,"suffix":""},{"dropping-particle":"","family":"Lorente","given":"José Antonio","non-dropping-particle":"","parse-names":false,"suffix":""},{"dropping-particle":"","family":"Algaba","given":"Ferrán","non-dropping-particle":"","parse-names":false,"suffix":""},{"dropping-particle":"","family":"Carrilho","given":"Emanuel","non-dropping-particle":"","parse-names":false,"suffix":""},{"dropping-particle":"","family":"Márquez","given":"Mirari","non-dropping-particle":"","parse-names":false,"suffix":""},{"dropping-particle":"","family":"García","given":"Antonia","non-dropping-particle":"","parse-names":false,"suffix":""},{"dropping-particle":"","family":"Malats","given":"Núria","non-dropping-particle":"","parse-names":false,"suffix":""},{"dropping-particle":"","family":"Barbas","given":"Coral","non-dropping-particle":"","parse-names":false,"suffix":""}],"container-title":"Journal of Chromatography A","id":"ITEM-1","issued":{"date-parts":[["2013","11","29"]]},"page":"163-170","title":"Searching for urine biomarkers of bladder cancer recurrence using a liquid chromatography-mass spectrometry and capillary electrophoresis-mass spectrometry metabolomics approach","type":"article-journal","volume":"1318"},"uris":["http://www.mendeley.com/documents/?uuid=6ea1d4d3-e7a2-36d6-9c9a-55c5b50d749f"]}],"mendeley":{"formattedCitation":"[38]","plainTextFormattedCitation":"[38]","previouslyFormattedCitation":"[38]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[38]</w:t>
            </w:r>
            <w:r w:rsidRPr="00DF6C69">
              <w:rPr>
                <w:rFonts w:cs="Times New Roman"/>
                <w:sz w:val="18"/>
                <w:szCs w:val="18"/>
              </w:rPr>
              <w:fldChar w:fldCharType="end"/>
            </w:r>
            <w:r w:rsidRPr="00DF6C69">
              <w:rPr>
                <w:rFonts w:cs="Times New Roman"/>
                <w:sz w:val="18"/>
                <w:szCs w:val="18"/>
              </w:rPr>
              <w:t xml:space="preserve">, N4-acetylcytidine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{"citationItems":[{"id":"ITEM-1","itemData":{"DOI":"10.1016/j.chroma.2013.10.002","ISSN":"00219673","abstract":"The incidence and rate of recurrence of bladder cancer is high, particularly in developed countries, however current methods for diagnosis are limited to detecting high-grade tumours using often invasive methods. A panel of biomarkers to characterise tumours of different grades that could also distinguish between patients exhibiting the disease with first incidence or recurrence could be useful for bladder cancer diagnostics. In this study, potential metabolic biomarkers have been discovered through mass spectrometry based metabolomics of urine. Pre-treatment urine samples were collected from 48 patients diagnosed of urothelial bladder cancer. Patients were followed-up through the hospital pathological charts to identify whether and when the disease recurred or progressed. Subsequently, they were classified according to whether or not they suffered a tumour recurrence (recurrent or stable) as well as their risk group according to tumour grade and stage. Identified metabolites have been analysed in terms of disease characteristics (tumour stage and recurrence) and have provided an insight into bladder cancer progression. Using both liquid chromatography and capillary electrophoresis-mass spectrometry, a total of 27 metabolite features were highlighted as significantly different between patient groups. Some, for example histidine, phenylalanine, tyrosine and tryptophan have been previously linked with bladder cancer, however until now their connection with bladder cancer progression has not been previously reported. The candidate biomarkers revealed in this study could be useful in the clinic for diagnosis of bladder cancer and, through characterising the stage of the disease, could also be useful in prognostics. © 2013 Elsevier B.V.","author":[{"dropping-particle":"","family":"Alberice","given":"Juliana Vieira","non-dropping-particle":"","parse-names":false,"suffix":""},{"dropping-particle":"","family":"Amaral","given":"Andre F.S.","non-dropping-particle":"","parse-names":false,"suffix":""},{"dropping-particle":"","family":"Armitage","given":"Emily Grace","non-dropping-particle":"","parse-names":false,"suffix":""},{"dropping-particle":"","family":"Lorente","given":"José Antonio","non-dropping-particle":"","parse-names":false,"suffix":""},{"dropping-particle":"","family":"Algaba","given":"Ferrán","non-dropping-particle":"","parse-names":false,"suffix":""},{"dropping-particle":"","family":"Carrilho","given":"Emanuel","non-dropping-particle":"","parse-names":false,"suffix":""},{"dropping-particle":"","family":"Márquez","given":"Mirari","non-dropping-particle":"","parse-names":false,"suffix":""},{"dropping-particle":"","family":"García","given":"Antonia","non-dropping-particle":"","parse-names":false,"suffix":""},{"dropping-particle":"","family":"Malats","given":"Núria","non-dropping-particle":"","parse-names":false,"suffix":""},{"dropping-particle":"","family":"Barbas","given":"Coral","non-dropping-particle":"","parse-names":false,"suffix":""}],"container-title":"Journal of Chromatography A","id":"ITEM-1","issued":{"date-parts":[["2013","11","29"]]},"page":"163-170","title":"Searching for urine biomarkers of bladder cancer recurrence using a liquid chromatography-mass spectrometry and capillary electrophoresis-mass spectrometry metabolomics approach","type":"article-journal","volume":"1318"},"uris":["http://www.mendeley.com/documents/?uuid=6ea1d4d3-e7a2-36d6-9c9a-55c5b50d749f"]}],"mendeley":{"formattedCitation":"[38]","plainTextFormattedCitation":"[38]","previouslyFormattedCitation":"[38]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[38]</w:t>
            </w:r>
            <w:r w:rsidRPr="00DF6C69">
              <w:rPr>
                <w:rFonts w:cs="Times New Roman"/>
                <w:sz w:val="18"/>
                <w:szCs w:val="18"/>
              </w:rPr>
              <w:fldChar w:fldCharType="end"/>
            </w:r>
            <w:r w:rsidRPr="00DF6C69">
              <w:rPr>
                <w:rFonts w:cs="Times New Roman"/>
                <w:sz w:val="18"/>
                <w:szCs w:val="18"/>
              </w:rPr>
              <w:t xml:space="preserve">, Nucleotide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{"citationItems":[{"id":"ITEM-1","itemData":{"DOI":"10.1016/j.chroma.2013.10.002","ISSN":"00219673","abstract":"The incidence and rate of recurrence of bladder cancer is high, particularly in developed countries, however current methods for diagnosis are limited to detecting high-grade tumours using often invasive methods. A panel of biomarkers to characterise tumours of different grades that could also distinguish between patients exhibiting the disease with first incidence or recurrence could be useful for bladder cancer diagnostics. In this study, potential metabolic biomarkers have been discovered through mass spectrometry based metabolomics of urine. Pre-treatment urine samples were collected from 48 patients diagnosed of urothelial bladder cancer. Patients were followed-up through the hospital pathological charts to identify whether and when the disease recurred or progressed. Subsequently, they were classified according to whether or not they suffered a tumour recurrence (recurrent or stable) as well as their risk group according to tumour grade and stage. Identified metabolites have been analysed in terms of disease characteristics (tumour stage and recurrence) and have provided an insight into bladder cancer progression. Using both liquid chromatography and capillary electrophoresis-mass spectrometry, a total of 27 metabolite features were highlighted as significantly different between patient groups. Some, for example histidine, phenylalanine, tyrosine and tryptophan have been previously linked with bladder cancer, however until now their connection with bladder cancer progression has not been previously reported. The candidate biomarkers revealed in this study could be useful in the clinic for diagnosis of bladder cancer and, through characterising the stage of the disease, could also be useful in prognostics. © 2013 Elsevier B.V.","author":[{"dropping-particle":"","family":"Alberice","given":"Juliana Vieira","non-dropping-particle":"","parse-names":false,"suffix":""},{"dropping-particle":"","family":"Amaral","given":"Andre F.S.","non-dropping-particle":"","parse-names":false,"suffix":""},{"dropping-particle":"","family":"Armitage","given":"Emily Grace","non-dropping-particle":"","parse-names":false,"suffix":""},{"dropping-particle":"","family":"Lorente","given":"José Antonio","non-dropping-particle":"","parse-names":false,"suffix":""},{"dropping-particle":"","family":"Algaba","given":"Ferrán","non-dropping-particle":"","parse-names":false,"suffix":""},{"dropping-particle":"","family":"Carrilho","given":"Emanuel","non-dropping-particle":"","parse-names":false,"suffix":""},{"dropping-particle":"","family":"Márquez","given":"Mirari","non-dropping-particle":"","parse-names":false,"suffix":""},{"dropping-particle":"","family":"García","given":"Antonia","non-dropping-particle":"","parse-names":false,"suffix":""},{"dropping-particle":"","family":"Malats","given":"Núria","non-dropping-particle":"","parse-names":false,"suffix":""},{"dropping-particle":"","family":"Barbas","given":"Coral","non-dropping-particle":"","parse-names":false,"suffix":""}],"container-title":"Journal of Chromatography A","id":"ITEM-1","issued":{"date-parts":[["2013","11","29"]]},"page":"163-170","title":"Searching for urine biomarkers of bladder cancer recurrence using a liquid chromatography-mass spectrometry and capillary electrophoresis-mass spectrometry metabolomics approach","type":"article-journal","volume":"1318"},"uris":["http://www.mendeley.com/documents/?uuid=6ea1d4d3-e7a2-36d6-9c9a-55c5b50d749f"]}],"mendeley":{"formattedCitation":"[38]","plainTextFormattedCitation":"[38]","previouslyFormattedCitation":"[38]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[38]</w:t>
            </w:r>
            <w:r w:rsidRPr="00DF6C69">
              <w:rPr>
                <w:rFonts w:cs="Times New Roman"/>
                <w:sz w:val="18"/>
                <w:szCs w:val="18"/>
              </w:rPr>
              <w:fldChar w:fldCharType="end"/>
            </w:r>
            <w:r w:rsidRPr="00DF6C69">
              <w:rPr>
                <w:rFonts w:cs="Times New Roman"/>
                <w:sz w:val="18"/>
                <w:szCs w:val="18"/>
              </w:rPr>
              <w:t xml:space="preserve">, proline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{"citationItems":[{"id":"ITEM-1","itemData":{"DOI":"10.1016/j.chroma.2013.01.111","ISSN":"00219673","abstract":"The aim of this work was a comprehensive analysis of metabolite profiles of nucleosides from biological samples obtained from patients with urogenital cancer disease as well as an interpretation of cancer-related patterns of the analyzed profiles. In our study we proposed a targeted approach that was focused on the simultaneous determination of twelve nucleosides from over a hundred urine samples. For analytes' quantification high performance liquid chromatography technique hyphenated with tripple quadrupole mass spectrometer was applied. The developed method was validated in terms of linearity, precision, accuracy as well as in terms of limit of quantification and limit of detection. The obtained, normalized data set was analyzed using univariate statistical analysis. The achieved results revealed statistically significant (p&lt;. 0.05) differences between levels of five nucleosides determined in urine samples from cancer patients and healthy volunteers, namely: 6-methyladenosine, inosine, N-2-methylguanosine, 3-methyluridine and N,N-dimethylguanosine. Basing on the putative markers we built the discrimination models using partial least squares discriminant analysis as well as K-nearest neighbor method. The sensitivity and specificity of the markers calculated from the obtained models were in the range of 61.9-88.89% and 27.78-50%, respectively. The proposed procedure can be considered as a holistic approach for metabolites' analysis and includes clinical, analytical and bioinformatics sections. © 2013 Elsevier B.V.","author":[{"dropping-particle":"","family":"Struck","given":"Wiktoria","non-dropping-particle":"","parse-names":false,"suffix":""},{"dropping-particle":"","family":"Siluk","given":"Danuta","non-dropping-particle":"","parse-names":false,"suffix":""},{"dropping-particle":"","family":"Yumba-Mpanga","given":"Arlette","non-dropping-particle":"","parse-names":false,"suffix":""},{"dropping-particle":"","family":"Markuszewski","given":"Marcin","non-dropping-particle":"","parse-names":false,"suffix":""},{"dropping-particle":"","family":"Kaliszan","given":"Roman","non-dropping-particle":"","parse-names":false,"suffix":""},{"dropping-particle":"","family":"Markuszewski","given":"Michał Jan","non-dropping-particle":"","parse-names":false,"suffix":""}],"container-title":"Journal of Chromatography A","id":"ITEM-1","issued":{"date-parts":[["2013","3","29"]]},"page":"122-131","title":"Liquid chromatography tandem mass spectrometry study of urinary nucleosides as potential cancer markers","type":"article-journal","volume":"1283"},"uris":["http://www.mendeley.com/documents/?uuid=c502d669-a511-3307-9176-2021db77486d"]}],"mendeley":{"formattedCitation":"[37]","plainTextFormattedCitation":"[37]","previouslyFormattedCitation":"[37]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[37]</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pseudouridine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{"citationItems":[{"id":"ITEM-1","itemData":{"DOI":"10.1016/j.chroma.2013.10.002","ISSN":"00219673","abstract":"The incidence and rate of recurrence of bladder cancer is high, particularly in developed countries, however current methods for diagnosis are limited to detecting high-grade tumours using often invasive methods. A panel of biomarkers to characterise tumours of different grades that could also distinguish between patients exhibiting the disease with first incidence or recurrence could be useful for bladder cancer diagnostics. In this study, potential metabolic biomarkers have been discovered through mass spectrometry based metabolomics of urine. Pre-treatment urine samples were collected from 48 patients diagnosed of urothelial bladder cancer. Patients were followed-up through the hospital pathological charts to identify whether and when the disease recurred or progressed. Subsequently, they were classified according to whether or not they suffered a tumour recurrence (recurrent or stable) as well as their risk group according to tumour grade and stage. Identified metabolites have been analysed in terms of disease characteristics (tumour stage and recurrence) and have provided an insight into bladder cancer progression. Using both liquid chromatography and capillary electrophoresis-mass spectrometry, a total of 27 metabolite features were highlighted as significantly different between patient groups. Some, for example histidine, phenylalanine, tyrosine and tryptophan have been previously linked with bladder cancer, however until now their connection with bladder cancer progression has not been previously reported. The candidate biomarkers revealed in this study could be useful in the clinic for diagnosis of bladder cancer and, through characterising the stage of the disease, could also be useful in prognostics. © 2013 Elsevier B.V.","author":[{"dropping-particle":"","family":"Alberice","given":"Juliana Vieira","non-dropping-particle":"","parse-names":false,"suffix":""},{"dropping-particle":"","family":"Amaral","given":"Andre F.S.","non-dropping-particle":"","parse-names":false,"suffix":""},{"dropping-particle":"","family":"Armitage","given":"Emily Grace","non-dropping-particle":"","parse-names":false,"suffix":""},{"dropping-particle":"","family":"Lorente","given":"José Antonio","non-dropping-particle":"","parse-names":false,"suffix":""},{"dropping-particle":"","family":"Algaba","given":"Ferrán","non-dropping-particle":"","parse-names":false,"suffix":""},{"dropping-particle":"","family":"Carrilho","given":"Emanuel","non-dropping-particle":"","parse-names":false,"suffix":""},{"dropping-particle":"","family":"Márquez","given":"Mirari","non-dropping-particle":"","parse-names":false,"suffix":""},{"dropping-particle":"","family":"García","given":"Antonia","non-dropping-particle":"","parse-names":false,"suffix":""},{"dropping-particle":"","family":"Malats","given":"Núria","non-dropping-particle":"","parse-names":false,"suffix":""},{"dropping-particle":"","family":"Barbas","given":"Coral","non-dropping-particle":"","parse-names":false,"suffix":""}],"container-title":"Journal of Chromatography A","id":"ITEM-1","issued":{"date-parts":[["2013","11","29"]]},"page":"163-170","title":"Searching for urine biomarkers of bladder cancer recurrence using a liquid chromatography-mass spectrometry and capillary electrophoresis-mass spectrometry metabolomics approach","type":"article-journal","volume":"1318"},"uris":["http://www.mendeley.com/documents/?uuid=6ea1d4d3-e7a2-36d6-9c9a-55c5b50d749f"]}],"mendeley":{"formattedCitation":"[38]","plainTextFormattedCitation":"[38]","previouslyFormattedCitation":"[38]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[38]</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pyridylacetic</w:t>
            </w:r>
            <w:proofErr w:type="spellEnd"/>
            <w:r w:rsidRPr="00DF6C69">
              <w:rPr>
                <w:rFonts w:cs="Times New Roman"/>
                <w:sz w:val="18"/>
                <w:szCs w:val="18"/>
              </w:rPr>
              <w:t xml:space="preserve">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{"citationItems":[{"id":"ITEM-1","itemData":{"DOI":"10.1016/j.chroma.2013.01.111","ISSN":"00219673","abstract":"The aim of this work was a comprehensive analysis of metabolite profiles of nucleosides from biological samples obtained from patients with urogenital cancer disease as well as an interpretation of cancer-related patterns of the analyzed profiles. In our study we proposed a targeted approach that was focused on the simultaneous determination of twelve nucleosides from over a hundred urine samples. For analytes' quantification high performance liquid chromatography technique hyphenated with tripple quadrupole mass spectrometer was applied. The developed method was validated in terms of linearity, precision, accuracy as well as in terms of limit of quantification and limit of detection. The obtained, normalized data set was analyzed using univariate statistical analysis. The achieved results revealed statistically significant (p&lt;. 0.05) differences between levels of five nucleosides determined in urine samples from cancer patients and healthy volunteers, namely: 6-methyladenosine, inosine, N-2-methylguanosine, 3-methyluridine and N,N-dimethylguanosine. Basing on the putative markers we built the discrimination models using partial least squares discriminant analysis as well as K-nearest neighbor method. The sensitivity and specificity of the markers calculated from the obtained models were in the range of 61.9-88.89% and 27.78-50%, respectively. The proposed procedure can be considered as a holistic approach for metabolites' analysis and includes clinical, analytical and bioinformatics sections. © 2013 Elsevier B.V.","author":[{"dropping-particle":"","family":"Struck","given":"Wiktoria","non-dropping-particle":"","parse-names":false,"suffix":""},{"dropping-particle":"","family":"Siluk","given":"Danuta","non-dropping-particle":"","parse-names":false,"suffix":""},{"dropping-particle":"","family":"Yumba-Mpanga","given":"Arlette","non-dropping-particle":"","parse-names":false,"suffix":""},{"dropping-particle":"","family":"Markuszewski","given":"Marcin","non-dropping-particle":"","parse-names":false,"suffix":""},{"dropping-particle":"","family":"Kaliszan","given":"Roman","non-dropping-particle":"","parse-names":false,"suffix":""},{"dropping-particle":"","family":"Markuszewski","given":"Michał Jan","non-dropping-particle":"","parse-names":false,"suffix":""}],"container-title":"Journal of Chromatography A","id":"ITEM-1","issued":{"date-parts":[["2013","3","29"]]},"page":"122-131","title":"Liquid chromatography tandem mass spectrometry study of urinary nucleosides as potential cancer markers","type":"article-journal","volume":"1283"},"uris":["http://www.mendeley.com/documents/?uuid=c502d669-a511-3307-9176-2021db77486d"]}],"mendeley":{"formattedCitation":"[37]","plainTextFormattedCitation":"[37]","previouslyFormattedCitation":"[37]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[37]</w:t>
            </w:r>
            <w:r w:rsidRPr="00DF6C69">
              <w:rPr>
                <w:rFonts w:cs="Times New Roman"/>
                <w:sz w:val="18"/>
                <w:szCs w:val="18"/>
              </w:rPr>
              <w:fldChar w:fldCharType="end"/>
            </w:r>
            <w:r w:rsidRPr="00DF6C69">
              <w:rPr>
                <w:rFonts w:cs="Times New Roman"/>
                <w:sz w:val="18"/>
                <w:szCs w:val="18"/>
              </w:rPr>
              <w:t xml:space="preserve">, succinic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{"citationItems":[{"id":"ITEM-1","itemData":{"DOI":"10.1016/j.chroma.2013.10.002","ISSN":"00219673","abstract":"The incidence and rate of recurrence of bladder cancer is high, particularly in developed countries, however current methods for diagnosis are limited to detecting high-grade tumours using often invasive methods. A panel of biomarkers to characterise tumours of different grades that could also distinguish between patients exhibiting the disease with first incidence or recurrence could be useful for bladder cancer diagnostics. In this study, potential metabolic biomarkers have been discovered through mass spectrometry based metabolomics of urine. Pre-treatment urine samples were collected from 48 patients diagnosed of urothelial bladder cancer. Patients were followed-up through the hospital pathological charts to identify whether and when the disease recurred or progressed. Subsequently, they were classified according to whether or not they suffered a tumour recurrence (recurrent or stable) as well as their risk group according to tumour grade and stage. Identified metabolites have been analysed in terms of disease characteristics (tumour stage and recurrence) and have provided an insight into bladder cancer progression. Using both liquid chromatography and capillary electrophoresis-mass spectrometry, a total of 27 metabolite features were highlighted as significantly different between patient groups. Some, for example histidine, phenylalanine, tyrosine and tryptophan have been previously linked with bladder cancer, however until now their connection with bladder cancer progression has not been previously reported. The candidate biomarkers revealed in this study could be useful in the clinic for diagnosis of bladder cancer and, through characterising the stage of the disease, could also be useful in prognostics. © 2013 Elsevier B.V.","author":[{"dropping-particle":"","family":"Alberice","given":"Juliana Vieira","non-dropping-particle":"","parse-names":false,"suffix":""},{"dropping-particle":"","family":"Amaral","given":"Andre F.S.","non-dropping-particle":"","parse-names":false,"suffix":""},{"dropping-particle":"","family":"Armitage","given":"Emily Grace","non-dropping-particle":"","parse-names":false,"suffix":""},{"dropping-particle":"","family":"Lorente","given":"José Antonio","non-dropping-particle":"","parse-names":false,"suffix":""},{"dropping-particle":"","family":"Algaba","given":"Ferrán","non-dropping-particle":"","parse-names":false,"suffix":""},{"dropping-particle":"","family":"Carrilho","given":"Emanuel","non-dropping-particle":"","parse-names":false,"suffix":""},{"dropping-particle":"","family":"Márquez","given":"Mirari","non-dropping-particle":"","parse-names":false,"suffix":""},{"dropping-particle":"","family":"García","given":"Antonia","non-dropping-particle":"","parse-names":false,"suffix":""},{"dropping-particle":"","family":"Malats","given":"Núria","non-dropping-particle":"","parse-names":false,"suffix":""},{"dropping-particle":"","family":"Barbas","given":"Coral","non-dropping-particle":"","parse-names":false,"suffix":""}],"container-title":"Journal of Chromatography A","id":"ITEM-1","issued":{"date-parts":[["2013","11","29"]]},"page":"163-170","title":"Searching for urine biomarkers of bladder cancer recurrence using a liquid chromatography-mass spectrometry and capillary electrophoresis-mass spectrometry metabolomics approach","type":"article-journal","volume":"1318"},"uris":["http://www.mendeley.com/documents/?uuid=6ea1d4d3-e7a2-36d6-9c9a-55c5b50d749f"]}],"mendeley":{"formattedCitation":"[38]","plainTextFormattedCitation":"[38]","previouslyFormattedCitation":"[38]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[38]</w:t>
            </w:r>
            <w:r w:rsidRPr="00DF6C69">
              <w:rPr>
                <w:rFonts w:cs="Times New Roman"/>
                <w:sz w:val="18"/>
                <w:szCs w:val="18"/>
              </w:rPr>
              <w:fldChar w:fldCharType="end"/>
            </w:r>
            <w:r w:rsidRPr="00DF6C69">
              <w:rPr>
                <w:rFonts w:cs="Times New Roman"/>
                <w:sz w:val="18"/>
                <w:szCs w:val="18"/>
              </w:rPr>
              <w:t xml:space="preserve">, theophylline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{"citationItems":[{"id":"ITEM-1","itemData":{"DOI":"10.1016/j.chroma.2013.01.111","ISSN":"00219673","abstract":"The aim of this work was a comprehensive analysis of metabolite profiles of nucleosides from biological samples obtained from patients with urogenital cancer disease as well as an interpretation of cancer-related patterns of the analyzed profiles. In our study we proposed a targeted approach that was focused on the simultaneous determination of twelve nucleosides from over a hundred urine samples. For analytes' quantification high performance liquid chromatography technique hyphenated with tripple quadrupole mass spectrometer was applied. The developed method was validated in terms of linearity, precision, accuracy as well as in terms of limit of quantification and limit of detection. The obtained, normalized data set was analyzed using univariate statistical analysis. The achieved results revealed statistically significant (p&lt;. 0.05) differences between levels of five nucleosides determined in urine samples from cancer patients and healthy volunteers, namely: 6-methyladenosine, inosine, N-2-methylguanosine, 3-methyluridine and N,N-dimethylguanosine. Basing on the putative markers we built the discrimination models using partial least squares discriminant analysis as well as K-nearest neighbor method. The sensitivity and specificity of the markers calculated from the obtained models were in the range of 61.9-88.89% and 27.78-50%, respectively. The proposed procedure can be considered as a holistic approach for metabolites' analysis and includes clinical, analytical and bioinformatics sections. © 2013 Elsevier B.V.","author":[{"dropping-particle":"","family":"Struck","given":"Wiktoria","non-dropping-particle":"","parse-names":false,"suffix":""},{"dropping-particle":"","family":"Siluk","given":"Danuta","non-dropping-particle":"","parse-names":false,"suffix":""},{"dropping-particle":"","family":"Yumba-Mpanga","given":"Arlette","non-dropping-particle":"","parse-names":false,"suffix":""},{"dropping-particle":"","family":"Markuszewski","given":"Marcin","non-dropping-particle":"","parse-names":false,"suffix":""},{"dropping-particle":"","family":"Kaliszan","given":"Roman","non-dropping-particle":"","parse-names":false,"suffix":""},{"dropping-particle":"","family":"Markuszewski","given":"Michał Jan","non-dropping-particle":"","parse-names":false,"suffix":""}],"container-title":"Journal of Chromatography A","id":"ITEM-1","issued":{"date-parts":[["2013","3","29"]]},"page":"122-131","title":"Liquid chromatography tandem mass spectrometry study of urinary nucleosides as potential cancer markers","type":"article-journal","volume":"1283"},"uris":["http://www.mendeley.com/documents/?uuid=c502d669-a511-3307-9176-2021db77486d"]}],"mendeley":{"formattedCitation":"[37]","plainTextFormattedCitation":"[37]","previouslyFormattedCitation":"[37]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[37]</w:t>
            </w:r>
            <w:r w:rsidRPr="00DF6C69">
              <w:rPr>
                <w:rFonts w:cs="Times New Roman"/>
                <w:sz w:val="18"/>
                <w:szCs w:val="18"/>
              </w:rPr>
              <w:fldChar w:fldCharType="end"/>
            </w:r>
            <w:r w:rsidRPr="00DF6C69">
              <w:rPr>
                <w:rFonts w:cs="Times New Roman"/>
                <w:sz w:val="18"/>
                <w:szCs w:val="18"/>
              </w:rPr>
              <w:t xml:space="preserve">, tryptophan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{"citationItems":[{"id":"ITEM-1","itemData":{"DOI":"10.1016/j.cca.2012.01.026","ISSN":"00098981","abstract":"Background: Discrimination between epithelial ovarian cancer (EOC) and benign ovarian tumor (BOT) has always been difficult in clinical practice. We investigated the application of metabolomics in distinguishing EOC and BOT and tried to discover valuable biomarkers. Methods: Plasma metabolomic profiling was performed using ultra-performance liquid chromatography mass spectrometry (UPLC/MS). Partial least-squares discriminant analysis was employed to classify EOC and BOT, and reveal their metabolic differences. The area under the receiver-operating characteristic curve (AUC) was utilized to evaluate the predictive performance of the metabolic profiles for external validation set. Results: The metabolomic profiles consisting of 535 metabolites revealed a clear separation between EOC and BOT, with AUC of 0.86 for the external validation set. 6 metabolic biomarkers were identified, and the plasma concentrations of the 4 ascertained biomarkers (L-tryptophan, LysoPC(18:3), LysoPC(14:0), and 2-Piperidinone) were lower in EOC patients than those in BOT patients. Among them, tryptophan and LysoPC have been suspected to participate in cancer progression, and 2-Piperidinone might be a novel biomarker for EOC. Conclusions: Metabolomics could be used to discriminate EOC from BOT in clinical practice, and the identified metabolic biomarkers might be important on investigating the biological mechanisms of EOC. © 2012 Elsevier B.V.","author":[{"dropping-particle":"","family":"Zhang","given":"Tao","non-dropping-particle":"","parse-names":false,"suffix":""},{"dropping-particle":"","family":"Wu","given":"Xiaoyan","non-dropping-particle":"","parse-names":false,"suffix":""},{"dropping-particle":"","family":"Yin","given":"Mingzhu","non-dropping-particle":"","parse-names":false,"suffix":""},{"dropping-particle":"","family":"Fan","given":"Lijun","non-dropping-particle":"","parse-names":false,"suffix":""},{"dropping-particle":"","family":"Zhang","given":"Haiyu","non-dropping-particle":"","parse-names":false,"suffix":""},{"dropping-particle":"","family":"Zhao","given":"Falin","non-dropping-particle":"","parse-names":false,"suffix":""},{"dropping-particle":"","family":"Zhang","given":"Wang","non-dropping-particle":"","parse-names":false,"suffix":""},{"dropping-particle":"","family":"Ke","given":"Chaofu","non-dropping-particle":"","parse-names":false,"suffix":""},{"dropping-particle":"","family":"Zhang","given":"Guangming","non-dropping-particle":"","parse-names":false,"suffix":""},{"dropping-particle":"","family":"Hou","given":"Yan","non-dropping-particle":"","parse-names":false,"suffix":""},{"dropping-particle":"","family":"Zhou","given":"Xiaohua","non-dropping-particle":"","parse-names":false,"suffix":""},{"dropping-particle":"","family":"Lou","given":"Ge","non-dropping-particle":"","parse-names":false,"suffix":""},{"dropping-particle":"","family":"Li","given":"Kang","non-dropping-particle":"","parse-names":false,"suffix":""}],"container-title":"Clinica Chimica Acta","id":"ITEM-1","issue":"9-10","issued":{"date-parts":[["2012","5","18"]]},"page":"861-868","title":"Discrimination between malignant and benign ovarian tumors by plasma metabolomic profiling using ultra performance liquid chromatography/mass spectrometry","type":"article-journal","volume":"413"},"uris":["http://www.mendeley.com/documents/?uuid=1990ae36-1216-3503-b2c7-e344fcb5350b"]}],"mendeley":{"formattedCitation":"[36]","plainTextFormattedCitation":"[36]","previouslyFormattedCitation":"[36]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[36]</w:t>
            </w:r>
            <w:r w:rsidRPr="00DF6C69">
              <w:rPr>
                <w:rFonts w:cs="Times New Roman"/>
                <w:sz w:val="18"/>
                <w:szCs w:val="18"/>
              </w:rPr>
              <w:fldChar w:fldCharType="end"/>
            </w:r>
            <w:r w:rsidRPr="00DF6C69">
              <w:rPr>
                <w:rFonts w:cs="Times New Roman"/>
                <w:sz w:val="18"/>
                <w:szCs w:val="18"/>
              </w:rPr>
              <w:t xml:space="preserve">, urate-3-ribonucleoside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{"citationItems":[{"id":"ITEM-1","itemData":{"DOI":"10.1016/j.chroma.2013.10.002","ISSN":"00219673","abstract":"The incidence and rate of recurrence of bladder cancer is high, particularly in developed countries, however current methods for diagnosis are limited to detecting high-grade tumours using often invasive methods. A panel of biomarkers to characterise tumours of different grades that could also distinguish between patients exhibiting the disease with first incidence or recurrence could be useful for bladder cancer diagnostics. In this study, potential metabolic biomarkers have been discovered through mass spectrometry based metabolomics of urine. Pre-treatment urine samples were collected from 48 patients diagnosed of urothelial bladder cancer. Patients were followed-up through the hospital pathological charts to identify whether and when the disease recurred or progressed. Subsequently, they were classified according to whether or not they suffered a tumour recurrence (recurrent or stable) as well as their risk group according to tumour grade and stage. Identified metabolites have been analysed in terms of disease characteristics (tumour stage and recurrence) and have provided an insight into bladder cancer progression. Using both liquid chromatography and capillary electrophoresis-mass spectrometry, a total of 27 metabolite features were highlighted as significantly different between patient groups. Some, for example histidine, phenylalanine, tyrosine and tryptophan have been previously linked with bladder cancer, however until now their connection with bladder cancer progression has not been previously reported. The candidate biomarkers revealed in this study could be useful in the clinic for diagnosis of bladder cancer and, through characterising the stage of the disease, could also be useful in prognostics. © 2013 Elsevier B.V.","author":[{"dropping-particle":"","family":"Alberice","given":"Juliana Vieira","non-dropping-particle":"","parse-names":false,"suffix":""},{"dropping-particle":"","family":"Amaral","given":"Andre F.S.","non-dropping-particle":"","parse-names":false,"suffix":""},{"dropping-particle":"","family":"Armitage","given":"Emily Grace","non-dropping-particle":"","parse-names":false,"suffix":""},{"dropping-particle":"","family":"Lorente","given":"José Antonio","non-dropping-particle":"","parse-names":false,"suffix":""},{"dropping-particle":"","family":"Algaba","given":"Ferrán","non-dropping-particle":"","parse-names":false,"suffix":""},{"dropping-particle":"","family":"Carrilho","given":"Emanuel","non-dropping-particle":"","parse-names":false,"suffix":""},{"dropping-particle":"","family":"Márquez","given":"Mirari","non-dropping-particle":"","parse-names":false,"suffix":""},{"dropping-particle":"","family":"García","given":"Antonia","non-dropping-particle":"","parse-names":false,"suffix":""},{"dropping-particle":"","family":"Malats","given":"Núria","non-dropping-particle":"","parse-names":false,"suffix":""},{"dropping-particle":"","family":"Barbas","given":"Coral","non-dropping-particle":"","parse-names":false,"suffix":""}],"container-title":"Journal of Chromatography A","id":"ITEM-1","issued":{"date-parts":[["2013","11","29"]]},"page":"163-170","title":"Searching for urine biomarkers of bladder cancer recurrence using a liquid chromatography-mass spectrometry and capillary electrophoresis-mass spectrometry metabolomics approach","type":"article-journal","volume":"1318"},"uris":["http://www.mendeley.com/documents/?uuid=6ea1d4d3-e7a2-36d6-9c9a-55c5b50d749f"]}],"mendeley":{"formattedCitation":"[38]","plainTextFormattedCitation":"[38]","previouslyFormattedCitation":"[38]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[38]</w:t>
            </w:r>
            <w:r w:rsidRPr="00DF6C69">
              <w:rPr>
                <w:rFonts w:cs="Times New Roman"/>
                <w:sz w:val="18"/>
                <w:szCs w:val="18"/>
              </w:rPr>
              <w:fldChar w:fldCharType="end"/>
            </w:r>
            <w:r w:rsidRPr="00DF6C69">
              <w:rPr>
                <w:rFonts w:cs="Times New Roman"/>
                <w:sz w:val="18"/>
                <w:szCs w:val="18"/>
              </w:rPr>
              <w:t xml:space="preserve">, uric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{"citationItems":[{"id":"ITEM-1","itemData":{"DOI":"10.1016/j.chroma.2013.01.111","ISSN":"00219673","abstract":"The aim of this work was a comprehensive analysis of metabolite profiles of nucleosides from biological samples obtained from patients with urogenital cancer disease as well as an interpretation of cancer-related patterns of the analyzed profiles. In our study we proposed a targeted approach that was focused on the simultaneous determination of twelve nucleosides from over a hundred urine samples. For analytes' quantification high performance liquid chromatography technique hyphenated with tripple quadrupole mass spectrometer was applied. The developed method was validated in terms of linearity, precision, accuracy as well as in terms of limit of quantification and limit of detection. The obtained, normalized data set was analyzed using univariate statistical analysis. The achieved results revealed statistically significant (p&lt;. 0.05) differences between levels of five nucleosides determined in urine samples from cancer patients and healthy volunteers, namely: 6-methyladenosine, inosine, N-2-methylguanosine, 3-methyluridine and N,N-dimethylguanosine. Basing on the putative markers we built the discrimination models using partial least squares discriminant analysis as well as K-nearest neighbor method. The sensitivity and specificity of the markers calculated from the obtained models were in the range of 61.9-88.89% and 27.78-50%, respectively. The proposed procedure can be considered as a holistic approach for metabolites' analysis and includes clinical, analytical and bioinformatics sections. © 2013 Elsevier B.V.","author":[{"dropping-particle":"","family":"Struck","given":"Wiktoria","non-dropping-particle":"","parse-names":false,"suffix":""},{"dropping-particle":"","family":"Siluk","given":"Danuta","non-dropping-particle":"","parse-names":false,"suffix":""},{"dropping-particle":"","family":"Yumba-Mpanga","given":"Arlette","non-dropping-particle":"","parse-names":false,"suffix":""},{"dropping-particle":"","family":"Markuszewski","given":"Marcin","non-dropping-particle":"","parse-names":false,"suffix":""},{"dropping-particle":"","family":"Kaliszan","given":"Roman","non-dropping-particle":"","parse-names":false,"suffix":""},{"dropping-particle":"","family":"Markuszewski","given":"Michał Jan","non-dropping-particle":"","parse-names":false,"suffix":""}],"container-title":"Journal of Chromatography A","id":"ITEM-1","issued":{"date-parts":[["2013","3","29"]]},"page":"122-131","title":"Liquid chromatography tandem mass spectrometry study of urinary nucleosides as potential cancer markers","type":"article-journal","volume":"1283"},"uris":["http://www.mendeley.com/documents/?uuid=c502d669-a511-3307-9176-2021db77486d"]}],"mendeley":{"formattedCitation":"[37]","plainTextFormattedCitation":"[37]","previouslyFormattedCitation":"[37]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[37]</w:t>
            </w:r>
            <w:r w:rsidRPr="00DF6C69">
              <w:rPr>
                <w:rFonts w:cs="Times New Roman"/>
                <w:sz w:val="18"/>
                <w:szCs w:val="18"/>
              </w:rPr>
              <w:fldChar w:fldCharType="end"/>
            </w:r>
            <w:r w:rsidRPr="00DF6C69">
              <w:rPr>
                <w:rFonts w:cs="Times New Roman"/>
                <w:sz w:val="18"/>
                <w:szCs w:val="18"/>
              </w:rPr>
              <w:t xml:space="preserve">, urocanic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{"citationItems":[{"id":"ITEM-1","itemData":{"DOI":"10.1016/j.chroma.2013.01.111","ISSN":"00219673","abstract":"The aim of this work was a comprehensive analysis of metabolite profiles of nucleosides from biological samples obtained from patients with urogenital cancer disease as well as an interpretation of cancer-related patterns of the analyzed profiles. In our study we proposed a targeted approach that was focused on the simultaneous determination of twelve nucleosides from over a hundred urine samples. For analytes' quantification high performance liquid chromatography technique hyphenated with tripple quadrupole mass spectrometer was applied. The developed method was validated in terms of linearity, precision, accuracy as well as in terms of limit of quantification and limit of detection. The obtained, normalized data set was analyzed using univariate statistical analysis. The achieved results revealed statistically significant (p&lt;. 0.05) differences between levels of five nucleosides determined in urine samples from cancer patients and healthy volunteers, namely: 6-methyladenosine, inosine, N-2-methylguanosine, 3-methyluridine and N,N-dimethylguanosine. Basing on the putative markers we built the discrimination models using partial least squares discriminant analysis as well as K-nearest neighbor method. The sensitivity and specificity of the markers calculated from the obtained models were in the range of 61.9-88.89% and 27.78-50%, respectively. The proposed procedure can be considered as a holistic approach for metabolites' analysis and includes clinical, analytical and bioinformatics sections. © 2013 Elsevier B.V.","author":[{"dropping-particle":"","family":"Struck","given":"Wiktoria","non-dropping-particle":"","parse-names":false,"suffix":""},{"dropping-particle":"","family":"Siluk","given":"Danuta","non-dropping-particle":"","parse-names":false,"suffix":""},{"dropping-particle":"","family":"Yumba-Mpanga","given":"Arlette","non-dropping-particle":"","parse-names":false,"suffix":""},{"dropping-particle":"","family":"Markuszewski","given":"Marcin","non-dropping-particle":"","parse-names":false,"suffix":""},{"dropping-particle":"","family":"Kaliszan","given":"Roman","non-dropping-particle":"","parse-names":false,"suffix":""},{"dropping-particle":"","family":"Markuszewski","given":"Michał Jan","non-dropping-particle":"","parse-names":false,"suffix":""}],"container-title":"Journal of Chromatography A","id":"ITEM-1","issued":{"date-parts":[["2013","3","29"]]},"page":"122-131","title":"Liquid chromatography tandem mass spectrometry study of urinary nucleosides as potential cancer markers","type":"article-journal","volume":"1283"},"uris":["http://www.mendeley.com/documents/?uuid=c502d669-a511-3307-9176-2021db77486d"]}],"mendeley":{"formattedCitation":"[37]","plainTextFormattedCitation":"[37]","previouslyFormattedCitation":"[37]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[37]</w:t>
            </w:r>
            <w:r w:rsidRPr="00DF6C69">
              <w:rPr>
                <w:rFonts w:cs="Times New Roman"/>
                <w:sz w:val="18"/>
                <w:szCs w:val="18"/>
              </w:rPr>
              <w:fldChar w:fldCharType="end"/>
            </w:r>
          </w:p>
        </w:tc>
      </w:tr>
      <w:tr w:rsidR="00521E89" w:rsidRPr="00DF6C69" w14:paraId="329618E7" w14:textId="77777777" w:rsidTr="000765CF">
        <w:trPr>
          <w:trHeight w:val="568"/>
        </w:trPr>
        <w:tc>
          <w:tcPr>
            <w:tcW w:w="1418" w:type="dxa"/>
            <w:vMerge w:val="restart"/>
            <w:shd w:val="clear" w:color="auto" w:fill="FFF2CC" w:themeFill="accent4" w:themeFillTint="33"/>
            <w:vAlign w:val="center"/>
          </w:tcPr>
          <w:p w14:paraId="622E27F3" w14:textId="77777777" w:rsidR="00521E89" w:rsidRPr="00DF6C69" w:rsidRDefault="00521E89" w:rsidP="000765CF">
            <w:pPr>
              <w:rPr>
                <w:rFonts w:cs="Times New Roman"/>
                <w:b/>
                <w:sz w:val="18"/>
                <w:szCs w:val="18"/>
              </w:rPr>
            </w:pPr>
            <w:r w:rsidRPr="00DF6C69">
              <w:rPr>
                <w:rFonts w:cs="Times New Roman"/>
                <w:b/>
                <w:sz w:val="18"/>
                <w:szCs w:val="18"/>
              </w:rPr>
              <w:t>Prostate</w:t>
            </w:r>
          </w:p>
          <w:p w14:paraId="1FBF8D51" w14:textId="77777777" w:rsidR="00521E89" w:rsidRPr="00DF6C69" w:rsidRDefault="00521E89" w:rsidP="000765CF">
            <w:pPr>
              <w:rPr>
                <w:rFonts w:cs="Times New Roman"/>
                <w:b/>
                <w:sz w:val="18"/>
                <w:szCs w:val="18"/>
              </w:rPr>
            </w:pPr>
          </w:p>
        </w:tc>
        <w:tc>
          <w:tcPr>
            <w:tcW w:w="993" w:type="dxa"/>
            <w:vAlign w:val="center"/>
          </w:tcPr>
          <w:p w14:paraId="129D0F74" w14:textId="77777777" w:rsidR="00521E89" w:rsidRPr="00DF6C69" w:rsidRDefault="00521E89" w:rsidP="000765CF">
            <w:pPr>
              <w:rPr>
                <w:rFonts w:cs="Times New Roman"/>
                <w:sz w:val="18"/>
                <w:szCs w:val="18"/>
              </w:rPr>
            </w:pPr>
            <w:r w:rsidRPr="00DF6C69">
              <w:rPr>
                <w:rFonts w:cs="Times New Roman"/>
                <w:sz w:val="18"/>
                <w:szCs w:val="18"/>
              </w:rPr>
              <w:t>Serum*</w:t>
            </w:r>
          </w:p>
        </w:tc>
        <w:tc>
          <w:tcPr>
            <w:tcW w:w="6945" w:type="dxa"/>
            <w:vAlign w:val="center"/>
          </w:tcPr>
          <w:p w14:paraId="2E66A35E" w14:textId="29D0319D" w:rsidR="00521E89" w:rsidRPr="00DF6C69" w:rsidRDefault="00521E89" w:rsidP="000765CF">
            <w:pPr>
              <w:rPr>
                <w:rFonts w:cs="Times New Roman"/>
                <w:sz w:val="18"/>
                <w:szCs w:val="18"/>
              </w:rPr>
            </w:pPr>
            <w:r w:rsidRPr="00DF6C69">
              <w:rPr>
                <w:rFonts w:cs="Times New Roman"/>
                <w:sz w:val="18"/>
                <w:szCs w:val="18"/>
              </w:rPr>
              <w:t xml:space="preserve">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trial","type":"article-journal","volume":"115"},"uris":["http://www.mendeley.com/documents/?uuid=0b2adbe1-b9fd-3235-80ee-e2dbb0d36336"]},{"id":"ITEM-2","itemData":{"DOI":"10.3390/diagnostics9010021","ISSN":"20754418","abstract":"Prostate cancer (PCa) diagnosis with current biomarkers is difficult and often results in unnecessary invasive procedures as well as over-diagnosis and over-treatment, highlighting the need for novel biomarkers. The aim of this review is to provide a summary of available metabolomics PCa biomarkers, particularly for clinically significant disease. A systematic search was conducted on PubMed for publications from July 2008 to July 2018 in accordance with PRISMA guidelines to report biomarkers with respect to their application in PCa diagnosis, progression, aggressiveness, recurrence, and treatment response. The vast majority of studies report biomarkers with the ability to distinguish malignant from benign prostate tissue with a few studies investigating biomarkers associated with disease progression, treatment response or tumour recurrence. In general, these studies report high dimensional datasets and the number of analysed metabolites often significantly exceeded the number of available samples. Hence, observed multivariate differences between case and control samples in the datasets might potentially also be associated with pre-analytical, technical, statistical and confounding factors. Giving the technical and methodological hurdles, there are nevertheless a number of metabolites and pathways repeatedly reported across various technical approaches, cohorts and sample types that appear to play a predominant role in PCa tumour biology, progression and recurrence.","author":[{"dropping-particle":"","family":"Kdadra","given":"Marouane","non-dropping-particle":"","parse-names":false,"suffix":""},{"dropping-particle":"","family":"Höckner","given":"Sebastian","non-dropping-particle":"","parse-names":false,"suffix":""},{"dropping-particle":"","family":"Leung","given":"Hing","non-dropping-particle":"","parse-names":false,"suffix":""},{"dropping-particle":"","family":"Kremer","given":"Werner","non-dropping-particle":"","parse-names":false,"suffix":""},{"dropping-particle":"","family":"Schiffer","given":"Eric","non-dropping-particle":"","parse-names":false,"suffix":""}],"container-title":"Diagnostics","id":"ITEM-2","issue":"1","issued":{"date-parts":[["2019","2","19"]]},"page":"1-44","title":"Metabolomics biomarkers of prostate cancer: A systematic review","type":"article-journal","volume":"9"},"uris":["http://www.mendeley.com/documents/?uuid=af4b2e7e-5479-41b2-9215-23a7e0c14039"]}],"mendeley":{"formattedCitation":"[40], [41]","plainTextFormattedCitation":"[40], [41]","previouslyFormattedCitation":"[40], [41]"},"properties":{"noteIndex":0},"schema":"https://github.com/citation-style-language/schema/raw/master/csl-citation.json"}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[40], [41]</w:t>
            </w:r>
            <w:r w:rsidRPr="00DF6C69">
              <w:rPr>
                <w:rFonts w:cs="Times New Roman"/>
                <w:sz w:val="18"/>
                <w:szCs w:val="18"/>
              </w:rPr>
              <w:fldChar w:fldCharType="end"/>
            </w:r>
            <w:r w:rsidRPr="00DF6C69">
              <w:rPr>
                <w:rFonts w:cs="Times New Roman"/>
                <w:sz w:val="18"/>
                <w:szCs w:val="18"/>
              </w:rPr>
              <w:t xml:space="preserve">, androsterone </w:t>
            </w:r>
            <w:proofErr w:type="spellStart"/>
            <w:r w:rsidRPr="00DF6C69">
              <w:rPr>
                <w:rFonts w:cs="Times New Roman"/>
                <w:sz w:val="18"/>
                <w:szCs w:val="18"/>
              </w:rPr>
              <w:t>sulfate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arachidonoyl 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arginine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trial","type":"article-journal","volume":"115"},"uris":["http://www.mendeley.com/documents/?uuid=0b2adbe1-b9fd-3235-80ee-e2dbb0d36336"]},{"id":"ITEM-2","itemData":{"DOI":"10.1038/bjc.2015.411","ISSN":"15321827","abstract":"An individualised risk-stratified screening for prostate cancer (PCa) would select the patients who will benefit from further investigations as well as therapy. Current detection methods suffer from low sensitivity and specificity, especially for separating PCa from benign prostatic conditions. We have investigated the use of metabolomics analyses of blood samples for separating PCa patients and controls with benign prostatic hyperplasia (BPH).Methods:Blood plasma and serum samples from 29 PCa patient and 21 controls with BPH were analysed by metabolomics analysis using magnetic resonance spectroscopy, mass spectrometry and gas chromatography. Differences in blood metabolic patterns were examined by multivariate and univariate statistics.Results:By combining results from different methodological platforms, PCa patients and controls were separated with a sensitivity and specificity of 81.5% and 75.2%, respectively.Conclusions:The combined analysis of serum and plasma samples by different metabolomics measurement techniques gave successful discrimination of PCa and controls, and provided metabolic markers and insight into the processes characteristic of PCa. Our results suggest changes in fatty acid (acylcarnitines), choline (glycerophospholipids) and amino acid metabolism (arginine) as markers for PCa compared with BPH.","author":[{"dropping-particle":"","family":"Giskeødegård","given":"Guro F.","non-dropping-particle":"","parse-names":false,"suffix":""},{"dropping-particle":"","family":"Hansen","given":"Ailin Falkmo","non-dropping-particle":"","parse-names":false,"suffix":""},{"dropping-particle":"","family":"Bertilsson","given":"Helena","non-dropping-particle":"","parse-names":false,"suffix":""},{"dropping-particle":"","family":"Gonzalez","given":"Susana Villa","non-dropping-particle":"","parse-names":false,"suffix":""},{"dropping-particle":"","family":"Kristiansen","given":"Kåre Andre","non-dropping-particle":"","parse-names":false,"suffix":""},{"dropping-particle":"","family":"Bruheim","given":"Per","non-dropping-particle":"","parse-names":false,"suffix":""},{"dropping-particle":"","family":"Mjøs","given":"Svein A.","non-dropping-particle":"","parse-names":false,"suffix":""},{"dropping-particle":"","family":"Angelsen","given":"Anders","non-dropping-particle":"","parse-names":false,"suffix":""},{"dropping-particle":"","family":"Bathen","given":"Tone Frost","non-dropping-particle":"","parse-names":false,"suffix":""},{"dropping-particle":"","family":"Tessem","given":"May Britt","non-dropping-particle":"","parse-names":false,"suffix":""}],"container-title":"British Journal of Cancer","id":"ITEM-2","issue":"12","issued":{"date-parts":[["2015","12","22"]]},"page":"1712-1719","publisher":"Nature Publishing Group","title":"Metabolic markers in blood can separate prostate cancer from benign prostatic hyperplasia","type":"article-journal","volume":"113"},"uris":["http://www.mendeley.com/documents/?uuid=4e1706c9-2508-3ddb-b9e9-196a5c942929"]}],"mendeley":{"formattedCitation":"[40], [43]","plainTextFormattedCitation":"[40], [43]","previouslyFormattedCitation":"[40], [43]"},"properties":{"noteIndex":0},"schema":"https://github.com/citation-style-language/schema/raw/master/csl-citation.json"}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[40], [43]</w:t>
            </w:r>
            <w:r w:rsidRPr="00DF6C69">
              <w:rPr>
                <w:rFonts w:cs="Times New Roman"/>
                <w:sz w:val="18"/>
                <w:szCs w:val="18"/>
              </w:rPr>
              <w:fldChar w:fldCharType="end"/>
            </w:r>
            <w:r w:rsidRPr="00DF6C69">
              <w:rPr>
                <w:rFonts w:cs="Times New Roman"/>
                <w:sz w:val="18"/>
                <w:szCs w:val="18"/>
              </w:rPr>
              <w:t xml:space="preserve">, cholesterol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{"citationItems":[{"id":"ITEM-1","itemData":{"DOI":"10.1158/1055-9965.EPI-08-1193","ISSN":"10559965","abstract":"Purpose: Components of one-carbon metabolism are believed to influence cancer development with suggested mechanisms, including DNA methylation and DNA repair mechanisms. However, few prospective studies have investigated one-carbon metabolism in relation to prostate cancer risk, and the results have been conflicting. The aim of this study was to do a comprehensive investigation of the components of one-carbon metabolism in relation to prostate cancer risk. A panel of seven circulating B vitamins and related metabolites was selected, most of which have not been studied before. Materials and Methods: We analyzed plasma concentrations of betaine, choline, cysteine, methionine, methylmalonic acid (MMA), vitamin B2, and vitamin B6 in 561 cases and 1,034 controls matched for age and recruitment date, nested within the population-based Northern Sweden Health and Disease Cohort. Relative risks of prostate cancer were estimated by conditional logistic regression. Results: Positive associations with prostate cancer risk were observed for choline and vitamin B2, and an inverse association was observed for MMA. The relative risks for a doubling in concentrationswere 1.46 [95%confidence interval (95% CI), 1.04-2.05; Ptrend = 0.03] for choline, 1.11 (95% CI, 1.00-1.23; Ptrend = 0.04) for vitamin B2, and 0.78 (95% CI, 0.63-0.97; Ptrend = 0.03) for MMA. Concentrations of betaine, cysteine,methionine, and vitamin B6 were not associated with prostate cancer risk. Conclusion: The results of this large prospective study suggest that elevated plasma concentrations of choline and vitamin B2 may be associated with an increased risk of prostate cancer. These novel findings support a role of one-carbon metabolism in prostate cancer etiology and warrant further investigation. Copyright © 2009 American Association for Cancer Research.","author":[{"dropping-particle":"","family":"Johansson","given":"Mattias","non-dropping-particle":"","parse-names":false,"suffix":""},{"dropping-particle":"","family":"Guelpen","given":"Bethany","non-dropping-particle":"Van","parse-names":false,"suffix":""},{"dropping-particle":"","family":"Vollset","given":"Stein Emil","non-dropping-particle":"","parse-names":false,"suffix":""},{"dropping-particle":"","family":"Hultdin","given":"Johan","non-dropping-particle":"","parse-names":false,"suffix":""},{"dropping-particle":"","family":"Bergh","given":"Anders","non-dropping-particle":"","parse-names":false,"suffix":""},{"dropping-particle":"","family":"Key","given":"Tim","non-dropping-particle":"","parse-names":false,"suffix":""},{"dropping-particle":"","family":"Midttun","given":"Øivind","non-dropping-particle":"","parse-names":false,"suffix":""},{"dropping-particle":"","family":"Hallmans","given":"Göran","non-dropping-particle":"","parse-names":false,"suffix":""},{"dropping-particle":"","family":"Ueland","given":"Per M.","non-dropping-particle":"","parse-names":false,"suffix":""},{"dropping-particle":"","family":"Stattin","given":"Pär","non-dropping-particle":"","parse-names":false,"suffix":""}],"container-title":"Cancer Epidemiology Biomarkers and Prevention","id":"ITEM-1","issue":"5","issued":{"date-parts":[["2009","5"]]},"page":"1538-1543","title":"One-carbon metabolism and prostate cancer risk: Prospective investigation of seven circulating B vitamins and metabolites","type":"article-journal","volume":"18"},"uris":["http://www.mendeley.com/documents/?uuid=208d5f48-0321-35b3-bd36-75f142a8684e"]}],"mendeley":{"formattedCitation":"[44]","plainTextFormattedCitation":"[44]","previouslyFormattedCitation":"[44]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[44]</w:t>
            </w:r>
            <w:r w:rsidRPr="00DF6C69">
              <w:rPr>
                <w:rFonts w:cs="Times New Roman"/>
                <w:sz w:val="18"/>
                <w:szCs w:val="18"/>
              </w:rPr>
              <w:fldChar w:fldCharType="end"/>
            </w:r>
            <w:r w:rsidRPr="00DF6C69">
              <w:rPr>
                <w:rFonts w:cs="Times New Roman"/>
                <w:sz w:val="18"/>
                <w:szCs w:val="18"/>
              </w:rPr>
              <w:t xml:space="preserve">, citrate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{"citationItems":[{"id":"ITEM-1","itemData":{"DOI":"10.1200/JCO.1992.10.6.881","ISSN":"0732183X","abstract":"Purpose: Suramin is known to inhibit the growth of malignant prostate carcinoma cells in vitro. This led us to evaluate the effectiveness of suramin in the treatment of 38 patients with prostate carcinoma refractory to hormone therapy. Patients and Methods: Suramin was administered by continuous infusion at a rate designed to reach a peak of 300 μg/mL at the end of 14 days. Patients were given 8 weeks to recover from any toxicity before beginning the second cycle. Subsequent cycles were administered in the same manner except the starting dose rate was 280 mg/m2. Results: In 17 patients with measurable soft tissue disease, three had complete disappearance of soft tissue disease for 4, 5, and 11 months, whereas three patients had a ≥ 50% decrease in the sum of the products of the diameters of all measurable disease for ≥ 1 month. Of these 17 patients, pretreatment prostate-specific antigen (PSA) decreased by 75% or more in five (29%) and normalized in one (6%). The remaining 21 patients had disease limited to bone, and only one of these experienced resolution of more than 50% of all lesions on bone scan. Of these 21 patients, pretreatment PSA decreased by 75% or more in eight (38%) and normalized in five (25%). Median time to progression for all patients was 26.3 weeks, and median survival was 42.3 weeks. Patients with bone involvement alone exhibited a better survival than patients with soft tissue involvement (P2 = .02). Survival was strongly correlated (P2 = .0001) with a decline in the pretreatment PSA of ≥ 75% by the eighth week on therapy, with nearly an 85% survival at 1 year compared with a 20% survival for those whose pretreatment PSA did not decline by that amount. Conclusion: We conclude that suramin is an active agent in hormone-refractory prostate carcinoma.","author":[{"dropping-particle":"","family":"Myers","given":"C.","non-dropping-particle":"","parse-names":false,"suffix":""},{"dropping-particle":"","family":"Cooper","given":"M.","non-dropping-particle":"","parse-names":false,"suffix":""},{"dropping-particle":"","family":"Stein","given":"C.","non-dropping-particle":"","parse-names":false,"suffix":""},{"dropping-particle":"","family":"LaRocca","given":"R.","non-dropping-particle":"","parse-names":false,"suffix":""},{"dropping-particle":"","family":"Walther","given":"M. M.","non-dropping-particle":"","parse-names":false,"suffix":""},{"dropping-particle":"","family":"Weiss","given":"G.","non-dropping-particle":"","parse-names":false,"suffix":""},{"dropping-particle":"","family":"Choyke","given":"P.","non-dropping-particle":"","parse-names":false,"suffix":""},{"dropping-particle":"","family":"Dawson","given":"N.","non-dropping-particle":"","parse-names":false,"suffix":""},{"dropping-particle":"","family":"Steinberg","given":"S.","non-dropping-particle":"","parse-names":false,"suffix":""},{"dropping-particle":"","family":"Uhrich","given":"M. M.","non-dropping-particle":"","parse-names":false,"suffix":""},{"dropping-particle":"","family":"Cassidy","given":"J.","non-dropping-particle":"","parse-names":false,"suffix":""},{"dropping-particle":"","family":"Kohler","given":"D. R.","non-dropping-particle":"","parse-names":false,"suffix":""},{"dropping-particle":"","family":"Trepel","given":"J.","non-dropping-particle":"","parse-names":false,"suffix":""},{"dropping-particle":"","family":"Linehan","given":"W. M.","non-dropping-particle":"","parse-names":false,"suffix":""}],"container-title":"Journal of Clinical Oncology","id":"ITEM-1","issue":"6","issued":{"date-parts":[["1992"]]},"page":"881-889","title":"Suramin: A novel growth factor antagonist with activity in hormone- refractory metastatic prostate cancer","type":"article-journal","volume":"10"},"uris":["http://www.mendeley.com/documents/?uuid=c245d1d0-2357-4710-a321-68e4766543e1"]},{"id":"ITEM-2","itemData":{"DOI":"10.1038/bjc.2016.305","ISSN":"15321827","abstract":"Background: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Cancer","id":"ITEM-2","issue":"9","issued":{"date-parts":[["2016","10","25"]]},"page":"1087-1095","publisher":"Nature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 [45]","plainTextFormattedCitation":"[40], [45]","previouslyFormattedCitation":"[40], [45]"},"properties":{"noteIndex":0},"schema":"https://github.com/citation-style-language/schema/raw/master/csl-citation.json"}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[40], [45]</w:t>
            </w:r>
            <w:r w:rsidRPr="00DF6C69">
              <w:rPr>
                <w:rFonts w:cs="Times New Roman"/>
                <w:sz w:val="18"/>
                <w:szCs w:val="18"/>
              </w:rPr>
              <w:fldChar w:fldCharType="end"/>
            </w:r>
            <w:r w:rsidRPr="00DF6C69">
              <w:rPr>
                <w:rFonts w:cs="Times New Roman"/>
                <w:sz w:val="18"/>
                <w:szCs w:val="18"/>
              </w:rPr>
              <w:t xml:space="preserve">, creatinine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{"citationItems":[{"id":"ITEM-1","itemData":{"DOI":"10.1158/1055-9965.EPI-09-0322","ISSN":"10559965","abstract":"Background: Several studies have examined serum creatinine as a marker for prostate cancer stage, recurrence, and prognosis. We evaluated whether serum creatinine concentration was associated with risk of developing prostate cancer in a prospective cohort of male smokers. Methods: A nested case-control study within the Alpha-Tocopherol, Beta-Carotene Cancer Prevention Study of 50- to 69-year-old Finnish men was conducted. Two controls (n = 464) were matched to each case (n = 232) on study center, intervention group, date of baseline blood draw (±45 days), and age (±5 years). Conditional logistic regression was used to calculate odds ratios and 95% confidence intervals. All P values were two-sided. Results: Cases had significantly higher prediagnostic serum creatinine concentrations compared with controls (medians of 1.13 versus 1.10 mg/dL, respectively; P = 0.004). Serum creatinine was associated with a significantly greater risk of prostate cancer (multivariate odds ratio, 2.23; 95% confidence interval, 1.33-3.75 for highest versus lowest quartile), with a significant trend (P trend = 0.0008). Exclusion of subjects with a reported history of diabetes, benign prostatic hyperplasia, or hypertension, or whose cancer was diagnosed within the first 5 years of follow-up, did not alter the association. Risk did not differ by disease stage or time from blood draw to diagnosis. Conclusion: Prospectively measured serum creatinine, within normal ranges, is positively related to prostate cancer risk. Future research should reexamine the association in other populations, including any interrelationship with serum prostate-specific antigen. Copyright © 2009 American Association for Cancer Research.","author":[{"dropping-particle":"","family":"Weinstein","given":"Stephanie J.","non-dropping-particle":"","parse-names":false,"suffix":""},{"dropping-particle":"","family":"Mackrain","given":"Katrina","non-dropping-particle":"","parse-names":false,"suffix":""},{"dropping-particle":"","family":"Stolzenberg-Solomon","given":"Rachael Z.","non-dropping-particle":"","parse-names":false,"suffix":""},{"dropping-particle":"","family":"Selhub","given":"Jacob","non-dropping-particle":"","parse-names":false,"suffix":""},{"dropping-particle":"","family":"Virtamo","given":"Jarmo","non-dropping-particle":"","parse-names":false,"suffix":""},{"dropping-particle":"","family":"Albanes","given":"Demetrius","non-dropping-particle":"","parse-names":false,"suffix":""}],"container-title":"Cancer Epidemiology Biomarkers and Prevention","id":"ITEM-1","issue":"10","issued":{"date-parts":[["2009","10"]]},"page":"2643-2649","title":"Serum creatinine and prostate cancer risk in a prospective study","type":"article-journal","volume":"18"},"uris":["http://www.mendeley.com/documents/?uuid=ed29e50c-47e6-4aaa-a026-587b595834c7"]},{"id":"ITEM-2","itemData":{"DOI":"10.1016/0167-8140(94)90411-1","ISSN":"01678140","abstract":"From 1988 to 1991, 284 patients with prostatic cancer and painful bone metastases were treated with either radiotherapy or strontium-89 (200 MBq). Patients were first stratified according to suitability for local or hemibody radiotherapy, then randomly allocated that form of treatment or strontium-89 (i.v. injection). After 4, 8 and 12 weeks pain sites were mapped, toxicity monitored, and all additional palliative treatments recorded. There was no significant difference in median survival (after &gt; 80% had died); 33 weeks following strontium-89 and 28 weeks following radiotherapy (p = 0.1). All treatments provided effective pain relief; improvement was sustained to 3 months in 63.6% after hemibody radiotherapy compared with 66.1%, after strontium-89, and in 61% after local radiotherapy compared with 65.9% in the comparable strontium-89 group. Fewer patients reported new pain sites after strontium-89 than after local or hemibody radiotherapy (p &lt; 0.05). Radiotherapy to a new site was required by 12 patients in the local radiotherapy group compared with 2 after strontium-89 (p &lt; 0.01), although there was no significant difference between hemibody radiotherapy (6 patients) and strontium-89 (9 patients) in this respect. Platelets and leukocytes fell by an average 30-40% after strontium-89 but sequelae were uncommon, and other symptoms rare. © 1994.","author":[{"dropping-particle":"","family":"Quilty","given":"P. M.","non-dropping-particle":"","parse-names":false,"suffix":""},{"dropping-particle":"","family":"Kirk","given":"D.","non-dropping-particle":"","parse-names":false,"suffix":""},{"dropping-particle":"","family":"Bolger","given":"J. J.","non-dropping-particle":"","parse-names":false,"suffix":""},{"dropping-particle":"","family":"Dearnaley","given":"D. P.","non-dropping-particle":"","parse-names":false,"suffix":""},{"dropping-particle":"","family":"Lewington","given":"V. J.","non-dropping-particle":"","parse-names":false,"suffix":""},{"dropping-particle":"","family":"Masone","given":"M. D.","non-dropping-particle":"","parse-names":false,"suffix":""},{"dropping-particle":"","family":"Reed","given":"N. S.E.","non-dropping-particle":"","parse-names":false,"suffix":""},{"dropping-particle":"","family":"Russell","given":"J. M.","non-dropping-particle":"","parse-names":false,"suffix":""},{"dropping-particle":"","family":"Yardley","given":"J.","non-dropping-particle":"","parse-names":false,"suffix":""}],"container-title":"Radiotherapy and Oncology","id":"ITEM-2","issue":"1","issued":{"date-parts":[["1994"]]},"page":"33-40","title":"A comparison of the palliative effects of strontium-89 and external beam radiotherapy in metastatic prostate cancer","type":"article-journal","volume":"31"},"uris":["http://www.mendeley.com/documents/?uuid=812c22a0-a72a-40b6-9ef1-d5e9943374e7"]}],"mendeley":{"formattedCitation":"[46], [47]","plainTextFormattedCitation":"[46], [47]","previouslyFormattedCitation":"[46], [47]"},"properties":{"noteIndex":0},"schema":"https://github.com/citation-style-language/schema/raw/master/csl-citation.json"}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[46], [47]</w:t>
            </w:r>
            <w:r w:rsidRPr="00DF6C69">
              <w:rPr>
                <w:rFonts w:cs="Times New Roman"/>
                <w:sz w:val="18"/>
                <w:szCs w:val="18"/>
              </w:rPr>
              <w:fldChar w:fldCharType="end"/>
            </w:r>
            <w:r w:rsidRPr="00DF6C69">
              <w:rPr>
                <w:rFonts w:cs="Times New Roman"/>
                <w:sz w:val="18"/>
                <w:szCs w:val="18"/>
              </w:rPr>
              <w:t xml:space="preserve">, cysteine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dimethylheptanoyl</w:t>
            </w:r>
            <w:proofErr w:type="spellEnd"/>
            <w:r w:rsidRPr="00DF6C69">
              <w:rPr>
                <w:rFonts w:cs="Times New Roman"/>
                <w:sz w:val="18"/>
                <w:szCs w:val="18"/>
              </w:rPr>
              <w:t xml:space="preserve"> carnitine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fatty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[40]</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formate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glucose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{"citationItems":[{"id":"ITEM-1","itemData":{"DOI":"10.1038/bjc.2015.411","ISSN":"15321827","abstract":"An individualised risk-stratified screening for prostate cancer (PCa) would select the patients who will benefit from further investigations as well as therapy. Current detection methods suffer from low sensitivity and specificity, especially for separating PCa from benign prostatic conditions. We have investigated the use of metabolomics analyses of blood samples for separating PCa patients and controls with benign prostatic hyperplasia (BPH).Methods:Blood plasma and serum samples from 29 PCa patient and 21 controls with BPH were analysed by metabolomics analysis using magnetic resonance spectroscopy, mass spectrometry and gas chromatography. Differences in blood metabolic patterns were examined by multivariate and univariate statistics.Results:By combining results from different methodological platforms, PCa patients and controls were separated with a sensitivity and specificity of 81.5% and 75.2%, respectively.Conclusions:The combined analysis of serum and plasma samples by different metabolomics measurement techniques gave successful discrimination of PCa and controls, and provided metabolic markers and insight into the processes characteristic of PCa. Our results suggest changes in fatty acid (acylcarnitines), choline (glycerophospholipids) and amino acid metabolism (arginine) as markers for PCa compared with BPH.","author":[{"dropping-particle":"","family":"Giskeødegård","given":"Guro F.","non-dropping-particle":"","parse-names":false,"suffix":""},{"dropping-particle":"","family":"Hansen","given":"Ailin Falkmo","non-dropping-particle":"","parse-names":false,"suffix":""},{"dropping-particle":"","family":"Bertilsson","given":"Helena","non-dropping-particle":"","parse-names":false,"suffix":""},{"dropping-particle":"","family":"Gonzalez","given":"Susana Villa","non-dropping-particle":"","parse-names":false,"suffix":""},{"dropping-particle":"","family":"Kristiansen","given":"Kåre Andre","non-dropping-particle":"","parse-names":false,"suffix":""},{"dropping-particle":"","family":"Bruheim","given":"Per","non-dropping-particle":"","parse-names":false,"suffix":""},{"dropping-particle":"","family":"Mjøs","given":"Svein A.","non-dropping-particle":"","parse-names":false,"suffix":""},{"dropping-particle":"","family":"Angelsen","given":"Anders","non-dropping-particle":"","parse-names":false,"suffix":""},{"dropping-particle":"","family":"Bathen","given":"Tone Frost","non-dropping-particle":"","parse-names":false,"suffix":""},{"dropping-particle":"","family":"Tessem","given":"May Britt","non-dropping-particle":"","parse-names":false,"suffix":""}],"container-title":"British Journal of Cancer","id":"ITEM-1","issue":"12","issued":{"date-parts":[["2015","12","22"]]},"page":"1712-1719","publisher":"Nature Publishing Group","title":"Metabolic markers in blood can separate prostate cancer from benign prostatic hyperplasia","type":"article-journal","volume":"113"},"uris":["http://www.mendeley.com/documents/?uuid=4e1706c9-2508-3ddb-b9e9-196a5c942929"]}],"mendeley":{"formattedCitation":"[43]","plainTextFormattedCitation":"[43]","previouslyFormattedCitation":"[43]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[43]</w:t>
            </w:r>
            <w:r w:rsidRPr="00DF6C69">
              <w:rPr>
                <w:rFonts w:cs="Times New Roman"/>
                <w:sz w:val="18"/>
                <w:szCs w:val="18"/>
              </w:rPr>
              <w:fldChar w:fldCharType="end"/>
            </w:r>
            <w:r w:rsidRPr="00DF6C69">
              <w:rPr>
                <w:rFonts w:cs="Times New Roman"/>
                <w:sz w:val="18"/>
                <w:szCs w:val="18"/>
              </w:rPr>
              <w:t xml:space="preserve">, glutamate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recurrence","type":"article-journal","volume":"25"},"uris":["http://www.mendeley.com/documents/?uuid=1e8e070d-6cee-47e1-9bdd-fcc792ce1489"]}],"mendeley":{"formattedCitation":"[40], [42]","plainTextFormattedCitation":"[40], [42]","previouslyFormattedCitation":"[40], [42]"},"properties":{"noteIndex":0},"schema":"https://github.com/citation-style-language/schema/raw/master/csl-citation.json"}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[40], [42]</w:t>
            </w:r>
            <w:r w:rsidRPr="00DF6C69">
              <w:rPr>
                <w:rFonts w:cs="Times New Roman"/>
                <w:sz w:val="18"/>
                <w:szCs w:val="18"/>
              </w:rPr>
              <w:fldChar w:fldCharType="end"/>
            </w:r>
            <w:r w:rsidRPr="00DF6C69">
              <w:rPr>
                <w:rFonts w:cs="Times New Roman"/>
                <w:sz w:val="18"/>
                <w:szCs w:val="18"/>
              </w:rPr>
              <w:t xml:space="preserve">, glycine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isolithocholic</w:t>
            </w:r>
            <w:proofErr w:type="spellEnd"/>
            <w:r w:rsidRPr="00DF6C69">
              <w:rPr>
                <w:rFonts w:cs="Times New Roman"/>
                <w:sz w:val="18"/>
                <w:szCs w:val="18"/>
              </w:rPr>
              <w:t xml:space="preserve">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w:t>
            </w:r>
            <w:r w:rsidR="00D15E8F" w:rsidRPr="00DF6C69">
              <w:rPr>
                <w:rFonts w:cs="Times New Roman"/>
                <w:sz w:val="18"/>
                <w:szCs w:val="18"/>
              </w:rPr>
              <w:t xml:space="preserve">lactate </w:t>
            </w:r>
            <w:r w:rsidR="00D15E8F"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{"citationItems":[{"id":"ITEM-1","itemData":{"DOI":"10.1159/000485242","abstract":"Lactic acidosis is a commonly observed clinical condition that is associated with a poor prognosis, especially in malignancies. We describe a case of an 81-year-old patient who presented with symptoms of tachypnea and general discomfort. Arterial blood gas analysis showed a high anion gap acidosis with a lactate level of 9.5 mmol/L with respiratory compensation. CT scanning showed no signs of pulmonary embolism or other causes of impaired tissue oxygenation. Despite treatment with sodium bicarbonate, the patient developed an adrenalin-resistant cardiac arrest, most likely caused by the acidosis. Autopsy revealed Gleason score 5 + 5 metastatic prostate cancer as the most probable cause of the lactic aci-dosis. Next-generation sequencing indicated a nonsense mutation in the TP53 gene (887delA) and an activating mutation in the PIK3CA gene (1634A&gt;G) as candidate molec","author":[{"dropping-particle":"","family":"Ogilvie","given":"Aernout C","non-dropping-particle":"","parse-names":false,"suffix":""},{"dropping-particle":"","family":"Mijn","given":"Johannes C","non-dropping-particle":"Van Der","parse-names":false,"suffix":""},{"dropping-particle":"","family":"Kuiper","given":"Mathijs J","non-dropping-particle":"","parse-names":false,"suffix":""},{"dropping-particle":"","family":"Siegert","given":"Carl E H","non-dropping-particle":"","parse-names":false,"suffix":""},{"dropping-particle":"","family":"Wassenaar","given":"Annabeth E","non-dropping-particle":"","parse-names":false,"suffix":""},{"dropping-particle":"","family":"Noesel","given":"Carel J M","non-dropping-particle":"Van","parse-names":false,"suffix":""}],"container-title":"Case Rep Oncol","id":"ITEM-1","issued":{"date-parts":[["2017"]]},"page":"1085-1091","title":"Lactic Acidosis in Prostate Cancer: Consider the Warburg Effect Keywords Mutation · p53 mutations · PIK3CA mutations · PTEN mutations · IDH1 mutations · Prostate cancer · Lactic acidosis · Warburg effect · Metabolic reprogramming · Case report","type":"article-journal","volume":"10"},"uris":["http://www.mendeley.com/documents/?uuid=c6f05c1c-91de-3d33-ae46-0c28cf098897"]},{"id":"ITEM-2","itemData":{"DOI":"10.1016/j.chest.2019.08.2050","ISSN":"00123692","author":[{"dropping-particle":"","family":"Fabyan","given":"Kimberly","non-dropping-particle":"","parse-names":false,"suffix":""},{"dropping-particle":"","family":"Holtzclaw","given":"Arthur","non-dropping-particle":"","parse-names":false,"suffix":""},{"dropping-particle":"","family":"Sherner","given":"John","non-dropping-particle":"","parse-names":false,"suffix":""}],"container-title":"Chest","id":"ITEM-2","issue":"4","issued":{"date-parts":[["2019","10","1"]]},"page":"A2105","publisher":"Elsevier BV","title":"PROSTATE LACTATE: A CASE OF SEVERE LACTIC ACIDOSIS WITH AN INTERESTING MECHANISM OF ACTION","type":"article-journal","volume":"156"},"uris":["http://www.mendeley.com/documents/?uuid=4ae92790-9a8b-38b4-94f5-6b5e840cd03a"]}],"mendeley":{"formattedCitation":"[48], [49]","plainTextFormattedCitation":"[48], [49]","previouslyFormattedCitation":"[48], [49]"},"properties":{"noteIndex":0},"schema":"https://github.com/citation-style-language/schema/raw/master/csl-citation.json"}</w:instrText>
            </w:r>
            <w:r w:rsidR="00D15E8F"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[48], [49]</w:t>
            </w:r>
            <w:r w:rsidR="00D15E8F" w:rsidRPr="00DF6C69">
              <w:rPr>
                <w:rFonts w:ascii="Times New Roman" w:hAnsi="Times New Roman" w:cs="Times New Roman"/>
                <w:sz w:val="18"/>
                <w:szCs w:val="18"/>
              </w:rPr>
              <w:fldChar w:fldCharType="end"/>
            </w:r>
            <w:r w:rsidR="00D15E8F" w:rsidRPr="00DF6C69">
              <w:rPr>
                <w:rFonts w:ascii="Times New Roman" w:hAnsi="Times New Roman" w:cs="Times New Roman"/>
                <w:sz w:val="18"/>
                <w:szCs w:val="18"/>
              </w:rPr>
              <w:t xml:space="preserve">, </w:t>
            </w:r>
            <w:r w:rsidRPr="00DF6C69">
              <w:rPr>
                <w:rFonts w:cs="Times New Roman"/>
                <w:sz w:val="18"/>
                <w:szCs w:val="18"/>
              </w:rPr>
              <w:t xml:space="preserve">leucine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lysine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{"citationItems":[{"id":"ITEM-1","itemData":{"DOI":"10.1038/bjc.2015.411","ISSN":"15321827","abstract":"An individualised risk-stratified screening for prostate cancer (PCa) would select the patients who will benefit from further investigations as well as therapy. Current detection methods suffer from low sensitivity and specificity, especially for separating PCa from benign prostatic conditions. We have investigated the use of metabolomics analyses of blood samples for separating PCa patients and controls with benign prostatic hyperplasia (BPH).Methods:Blood plasma and serum samples from 29 PCa patient and 21 controls with BPH were analysed by metabolomics analysis using magnetic resonance spectroscopy, mass spectrometry and gas chromatography. Differences in blood metabolic patterns were examined by multivariate and univariate statistics.Results:By combining results from different methodological platforms, PCa patients and controls were separated with a sensitivity and specificity of 81.5% and 75.2%, respectively.Conclusions:The combined analysis of serum and plasma samples by different metabolomics measurement techniques gave successful discrimination of PCa and controls, and provided metabolic markers and insight into the processes characteristic of PCa. Our results suggest changes in fatty acid (acylcarnitines), choline (glycerophospholipids) and amino acid metabolism (arginine) as markers for PCa compared with BPH.","author":[{"dropping-particle":"","family":"Giskeødegård","given":"Guro F.","non-dropping-particle":"","parse-names":false,"suffix":""},{"dropping-particle":"","family":"Hansen","given":"Ailin Falkmo","non-dropping-particle":"","parse-names":false,"suffix":""},{"dropping-particle":"","family":"Bertilsson","given":"Helena","non-dropping-particle":"","parse-names":false,"suffix":""},{"dropping-particle":"","family":"Gonzalez","given":"Susana Villa","non-dropping-particle":"","parse-names":false,"suffix":""},{"dropping-particle":"","family":"Kristiansen","given":"Kåre Andre","non-dropping-particle":"","parse-names":false,"suffix":""},{"dropping-particle":"","family":"Bruheim","given":"Per","non-dropping-particle":"","parse-names":false,"suffix":""},{"dropping-particle":"","family":"Mjøs","given":"Svein A.","non-dropping-particle":"","parse-names":false,"suffix":""},{"dropping-particle":"","family":"Angelsen","given":"Anders","non-dropping-particle":"","parse-names":false,"suffix":""},{"dropping-particle":"","family":"Bathen","given":"Tone Frost","non-dropping-particle":"","parse-names":false,"suffix":""},{"dropping-particle":"","family":"Tessem","given":"May Britt","non-dropping-particle":"","parse-names":false,"suffix":""}],"container-title":"British Journal of Cancer","id":"ITEM-1","issue":"12","issued":{"date-parts":[["2015","12","22"]]},"page":"1712-1719","publisher":"Nature Publishing Group","title":"Metabolic markers in blood can separate prostate cancer from benign prostatic hyperplasia","type":"article-journal","volume":"113"},"uris":["http://www.mendeley.com/documents/?uuid=4e1706c9-2508-3ddb-b9e9-196a5c942929"]},{"id":"ITEM-2","itemData":{"DOI":"10.1158/1055-9965.EPI-15-1223","ISSN":"10559965","abstract":"Metabolite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 [43]","plainTextFormattedCitation":"[42], [43]","previouslyFormattedCitation":"[42], [43]"},"properties":{"noteIndex":0},"schema":"https://github.com/citation-style-language/schema/raw/master/csl-citation.json"}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 [43]</w:t>
            </w:r>
            <w:r w:rsidRPr="00DF6C69">
              <w:rPr>
                <w:rFonts w:cs="Times New Roman"/>
                <w:sz w:val="18"/>
                <w:szCs w:val="18"/>
              </w:rPr>
              <w:fldChar w:fldCharType="end"/>
            </w:r>
            <w:r w:rsidRPr="00DF6C69">
              <w:rPr>
                <w:rFonts w:cs="Times New Roman"/>
                <w:sz w:val="18"/>
                <w:szCs w:val="18"/>
              </w:rPr>
              <w:t xml:space="preserve">, phenylalanine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{"citationItems":[{"id":"ITEM-1","itemData":{"DOI":"10.1038/bjc.2015.411","ISSN":"15321827","abstract":"An individualised risk-stratified screening for prostate cancer (PCa) would select the patients who will benefit from further investigations as well as therapy. Current detection methods suffer from low sensitivity and specificity, especially for separating PCa from benign prostatic conditions. We have investigated the use of metabolomics analyses of blood samples for separating PCa patients and controls with benign prostatic hyperplasia (BPH).Methods:Blood plasma and serum samples from 29 PCa patient and 21 controls with BPH were analysed by metabolomics analysis using magnetic resonance spectroscopy, mass spectrometry and gas chromatography. Differences in blood metabolic patterns were examined by multivariate and univariate statistics.Results:By combining results from different methodological platforms, PCa patients and controls were separated with a sensitivity and specificity of 81.5% and 75.2%, respectively.Conclusions:The combined analysis of serum and plasma samples by different metabolomics measurement techniques gave successful discrimination of PCa and controls, and provided metabolic markers and insight into the processes characteristic of PCa. Our results suggest changes in fatty acid (acylcarnitines), choline (glycerophospholipids) and amino acid metabolism (arginine) as markers for PCa compared with BPH.","author":[{"dropping-particle":"","family":"Giskeødegård","given":"Guro F.","non-dropping-particle":"","parse-names":false,"suffix":""},{"dropping-particle":"","family":"Hansen","given":"Ailin Falkmo","non-dropping-particle":"","parse-names":false,"suffix":""},{"dropping-particle":"","family":"Bertilsson","given":"Helena","non-dropping-particle":"","parse-names":false,"suffix":""},{"dropping-particle":"","family":"Gonzalez","given":"Susana Villa","non-dropping-particle":"","parse-names":false,"suffix":""},{"dropping-particle":"","family":"Kristiansen","given":"Kåre Andre","non-dropping-particle":"","parse-names":false,"suffix":""},{"dropping-particle":"","family":"Bruheim","given":"Per","non-dropping-particle":"","parse-names":false,"suffix":""},{"dropping-particle":"","family":"Mjøs","given":"Svein A.","non-dropping-particle":"","parse-names":false,"suffix":""},{"dropping-particle":"","family":"Angelsen","given":"Anders","non-dropping-particle":"","parse-names":false,"suffix":""},{"dropping-particle":"","family":"Bathen","given":"Tone Frost","non-dropping-particle":"","parse-names":false,"suffix":""},{"dropping-particle":"","family":"Tessem","given":"May Britt","non-dropping-particle":"","parse-names":false,"suffix":""}],"container-title":"British Journal of Cancer","id":"ITEM-1","issue":"12","issued":{"date-parts":[["2015","12","22"]]},"page":"1712-1719","publisher":"Nature Publishing Group","title":"Metabolic markers in blood can separate prostate cancer from benign prostatic hyperplasia","type":"article-journal","volume":"113"},"uris":["http://www.mendeley.com/documents/?uuid=4e1706c9-2508-3ddb-b9e9-196a5c942929"]},{"id":"ITEM-2","itemData":{"DOI":"10.1016/j.urolonc.2011.08.002","ISSN":"10781439","abstract":"The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Investigations","id":"ITEM-2","issue":"5","issued":{"date-parts":[["2011","9"]]},"page":"572-581","title":"Application of metabolomics to prostate cancer","type":"article","volume":"29"},"uris":["http://www.mendeley.com/documents/?uuid=6a876c81-9ad9-34e5-8e82-3cd108f0058e"]}],"mendeley":{"formattedCitation":"[43], [50]","plainTextFormattedCitation":"[43], [50]","previouslyFormattedCitation":"[43], [50]"},"properties":{"noteIndex":0},"schema":"https://github.com/citation-style-language/schema/raw/master/csl-citation.json"}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[43], [50]</w:t>
            </w:r>
            <w:r w:rsidRPr="00DF6C69">
              <w:rPr>
                <w:rFonts w:cs="Times New Roman"/>
                <w:sz w:val="18"/>
                <w:szCs w:val="18"/>
              </w:rPr>
              <w:fldChar w:fldCharType="end"/>
            </w:r>
            <w:r w:rsidRPr="00DF6C69">
              <w:rPr>
                <w:rFonts w:cs="Times New Roman"/>
                <w:sz w:val="18"/>
                <w:szCs w:val="18"/>
              </w:rPr>
              <w:t xml:space="preserve"> phosphocholine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proline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[40]</w:t>
            </w:r>
            <w:r w:rsidRPr="00DF6C69">
              <w:rPr>
                <w:rFonts w:cs="Times New Roman"/>
                <w:sz w:val="18"/>
                <w:szCs w:val="18"/>
              </w:rPr>
              <w:fldChar w:fldCharType="end"/>
            </w:r>
            <w:r w:rsidRPr="00DF6C69">
              <w:rPr>
                <w:rFonts w:cs="Times New Roman"/>
                <w:sz w:val="18"/>
                <w:szCs w:val="18"/>
              </w:rPr>
              <w:t xml:space="preserve">, testosterone </w:t>
            </w:r>
            <w:proofErr w:type="spellStart"/>
            <w:r w:rsidRPr="00DF6C69">
              <w:rPr>
                <w:rFonts w:cs="Times New Roman"/>
                <w:sz w:val="18"/>
                <w:szCs w:val="18"/>
              </w:rPr>
              <w:t>sulfate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p>
        </w:tc>
      </w:tr>
      <w:tr w:rsidR="00521E89" w:rsidRPr="00DF6C69" w14:paraId="0E9BC4E1" w14:textId="77777777" w:rsidTr="000765CF">
        <w:trPr>
          <w:trHeight w:val="311"/>
        </w:trPr>
        <w:tc>
          <w:tcPr>
            <w:tcW w:w="1418" w:type="dxa"/>
            <w:vMerge/>
            <w:shd w:val="clear" w:color="auto" w:fill="FFF2CC" w:themeFill="accent4" w:themeFillTint="33"/>
            <w:vAlign w:val="center"/>
          </w:tcPr>
          <w:p w14:paraId="434621E5" w14:textId="77777777" w:rsidR="00521E89" w:rsidRPr="00DF6C69" w:rsidRDefault="00521E89" w:rsidP="000765CF">
            <w:pPr>
              <w:rPr>
                <w:rFonts w:cs="Times New Roman"/>
                <w:b/>
                <w:sz w:val="18"/>
                <w:szCs w:val="18"/>
              </w:rPr>
            </w:pPr>
          </w:p>
        </w:tc>
        <w:tc>
          <w:tcPr>
            <w:tcW w:w="993" w:type="dxa"/>
            <w:vAlign w:val="center"/>
          </w:tcPr>
          <w:p w14:paraId="748F2F12" w14:textId="77777777" w:rsidR="00521E89" w:rsidRPr="00DF6C69" w:rsidRDefault="00521E89" w:rsidP="000765CF">
            <w:pPr>
              <w:rPr>
                <w:rFonts w:cs="Times New Roman"/>
                <w:sz w:val="18"/>
                <w:szCs w:val="18"/>
              </w:rPr>
            </w:pPr>
            <w:r w:rsidRPr="00DF6C69">
              <w:rPr>
                <w:rFonts w:cs="Times New Roman"/>
                <w:sz w:val="18"/>
                <w:szCs w:val="18"/>
              </w:rPr>
              <w:t>Tissue**</w:t>
            </w:r>
          </w:p>
        </w:tc>
        <w:tc>
          <w:tcPr>
            <w:tcW w:w="6945" w:type="dxa"/>
            <w:vAlign w:val="center"/>
          </w:tcPr>
          <w:p w14:paraId="340DC06C" w14:textId="19D8BA7B" w:rsidR="00521E89" w:rsidRPr="00DF6C69" w:rsidRDefault="00521E89" w:rsidP="000765CF">
            <w:pPr>
              <w:rPr>
                <w:rFonts w:cs="Times New Roman"/>
                <w:sz w:val="18"/>
                <w:szCs w:val="18"/>
              </w:rPr>
            </w:pPr>
            <w:r w:rsidRPr="00DF6C69">
              <w:rPr>
                <w:rFonts w:cs="Times New Roman"/>
                <w:sz w:val="18"/>
                <w:szCs w:val="18"/>
              </w:rPr>
              <w:t xml:space="preserve">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[50]</w:t>
            </w:r>
            <w:r w:rsidRPr="00DF6C69">
              <w:rPr>
                <w:rFonts w:cs="Times New Roman"/>
                <w:sz w:val="18"/>
                <w:szCs w:val="18"/>
              </w:rPr>
              <w:fldChar w:fldCharType="end"/>
            </w:r>
            <w:r w:rsidRPr="00DF6C69">
              <w:rPr>
                <w:rFonts w:cs="Times New Roman"/>
                <w:sz w:val="18"/>
                <w:szCs w:val="18"/>
              </w:rPr>
              <w:t xml:space="preserve">, arginine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M.","non-dropping-particle":"","parse-names":false,"suffix":""}],"container-title":"Nature","id":"ITEM-1","issue":"7231","issued":{"date-parts":[["2009","2","12"]]},"page":"910-914","publisher":"Nature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[51]","plainTextFormattedCitation":"[51]","previouslyFormattedCitation":"[51]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[51]</w:t>
            </w:r>
            <w:r w:rsidRPr="00DF6C69">
              <w:rPr>
                <w:rFonts w:cs="Times New Roman"/>
                <w:sz w:val="18"/>
                <w:szCs w:val="18"/>
              </w:rPr>
              <w:fldChar w:fldCharType="end"/>
            </w:r>
            <w:r w:rsidRPr="00DF6C69">
              <w:rPr>
                <w:rFonts w:cs="Times New Roman"/>
                <w:sz w:val="18"/>
                <w:szCs w:val="18"/>
              </w:rPr>
              <w:t xml:space="preserve">, asparagine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[50]</w:t>
            </w:r>
            <w:r w:rsidRPr="00DF6C69">
              <w:rPr>
                <w:rFonts w:cs="Times New Roman"/>
                <w:sz w:val="18"/>
                <w:szCs w:val="18"/>
              </w:rPr>
              <w:fldChar w:fldCharType="end"/>
            </w:r>
            <w:r w:rsidRPr="00DF6C69">
              <w:rPr>
                <w:rFonts w:cs="Times New Roman"/>
                <w:sz w:val="18"/>
                <w:szCs w:val="18"/>
              </w:rPr>
              <w:t xml:space="preserve">, cholesterol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recurrence","type":"article-journal","volume":"25"},"uris":["http://www.mendeley.com/documents/?uuid=1e8e070d-6cee-47e1-9bdd-fcc792ce1489"]},{"id":"ITEM-2","itemData":{"DOI":"10.1038/nature07762","ISSN":"14764687","abstract":"Multiple,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M.","non-dropping-particle":"","parse-names":false,"suffix":""}],"container-title":"Nature","id":"ITEM-2","issue":"7231","issued":{"date-parts":[["2009","2","12"]]},"page":"910-914","publisher":"Nature Publishing Group","title":"Metabolomic profiles delineate potential role for sarcosine in prostate cancer progression","type":"article-journal","volume":"457"},"uris":["http://www.mendeley.com/documents/?uuid=313bedd1-f343-42b3-b288-9c3e9a45bc9f"]},{"id":"ITEM-3","itemData":{"DOI":"10.1371/journal.pone.0014175","ISSN":"19326203","abstract":"Background: Metastasis to the bone is one clinically important features of prostate cancer (PCa). Current diagnostic methods cannot predict metastatic PCa at a curable stage of the disease. Identification of metabolic pathways involved in the growth of bone metastases therefore has the potential to improve PCa prognostication as well as therapy. Methodology/Principal Findings: Metabolomics was applied for the study of PCa bone metastases (n = 20) in comparison with corresponding normal bone (n = 14), and furthermore of malignant (n = 13) and benign (n = 17) prostate tissue and corresponding plasma samples obtained from patients with (n = 15) and without (n = 13) diagnosed metastases and from men with benign prostate disease (n = 30). This was done using gas chromatography-mass spectrometry for sample characterization, and chemometric bioinformatics for data analysis. Results were verified in a separate test set including metastatic and normal bone tissue from patients with other cancers (n = 7). Significant differences were found between PCa bone metastases, bone metastases of other cancers, and normal bone. Furthermore, we identified metabolites in primary tumor tissue and in plasma which were significantly associated with metastatic disease. Among the metabolites in PCa bone metastases especially cholesterol was noted. In a test set the mean cholesterol level in PCa bone metastases was 127.30 mg/g as compared to 81.06 and 35.85 mg/g in bone metastases of different origin and normal bone, respectively (P = 0.0002 and 0.001). Immunohistochemical staining of PCa bone metastases showed intense staining of the low density lipoprotein receptor and variable levels of the scavenger receptor class B type 1 and 3-hydroxy-3-methylglutaryl-coenzyme reductase in tumor epithelial cells, indicating possibilities for influx and de novo synthesis of cholesterol. Conclusions/Significance: We have identified metabolites associated with PCa metastasis and specifically identified high levels of cholesterol in PCa bone metastases. Based on our findings and the previous literature, this makes cholesterol a possible therapeutic target for advanced PCa. © 2010 Thysell et al.","author":[{"dropping-particle":"","family":"Thysell","given":"Elin","non-dropping-particle":"","parse-names":false,"suffix":""},{"dropping-particle":"","family":"Surowiec","given":"Izabella","non-dropping-particle":"","parse-names":false,"suffix":""},{"dropping-particle":"","family":"Hörnberg","given":"Emma","non-dropping-particle":"","parse-names":false,"suffix":""},{"dropping-particle":"","family":"Crnalic","given":"Sead","non-dropping-particle":"","parse-names":false,"suffix":""},{"dropping-particle":"","family":"Widmark","given":"Anders","non-dropping-particle":"","parse-names":false,"suffix":""},{"dropping-particle":"","family":"Johansson","given":"Annika I.","non-dropping-particle":"","parse-names":false,"suffix":""},{"dropping-particle":"","family":"Stattin","given":"Pär","non-dropping-particle":"","parse-names":false,"suffix":""},{"dropping-particle":"","family":"Bergh","given":"Anders","non-dropping-particle":"","parse-names":false,"suffix":""},{"dropping-particle":"","family":"Moritz","given":"Thomas","non-dropping-particle":"","parse-names":false,"suffix":""},{"dropping-particle":"","family":"Antti","given":"Henrik","non-dropping-particle":"","parse-names":false,"suffix":""},{"dropping-particle":"","family":"Wikström","given":"Pernilla","non-dropping-particle":"","parse-names":false,"suffix":""}],"container-title":"PLoS ONE","id":"ITEM-3","issue":"12","issued":{"date-parts":[["2010"]]},"title":"Metabolomic characterization of human prostate cancer bone metastases reveals increased levels of cholesterol","type":"article-journal","volume":"5"},"uris":["http://www.mendeley.com/documents/?uuid=70c0e2f4-f4f1-3f3d-8fe0-cc0127e8d829"]}],"mendeley":{"formattedCitation":"[42], [51], [52]","plainTextFormattedCitation":"[42], [51], [52]","previouslyFormattedCitation":"[42], [51], [52]"},"properties":{"noteIndex":0},"schema":"https://github.com/citation-style-language/schema/raw/master/csl-citation.json"}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 [51], [52]</w:t>
            </w:r>
            <w:r w:rsidRPr="00DF6C69">
              <w:rPr>
                <w:rFonts w:cs="Times New Roman"/>
                <w:sz w:val="18"/>
                <w:szCs w:val="18"/>
              </w:rPr>
              <w:fldChar w:fldCharType="end"/>
            </w:r>
            <w:r w:rsidRPr="00DF6C69">
              <w:rPr>
                <w:rFonts w:cs="Times New Roman"/>
                <w:sz w:val="18"/>
                <w:szCs w:val="18"/>
              </w:rPr>
              <w:t xml:space="preserve">, 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recurrence","type":"article-journal","volume":"25"},"uris":["http://www.mendeley.com/documents/?uuid=1e8e070d-6cee-47e1-9bdd-fcc792ce1489"]},{"id":"ITEM-2","itemData":{"DOI":"10.1038/nrc3557","ISSN":"1474175X","abstract":"One-carbon metabolism involving the folate and methionine cycles integrates nutritional status from amino acids, glucose and vitamins, and generates diverse outputs, such as the biosynthesis of lipids, nucleotides and proteins, the maintenance of redox status and the substrates for methylation reactions. Long considered a 'housekeeping' process, this pathway has recently been shown to have additional complexity. Genetic and functional evidence suggests that hyperactivation of this pathway is a driver of oncogenesis and establishes a link to cellular epigenetic status. Given the wealth of clinically available agents that target one-carbon metabolism, these new findings could present opportunities for translation into precision cancer medicine. © 2013 Macmillan Publishers Limited.","author":[{"dropping-particle":"","family":"Locasale","given":"Jason W.","non-dropping-particle":"","parse-names":false,"suffix":""}],"container-title":"Nature Reviews Cancer","id":"ITEM-2","issue":"8","issued":{"date-parts":[["2013","8"]]},"page":"572-583","title":"Serine, glycine and one-carbon units: Cancer metabolism in full circle","type":"article","volume":"13"},"uris":["http://www.mendeley.com/documents/?uuid=10818148-f2a2-3141-9fae-9905c6640d71"]},{"id":"ITEM-3","itemData":{"DOI":"10.1016/j.urolonc.2011.08.002","ISSN":"10781439","abstract":"The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Investigations","id":"ITEM-3","issue":"5","issued":{"date-parts":[["2011","9"]]},"page":"572-581","title":"Application of metabolomics to prostate cancer","type":"article","volume":"29"},"uris":["http://www.mendeley.com/documents/?uuid=6a876c81-9ad9-34e5-8e82-3cd108f0058e"]}],"mendeley":{"formattedCitation":"[42], [50], [53]","plainTextFormattedCitation":"[42], [50], [53]","previouslyFormattedCitation":"[42], [50], [53]"},"properties":{"noteIndex":0},"schema":"https://github.com/citation-style-language/schema/raw/master/csl-citation.json"}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 [50], [53]</w:t>
            </w:r>
            <w:r w:rsidRPr="00DF6C69">
              <w:rPr>
                <w:rFonts w:cs="Times New Roman"/>
                <w:sz w:val="18"/>
                <w:szCs w:val="18"/>
              </w:rPr>
              <w:fldChar w:fldCharType="end"/>
            </w:r>
            <w:r w:rsidRPr="00DF6C69">
              <w:rPr>
                <w:rFonts w:cs="Times New Roman"/>
                <w:sz w:val="18"/>
                <w:szCs w:val="18"/>
              </w:rPr>
              <w:t xml:space="preserve">, citrate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cysteine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M.","non-dropping-particle":"","parse-names":false,"suffix":""}],"container-title":"Nature","id":"ITEM-1","issue":"7231","issued":{"date-parts":[["2009","2","12"]]},"page":"910-914","publisher":"Nature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[51]","plainTextFormattedCitation":"[51]","previouslyFormattedCitation":"[51]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[51]</w:t>
            </w:r>
            <w:r w:rsidRPr="00DF6C69">
              <w:rPr>
                <w:rFonts w:cs="Times New Roman"/>
                <w:sz w:val="18"/>
                <w:szCs w:val="18"/>
              </w:rPr>
              <w:fldChar w:fldCharType="end"/>
            </w:r>
            <w:r w:rsidRPr="00DF6C69">
              <w:rPr>
                <w:rFonts w:cs="Times New Roman"/>
                <w:sz w:val="18"/>
                <w:szCs w:val="18"/>
              </w:rPr>
              <w:t xml:space="preserve">, fatty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glutamate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glutamine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glycerol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recurrence","type":"article-journal","volume":"25"},"uris":["http://www.mendeley.com/documents/?uuid=1e8e070d-6cee-47e1-9bdd-fcc792ce1489"]},{"id":"ITEM-2","itemData":{"DOI":"10.1016/j.urolonc.2011.08.002","ISSN":"10781439","abstract":"The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Investigations","id":"ITEM-2","issue":"5","issued":{"date-parts":[["2011","9"]]},"page":"572-581","title":"Application of metabolomics to prostate cancer","type":"article","volume":"29"},"uris":["http://www.mendeley.com/documents/?uuid=6a876c81-9ad9-34e5-8e82-3cd108f0058e"]}],"mendeley":{"formattedCitation":"[42], [50]","plainTextFormattedCitation":"[42], [50]","previouslyFormattedCitation":"[42], [50]"},"properties":{"noteIndex":0},"schema":"https://github.com/citation-style-language/schema/raw/master/csl-citation.json"}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 [50]</w:t>
            </w:r>
            <w:r w:rsidRPr="00DF6C69">
              <w:rPr>
                <w:rFonts w:cs="Times New Roman"/>
                <w:sz w:val="18"/>
                <w:szCs w:val="18"/>
              </w:rPr>
              <w:fldChar w:fldCharType="end"/>
            </w:r>
            <w:r w:rsidRPr="00DF6C69">
              <w:rPr>
                <w:rFonts w:cs="Times New Roman"/>
                <w:sz w:val="18"/>
                <w:szCs w:val="18"/>
              </w:rPr>
              <w:t xml:space="preserve">, glycine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recurrence","type":"article-journal","volume":"25"},"uris":["http://www.mendeley.com/documents/?uuid=1e8e070d-6cee-47e1-9bdd-fcc792ce1489"]},{"id":"ITEM-2","itemData":{"DOI":"10.1038/nrc3557","ISSN":"1474175X","abstract":"One-carbon metabolism involving the folate and methionine cycles integrates nutritional status from amino acids, glucose and vitamins, and generates diverse outputs, such as the biosynthesis of lipids, nucleotides and proteins, the maintenance of redox status and the substrates for methylation reactions. Long considered a 'housekeeping' process, this pathway has recently been shown to have additional complexity. Genetic and functional evidence suggests that hyperactivation of this pathway is a driver of oncogenesis and establishes a link to cellular epigenetic status. Given the wealth of clinically available agents that target one-carbon metabolism, these new findings could present opportunities for translation into precision cancer medicine. © 2013 Macmillan Publishers Limited.","author":[{"dropping-particle":"","family":"Locasale","given":"Jason W.","non-dropping-particle":"","parse-names":false,"suffix":""}],"container-title":"Nature Reviews Cancer","id":"ITEM-2","issue":"8","issued":{"date-parts":[["2013","8"]]},"page":"572-583","title":"Serine, glycine and one-carbon units: Cancer metabolism in full circle","type":"article","volume":"13"},"uris":["http://www.mendeley.com/documents/?uuid=10818148-f2a2-3141-9fae-9905c6640d71"]}],"mendeley":{"formattedCitation":"[42], [53]","plainTextFormattedCitation":"[42], [53]","previouslyFormattedCitation":"[42], [53]"},"properties":{"noteIndex":0},"schema":"https://github.com/citation-style-language/schema/raw/master/csl-citation.json"}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 [53]</w:t>
            </w:r>
            <w:r w:rsidRPr="00DF6C69">
              <w:rPr>
                <w:rFonts w:cs="Times New Roman"/>
                <w:sz w:val="18"/>
                <w:szCs w:val="18"/>
              </w:rPr>
              <w:fldChar w:fldCharType="end"/>
            </w:r>
            <w:r w:rsidRPr="00DF6C69">
              <w:rPr>
                <w:rFonts w:cs="Times New Roman"/>
                <w:sz w:val="18"/>
                <w:szCs w:val="18"/>
              </w:rPr>
              <w:t xml:space="preserve">, lactate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recurrence","type":"article-journal","volume":"25"},"uris":["http://www.mendeley.com/documents/?uuid=1e8e070d-6cee-47e1-9bdd-fcc792ce1489"]},{"id":"ITEM-2","itemData":{"DOI":"10.1016/j.urolonc.2011.08.002","ISSN":"10781439","abstract":"The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Investigations","id":"ITEM-2","issue":"5","issued":{"date-parts":[["2011","9"]]},"page":"572-581","title":"Application of metabolomics to prostate cancer","type":"article","volume":"29"},"uris":["http://www.mendeley.com/documents/?uuid=6a876c81-9ad9-34e5-8e82-3cd108f0058e"]}],"mendeley":{"formattedCitation":"[42], [50]","plainTextFormattedCitation":"[42], [50]","previouslyFormattedCitation":"[42], [50]"},"properties":{"noteIndex":0},"schema":"https://github.com/citation-style-language/schema/raw/master/csl-citation.json"}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 [50]</w:t>
            </w:r>
            <w:r w:rsidRPr="00DF6C69">
              <w:rPr>
                <w:rFonts w:cs="Times New Roman"/>
                <w:sz w:val="18"/>
                <w:szCs w:val="18"/>
              </w:rPr>
              <w:fldChar w:fldCharType="end"/>
            </w:r>
            <w:r w:rsidRPr="00DF6C69">
              <w:rPr>
                <w:rFonts w:cs="Times New Roman"/>
                <w:sz w:val="18"/>
                <w:szCs w:val="18"/>
              </w:rPr>
              <w:t xml:space="preserve">, leucine [71], myoinositol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[50]</w:t>
            </w:r>
            <w:r w:rsidRPr="00DF6C69">
              <w:rPr>
                <w:rFonts w:cs="Times New Roman"/>
                <w:sz w:val="18"/>
                <w:szCs w:val="18"/>
              </w:rPr>
              <w:fldChar w:fldCharType="end"/>
            </w:r>
            <w:r w:rsidRPr="00DF6C69">
              <w:rPr>
                <w:rFonts w:cs="Times New Roman"/>
                <w:sz w:val="18"/>
                <w:szCs w:val="18"/>
              </w:rPr>
              <w:t xml:space="preserve">, phenylalanine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phosphocholine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recurrence","type":"article-journal","volume":"25"},"uris":["http://www.mendeley.com/documents/?uuid=1e8e070d-6cee-47e1-9bdd-fcc792ce1489"]},{"id":"ITEM-2","itemData":{"DOI":"10.1016/j.urolonc.2011.08.002","ISSN":"10781439","abstract":"The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Investigations","id":"ITEM-2","issue":"5","issued":{"date-parts":[["2011","9"]]},"page":"572-581","title":"Application of metabolomics to prostate cancer","type":"article","volume":"29"},"uris":["http://www.mendeley.com/documents/?uuid=6a876c81-9ad9-34e5-8e82-3cd108f0058e"]}],"mendeley":{"formattedCitation":"[42], [50]","plainTextFormattedCitation":"[42], [50]","previouslyFormattedCitation":"[42], [50]"},"properties":{"noteIndex":0},"schema":"https://github.com/citation-style-language/schema/raw/master/csl-citation.json"}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 [50]</w:t>
            </w:r>
            <w:r w:rsidRPr="00DF6C69">
              <w:rPr>
                <w:rFonts w:cs="Times New Roman"/>
                <w:sz w:val="18"/>
                <w:szCs w:val="18"/>
              </w:rPr>
              <w:fldChar w:fldCharType="end"/>
            </w:r>
            <w:r w:rsidRPr="00DF6C69">
              <w:rPr>
                <w:rFonts w:cs="Times New Roman"/>
                <w:sz w:val="18"/>
                <w:szCs w:val="18"/>
              </w:rPr>
              <w:t xml:space="preserve">, proline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recurrence","type":"article-journal","volume":"25"},"uris":["http://www.mendeley.com/documents/?uuid=1e8e070d-6cee-47e1-9bdd-fcc792ce1489"]},{"id":"ITEM-2","itemData":{"DOI":"10.1016/j.urolonc.2011.08.002","ISSN":"10781439","abstract":"The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Investigations","id":"ITEM-2","issue":"5","issued":{"date-parts":[["2011","9"]]},"page":"572-581","title":"Application of metabolomics to prostate cancer","type":"article","volume":"29"},"uris":["http://www.mendeley.com/documents/?uuid=6a876c81-9ad9-34e5-8e82-3cd108f0058e"]}],"mendeley":{"formattedCitation":"[42], [50]","plainTextFormattedCitation":"[42], [50]","previouslyFormattedCitation":"[42], [50]"},"properties":{"noteIndex":0},"schema":"https://github.com/citation-style-language/schema/raw/master/csl-citation.json"}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 [50]</w:t>
            </w:r>
            <w:r w:rsidRPr="00DF6C69">
              <w:rPr>
                <w:rFonts w:cs="Times New Roman"/>
                <w:sz w:val="18"/>
                <w:szCs w:val="18"/>
              </w:rPr>
              <w:fldChar w:fldCharType="end"/>
            </w:r>
            <w:r w:rsidRPr="00DF6C69">
              <w:rPr>
                <w:rFonts w:cs="Times New Roman"/>
                <w:sz w:val="18"/>
                <w:szCs w:val="18"/>
              </w:rPr>
              <w:t xml:space="preserve">, pyrimidine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recurrence","type":"article-journal","volume":"25"},"uris":["http://www.mendeley.com/documents/?uuid=1e8e070d-6cee-47e1-9bdd-fcc792ce1489"]},{"id":"ITEM-2","itemData":{"DOI":"10.1016/j.urolonc.2011.08.002","ISSN":"10781439","abstract":"The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Investigations","id":"ITEM-2","issue":"5","issued":{"date-parts":[["2011","9"]]},"page":"572-581","title":"Application of metabolomics to prostate cancer","type":"article","volume":"29"},"uris":["http://www.mendeley.com/documents/?uuid=6a876c81-9ad9-34e5-8e82-3cd108f0058e"]}],"mendeley":{"formattedCitation":"[42], [50]","plainTextFormattedCitation":"[42], [50]","previouslyFormattedCitation":"[42], [50]"},"properties":{"noteIndex":0},"schema":"https://github.com/citation-style-language/schema/raw/master/csl-citation.json"}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 [50]</w:t>
            </w:r>
            <w:r w:rsidRPr="00DF6C69">
              <w:rPr>
                <w:rFonts w:cs="Times New Roman"/>
                <w:sz w:val="18"/>
                <w:szCs w:val="18"/>
              </w:rPr>
              <w:fldChar w:fldCharType="end"/>
            </w:r>
          </w:p>
        </w:tc>
      </w:tr>
      <w:tr w:rsidR="00521E89" w:rsidRPr="00DF6C69" w14:paraId="3C1AFF8C" w14:textId="77777777" w:rsidTr="000765CF">
        <w:trPr>
          <w:trHeight w:val="298"/>
        </w:trPr>
        <w:tc>
          <w:tcPr>
            <w:tcW w:w="1418" w:type="dxa"/>
            <w:vMerge/>
            <w:shd w:val="clear" w:color="auto" w:fill="FFF2CC" w:themeFill="accent4" w:themeFillTint="33"/>
            <w:vAlign w:val="center"/>
          </w:tcPr>
          <w:p w14:paraId="08DCB6D2" w14:textId="77777777" w:rsidR="00521E89" w:rsidRPr="00DF6C69" w:rsidRDefault="00521E89" w:rsidP="000765CF">
            <w:pPr>
              <w:rPr>
                <w:rFonts w:cs="Times New Roman"/>
                <w:b/>
                <w:sz w:val="18"/>
                <w:szCs w:val="18"/>
              </w:rPr>
            </w:pPr>
          </w:p>
        </w:tc>
        <w:tc>
          <w:tcPr>
            <w:tcW w:w="993" w:type="dxa"/>
            <w:vAlign w:val="center"/>
          </w:tcPr>
          <w:p w14:paraId="165E49EB" w14:textId="77777777" w:rsidR="00521E89" w:rsidRPr="00DF6C69" w:rsidRDefault="00521E89" w:rsidP="000765CF">
            <w:pPr>
              <w:rPr>
                <w:rFonts w:cs="Times New Roman"/>
                <w:sz w:val="18"/>
                <w:szCs w:val="18"/>
              </w:rPr>
            </w:pPr>
            <w:r w:rsidRPr="00DF6C69">
              <w:rPr>
                <w:rFonts w:cs="Times New Roman"/>
                <w:sz w:val="18"/>
                <w:szCs w:val="18"/>
              </w:rPr>
              <w:t>Urine</w:t>
            </w:r>
          </w:p>
        </w:tc>
        <w:tc>
          <w:tcPr>
            <w:tcW w:w="6945" w:type="dxa"/>
            <w:vAlign w:val="center"/>
          </w:tcPr>
          <w:p w14:paraId="3A46759E" w14:textId="40AAF60B" w:rsidR="00521E89" w:rsidRPr="00DF6C69" w:rsidRDefault="00521E89" w:rsidP="000765CF">
            <w:pPr>
              <w:rPr>
                <w:rFonts w:cs="Times New Roman"/>
                <w:sz w:val="18"/>
                <w:szCs w:val="18"/>
              </w:rPr>
            </w:pPr>
            <w:r w:rsidRPr="00DF6C69">
              <w:rPr>
                <w:rFonts w:cs="Times New Roman"/>
                <w:sz w:val="18"/>
                <w:szCs w:val="18"/>
              </w:rPr>
              <w:t xml:space="preserve">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[50]</w:t>
            </w:r>
            <w:r w:rsidRPr="00DF6C69">
              <w:rPr>
                <w:rFonts w:cs="Times New Roman"/>
                <w:sz w:val="18"/>
                <w:szCs w:val="18"/>
              </w:rPr>
              <w:fldChar w:fldCharType="end"/>
            </w:r>
            <w:r w:rsidRPr="00DF6C69">
              <w:rPr>
                <w:rFonts w:cs="Times New Roman"/>
                <w:sz w:val="18"/>
                <w:szCs w:val="18"/>
              </w:rPr>
              <w:t xml:space="preserve">, 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[50]</w:t>
            </w:r>
            <w:r w:rsidRPr="00DF6C69">
              <w:rPr>
                <w:rFonts w:cs="Times New Roman"/>
                <w:sz w:val="18"/>
                <w:szCs w:val="18"/>
              </w:rPr>
              <w:fldChar w:fldCharType="end"/>
            </w:r>
            <w:r w:rsidRPr="00DF6C69">
              <w:rPr>
                <w:rFonts w:cs="Times New Roman"/>
                <w:sz w:val="18"/>
                <w:szCs w:val="18"/>
              </w:rPr>
              <w:t xml:space="preserve">, citrate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[50]</w:t>
            </w:r>
            <w:r w:rsidRPr="00DF6C69">
              <w:rPr>
                <w:rFonts w:cs="Times New Roman"/>
                <w:sz w:val="18"/>
                <w:szCs w:val="18"/>
              </w:rPr>
              <w:fldChar w:fldCharType="end"/>
            </w:r>
            <w:r w:rsidRPr="00DF6C69">
              <w:rPr>
                <w:rFonts w:cs="Times New Roman"/>
                <w:sz w:val="18"/>
                <w:szCs w:val="18"/>
              </w:rPr>
              <w:t xml:space="preserve">, creatinine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cysteine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fatty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glycerol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r w:rsidRPr="00DF6C69">
              <w:rPr>
                <w:rFonts w:cs="Times New Roman"/>
                <w:sz w:val="18"/>
                <w:szCs w:val="18"/>
              </w:rPr>
              <w:t xml:space="preserve">, lactate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[50]</w:t>
            </w:r>
            <w:r w:rsidRPr="00DF6C69">
              <w:rPr>
                <w:rFonts w:cs="Times New Roman"/>
                <w:sz w:val="18"/>
                <w:szCs w:val="18"/>
              </w:rPr>
              <w:fldChar w:fldCharType="end"/>
            </w:r>
            <w:r w:rsidRPr="00DF6C69">
              <w:rPr>
                <w:rFonts w:cs="Times New Roman"/>
                <w:sz w:val="18"/>
                <w:szCs w:val="18"/>
              </w:rPr>
              <w:t xml:space="preserve">, phosphocholine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[50]</w:t>
            </w:r>
            <w:r w:rsidRPr="00DF6C69">
              <w:rPr>
                <w:rFonts w:cs="Times New Roman"/>
                <w:sz w:val="18"/>
                <w:szCs w:val="18"/>
              </w:rPr>
              <w:fldChar w:fldCharType="end"/>
            </w:r>
            <w:r w:rsidRPr="00DF6C69">
              <w:rPr>
                <w:rFonts w:cs="Times New Roman"/>
                <w:sz w:val="18"/>
                <w:szCs w:val="18"/>
              </w:rPr>
              <w:t xml:space="preserve">, pyrimidine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[42]</w:t>
            </w:r>
            <w:r w:rsidRPr="00DF6C69">
              <w:rPr>
                <w:rFonts w:cs="Times New Roman"/>
                <w:sz w:val="18"/>
                <w:szCs w:val="18"/>
              </w:rPr>
              <w:fldChar w:fldCharType="end"/>
            </w:r>
          </w:p>
        </w:tc>
      </w:tr>
      <w:tr w:rsidR="00521E89" w:rsidRPr="00DF6C69" w14:paraId="12D57A39" w14:textId="77777777" w:rsidTr="000765CF">
        <w:trPr>
          <w:trHeight w:val="568"/>
        </w:trPr>
        <w:tc>
          <w:tcPr>
            <w:tcW w:w="1418" w:type="dxa"/>
            <w:vMerge w:val="restart"/>
            <w:shd w:val="clear" w:color="auto" w:fill="FFF2CC" w:themeFill="accent4" w:themeFillTint="33"/>
            <w:vAlign w:val="center"/>
          </w:tcPr>
          <w:p w14:paraId="72CA6CD5" w14:textId="77777777" w:rsidR="00521E89" w:rsidRPr="00DF6C69" w:rsidRDefault="00521E89" w:rsidP="000765CF">
            <w:pPr>
              <w:rPr>
                <w:rFonts w:cs="Times New Roman"/>
                <w:b/>
                <w:sz w:val="18"/>
                <w:szCs w:val="18"/>
              </w:rPr>
            </w:pPr>
            <w:r w:rsidRPr="00DF6C69">
              <w:rPr>
                <w:rFonts w:cs="Times New Roman"/>
                <w:b/>
                <w:sz w:val="18"/>
                <w:szCs w:val="18"/>
              </w:rPr>
              <w:t>Oesophageal</w:t>
            </w:r>
          </w:p>
          <w:p w14:paraId="5ABE1273" w14:textId="77777777" w:rsidR="00521E89" w:rsidRPr="00DF6C69" w:rsidRDefault="00521E89" w:rsidP="000765CF">
            <w:pPr>
              <w:rPr>
                <w:rFonts w:cs="Times New Roman"/>
                <w:b/>
                <w:sz w:val="18"/>
                <w:szCs w:val="18"/>
              </w:rPr>
            </w:pPr>
          </w:p>
        </w:tc>
        <w:tc>
          <w:tcPr>
            <w:tcW w:w="993" w:type="dxa"/>
            <w:vAlign w:val="center"/>
          </w:tcPr>
          <w:p w14:paraId="48D6B558" w14:textId="77777777" w:rsidR="00521E89" w:rsidRPr="00DF6C69" w:rsidRDefault="00521E89" w:rsidP="000765CF">
            <w:pPr>
              <w:rPr>
                <w:rFonts w:cs="Times New Roman"/>
                <w:sz w:val="18"/>
                <w:szCs w:val="18"/>
              </w:rPr>
            </w:pPr>
            <w:r w:rsidRPr="00DF6C69">
              <w:rPr>
                <w:rFonts w:cs="Times New Roman"/>
                <w:sz w:val="18"/>
                <w:szCs w:val="18"/>
              </w:rPr>
              <w:t>Serum*</w:t>
            </w:r>
          </w:p>
        </w:tc>
        <w:tc>
          <w:tcPr>
            <w:tcW w:w="6945" w:type="dxa"/>
            <w:vAlign w:val="center"/>
          </w:tcPr>
          <w:p w14:paraId="6FF7DC90" w14:textId="522667A0" w:rsidR="00521E89" w:rsidRPr="00DF6C69" w:rsidRDefault="00521E89" w:rsidP="000765CF">
            <w:pPr>
              <w:rPr>
                <w:rFonts w:cs="Times New Roman"/>
                <w:sz w:val="18"/>
                <w:szCs w:val="18"/>
              </w:rPr>
            </w:pPr>
            <w:r w:rsidRPr="00DF6C69">
              <w:rPr>
                <w:rFonts w:cs="Times New Roman"/>
                <w:sz w:val="18"/>
                <w:szCs w:val="18"/>
              </w:rPr>
              <w:t xml:space="preserve">adenosine monophosphate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{"citationItems":[{"id":"ITEM-1","itemData":{"DOI":"10.1016/j.bbadis.2013.03.009","ISSN":"09254439","abstract":"Focused metabolic profiling is a powerful tool for the determination of biomarkers. Here, a more global proton nuclear magnetic resonance (1H NMR)-based metabolomic approach coupled with a relative simple ultra high performance liquid chromatography (UHPLC)-based focused metabolomic approach was developed and compared to characterize the systemic metabolic disturbances underlying esophageal cancer (EC) and identify possible early biomarkers for clinical prognosis. Serum metabolic profiling of patients with EC (n=25) and healthy controls (n=25) was performed by using both 1H NMR and UHPLC, and metabolite identification was achieved by multivariate statistical analysis. Using orthogonal projection to least squares discriminant analysis (OPLS-DA), we could distinguish EC patients from healthy controls. The predictive power of the model derived from the UHPLC-based focused metabolomics performed better in both sensitivity and specificity than the results from the NMR-based metabolomics, suggesting that the focused metabolomic technique may be of advantage in the future for the determination of biomarkers. Moreover, focused metabolic profiling is highly simple, accurate and specific, and should prove equally valuable in metabolomic research applications. A total of nineteen significantly altered metabolites were identified as the potential disease associated biomarkers. Significant changes in lipid metabolism, amino acid metabolism, glycolysis, ketogenesis, tricarboxylic acid (TCA) cycle and energy metabolism were observed in EC patients compared with the healthy controls. These results demonstrated that metabolic profiling of serum could be useful as a screening tool for early EC diagnosis and prognosis, and might enhance our understanding of the mechanisms involved in the tumor progression. © 2013.","author":[{"dropping-particle":"","family":"Zhang","given":"Xiaoli","non-dropping-particle":"","parse-names":false,"suffix":""},{"dropping-particle":"","family":"Xu","given":"Luan","non-dropping-particle":"","parse-names":false,"suffix":""},{"dropping-particle":"","family":"Shen","given":"Jianmin","non-dropping-particle":"","parse-names":false,"suffix":""},{"dropping-particle":"","family":"Cao","given":"Bei","non-dropping-particle":"","parse-names":false,"suffix":""},{"dropping-particle":"","family":"Cheng","given":"Ting","non-dropping-particle":"","parse-names":false,"suffix":""},{"dropping-particle":"","family":"Zhao","given":"Tong","non-dropping-particle":"","parse-names":false,"suffix":""},{"dropping-particle":"","family":"Liu","given":"Xiaoyan","non-dropping-particle":"","parse-names":false,"suffix":""},{"dropping-particle":"","family":"Zhang","given":"Haixia","non-dropping-particle":"","parse-names":false,"suffix":""}],"container-title":"Biochimica et Biophysica Acta - Molecular Basis of Disease","id":"ITEM-1","issue":"8","issued":{"date-parts":[["2013","8"]]},"page":"1207-1216","title":"Metabolic signatures of esophageal cancer: NMR-based metabolomics and UHPLC-based focused metabolomics of blood serum","type":"article-journal","volume":"1832"},"uris":["http://www.mendeley.com/documents/?uuid=78bce0a7-179d-3db5-8a17-74ba6d11fdb6"]}],"mendeley":{"formattedCitation":"[54]","plainTextFormattedCitation":"[54]","previouslyFormattedCitation":"[54]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[54]</w:t>
            </w:r>
            <w:r w:rsidRPr="00DF6C69">
              <w:rPr>
                <w:rFonts w:cs="Times New Roman"/>
                <w:sz w:val="18"/>
                <w:szCs w:val="18"/>
              </w:rPr>
              <w:fldChar w:fldCharType="end"/>
            </w:r>
            <w:r w:rsidRPr="00DF6C69">
              <w:rPr>
                <w:rFonts w:cs="Times New Roman"/>
                <w:sz w:val="18"/>
                <w:szCs w:val="18"/>
              </w:rPr>
              <w:t xml:space="preserve">, NAD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{"citationItems":[{"id":"ITEM-1","itemData":{"DOI":"10.1016/j.bbadis.2013.03.009","ISSN":"09254439","abstract":"Focused metabolic profiling is a powerful tool for the determination of biomarkers. Here, a more global proton nuclear magnetic resonance (1H NMR)-based metabolomic approach coupled with a relative simple ultra high performance liquid chromatography (UHPLC)-based focused metabolomic approach was developed and compared to characterize the systemic metabolic disturbances underlying esophageal cancer (EC) and identify possible early biomarkers for clinical prognosis. Serum metabolic profiling of patients with EC (n=25) and healthy controls (n=25) was performed by using both 1H NMR and UHPLC, and metabolite identification was achieved by multivariate statistical analysis. Using orthogonal projection to least squares discriminant analysis (OPLS-DA), we could distinguish EC patients from healthy controls. The predictive power of the model derived from the UHPLC-based focused metabolomics performed better in both sensitivity and specificity than the results from the NMR-based metabolomics, suggesting that the focused metabolomic technique may be of advantage in the future for the determination of biomarkers. Moreover, focused metabolic profiling is highly simple, accurate and specific, and should prove equally valuable in metabolomic research applications. A total of nineteen significantly altered metabolites were identified as the potential disease associated biomarkers. Significant changes in lipid metabolism, amino acid metabolism, glycolysis, ketogenesis, tricarboxylic acid (TCA) cycle and energy metabolism were observed in EC patients compared with the healthy controls. These results demonstrated that metabolic profiling of serum could be useful as a screening tool for early EC diagnosis and prognosis, and might enhance our understanding of the mechanisms involved in the tumor progression. © 2013.","author":[{"dropping-particle":"","family":"Zhang","given":"Xiaoli","non-dropping-particle":"","parse-names":false,"suffix":""},{"dropping-particle":"","family":"Xu","given":"Luan","non-dropping-particle":"","parse-names":false,"suffix":""},{"dropping-particle":"","family":"Shen","given":"Jianmin","non-dropping-particle":"","parse-names":false,"suffix":""},{"dropping-particle":"","family":"Cao","given":"Bei","non-dropping-particle":"","parse-names":false,"suffix":""},{"dropping-particle":"","family":"Cheng","given":"Ting","non-dropping-particle":"","parse-names":false,"suffix":""},{"dropping-particle":"","family":"Zhao","given":"Tong","non-dropping-particle":"","parse-names":false,"suffix":""},{"dropping-particle":"","family":"Liu","given":"Xiaoyan","non-dropping-particle":"","parse-names":false,"suffix":""},{"dropping-particle":"","family":"Zhang","given":"Haixia","non-dropping-particle":"","parse-names":false,"suffix":""}],"container-title":"Biochimica et Biophysica Acta - Molecular Basis of Disease","id":"ITEM-1","issue":"8","issued":{"date-parts":[["2013","8"]]},"page":"1207-1216","title":"Metabolic signatures of esophageal cancer: NMR-based metabolomics and UHPLC-based focused metabolomics of blood serum","type":"article-journal","volume":"1832"},"uris":["http://www.mendeley.com/documents/?uuid=78bce0a7-179d-3db5-8a17-74ba6d11fdb6"]}],"mendeley":{"formattedCitation":"[54]","plainTextFormattedCitation":"[54]","previouslyFormattedCitation":"[54]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[54]</w:t>
            </w:r>
            <w:r w:rsidRPr="00DF6C69">
              <w:rPr>
                <w:rFonts w:cs="Times New Roman"/>
                <w:sz w:val="18"/>
                <w:szCs w:val="18"/>
              </w:rPr>
              <w:fldChar w:fldCharType="end"/>
            </w:r>
            <w:r w:rsidRPr="00DF6C69">
              <w:rPr>
                <w:rFonts w:cs="Times New Roman"/>
                <w:sz w:val="18"/>
                <w:szCs w:val="18"/>
              </w:rPr>
              <w:t xml:space="preserve">, acetoacetate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acetone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asparagine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M.","non-dropping-particle":"","parse-names":false,"suffix":""}],"container-title":"Nature","id":"ITEM-1","issue":"7231","issued":{"date-parts":[["2009","2","12"]]},"page":"910-914","publisher":"Nature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[51]","plainTextFormattedCitation":"[51]","previouslyFormattedCitation":"[51]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[51]</w:t>
            </w:r>
            <w:r w:rsidRPr="00DF6C69">
              <w:rPr>
                <w:rFonts w:cs="Times New Roman"/>
                <w:sz w:val="18"/>
                <w:szCs w:val="18"/>
              </w:rPr>
              <w:fldChar w:fldCharType="end"/>
            </w:r>
            <w:r w:rsidRPr="00DF6C69">
              <w:rPr>
                <w:rFonts w:cs="Times New Roman"/>
                <w:sz w:val="18"/>
                <w:szCs w:val="18"/>
              </w:rPr>
              <w:t xml:space="preserve">, aspartate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beta-</w:t>
            </w:r>
            <w:proofErr w:type="spellStart"/>
            <w:r w:rsidRPr="00DF6C69">
              <w:rPr>
                <w:rFonts w:cs="Times New Roman"/>
                <w:sz w:val="18"/>
                <w:szCs w:val="18"/>
              </w:rPr>
              <w:t>hydrolybutyrate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10.1371/journal.pone.0030181","ISSN":"1932-6203","author":[{"dropping-particle":"","family":"Zhang","given":"Jian","non-dropping-particle":"","parse-names":false,"suffix":""},{"dropping-particle":"","family":"Bowers","given":"Jeremiah","non-dropping-particle":"","parse-names":false,"suffix":""},{"dropping-particle":"","family":"Liu","given":"Lingyan","non-dropping-particle":"","parse-names":false,"suffix":""},{"dropping-particle":"","family":"Wei","given":"Siwei","non-dropping-particle":"","parse-names":false,"suffix":""},{"dropping-particle":"","family":"Gowda","given":"G. A. Nagana","non-dropping-particle":"","parse-names":false,"suffix":""},{"dropping-particle":"","family":"Hammoud","given":"Zane","non-dropping-particle":"","parse-names":false,"suffix":""},{"dropping-particle":"","family":"Raftery","given":"Daniel","non-dropping-particle":"","parse-names":false,"suffix":""}],"container-title":"PLoS ONE","editor":[{"dropping-particle":"","family":"Rouet","given":"Philippe","non-dropping-particle":"","parse-names":false,"suffix":""}],"id":"ITEM-1","issue":"1","issued":{"date-parts":[["2012","1","23"]]},"page":"e30181","title":"Esophageal Cancer Metabolite Biomarkers Detected by LC-MS and NMR Methods","type":"article-journal","volume":"7"},"uris":["http://www.mendeley.com/documents/?uuid=710b3db2-9452-39bc-a671-3aaca211729d"]}],"mendeley":{"formattedCitation":"[55]","plainTextFormattedCitation":"[55]","previouslyFormattedCitation":"[55]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[55]</w:t>
            </w:r>
            <w:r w:rsidRPr="00DF6C69">
              <w:rPr>
                <w:rFonts w:cs="Times New Roman"/>
                <w:sz w:val="18"/>
                <w:szCs w:val="18"/>
              </w:rPr>
              <w:fldChar w:fldCharType="end"/>
            </w:r>
            <w:r w:rsidRPr="00DF6C69">
              <w:rPr>
                <w:rFonts w:cs="Times New Roman"/>
                <w:sz w:val="18"/>
                <w:szCs w:val="18"/>
              </w:rPr>
              <w:t xml:space="preserve">, citrate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10.1371/journal.pone.0030181","ISSN":"1932-6203","author":[{"dropping-particle":"","family":"Zhang","given":"Jian","non-dropping-particle":"","parse-names":false,"suffix":""},{"dropping-particle":"","family":"Bowers","given":"Jeremiah","non-dropping-particle":"","parse-names":false,"suffix":""},{"dropping-particle":"","family":"Liu","given":"Lingyan","non-dropping-particle":"","parse-names":false,"suffix":""},{"dropping-particle":"","family":"Wei","given":"Siwei","non-dropping-particle":"","parse-names":false,"suffix":""},{"dropping-particle":"","family":"Gowda","given":"G. A. Nagana","non-dropping-particle":"","parse-names":false,"suffix":""},{"dropping-particle":"","family":"Hammoud","given":"Zane","non-dropping-particle":"","parse-names":false,"suffix":""},{"dropping-particle":"","family":"Raftery","given":"Daniel","non-dropping-particle":"","parse-names":false,"suffix":""}],"container-title":"PLoS ONE","editor":[{"dropping-particle":"","family":"Rouet","given":"Philippe","non-dropping-particle":"","parse-names":false,"suffix":""}],"id":"ITEM-1","issue":"1","issued":{"date-parts":[["2012","1","23"]]},"page":"e30181","title":"Esophageal Cancer Metabolite Biomarkers Detected by LC-MS and NMR Methods","type":"article-journal","volume":"7"},"uris":["http://www.mendeley.com/documents/?uuid=710b3db2-9452-39bc-a671-3aaca211729d"]}],"mendeley":{"formattedCitation":"[55]","plainTextFormattedCitation":"[55]","previouslyFormattedCitation":"[55]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[55]</w:t>
            </w:r>
            <w:r w:rsidRPr="00DF6C69">
              <w:rPr>
                <w:rFonts w:cs="Times New Roman"/>
                <w:sz w:val="18"/>
                <w:szCs w:val="18"/>
              </w:rPr>
              <w:fldChar w:fldCharType="end"/>
            </w:r>
            <w:r w:rsidRPr="00DF6C69">
              <w:rPr>
                <w:rFonts w:cs="Times New Roman"/>
                <w:sz w:val="18"/>
                <w:szCs w:val="18"/>
              </w:rPr>
              <w:t xml:space="preserve">, creatine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cysteine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glucose </w:t>
            </w:r>
            <w:r w:rsidRPr="00DF6C69">
              <w:rPr>
                <w:rFonts w:cs="Times New Roman"/>
                <w:sz w:val="18"/>
                <w:szCs w:val="18"/>
              </w:rPr>
              <w:lastRenderedPageBreak/>
              <w:fldChar w:fldCharType="begin" w:fldLock="1"/>
            </w:r>
            <w:r w:rsidR="0053537D" w:rsidRPr="00DF6C69">
              <w:rPr>
                <w:rFonts w:cs="Times New Roman"/>
                <w:sz w:val="18"/>
                <w:szCs w:val="18"/>
              </w:rPr>
              <w:instrText>ADDIN CSL_CITATION {"citationItems":[{"id":"ITEM-1","itemData":{"DOI":"10.1016/j.bbadis.2013.03.009","ISSN":"09254439","abstract":"Focused metabolic profiling is a powerful tool for the determination of biomarkers. Here, a more global proton nuclear magnetic resonance (1H NMR)-based metabolomic approach coupled with a relative simple ultra high performance liquid chromatography (UHPLC)-based focused metabolomic approach was developed and compared to characterize the systemic metabolic disturbances underlying esophageal cancer (EC) and identify possible early biomarkers for clinical prognosis. Serum metabolic profiling of patients with EC (n=25) and healthy controls (n=25) was performed by using both 1H NMR and UHPLC, and metabolite identification was achieved by multivariate statistical analysis. Using orthogonal projection to least squares discriminant analysis (OPLS-DA), we could distinguish EC patients from healthy controls. The predictive power of the model derived from the UHPLC-based focused metabolomics performed better in both sensitivity and specificity than the results from the NMR-based metabolomics, suggesting that the focused metabolomic technique may be of advantage in the future for the determination of biomarkers. Moreover, focused metabolic profiling is highly simple, accurate and specific, and should prove equally valuable in metabolomic research applications. A total of nineteen significantly altered metabolites were identified as the potential disease associated biomarkers. Significant changes in lipid metabolism, amino acid metabolism, glycolysis, ketogenesis, tricarboxylic acid (TCA) cycle and energy metabolism were observed in EC patients compared with the healthy controls. These results demonstrated that metabolic profiling of serum could be useful as a screening tool for early EC diagnosis and prognosis, and might enhance our understanding of the mechanisms involved in the tumor progression. © 2013.","author":[{"dropping-particle":"","family":"Zhang","given":"Xiaoli","non-dropping-particle":"","parse-names":false,"suffix":""},{"dropping-particle":"","family":"Xu","given":"Luan","non-dropping-particle":"","parse-names":false,"suffix":""},{"dropping-particle":"","family":"Shen","given":"Jianmin","non-dropping-particle":"","parse-names":false,"suffix":""},{"dropping-particle":"","family":"Cao","given":"Bei","non-dropping-particle":"","parse-names":false,"suffix":""},{"dropping-particle":"","family":"Cheng","given":"Ting","non-dropping-particle":"","parse-names":false,"suffix":""},{"dropping-particle":"","family":"Zhao","given":"Tong","non-dropping-particle":"","parse-names":false,"suffix":""},{"dropping-particle":"","family":"Liu","given":"Xiaoyan","non-dropping-particle":"","parse-names":false,"suffix":""},{"dropping-particle":"","family":"Zhang","given":"Haixia","non-dropping-particle":"","parse-names":false,"suffix":""}],"container-title":"Biochimica et Biophysica Acta - Molecular Basis of Disease","id":"ITEM-1","issue":"8","issued":{"date-parts":[["2013","8"]]},"page":"1207-1216","title":"Metabolic signatures of esophageal cancer: NMR-based metabolomics and UHPLC-based focused metabolomics of blood serum","type":"article-journal","volume":"1832"},"uris":["http://www.mendeley.com/documents/?uuid=78bce0a7-179d-3db5-8a17-74ba6d11fdb6"]}],"mendeley":{"formattedCitation":"[54]","plainTextFormattedCitation":"[54]","previouslyFormattedCitation":"[54]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[54]</w:t>
            </w:r>
            <w:r w:rsidRPr="00DF6C69">
              <w:rPr>
                <w:rFonts w:cs="Times New Roman"/>
                <w:sz w:val="18"/>
                <w:szCs w:val="18"/>
              </w:rPr>
              <w:fldChar w:fldCharType="end"/>
            </w:r>
            <w:r w:rsidRPr="00DF6C69">
              <w:rPr>
                <w:rFonts w:cs="Times New Roman"/>
                <w:sz w:val="18"/>
                <w:szCs w:val="18"/>
              </w:rPr>
              <w:t xml:space="preserve">, glutamate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glutamine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10.1371/journal.pone.0030181","ISSN":"1932-6203","author":[{"dropping-particle":"","family":"Zhang","given":"Jian","non-dropping-particle":"","parse-names":false,"suffix":""},{"dropping-particle":"","family":"Bowers","given":"Jeremiah","non-dropping-particle":"","parse-names":false,"suffix":""},{"dropping-particle":"","family":"Liu","given":"Lingyan","non-dropping-particle":"","parse-names":false,"suffix":""},{"dropping-particle":"","family":"Wei","given":"Siwei","non-dropping-particle":"","parse-names":false,"suffix":""},{"dropping-particle":"","family":"Gowda","given":"G. A. Nagana","non-dropping-particle":"","parse-names":false,"suffix":""},{"dropping-particle":"","family":"Hammoud","given":"Zane","non-dropping-particle":"","parse-names":false,"suffix":""},{"dropping-particle":"","family":"Raftery","given":"Daniel","non-dropping-particle":"","parse-names":false,"suffix":""}],"container-title":"PLoS ONE","editor":[{"dropping-particle":"","family":"Rouet","given":"Philippe","non-dropping-particle":"","parse-names":false,"suffix":""}],"id":"ITEM-1","issue":"1","issued":{"date-parts":[["2012","1","23"]]},"page":"e30181","title":"Esophageal Cancer Metabolite Biomarkers Detected by LC-MS and NMR Methods","type":"article-journal","volume":"7"},"uris":["http://www.mendeley.com/documents/?uuid=710b3db2-9452-39bc-a671-3aaca211729d"]}],"mendeley":{"formattedCitation":"[55]","plainTextFormattedCitation":"[55]","previouslyFormattedCitation":"[55]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[55]</w:t>
            </w:r>
            <w:r w:rsidRPr="00DF6C69">
              <w:rPr>
                <w:rFonts w:cs="Times New Roman"/>
                <w:sz w:val="18"/>
                <w:szCs w:val="18"/>
              </w:rPr>
              <w:fldChar w:fldCharType="end"/>
            </w:r>
            <w:r w:rsidRPr="00DF6C69">
              <w:rPr>
                <w:rFonts w:cs="Times New Roman"/>
                <w:sz w:val="18"/>
                <w:szCs w:val="18"/>
              </w:rPr>
              <w:t xml:space="preserve">, histidine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lactate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lactic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10.1371/journal.pone.0030181","ISSN":"1932-6203","author":[{"dropping-particle":"","family":"Zhang","given":"Jian","non-dropping-particle":"","parse-names":false,"suffix":""},{"dropping-particle":"","family":"Bowers","given":"Jeremiah","non-dropping-particle":"","parse-names":false,"suffix":""},{"dropping-particle":"","family":"Liu","given":"Lingyan","non-dropping-particle":"","parse-names":false,"suffix":""},{"dropping-particle":"","family":"Wei","given":"Siwei","non-dropping-particle":"","parse-names":false,"suffix":""},{"dropping-particle":"","family":"Gowda","given":"G. A. Nagana","non-dropping-particle":"","parse-names":false,"suffix":""},{"dropping-particle":"","family":"Hammoud","given":"Zane","non-dropping-particle":"","parse-names":false,"suffix":""},{"dropping-particle":"","family":"Raftery","given":"Daniel","non-dropping-particle":"","parse-names":false,"suffix":""}],"container-title":"PLoS ONE","editor":[{"dropping-particle":"","family":"Rouet","given":"Philippe","non-dropping-particle":"","parse-names":false,"suffix":""}],"id":"ITEM-1","issue":"1","issued":{"date-parts":[["2012","1","23"]]},"page":"e30181","title":"Esophageal Cancer Metabolite Biomarkers Detected by LC-MS and NMR Methods","type":"article-journal","volume":"7"},"uris":["http://www.mendeley.com/documents/?uuid=710b3db2-9452-39bc-a671-3aaca211729d"]}],"mendeley":{"formattedCitation":"[55]","plainTextFormattedCitation":"[55]","previouslyFormattedCitation":"[55]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[55]</w:t>
            </w:r>
            <w:r w:rsidRPr="00DF6C69">
              <w:rPr>
                <w:rFonts w:cs="Times New Roman"/>
                <w:sz w:val="18"/>
                <w:szCs w:val="18"/>
              </w:rPr>
              <w:fldChar w:fldCharType="end"/>
            </w:r>
            <w:r w:rsidRPr="00DF6C69">
              <w:rPr>
                <w:rFonts w:cs="Times New Roman"/>
                <w:sz w:val="18"/>
                <w:szCs w:val="18"/>
              </w:rPr>
              <w:t xml:space="preserve">, LDL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leucine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 xml:space="preserve">, linoleic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10.1371/journal.pone.0030181","ISSN":"1932-6203","author":[{"dropping-particle":"","family":"Zhang","given":"Jian","non-dropping-particle":"","parse-names":false,"suffix":""},{"dropping-particle":"","family":"Bowers","given":"Jeremiah","non-dropping-particle":"","parse-names":false,"suffix":""},{"dropping-particle":"","family":"Liu","given":"Lingyan","non-dropping-particle":"","parse-names":false,"suffix":""},{"dropping-particle":"","family":"Wei","given":"Siwei","non-dropping-particle":"","parse-names":false,"suffix":""},{"dropping-particle":"","family":"Gowda","given":"G. A. Nagana","non-dropping-particle":"","parse-names":false,"suffix":""},{"dropping-particle":"","family":"Hammoud","given":"Zane","non-dropping-particle":"","parse-names":false,"suffix":""},{"dropping-particle":"","family":"Raftery","given":"Daniel","non-dropping-particle":"","parse-names":false,"suffix":""}],"container-title":"PLoS ONE","editor":[{"dropping-particle":"","family":"Rouet","given":"Philippe","non-dropping-particle":"","parse-names":false,"suffix":""}],"id":"ITEM-1","issue":"1","issued":{"date-parts":[["2012","1","23"]]},"page":"e30181","title":"Esophageal Cancer Metabolite Biomarkers Detected by LC-MS and NMR Methods","type":"article-journal","volume":"7"},"uris":["http://www.mendeley.com/documents/?uuid=710b3db2-9452-39bc-a671-3aaca211729d"]}],"mendeley":{"formattedCitation":"[55]","plainTextFormattedCitation":"[55]","previouslyFormattedCitation":"[55]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[55]</w:t>
            </w:r>
            <w:r w:rsidRPr="00DF6C69">
              <w:rPr>
                <w:rFonts w:cs="Times New Roman"/>
                <w:sz w:val="18"/>
                <w:szCs w:val="18"/>
              </w:rPr>
              <w:fldChar w:fldCharType="end"/>
            </w:r>
            <w:r w:rsidRPr="00DF6C69">
              <w:rPr>
                <w:rFonts w:cs="Times New Roman"/>
                <w:sz w:val="18"/>
                <w:szCs w:val="18"/>
              </w:rPr>
              <w:t xml:space="preserve">, lysine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10.1371/journal.pone.0030181","ISSN":"1932-6203","author":[{"dropping-particle":"","family":"Zhang","given":"Jian","non-dropping-particle":"","parse-names":false,"suffix":""},{"dropping-particle":"","family":"Bowers","given":"Jeremiah","non-dropping-particle":"","parse-names":false,"suffix":""},{"dropping-particle":"","family":"Liu","given":"Lingyan","non-dropping-particle":"","parse-names":false,"suffix":""},{"dropping-particle":"","family":"Wei","given":"Siwei","non-dropping-particle":"","parse-names":false,"suffix":""},{"dropping-particle":"","family":"Gowda","given":"G. A. Nagana","non-dropping-particle":"","parse-names":false,"suffix":""},{"dropping-particle":"","family":"Hammoud","given":"Zane","non-dropping-particle":"","parse-names":false,"suffix":""},{"dropping-particle":"","family":"Raftery","given":"Daniel","non-dropping-particle":"","parse-names":false,"suffix":""}],"container-title":"PLoS ONE","editor":[{"dropping-particle":"","family":"Rouet","given":"Philippe","non-dropping-particle":"","parse-names":false,"suffix":""}],"id":"ITEM-1","issue":"1","issued":{"date-parts":[["2012","1","23"]]},"page":"e30181","title":"Esophageal Cancer Metabolite Biomarkers Detected by LC-MS and NMR Methods","type":"article-journal","volume":"7"},"uris":["http://www.mendeley.com/documents/?uuid=710b3db2-9452-39bc-a671-3aaca211729d"]}],"mendeley":{"formattedCitation":"[55]","plainTextFormattedCitation":"[55]","previouslyFormattedCitation":"[55]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[55]</w:t>
            </w:r>
            <w:r w:rsidRPr="00DF6C69">
              <w:rPr>
                <w:rFonts w:cs="Times New Roman"/>
                <w:sz w:val="18"/>
                <w:szCs w:val="18"/>
              </w:rPr>
              <w:fldChar w:fldCharType="end"/>
            </w:r>
            <w:r w:rsidRPr="00DF6C69">
              <w:rPr>
                <w:rFonts w:cs="Times New Roman"/>
                <w:sz w:val="18"/>
                <w:szCs w:val="18"/>
              </w:rPr>
              <w:t xml:space="preserve">, methionine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10.1371/journal.pone.0030181","ISSN":"1932-6203","author":[{"dropping-particle":"","family":"Zhang","given":"Jian","non-dropping-particle":"","parse-names":false,"suffix":""},{"dropping-particle":"","family":"Bowers","given":"Jeremiah","non-dropping-particle":"","parse-names":false,"suffix":""},{"dropping-particle":"","family":"Liu","given":"Lingyan","non-dropping-particle":"","parse-names":false,"suffix":""},{"dropping-particle":"","family":"Wei","given":"Siwei","non-dropping-particle":"","parse-names":false,"suffix":""},{"dropping-particle":"","family":"Gowda","given":"G. A. Nagana","non-dropping-particle":"","parse-names":false,"suffix":""},{"dropping-particle":"","family":"Hammoud","given":"Zane","non-dropping-particle":"","parse-names":false,"suffix":""},{"dropping-particle":"","family":"Raftery","given":"Daniel","non-dropping-particle":"","parse-names":false,"suffix":""}],"container-title":"PLoS ONE","editor":[{"dropping-particle":"","family":"Rouet","given":"Philippe","non-dropping-particle":"","parse-names":false,"suffix":""}],"id":"ITEM-1","issue":"1","issued":{"date-parts":[["2012","1","23"]]},"page":"e30181","title":"Esophageal Cancer Metabolite Biomarkers Detected by LC-MS and NMR Methods","type":"article-journal","volume":"7"},"uris":["http://www.mendeley.com/documents/?uuid=710b3db2-9452-39bc-a671-3aaca211729d"]}],"mendeley":{"formattedCitation":"[55]","plainTextFormattedCitation":"[55]","previouslyFormattedCitation":"[55]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[55]</w:t>
            </w:r>
            <w:r w:rsidRPr="00DF6C69">
              <w:rPr>
                <w:rFonts w:cs="Times New Roman"/>
                <w:sz w:val="18"/>
                <w:szCs w:val="18"/>
              </w:rPr>
              <w:fldChar w:fldCharType="end"/>
            </w:r>
            <w:r w:rsidRPr="00DF6C69">
              <w:rPr>
                <w:rFonts w:cs="Times New Roman"/>
                <w:sz w:val="18"/>
                <w:szCs w:val="18"/>
              </w:rPr>
              <w:t xml:space="preserve">, myristic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10.1371/journal.pone.0030181","ISSN":"1932-6203","author":[{"dropping-particle":"","family":"Zhang","given":"Jian","non-dropping-particle":"","parse-names":false,"suffix":""},{"dropping-particle":"","family":"Bowers","given":"Jeremiah","non-dropping-particle":"","parse-names":false,"suffix":""},{"dropping-particle":"","family":"Liu","given":"Lingyan","non-dropping-particle":"","parse-names":false,"suffix":""},{"dropping-particle":"","family":"Wei","given":"Siwei","non-dropping-particle":"","parse-names":false,"suffix":""},{"dropping-particle":"","family":"Gowda","given":"G. A. Nagana","non-dropping-particle":"","parse-names":false,"suffix":""},{"dropping-particle":"","family":"Hammoud","given":"Zane","non-dropping-particle":"","parse-names":false,"suffix":""},{"dropping-particle":"","family":"Raftery","given":"Daniel","non-dropping-particle":"","parse-names":false,"suffix":""}],"container-title":"PLoS ONE","editor":[{"dropping-particle":"","family":"Rouet","given":"Philippe","non-dropping-particle":"","parse-names":false,"suffix":""}],"id":"ITEM-1","issue":"1","issued":{"date-parts":[["2012","1","23"]]},"page":"e30181","title":"Esophageal Cancer Metabolite Biomarkers Detected by LC-MS and NMR Methods","type":"article-journal","volume":"7"},"uris":["http://www.mendeley.com/documents/?uuid=710b3db2-9452-39bc-a671-3aaca211729d"]}],"mendeley":{"formattedCitation":"[55]","plainTextFormattedCitation":"[55]","previouslyFormattedCitation":"[55]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[55]</w:t>
            </w:r>
            <w:r w:rsidRPr="00DF6C69">
              <w:rPr>
                <w:rFonts w:cs="Times New Roman"/>
                <w:sz w:val="18"/>
                <w:szCs w:val="18"/>
              </w:rPr>
              <w:fldChar w:fldCharType="end"/>
            </w:r>
            <w:r w:rsidRPr="00DF6C69">
              <w:rPr>
                <w:rFonts w:cs="Times New Roman"/>
                <w:sz w:val="18"/>
                <w:szCs w:val="18"/>
              </w:rPr>
              <w:t xml:space="preserve">, phenylalanine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{"citationItems":[{"id":"ITEM-1","itemData":{"DOI":"10.1158/1055-9965.EPI-14-0980","ISSN":"10559965","abstract":"Gastroesophageal cancer has a rapidly increasing incidence worldwide and reliable biomarkers are urgently required to facilitate earlier diagnosis and improve survival. The aromatic amino acids tyrosine, phenylalanine, and tryptophan represent potential biomarkers and their relation to gastroesophageal cancer will be evaluated in this review. An electronic literature search was performed to identify all published research relating to the measurement of tyrosine, phenylalanine, or tryptophan in the biofluids or tissues of patients with gastroesophageal cancer. Sixteen studies were included in this systematic review. Six studies investigated serum concentrations, which all found decreased concentrations of these aromatic amino acids, except one study that found increased phenylalanine. Five studies reported increased concentrations within gastric content of these patients and two reported increased urinary concentrations. Tissue concentrations of these aromatic amino acids were increased in three studies. Tyrosine, phenylalanine, and tryptophan represent potential biomarkers of gastroesophageal cancer, and further research is necessary to definitively establish the mechanism responsible for altered concentrations of these compounds in patients with gastroesophageal cancer.","author":[{"dropping-particle":"","family":"Wiggins","given":"Tom","non-dropping-particle":"","parse-names":false,"suffix":""},{"dropping-particle":"","family":"Kumar","given":"Sacheen","non-dropping-particle":"","parse-names":false,"suffix":""},{"dropping-particle":"","family":"Markar","given":"Sheraz R.","non-dropping-particle":"","parse-names":false,"suffix":""},{"dropping-particle":"","family":"Antonowicz","given":"Stefan","non-dropping-particle":"","parse-names":false,"suffix":""},{"dropping-particle":"","family":"Hanna","given":"George B.","non-dropping-particle":"","parse-names":false,"suffix":""}],"container-title":"Cancer Epidemiology Biomarkers and Prevention","id":"ITEM-1","issue":"1","issued":{"date-parts":[["2015","1","1"]]},"page":"32-38","publisher":"American Association for Cancer Research Inc.","title":"Tyrosine, phenylalanine, and tryptophan in gastroesophageal malignancy: A systematic review","type":"article-journal","volume":"24"},"uris":["http://www.mendeley.com/documents/?uuid=b8438ee0-5f7a-4fa3-9501-4ba2fd28f94c"]}],"mendeley":{"formattedCitation":"[56]","plainTextFormattedCitation":"[56]","previouslyFormattedCitation":"[56]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[56]</w:t>
            </w:r>
            <w:r w:rsidRPr="00DF6C69">
              <w:rPr>
                <w:rFonts w:cs="Times New Roman"/>
                <w:sz w:val="18"/>
                <w:szCs w:val="18"/>
              </w:rPr>
              <w:fldChar w:fldCharType="end"/>
            </w:r>
            <w:r w:rsidRPr="00DF6C69">
              <w:rPr>
                <w:rFonts w:cs="Times New Roman"/>
                <w:sz w:val="18"/>
                <w:szCs w:val="18"/>
              </w:rPr>
              <w:t xml:space="preserve">, tryptophan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10.1371/journal.pone.0030181","ISSN":"1932-6203","author":[{"dropping-particle":"","family":"Zhang","given":"Jian","non-dropping-particle":"","parse-names":false,"suffix":""},{"dropping-particle":"","family":"Bowers","given":"Jeremiah","non-dropping-particle":"","parse-names":false,"suffix":""},{"dropping-particle":"","family":"Liu","given":"Lingyan","non-dropping-particle":"","parse-names":false,"suffix":""},{"dropping-particle":"","family":"Wei","given":"Siwei","non-dropping-particle":"","parse-names":false,"suffix":""},{"dropping-particle":"","family":"Gowda","given":"G. A. Nagana","non-dropping-particle":"","parse-names":false,"suffix":""},{"dropping-particle":"","family":"Hammoud","given":"Zane","non-dropping-particle":"","parse-names":false,"suffix":""},{"dropping-particle":"","family":"Raftery","given":"Daniel","non-dropping-particle":"","parse-names":false,"suffix":""}],"container-title":"PLoS ONE","editor":[{"dropping-particle":"","family":"Rouet","given":"Philippe","non-dropping-particle":"","parse-names":false,"suffix":""}],"id":"ITEM-1","issue":"1","issued":{"date-parts":[["2012","1","23"]]},"page":"e30181","title":"Esophageal Cancer Metabolite Biomarkers Detected by LC-MS and NMR Methods","type":"article-journal","volume":"7"},"uris":["http://www.mendeley.com/documents/?uuid=710b3db2-9452-39bc-a671-3aaca211729d"]}],"mendeley":{"formattedCitation":"[55]","plainTextFormattedCitation":"[55]","previouslyFormattedCitation":"[55]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[55]</w:t>
            </w:r>
            <w:r w:rsidRPr="00DF6C69">
              <w:rPr>
                <w:rFonts w:cs="Times New Roman"/>
                <w:sz w:val="18"/>
                <w:szCs w:val="18"/>
              </w:rPr>
              <w:fldChar w:fldCharType="end"/>
            </w:r>
            <w:r w:rsidRPr="00DF6C69">
              <w:rPr>
                <w:rFonts w:cs="Times New Roman"/>
                <w:sz w:val="18"/>
                <w:szCs w:val="18"/>
              </w:rPr>
              <w:t xml:space="preserve">, tyrosine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10.1371/journal.pone.0030181","ISSN":"1932-6203","author":[{"dropping-particle":"","family":"Zhang","given":"Jian","non-dropping-particle":"","parse-names":false,"suffix":""},{"dropping-particle":"","family":"Bowers","given":"Jeremiah","non-dropping-particle":"","parse-names":false,"suffix":""},{"dropping-particle":"","family":"Liu","given":"Lingyan","non-dropping-particle":"","parse-names":false,"suffix":""},{"dropping-particle":"","family":"Wei","given":"Siwei","non-dropping-particle":"","parse-names":false,"suffix":""},{"dropping-particle":"","family":"Gowda","given":"G. A. Nagana","non-dropping-particle":"","parse-names":false,"suffix":""},{"dropping-particle":"","family":"Hammoud","given":"Zane","non-dropping-particle":"","parse-names":false,"suffix":""},{"dropping-particle":"","family":"Raftery","given":"Daniel","non-dropping-particle":"","parse-names":false,"suffix":""}],"container-title":"PLoS ONE","editor":[{"dropping-particle":"","family":"Rouet","given":"Philippe","non-dropping-particle":"","parse-names":false,"suffix":""}],"id":"ITEM-1","issue":"1","issued":{"date-parts":[["2012","1","23"]]},"page":"e30181","title":"Esophageal Cancer Metabolite Biomarkers Detected by LC-MS and NMR Methods","type":"article-journal","volume":"7"},"uris":["http://www.mendeley.com/documents/?uuid=710b3db2-9452-39bc-a671-3aaca211729d"]}],"mendeley":{"formattedCitation":"[55]","plainTextFormattedCitation":"[55]","previouslyFormattedCitation":"[55]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[55]</w:t>
            </w:r>
            <w:r w:rsidRPr="00DF6C69">
              <w:rPr>
                <w:rFonts w:cs="Times New Roman"/>
                <w:sz w:val="18"/>
                <w:szCs w:val="18"/>
              </w:rPr>
              <w:fldChar w:fldCharType="end"/>
            </w:r>
            <w:r w:rsidRPr="00DF6C69">
              <w:rPr>
                <w:rFonts w:cs="Times New Roman"/>
                <w:sz w:val="18"/>
                <w:szCs w:val="18"/>
              </w:rPr>
              <w:t xml:space="preserve">, valine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10.1371/journal.pone.0030181","ISSN":"1932-6203","author":[{"dropping-particle":"","family":"Zhang","given":"Jian","non-dropping-particle":"","parse-names":false,"suffix":""},{"dropping-particle":"","family":"Bowers","given":"Jeremiah","non-dropping-particle":"","parse-names":false,"suffix":""},{"dropping-particle":"","family":"Liu","given":"Lingyan","non-dropping-particle":"","parse-names":false,"suffix":""},{"dropping-particle":"","family":"Wei","given":"Siwei","non-dropping-particle":"","parse-names":false,"suffix":""},{"dropping-particle":"","family":"Gowda","given":"G. A. Nagana","non-dropping-particle":"","parse-names":false,"suffix":""},{"dropping-particle":"","family":"Hammoud","given":"Zane","non-dropping-particle":"","parse-names":false,"suffix":""},{"dropping-particle":"","family":"Raftery","given":"Daniel","non-dropping-particle":"","parse-names":false,"suffix":""}],"container-title":"PLoS ONE","editor":[{"dropping-particle":"","family":"Rouet","given":"Philippe","non-dropping-particle":"","parse-names":false,"suffix":""}],"id":"ITEM-1","issue":"1","issued":{"date-parts":[["2012","1","23"]]},"page":"e30181","title":"Esophageal Cancer Metabolite Biomarkers Detected by LC-MS and NMR Methods","type":"article-journal","volume":"7"},"uris":["http://www.mendeley.com/documents/?uuid=710b3db2-9452-39bc-a671-3aaca211729d"]}],"mendeley":{"formattedCitation":"[55]","plainTextFormattedCitation":"[55]","previouslyFormattedCitation":"[55]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[55]</w:t>
            </w:r>
            <w:r w:rsidRPr="00DF6C69">
              <w:rPr>
                <w:rFonts w:cs="Times New Roman"/>
                <w:sz w:val="18"/>
                <w:szCs w:val="18"/>
              </w:rPr>
              <w:fldChar w:fldCharType="end"/>
            </w:r>
            <w:r w:rsidRPr="00DF6C69">
              <w:rPr>
                <w:rFonts w:cs="Times New Roman"/>
                <w:sz w:val="18"/>
                <w:szCs w:val="18"/>
              </w:rPr>
              <w:t xml:space="preserve">, VLDL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{"citationItems":[{"id":"ITEM-1","itemData":{"DOI":"10.1007/978-3-319-48360-3","ISBN":"9783319483597","abstract":"The molecular and genetic signatures of cancer are represented in the peripheral circulation and other body fluids, giving rise to the {\\quotesinglbase}{Ä}{ú}liquid biopsy{\\quotesinglbase}{Ä}{ù} concept. This new paradigm of molecular profiling of cancer cells offers several advantages over traditional tissue biopsy. It is convenient, noninvasive, conforms to current clinical practice, enables real time disease monitoring and the study of tumor evolution, can easily be sampled multiple times, and this sample is more representative of the heterogeneous cancer cells than biopsy sampling. Indeed, all aspects of cancer molecular genetic information, stemming from DNA (both nuclear and mitochondria), RNA (coding and noncoding), peptides and proteins, metabolites and lipids are present in body fluids as free, cell surface bound or enclosed in membrane vesicles, and are being harnessed for disease management. Additionally, circulating tumor, and tumor stem cells provide prognostic information, and also enable the study of the intricate molecular processes associated with metastasis and drug resistance. This treatise deals with the general principles of the molecular pathology of cancer, and its associated imprints in circulation. The transitional process from discovery, prototype development, translational research, to product development can be complex and costly. The critical path to biomarker development and qualification for successful use in drug development is detailed herein as well. This book is of interest to Cancer Researchers, Oncologists, Clinicians, Surgeons, Medical Students, Nurses, Diagnostic Laboratories, and Pharmaceutical Industries.​​","author":[{"dropping-particle":"","family":"Dakubo","given":"Gabriel D.","non-dropping-particle":"","parse-names":false,"suffix":""}],"container-title":"Cancer Biomarkers in Body Fluids","id":"ITEM-1","issued":{"date-parts":[["2017"]]},"publisher":"Springer International Publishing","title":"Cancer Biomarkers in Body Fluids","type":"book"},"uris":["http://www.mendeley.com/documents/?uuid=68fa4c3b-fc8d-4f9a-a0e6-5b42b3f9695e"]}],"mendeley":{"formattedCitation":"[2]","plainTextFormattedCitation":"[2]","previouslyFormattedCitation":"[2]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[2]</w:t>
            </w:r>
            <w:r w:rsidRPr="00DF6C69">
              <w:rPr>
                <w:rFonts w:cs="Times New Roman"/>
                <w:sz w:val="18"/>
                <w:szCs w:val="18"/>
              </w:rPr>
              <w:fldChar w:fldCharType="end"/>
            </w:r>
            <w:r w:rsidRPr="00DF6C69">
              <w:rPr>
                <w:rFonts w:cs="Times New Roman"/>
                <w:sz w:val="18"/>
                <w:szCs w:val="18"/>
              </w:rPr>
              <w:t>,</w:t>
            </w:r>
          </w:p>
        </w:tc>
      </w:tr>
      <w:tr w:rsidR="00521E89" w:rsidRPr="00DF6C69" w14:paraId="705CFBAB" w14:textId="77777777" w:rsidTr="000765CF">
        <w:trPr>
          <w:trHeight w:val="413"/>
        </w:trPr>
        <w:tc>
          <w:tcPr>
            <w:tcW w:w="1418" w:type="dxa"/>
            <w:vMerge/>
            <w:shd w:val="clear" w:color="auto" w:fill="FFF2CC" w:themeFill="accent4" w:themeFillTint="33"/>
            <w:vAlign w:val="center"/>
          </w:tcPr>
          <w:p w14:paraId="22BEA491" w14:textId="77777777" w:rsidR="00521E89" w:rsidRPr="00DF6C69" w:rsidRDefault="00521E89" w:rsidP="000765CF">
            <w:pPr>
              <w:rPr>
                <w:rFonts w:cs="Times New Roman"/>
                <w:b/>
                <w:sz w:val="18"/>
                <w:szCs w:val="18"/>
              </w:rPr>
            </w:pPr>
          </w:p>
        </w:tc>
        <w:tc>
          <w:tcPr>
            <w:tcW w:w="993" w:type="dxa"/>
            <w:vAlign w:val="center"/>
          </w:tcPr>
          <w:p w14:paraId="06BC0993" w14:textId="77777777" w:rsidR="00521E89" w:rsidRPr="00DF6C69" w:rsidRDefault="00521E89" w:rsidP="000765CF">
            <w:pPr>
              <w:rPr>
                <w:rFonts w:cs="Times New Roman"/>
                <w:sz w:val="18"/>
                <w:szCs w:val="18"/>
              </w:rPr>
            </w:pPr>
            <w:r w:rsidRPr="00DF6C69">
              <w:rPr>
                <w:rFonts w:cs="Times New Roman"/>
                <w:sz w:val="18"/>
                <w:szCs w:val="18"/>
              </w:rPr>
              <w:t>Tissue**</w:t>
            </w:r>
          </w:p>
        </w:tc>
        <w:tc>
          <w:tcPr>
            <w:tcW w:w="6945" w:type="dxa"/>
            <w:vAlign w:val="center"/>
          </w:tcPr>
          <w:p w14:paraId="76C7F709" w14:textId="6744EFED" w:rsidR="00521E89" w:rsidRPr="00DF6C69" w:rsidRDefault="00521E89" w:rsidP="000765CF">
            <w:pPr>
              <w:rPr>
                <w:rFonts w:cs="Times New Roman"/>
                <w:sz w:val="18"/>
                <w:szCs w:val="18"/>
              </w:rPr>
            </w:pPr>
            <w:proofErr w:type="spellStart"/>
            <w:r w:rsidRPr="00DF6C69">
              <w:rPr>
                <w:rFonts w:cs="Times New Roman"/>
                <w:sz w:val="18"/>
                <w:szCs w:val="18"/>
              </w:rPr>
              <w:t>Acylcarnitines</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{"citationItems":[{"id":"ITEM-1","itemData":{"DOI":"10.1158/1078-0432.CCR-13-1939 LK  - http://resolver.ebscohost.com/openurl?sid=EMBASE&amp;issn=15573265&amp;id=doi:10.1158%2F1078-0432.CCR-13-1939&amp;atitle=A+distinct+metabolic+signature+of+human+colorectal+cancer+with+prognostic+potential&amp;stitle=Clin.+Cancer+Res.&amp;title=Clinical+Cancer+Research&amp;volume=20&amp;issue=8&amp;spage=2136&amp;epage=2146&amp;aulast=Qiu&amp;aufirst=Yunping&amp;auinit=Y.&amp;aufull=Qiu+Y.&amp;coden=CCREF&amp;isbn=&amp;pages=2136-2146&amp;date=2014&amp;auinit1=Y&amp;auinitm=","ISSN":"1557-3265","PMID":"24526730","abstract":"Purpose: Metabolic phenotyping has provided important biomarker findings, which, unfortunately, are rarely replicated across different sample sets due to the variations from different analytical and clinical protocols used in the studies. To date, very few metabolic hallmarks in a given cancer type have been confirmed and validated by use of a metabolomic approach and other clinical modalities. Here, we report a metabolomics study to identify potential metabolite biomarkers of colorectal cancer with potential theranostic value. Experimental Design: Gas chromatography-time-of-flight mass spectrometry (GC-TOFMS)-based metabolomics was used to analyze 376 surgical specimens, which were collected from four independent cohorts of patients with colorectal cancer at three hospitals located in China and City of Hope Comprehensive Cancer Center in the United States. Differential metabolites were identified and evaluated as potential prognostic markers. A targeted transcriptomic analysis of 29 colorectal cancer and 27 adjacent nontumor tissues was applied to analyze the gene expression levels for key enzymes associated with these shared metabolites. Results: A panel of 15 significantly altered metabolites was identified, which demonstrates the ability to predict the rate of recurrence and survival for patients after surgery and chemotherapy. The targeted transcriptomic analysis suggests that the differential expression of these metabolites is due to robust metabolic adaptations in cancer cells to increased oxidative stress as well as demand for energy, and macromolecular substrates for cell growth and proliferation. Conclusions: These patients with colorectal cancer, despite their varied genetic background, mutations, pathologic stages, and geographic locations, shared a metabolic signature that is of great prognostic and therapeutic potential. © 2014 AACR.","author":[{"dropping-particle":"","family":"Y.","given":"Qiu","non-dropping-particle":"","parse-names":false,"suffix":""},{"dropping-particle":"","family":"G.","given":"Cai","non-dropping-particle":"","parse-names":false,"suffix":""},{"dropping-particle":"","family":"B.","given":"Zhou","non-dropping-particle":"","parse-names":false,"suffix":""},{"dropping-particle":"","family":"D.","given":"Li","non-dropping-particle":"","parse-names":false,"suffix":""},{"dropping-particle":"","family":"A.","given":"Zhao","non-dropping-particle":"","parse-names":false,"suffix":""},{"dropping-particle":"","family":"G.","given":"Xie","non-dropping-particle":"","parse-names":false,"suffix":""},{"dropping-particle":"","family":"H.","given":"Li","non-dropping-particle":"","parse-names":false,"suffix":""},{"dropping-particle":"","family":"S.","given":"Cai","non-dropping-particle":"","parse-names":false,"suffix":""},{"dropping-particle":"","family":"D.","given":"Xie","non-dropping-particle":"","parse-names":false,"suffix":""},{"dropping-particle":"","family":"C.","given":"Huang","non-dropping-particle":"","parse-names":false,"suffix":""},{"dropping-particle":"","family":"W.","given":"Ge","non-dropping-particle":"","parse-names":false,"suffix":""},{"dropping-particle":"","family":"Z.","given":"Zhou","non-dropping-particle":"","parse-names":false,"suffix":""},{"dropping-particle":"","family":"L.X.","given":"Xu","non-dropping-particle":"","parse-names":false,"suffix":""},{"dropping-particle":"","family":"W.","given":"Jia","non-dropping-particle":"","parse-names":false,"suffix":""},{"dropping-particle":"","family":"S.","given":"Zheng","non-dropping-particle":"","parse-names":false,"suffix":""},{"dropping-particle":"","family":"Y.","given":"Yen","non-dropping-particle":"","parse-names":false,"suffix":""},{"dropping-particle":"","family":"W.","given":"Jia","non-dropping-particle":"","parse-names":false,"suffix":""},{"dropping-particle":"","family":"Qiu","given":"Yunping","non-dropping-particle":"","parse-names":false,"suffix":""},{"dropping-particle":"","family":"Cai","given":"Guoxiang","non-dropping-particle":"","parse-names":false,"suffix":""},{"dropping-particle":"","family":"Zhou","given":"Bingsen","non-dropping-particle":"","parse-names":false,"suffix":""},{"dropping-particle":"","family":"Li","given":"Dan","non-dropping-particle":"","parse-names":false,"suffix":""},{"dropping-particle":"","family":"Zhao","given":"Aihua","non-dropping-particle":"","parse-names":false,"suffix":""},{"dropping-particle":"","family":"Xie","given":"Guoxiang","non-dropping-particle":"","parse-names":false,"suffix":""},{"dropping-particle":"","family":"Li","given":"Houkai","non-dropping-particle":"","parse-names":false,"suffix":""},{"dropping-particle":"","family":"Cai","given":"Sanjun","non-dropping-particle":"","parse-names":false,"suffix":""},{"dropping-particle":"","family":"Xie","given":"Dong","non-dropping-particle":"","parse-names":false,"suffix":""},{"dropping-particle":"","family":"Huang","given":"Changzhi","non-dropping-particle":"","parse-names":false,"suffix":""},{"dropping-particle":"","family":"Ge","given":"Weiting","non-dropping-particle":"","parse-names":false,"suffix":""},{"dropping-particle":"","family":"Zhou","given":"Zhanxiang","non-dropping-particle":"","parse-names":false,"suffix":""},{"dropping-particle":"","family":"Xu","given":"Lisa X","non-dropping-particle":"","parse-names":false,"suffix":""},{"dropping-particle":"","family":"Jia","given":"Weiping","non-dropping-particle":"","parse-names":false,"suffix":""},{"dropping-particle":"","family":"Zheng","given":"Shu","non-dropping-particle":"","parse-names":false,"suffix":""},{"dropping-particle":"","family":"Yen","given":"Yun","non-dropping-particle":"","parse-names":false,"suffix":""},{"dropping-particle":"","family":"Jia","given":"Weiping","non-dropping-particle":"","parse-names":false,"suffix":""}],"container-title":"Clinical Cancer Research","id":"ITEM-1","issue":"8","issued":{"date-parts":[["2014"]]},"page":"2136-2146","title":"A distinct metabolic signature of human colorectal cancer with prognostic potential","type":"article-journal","volume":"20"},"uris":["http://www.mendeley.com/documents/?uuid=165e446f-4f94-3b51-8478-a61cebb00744"]}],"mendeley":{"formattedCitation":"[57]","plainTextFormattedCitation":"[57]","previouslyFormattedCitation":"[57]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[57]</w:t>
            </w:r>
            <w:r w:rsidRPr="00DF6C69">
              <w:rPr>
                <w:rFonts w:cs="Times New Roman"/>
                <w:sz w:val="18"/>
                <w:szCs w:val="18"/>
              </w:rPr>
              <w:fldChar w:fldCharType="end"/>
            </w:r>
            <w:r w:rsidRPr="00DF6C69">
              <w:rPr>
                <w:rFonts w:cs="Times New Roman"/>
                <w:sz w:val="18"/>
                <w:szCs w:val="18"/>
              </w:rPr>
              <w:t xml:space="preserve">, carnitine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{"citationItems":[{"id":"ITEM-1","itemData":{"DOI":"10.1158/1078-0432.CCR-13-1939 LK  - http://resolver.ebscohost.com/openurl?sid=EMBASE&amp;issn=15573265&amp;id=doi:10.1158%2F1078-0432.CCR-13-1939&amp;atitle=A+distinct+metabolic+signature+of+human+colorectal+cancer+with+prognostic+potential&amp;stitle=Clin.+Cancer+Res.&amp;title=Clinical+Cancer+Research&amp;volume=20&amp;issue=8&amp;spage=2136&amp;epage=2146&amp;aulast=Qiu&amp;aufirst=Yunping&amp;auinit=Y.&amp;aufull=Qiu+Y.&amp;coden=CCREF&amp;isbn=&amp;pages=2136-2146&amp;date=2014&amp;auinit1=Y&amp;auinitm=","ISSN":"1557-3265","PMID":"24526730","abstract":"Purpose: Metabolic phenotyping has provided important biomarker findings, which, unfortunately, are rarely replicated across different sample sets due to the variations from different analytical and clinical protocols used in the studies. To date, very few metabolic hallmarks in a given cancer type have been confirmed and validated by use of a metabolomic approach and other clinical modalities. Here, we report a metabolomics study to identify potential metabolite biomarkers of colorectal cancer with potential theranostic value. Experimental Design: Gas chromatography-time-of-flight mass spectrometry (GC-TOFMS)-based metabolomics was used to analyze 376 surgical specimens, which were collected from four independent cohorts of patients with colorectal cancer at three hospitals located in China and City of Hope Comprehensive Cancer Center in the United States. Differential metabolites were identified and evaluated as potential prognostic markers. A targeted transcriptomic analysis of 29 colorectal cancer and 27 adjacent nontumor tissues was applied to analyze the gene expression levels for key enzymes associated with these shared metabolites. Results: A panel of 15 significantly altered metabolites was identified, which demonstrates the ability to predict the rate of recurrence and survival for patients after surgery and chemotherapy. The targeted transcriptomic analysis suggests that the differential expression of these metabolites is due to robust metabolic adaptations in cancer cells to increased oxidative stress as well as demand for energy, and macromolecular substrates for cell growth and proliferation. Conclusions: These patients with colorectal cancer, despite their varied genetic background, mutations, pathologic stages, and geographic locations, shared a metabolic signature that is of great prognostic and therapeutic potential. © 2014 AACR.","author":[{"dropping-particle":"","family":"Y.","given":"Qiu","non-dropping-particle":"","parse-names":false,"suffix":""},{"dropping-particle":"","family":"G.","given":"Cai","non-dropping-particle":"","parse-names":false,"suffix":""},{"dropping-particle":"","family":"B.","given":"Zhou","non-dropping-particle":"","parse-names":false,"suffix":""},{"dropping-particle":"","family":"D.","given":"Li","non-dropping-particle":"","parse-names":false,"suffix":""},{"dropping-particle":"","family":"A.","given":"Zhao","non-dropping-particle":"","parse-names":false,"suffix":""},{"dropping-particle":"","family":"G.","given":"Xie","non-dropping-particle":"","parse-names":false,"suffix":""},{"dropping-particle":"","family":"H.","given":"Li","non-dropping-particle":"","parse-names":false,"suffix":""},{"dropping-particle":"","family":"S.","given":"Cai","non-dropping-particle":"","parse-names":false,"suffix":""},{"dropping-particle":"","family":"D.","given":"Xie","non-dropping-particle":"","parse-names":false,"suffix":""},{"dropping-particle":"","family":"C.","given":"Huang","non-dropping-particle":"","parse-names":false,"suffix":""},{"dropping-particle":"","family":"W.","given":"Ge","non-dropping-particle":"","parse-names":false,"suffix":""},{"dropping-particle":"","family":"Z.","given":"Zhou","non-dropping-particle":"","parse-names":false,"suffix":""},{"dropping-particle":"","family":"L.X.","given":"Xu","non-dropping-particle":"","parse-names":false,"suffix":""},{"dropping-particle":"","family":"W.","given":"Jia","non-dropping-particle":"","parse-names":false,"suffix":""},{"dropping-particle":"","family":"S.","given":"Zheng","non-dropping-particle":"","parse-names":false,"suffix":""},{"dropping-particle":"","family":"Y.","given":"Yen","non-dropping-particle":"","parse-names":false,"suffix":""},{"dropping-particle":"","family":"W.","given":"Jia","non-dropping-particle":"","parse-names":false,"suffix":""},{"dropping-particle":"","family":"Qiu","given":"Yunping","non-dropping-particle":"","parse-names":false,"suffix":""},{"dropping-particle":"","family":"Cai","given":"Guoxiang","non-dropping-particle":"","parse-names":false,"suffix":""},{"dropping-particle":"","family":"Zhou","given":"Bingsen","non-dropping-particle":"","parse-names":false,"suffix":""},{"dropping-particle":"","family":"Li","given":"Dan","non-dropping-particle":"","parse-names":false,"suffix":""},{"dropping-particle":"","family":"Zhao","given":"Aihua","non-dropping-particle":"","parse-names":false,"suffix":""},{"dropping-particle":"","family":"Xie","given":"Guoxiang","non-dropping-particle":"","parse-names":false,"suffix":""},{"dropping-particle":"","family":"Li","given":"Houkai","non-dropping-particle":"","parse-names":false,"suffix":""},{"dropping-particle":"","family":"Cai","given":"Sanjun","non-dropping-particle":"","parse-names":false,"suffix":""},{"dropping-particle":"","family":"Xie","given":"Dong","non-dropping-particle":"","parse-names":false,"suffix":""},{"dropping-particle":"","family":"Huang","given":"Changzhi","non-dropping-particle":"","parse-names":false,"suffix":""},{"dropping-particle":"","family":"Ge","given":"Weiting","non-dropping-particle":"","parse-names":false,"suffix":""},{"dropping-particle":"","family":"Zhou","given":"Zhanxiang","non-dropping-particle":"","parse-names":false,"suffix":""},{"dropping-particle":"","family":"Xu","given":"Lisa X","non-dropping-particle":"","parse-names":false,"suffix":""},{"dropping-particle":"","family":"Jia","given":"Weiping","non-dropping-particle":"","parse-names":false,"suffix":""},{"dropping-particle":"","family":"Zheng","given":"Shu","non-dropping-particle":"","parse-names":false,"suffix":""},{"dropping-particle":"","family":"Yen","given":"Yun","non-dropping-particle":"","parse-names":false,"suffix":""},{"dropping-particle":"","family":"Jia","given":"Weiping","non-dropping-particle":"","parse-names":false,"suffix":""}],"container-title":"Clinical Cancer Research","id":"ITEM-1","issue":"8","issued":{"date-parts":[["2014"]]},"page":"2136-2146","title":"A distinct metabolic signature of human colorectal cancer with prognostic potential","type":"article-journal","volume":"20"},"uris":["http://www.mendeley.com/documents/?uuid=165e446f-4f94-3b51-8478-a61cebb00744"]}],"mendeley":{"formattedCitation":"[57]","plainTextFormattedCitation":"[57]","previouslyFormattedCitation":"[57]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[57]</w:t>
            </w:r>
            <w:r w:rsidRPr="00DF6C69">
              <w:rPr>
                <w:rFonts w:cs="Times New Roman"/>
                <w:sz w:val="18"/>
                <w:szCs w:val="18"/>
              </w:rPr>
              <w:fldChar w:fldCharType="end"/>
            </w:r>
            <w:r w:rsidRPr="00DF6C69">
              <w:rPr>
                <w:rFonts w:cs="Times New Roman"/>
                <w:sz w:val="18"/>
                <w:szCs w:val="18"/>
              </w:rPr>
              <w:t xml:space="preserve">, fatty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{"citationItems":[{"id":"ITEM-1","itemData":{"DOI":"10.1158/1078-0432.CCR-13-1939 LK  - http://resolver.ebscohost.com/openurl?sid=EMBASE&amp;issn=15573265&amp;id=doi:10.1158%2F1078-0432.CCR-13-1939&amp;atitle=A+distinct+metabolic+signature+of+human+colorectal+cancer+with+prognostic+potential&amp;stitle=Clin.+Cancer+Res.&amp;title=Clinical+Cancer+Research&amp;volume=20&amp;issue=8&amp;spage=2136&amp;epage=2146&amp;aulast=Qiu&amp;aufirst=Yunping&amp;auinit=Y.&amp;aufull=Qiu+Y.&amp;coden=CCREF&amp;isbn=&amp;pages=2136-2146&amp;date=2014&amp;auinit1=Y&amp;auinitm=","ISSN":"1557-3265","PMID":"24526730","abstract":"Purpose: Metabolic phenotyping has provided important biomarker findings, which, unfortunately, are rarely replicated across different sample sets due to the variations from different analytical and clinical protocols used in the studies. To date, very few metabolic hallmarks in a given cancer type have been confirmed and validated by use of a metabolomic approach and other clinical modalities. Here, we report a metabolomics study to identify potential metabolite biomarkers of colorectal cancer with potential theranostic value. Experimental Design: Gas chromatography-time-of-flight mass spectrometry (GC-TOFMS)-based metabolomics was used to analyze 376 surgical specimens, which were collected from four independent cohorts of patients with colorectal cancer at three hospitals located in China and City of Hope Comprehensive Cancer Center in the United States. Differential metabolites were identified and evaluated as potential prognostic markers. A targeted transcriptomic analysis of 29 colorectal cancer and 27 adjacent nontumor tissues was applied to analyze the gene expression levels for key enzymes associated with these shared metabolites. Results: A panel of 15 significantly altered metabolites was identified, which demonstrates the ability to predict the rate of recurrence and survival for patients after surgery and chemotherapy. The targeted transcriptomic analysis suggests that the differential expression of these metabolites is due to robust metabolic adaptations in cancer cells to increased oxidative stress as well as demand for energy, and macromolecular substrates for cell growth and proliferation. Conclusions: These patients with colorectal cancer, despite their varied genetic background, mutations, pathologic stages, and geographic locations, shared a metabolic signature that is of great prognostic and therapeutic potential. © 2014 AACR.","author":[{"dropping-particle":"","family":"Y.","given":"Qiu","non-dropping-particle":"","parse-names":false,"suffix":""},{"dropping-particle":"","family":"G.","given":"Cai","non-dropping-particle":"","parse-names":false,"suffix":""},{"dropping-particle":"","family":"B.","given":"Zhou","non-dropping-particle":"","parse-names":false,"suffix":""},{"dropping-particle":"","family":"D.","given":"Li","non-dropping-particle":"","parse-names":false,"suffix":""},{"dropping-particle":"","family":"A.","given":"Zhao","non-dropping-particle":"","parse-names":false,"suffix":""},{"dropping-particle":"","family":"G.","given":"Xie","non-dropping-particle":"","parse-names":false,"suffix":""},{"dropping-particle":"","family":"H.","given":"Li","non-dropping-particle":"","parse-names":false,"suffix":""},{"dropping-particle":"","family":"S.","given":"Cai","non-dropping-particle":"","parse-names":false,"suffix":""},{"dropping-particle":"","family":"D.","given":"Xie","non-dropping-particle":"","parse-names":false,"suffix":""},{"dropping-particle":"","family":"C.","given":"Huang","non-dropping-particle":"","parse-names":false,"suffix":""},{"dropping-particle":"","family":"W.","given":"Ge","non-dropping-particle":"","parse-names":false,"suffix":""},{"dropping-particle":"","family":"Z.","given":"Zhou","non-dropping-particle":"","parse-names":false,"suffix":""},{"dropping-particle":"","family":"L.X.","given":"Xu","non-dropping-particle":"","parse-names":false,"suffix":""},{"dropping-particle":"","family":"W.","given":"Jia","non-dropping-particle":"","parse-names":false,"suffix":""},{"dropping-particle":"","family":"S.","given":"Zheng","non-dropping-particle":"","parse-names":false,"suffix":""},{"dropping-particle":"","family":"Y.","given":"Yen","non-dropping-particle":"","parse-names":false,"suffix":""},{"dropping-particle":"","family":"W.","given":"Jia","non-dropping-particle":"","parse-names":false,"suffix":""},{"dropping-particle":"","family":"Qiu","given":"Yunping","non-dropping-particle":"","parse-names":false,"suffix":""},{"dropping-particle":"","family":"Cai","given":"Guoxiang","non-dropping-particle":"","parse-names":false,"suffix":""},{"dropping-particle":"","family":"Zhou","given":"Bingsen","non-dropping-particle":"","parse-names":false,"suffix":""},{"dropping-particle":"","family":"Li","given":"Dan","non-dropping-particle":"","parse-names":false,"suffix":""},{"dropping-particle":"","family":"Zhao","given":"Aihua","non-dropping-particle":"","parse-names":false,"suffix":""},{"dropping-particle":"","family":"Xie","given":"Guoxiang","non-dropping-particle":"","parse-names":false,"suffix":""},{"dropping-particle":"","family":"Li","given":"Houkai","non-dropping-particle":"","parse-names":false,"suffix":""},{"dropping-particle":"","family":"Cai","given":"Sanjun","non-dropping-particle":"","parse-names":false,"suffix":""},{"dropping-particle":"","family":"Xie","given":"Dong","non-dropping-particle":"","parse-names":false,"suffix":""},{"dropping-particle":"","family":"Huang","given":"Changzhi","non-dropping-particle":"","parse-names":false,"suffix":""},{"dropping-particle":"","family":"Ge","given":"Weiting","non-dropping-particle":"","parse-names":false,"suffix":""},{"dropping-particle":"","family":"Zhou","given":"Zhanxiang","non-dropping-particle":"","parse-names":false,"suffix":""},{"dropping-particle":"","family":"Xu","given":"Lisa X","non-dropping-particle":"","parse-names":false,"suffix":""},{"dropping-particle":"","family":"Jia","given":"Weiping","non-dropping-particle":"","parse-names":false,"suffix":""},{"dropping-particle":"","family":"Zheng","given":"Shu","non-dropping-particle":"","parse-names":false,"suffix":""},{"dropping-particle":"","family":"Yen","given":"Yun","non-dropping-particle":"","parse-names":false,"suffix":""},{"dropping-particle":"","family":"Jia","given":"Weiping","non-dropping-particle":"","parse-names":false,"suffix":""}],"container-title":"Clinical Cancer Research","id":"ITEM-1","issue":"8","issued":{"date-parts":[["2014"]]},"page":"2136-2146","title":"A distinct metabolic signature of human colorectal cancer with prognostic potential","type":"article-journal","volume":"20"},"uris":["http://www.mendeley.com/documents/?uuid=165e446f-4f94-3b51-8478-a61cebb00744"]}],"mendeley":{"formattedCitation":"[57]","plainTextFormattedCitation":"[57]","previouslyFormattedCitation":"[57]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[57]</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lysophosphatidylcholine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{"citationItems":[{"id":"ITEM-1","itemData":{"DOI":"10.1158/1078-0432.CCR-13-1939 LK  - http://resolver.ebscohost.com/openurl?sid=EMBASE&amp;issn=15573265&amp;id=doi:10.1158%2F1078-0432.CCR-13-1939&amp;atitle=A+distinct+metabolic+signature+of+human+colorectal+cancer+with+prognostic+potential&amp;stitle=Clin.+Cancer+Res.&amp;title=Clinical+Cancer+Research&amp;volume=20&amp;issue=8&amp;spage=2136&amp;epage=2146&amp;aulast=Qiu&amp;aufirst=Yunping&amp;auinit=Y.&amp;aufull=Qiu+Y.&amp;coden=CCREF&amp;isbn=&amp;pages=2136-2146&amp;date=2014&amp;auinit1=Y&amp;auinitm=","ISSN":"1557-3265","PMID":"24526730","abstract":"Purpose: Metabolic phenotyping has provided important biomarker findings, which, unfortunately, are rarely replicated across different sample sets due to the variations from different analytical and clinical protocols used in the studies. To date, very few metabolic hallmarks in a given cancer type have been confirmed and validated by use of a metabolomic approach and other clinical modalities. Here, we report a metabolomics study to identify potential metabolite biomarkers of colorectal cancer with potential theranostic value. Experimental Design: Gas chromatography-time-of-flight mass spectrometry (GC-TOFMS)-based metabolomics was used to analyze 376 surgical specimens, which were collected from four independent cohorts of patients with colorectal cancer at three hospitals located in China and City of Hope Comprehensive Cancer Center in the United States. Differential metabolites were identified and evaluated as potential prognostic markers. A targeted transcriptomic analysis of 29 colorectal cancer and 27 adjacent nontumor tissues was applied to analyze the gene expression levels for key enzymes associated with these shared metabolites. Results: A panel of 15 significantly altered metabolites was identified, which demonstrates the ability to predict the rate of recurrence and survival for patients after surgery and chemotherapy. The targeted transcriptomic analysis suggests that the differential expression of these metabolites is due to robust metabolic adaptations in cancer cells to increased oxidative stress as well as demand for energy, and macromolecular substrates for cell growth and proliferation. Conclusions: These patients with colorectal cancer, despite their varied genetic background, mutations, pathologic stages, and geographic locations, shared a metabolic signature that is of great prognostic and therapeutic potential. © 2014 AACR.","author":[{"dropping-particle":"","family":"Y.","given":"Qiu","non-dropping-particle":"","parse-names":false,"suffix":""},{"dropping-particle":"","family":"G.","given":"Cai","non-dropping-particle":"","parse-names":false,"suffix":""},{"dropping-particle":"","family":"B.","given":"Zhou","non-dropping-particle":"","parse-names":false,"suffix":""},{"dropping-particle":"","family":"D.","given":"Li","non-dropping-particle":"","parse-names":false,"suffix":""},{"dropping-particle":"","family":"A.","given":"Zhao","non-dropping-particle":"","parse-names":false,"suffix":""},{"dropping-particle":"","family":"G.","given":"Xie","non-dropping-particle":"","parse-names":false,"suffix":""},{"dropping-particle":"","family":"H.","given":"Li","non-dropping-particle":"","parse-names":false,"suffix":""},{"dropping-particle":"","family":"S.","given":"Cai","non-dropping-particle":"","parse-names":false,"suffix":""},{"dropping-particle":"","family":"D.","given":"Xie","non-dropping-particle":"","parse-names":false,"suffix":""},{"dropping-particle":"","family":"C.","given":"Huang","non-dropping-particle":"","parse-names":false,"suffix":""},{"dropping-particle":"","family":"W.","given":"Ge","non-dropping-particle":"","parse-names":false,"suffix":""},{"dropping-particle":"","family":"Z.","given":"Zhou","non-dropping-particle":"","parse-names":false,"suffix":""},{"dropping-particle":"","family":"L.X.","given":"Xu","non-dropping-particle":"","parse-names":false,"suffix":""},{"dropping-particle":"","family":"W.","given":"Jia","non-dropping-particle":"","parse-names":false,"suffix":""},{"dropping-particle":"","family":"S.","given":"Zheng","non-dropping-particle":"","parse-names":false,"suffix":""},{"dropping-particle":"","family":"Y.","given":"Yen","non-dropping-particle":"","parse-names":false,"suffix":""},{"dropping-particle":"","family":"W.","given":"Jia","non-dropping-particle":"","parse-names":false,"suffix":""},{"dropping-particle":"","family":"Qiu","given":"Yunping","non-dropping-particle":"","parse-names":false,"suffix":""},{"dropping-particle":"","family":"Cai","given":"Guoxiang","non-dropping-particle":"","parse-names":false,"suffix":""},{"dropping-particle":"","family":"Zhou","given":"Bingsen","non-dropping-particle":"","parse-names":false,"suffix":""},{"dropping-particle":"","family":"Li","given":"Dan","non-dropping-particle":"","parse-names":false,"suffix":""},{"dropping-particle":"","family":"Zhao","given":"Aihua","non-dropping-particle":"","parse-names":false,"suffix":""},{"dropping-particle":"","family":"Xie","given":"Guoxiang","non-dropping-particle":"","parse-names":false,"suffix":""},{"dropping-particle":"","family":"Li","given":"Houkai","non-dropping-particle":"","parse-names":false,"suffix":""},{"dropping-particle":"","family":"Cai","given":"Sanjun","non-dropping-particle":"","parse-names":false,"suffix":""},{"dropping-particle":"","family":"Xie","given":"Dong","non-dropping-particle":"","parse-names":false,"suffix":""},{"dropping-particle":"","family":"Huang","given":"Changzhi","non-dropping-particle":"","parse-names":false,"suffix":""},{"dropping-particle":"","family":"Ge","given":"Weiting","non-dropping-particle":"","parse-names":false,"suffix":""},{"dropping-particle":"","family":"Zhou","given":"Zhanxiang","non-dropping-particle":"","parse-names":false,"suffix":""},{"dropping-particle":"","family":"Xu","given":"Lisa X","non-dropping-particle":"","parse-names":false,"suffix":""},{"dropping-particle":"","family":"Jia","given":"Weiping","non-dropping-particle":"","parse-names":false,"suffix":""},{"dropping-particle":"","family":"Zheng","given":"Shu","non-dropping-particle":"","parse-names":false,"suffix":""},{"dropping-particle":"","family":"Yen","given":"Yun","non-dropping-particle":"","parse-names":false,"suffix":""},{"dropping-particle":"","family":"Jia","given":"Weiping","non-dropping-particle":"","parse-names":false,"suffix":""}],"container-title":"Clinical Cancer Research","id":"ITEM-1","issue":"8","issued":{"date-parts":[["2014"]]},"page":"2136-2146","title":"A distinct metabolic signature of human colorectal cancer with prognostic potential","type":"article-journal","volume":"20"},"uris":["http://www.mendeley.com/documents/?uuid=165e446f-4f94-3b51-8478-a61cebb00744"]}],"mendeley":{"formattedCitation":"[57]","plainTextFormattedCitation":"[57]","previouslyFormattedCitation":"[57]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[57]</w:t>
            </w:r>
            <w:r w:rsidRPr="00DF6C69">
              <w:rPr>
                <w:rFonts w:cs="Times New Roman"/>
                <w:sz w:val="18"/>
                <w:szCs w:val="18"/>
              </w:rPr>
              <w:fldChar w:fldCharType="end"/>
            </w:r>
          </w:p>
        </w:tc>
      </w:tr>
      <w:tr w:rsidR="00521E89" w:rsidRPr="00DF6C69" w14:paraId="48E29332" w14:textId="77777777" w:rsidTr="000765CF">
        <w:trPr>
          <w:trHeight w:val="568"/>
        </w:trPr>
        <w:tc>
          <w:tcPr>
            <w:tcW w:w="1418" w:type="dxa"/>
            <w:vMerge w:val="restart"/>
            <w:shd w:val="clear" w:color="auto" w:fill="FFF2CC" w:themeFill="accent4" w:themeFillTint="33"/>
            <w:vAlign w:val="center"/>
          </w:tcPr>
          <w:p w14:paraId="3A2FC270" w14:textId="77777777" w:rsidR="00521E89" w:rsidRPr="00DF6C69" w:rsidRDefault="00521E89" w:rsidP="000765CF">
            <w:pPr>
              <w:rPr>
                <w:rFonts w:cs="Times New Roman"/>
                <w:b/>
                <w:sz w:val="18"/>
                <w:szCs w:val="18"/>
              </w:rPr>
            </w:pPr>
            <w:r w:rsidRPr="00DF6C69">
              <w:rPr>
                <w:rFonts w:cs="Times New Roman"/>
                <w:b/>
                <w:sz w:val="18"/>
                <w:szCs w:val="18"/>
              </w:rPr>
              <w:t>Lung</w:t>
            </w:r>
          </w:p>
          <w:p w14:paraId="55430B24" w14:textId="77777777" w:rsidR="00521E89" w:rsidRPr="00DF6C69" w:rsidRDefault="00521E89" w:rsidP="000765CF">
            <w:pPr>
              <w:rPr>
                <w:rFonts w:cs="Times New Roman"/>
                <w:b/>
                <w:sz w:val="18"/>
                <w:szCs w:val="18"/>
              </w:rPr>
            </w:pPr>
          </w:p>
        </w:tc>
        <w:tc>
          <w:tcPr>
            <w:tcW w:w="993" w:type="dxa"/>
            <w:vAlign w:val="center"/>
          </w:tcPr>
          <w:p w14:paraId="080F56B9" w14:textId="77777777" w:rsidR="00521E89" w:rsidRPr="00DF6C69" w:rsidRDefault="00521E89" w:rsidP="000765CF">
            <w:pPr>
              <w:rPr>
                <w:rFonts w:cs="Times New Roman"/>
                <w:sz w:val="18"/>
                <w:szCs w:val="18"/>
              </w:rPr>
            </w:pPr>
            <w:r w:rsidRPr="00DF6C69">
              <w:rPr>
                <w:rFonts w:cs="Times New Roman"/>
                <w:sz w:val="18"/>
                <w:szCs w:val="18"/>
              </w:rPr>
              <w:t>Serum*</w:t>
            </w:r>
          </w:p>
        </w:tc>
        <w:tc>
          <w:tcPr>
            <w:tcW w:w="6945" w:type="dxa"/>
            <w:vAlign w:val="center"/>
          </w:tcPr>
          <w:p w14:paraId="4F7EA73C" w14:textId="5BFED2F2" w:rsidR="00521E89" w:rsidRPr="00DF6C69" w:rsidRDefault="00521E89" w:rsidP="000765CF">
            <w:pPr>
              <w:rPr>
                <w:rFonts w:cs="Times New Roman"/>
                <w:sz w:val="18"/>
                <w:szCs w:val="18"/>
              </w:rPr>
            </w:pPr>
            <w:r w:rsidRPr="00DF6C69">
              <w:rPr>
                <w:rFonts w:cs="Times New Roman"/>
                <w:sz w:val="18"/>
                <w:szCs w:val="18"/>
              </w:rPr>
              <w:t xml:space="preserve">6-diaminopimelate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{"citationItems":[{"id":"ITEM-1","itemData":{"ISSN":"17906245","PMID":"24136976","abstract":"Background: No reliable clinical markers to diagnose early stage-disease and predict its prognosis have yet been found for squamous cell carcinoma of the head and neck (HNSCC). Materials and Methods: In the present study, the metabolomic analysis of serum and tissue samples obtained from patients with HNSCC was performed using gas chromatography/mass spectrometry. Results: In serum, levels of several metabolites related to the glycolytic pathway, such as glucose, were higher in patients with HNSCC, and the levels of several amino acids were lower. In contrast to sera, the levels of many metabolites related to the glycolytic pathway appeared to be lower in tumor tissues of HNSCC than in non-tumorous tissues, and the levels of several amino acids, such as valine, thyrosine, serine and methionine, were higher. Conclusion: Our results demonstrate that changes in metabolite patterns are useful in assessing the clinical characteristics of HNSCC, and will hopefully lead to the establishment of novel diagnostic tools.","author":[{"dropping-particle":"","family":"Yonezawa","given":"Koichiro","non-dropping-particle":"","parse-names":false,"suffix":""},{"dropping-particle":"","family":"Nishiumii","given":"Shin","non-dropping-particle":"","parse-names":false,"suffix":""},{"dropping-particle":"","family":"Kitamoto-Matsuda","given":"Junko","non-dropping-particle":"","parse-names":false,"suffix":""},{"dropping-particle":"","family":"Fujita","given":"Takeshi","non-dropping-particle":"","parse-names":false,"suffix":""},{"dropping-particle":"","family":"Morimoto","given":"Koichi","non-dropping-particle":"","parse-names":false,"suffix":""},{"dropping-particle":"","family":"Yamashita","given":"Daisuke","non-dropping-particle":"","parse-names":false,"suffix":""},{"dropping-particle":"","family":"Saito","given":"Miki","non-dropping-particle":"","parse-names":false,"suffix":""},{"dropping-particle":"","family":"Otsuki","given":"Naoki","non-dropping-particle":"","parse-names":false,"suffix":""},{"dropping-particle":"","family":"Irino","given":"Yasuhiro","non-dropping-particle":"","parse-names":false,"suffix":""},{"dropping-particle":"","family":"Shinohara","given":"Masakazu","non-dropping-particle":"","parse-names":false,"suffix":""},{"dropping-particle":"","family":"Yoshida","given":"Masaru","non-dropping-particle":"","parse-names":false,"suffix":""},{"dropping-particle":"","family":"Nibu","given":"Ken Ichi","non-dropping-particle":"","parse-names":false,"suffix":""}],"container-title":"Cancer Genomics and Proteomics","id":"ITEM-1","issue":"5","issued":{"date-parts":[["2013"]]},"page":"233-238","publisher":"International Institute of Anticancer Research","title":"Serum and tissue metabolomics of head and neck cancer","type":"article-journal","volume":"10"},"uris":["http://www.mendeley.com/documents/?uuid=498db150-f62d-30d6-bc83-420f1e0f209a"]}],"mendeley":{"formattedCitation":"[58]","plainTextFormattedCitation":"[58]","previouslyFormattedCitation":"[58]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[58]</w:t>
            </w:r>
            <w:r w:rsidRPr="00DF6C69">
              <w:rPr>
                <w:rFonts w:cs="Times New Roman"/>
                <w:sz w:val="18"/>
                <w:szCs w:val="18"/>
              </w:rPr>
              <w:fldChar w:fldCharType="end"/>
            </w:r>
            <w:r w:rsidRPr="00DF6C69">
              <w:rPr>
                <w:rFonts w:cs="Times New Roman"/>
                <w:sz w:val="18"/>
                <w:szCs w:val="18"/>
              </w:rPr>
              <w:t xml:space="preserve">, cholesteryl acetate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{"citationItems":[{"id":"ITEM-1","itemData":{"ISSN":"17906245","PMID":"24136976","abstract":"Background: No reliable clinical markers to diagnose early stage-disease and predict its prognosis have yet been found for squamous cell carcinoma of the head and neck (HNSCC). Materials and Methods: In the present study, the metabolomic analysis of serum and tissue samples obtained from patients with HNSCC was performed using gas chromatography/mass spectrometry. Results: In serum, levels of several metabolites related to the glycolytic pathway, such as glucose, were higher in patients with HNSCC, and the levels of several amino acids were lower. In contrast to sera, the levels of many metabolites related to the glycolytic pathway appeared to be lower in tumor tissues of HNSCC than in non-tumorous tissues, and the levels of several amino acids, such as valine, thyrosine, serine and methionine, were higher. Conclusion: Our results demonstrate that changes in metabolite patterns are useful in assessing the clinical characteristics of HNSCC, and will hopefully lead to the establishment of novel diagnostic tools.","author":[{"dropping-particle":"","family":"Yonezawa","given":"Koichiro","non-dropping-particle":"","parse-names":false,"suffix":""},{"dropping-particle":"","family":"Nishiumii","given":"Shin","non-dropping-particle":"","parse-names":false,"suffix":""},{"dropping-particle":"","family":"Kitamoto-Matsuda","given":"Junko","non-dropping-particle":"","parse-names":false,"suffix":""},{"dropping-particle":"","family":"Fujita","given":"Takeshi","non-dropping-particle":"","parse-names":false,"suffix":""},{"dropping-particle":"","family":"Morimoto","given":"Koichi","non-dropping-particle":"","parse-names":false,"suffix":""},{"dropping-particle":"","family":"Yamashita","given":"Daisuke","non-dropping-particle":"","parse-names":false,"suffix":""},{"dropping-particle":"","family":"Saito","given":"Miki","non-dropping-particle":"","parse-names":false,"suffix":""},{"dropping-particle":"","family":"Otsuki","given":"Naoki","non-dropping-particle":"","parse-names":false,"suffix":""},{"dropping-particle":"","family":"Irino","given":"Yasuhiro","non-dropping-particle":"","parse-names":false,"suffix":""},{"dropping-particle":"","family":"Shinohara","given":"Masakazu","non-dropping-particle":"","parse-names":false,"suffix":""},{"dropping-particle":"","family":"Yoshida","given":"Masaru","non-dropping-particle":"","parse-names":false,"suffix":""},{"dropping-particle":"","family":"Nibu","given":"Ken Ichi","non-dropping-particle":"","parse-names":false,"suffix":""}],"container-title":"Cancer Genomics and Proteomics","id":"ITEM-1","issue":"5","issued":{"date-parts":[["2013"]]},"page":"233-238","publisher":"International Institute of Anticancer Research","title":"Serum and tissue metabolomics of head and neck cancer","type":"article-journal","volume":"10"},"uris":["http://www.mendeley.com/documents/?uuid=498db150-f62d-30d6-bc83-420f1e0f209a"]}],"mendeley":{"formattedCitation":"[58]","plainTextFormattedCitation":"[58]","previouslyFormattedCitation":"[58]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[58]</w:t>
            </w:r>
            <w:r w:rsidRPr="00DF6C69">
              <w:rPr>
                <w:rFonts w:cs="Times New Roman"/>
                <w:sz w:val="18"/>
                <w:szCs w:val="18"/>
              </w:rPr>
              <w:fldChar w:fldCharType="end"/>
            </w:r>
            <w:r w:rsidRPr="00DF6C69">
              <w:rPr>
                <w:rFonts w:cs="Times New Roman"/>
                <w:sz w:val="18"/>
                <w:szCs w:val="18"/>
              </w:rPr>
              <w:t xml:space="preserve">, 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{"citationItems":[{"id":"ITEM-1","itemData":{"DOI":"10.1039/c3mb70138g","ISSN":"17422051","abstract":"Globally lung cancer is common among males and recently also noted with increasing incidences in females, especially adenocarcinoma. Further, most lung cancers are not easily detected until the late stage. Metabolic profiling of plasma low molecular weight metabolites may help unveil the complex pathophysiological changes during early lung adenocarcinoma development. Here we used a combination of gas chromatography-mass spectrometry (GC-MS) and liquid chromatography-mass spectrometry (LC-MS) methods to investigate the metabolic signatures in the plasma of 31 stage I human lung adenocarcinoma patients and 28 healthy controls. The metabolic profiles were assayed using orthogonal projections to latent structures discriminant analysis (OPLS-DA), and were further analyzed to identify the associated marker metabolites. The OPLS-DA models derived from both GC-MS and LC-MS showed significant discriminations in metabolic profiles between cases and healthy controls. It was found that around 37 metabolites contributed to the differences. The alterations of these metabolites implied disturbances in amino acids, lipids, fatty acids and glutaminolysis metabolism in human lung adenocarcinoma, even after removal of influencing factors such as age, gender and smoking habits. Of particular interest, the sex hormone metabolic pathway involving the sulfate conjugate of testosterone, androsterone and pregnenolone was found to be disturbed considerably. All these metabolic perturbations occur at an early stage of lung adenocarcinoma and thus could act as biomarkers for its early diagnosis. These exploratory findings suggest that integration of two sensitive and complementary metabolomic approaches enables a comprehensive metabolite profiling for human lung adenocarcinoma, although a more extensive study is needed to confirm the findings. © 2013 The Royal Society of Chemistry.","author":[{"dropping-particle":"","family":"Wen","given":"Tao","non-dropping-particle":"","parse-names":false,"suffix":""},{"dropping-particle":"","family":"Gao","given":"Liang","non-dropping-particle":"","parse-names":false,"suffix":""},{"dropping-particle":"","family":"Wen","given":"Zongmei","non-dropping-particle":"","parse-names":false,"suffix":""},{"dropping-particle":"","family":"Wu","given":"Chunyan","non-dropping-particle":"","parse-names":false,"suffix":""},{"dropping-particle":"","family":"Tan","given":"Chuen Seng","non-dropping-particle":"","parse-names":false,"suffix":""},{"dropping-particle":"","family":"Toh","given":"Wei Zhong","non-dropping-particle":"","parse-names":false,"suffix":""},{"dropping-particle":"","family":"Ong","given":"Choon Nam","non-dropping-particle":"","parse-names":false,"suffix":""}],"container-title":"Molecular BioSystems","id":"ITEM-1","issue":"9","issued":{"date-parts":[["2013"]]},"page":"2370-2378","publisher":"Royal Society of Chemistry","title":"Exploratory investigation of plasma metabolomics in human lung adenocarcinoma","type":"article-journal","volume":"9"},"uris":["http://www.mendeley.com/documents/?uuid=e7b9a547-5c95-3b87-aa0a-5f3401285c1a"]}],"mendeley":{"formattedCitation":"[59]","plainTextFormattedCitation":"[59]","previouslyFormattedCitation":"[59]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[59]</w:t>
            </w:r>
            <w:r w:rsidRPr="00DF6C69">
              <w:rPr>
                <w:rFonts w:cs="Times New Roman"/>
                <w:sz w:val="18"/>
                <w:szCs w:val="18"/>
              </w:rPr>
              <w:fldChar w:fldCharType="end"/>
            </w:r>
            <w:r w:rsidRPr="00DF6C69">
              <w:rPr>
                <w:rFonts w:cs="Times New Roman"/>
                <w:sz w:val="18"/>
                <w:szCs w:val="18"/>
              </w:rPr>
              <w:t xml:space="preserve">, fatty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{"citationItems":[{"id":"ITEM-1","itemData":{"DOI":"10.1016/j.cca.2012.08.010","ISSN":"18733492","abstract":"Background There are no effective clinical biomarkers for early and specific detection of lung cancer (LC). The changes in the levels of some serum metabolites of LC patients are associated with patient gender and LC stages. Methods Serum metabolites of the LC patients (n = 58) and healthy controls (n = 495) were performed using direct-infusion positive ion electrospray ionization-Fourier transform ion cyclotron resonance mass spectrometry in combination with univariate and partial least squares discriminant analyses (PLS-DA). Results Univariate analysis indicated that 141 of the 212 serum metabolites were significantly changed in the LC patients compared with healthy controls. PLS-DA model, based on the 141 metabolites, demonstrated the differential metabolite distribution in single-sex LC patients compared with the corresponding healthy controls, and also in LC females compared with LC males. Several lipids comprising fatty acid derivations, sphingomyelin (SM) and lysophosphatidylcholine (LPC) were associated with the LC progression. Classification using oleamide, long chain acyl carnitines, LPC(18:1), LPC(20:4), LPC(20:3), LPC(22:6), and SM(16:0/1) as a biomarker panel resulted in remarkable separation between the LC patients and healthy controls with sensitivity and specificity of 100% and 91%, respectively. Conclusion The serum metabolites found in this study may play essential roles in gender-specific LC detection and early diagnosis of cancer.","author":[{"dropping-particle":"","family":"Guo","given":"Yumei","non-dropping-particle":"","parse-names":false,"suffix":""},{"dropping-particle":"","family":"Wang","given":"Xianmin","non-dropping-particle":"","parse-names":false,"suffix":""},{"dropping-particle":"","family":"Qiu","given":"Ling","non-dropping-particle":"","parse-names":false,"suffix":""},{"dropping-particle":"","family":"Qin","given":"Xuzhen","non-dropping-particle":"","parse-names":false,"suffix":""},{"dropping-particle":"","family":"Liu","given":"Hui","non-dropping-particle":"","parse-names":false,"suffix":""},{"dropping-particle":"","family":"Wang","given":"Yanying","non-dropping-particle":"","parse-names":false,"suffix":""},{"dropping-particle":"","family":"Li","given":"Fang","non-dropping-particle":"","parse-names":false,"suffix":""},{"dropping-particle":"","family":"Wang","given":"Xiaodong","non-dropping-particle":"","parse-names":false,"suffix":""},{"dropping-particle":"","family":"Chen","given":"Guoqiang","non-dropping-particle":"","parse-names":false,"suffix":""},{"dropping-particle":"","family":"Song","given":"Gaoguang","non-dropping-particle":"","parse-names":false,"suffix":""},{"dropping-particle":"","family":"Li","given":"Fenjie","non-dropping-particle":"","parse-names":false,"suffix":""},{"dropping-particle":"","family":"Guo","given":"Shuai","non-dropping-particle":"","parse-names":false,"suffix":""},{"dropping-particle":"","family":"Li","given":"Zhili","non-dropping-particle":"","parse-names":false,"suffix":""}],"container-title":"Clinica Chimica Acta","id":"ITEM-1","issued":{"date-parts":[["2012","12","24"]]},"page":"135-141","publisher":"Elsevier B.V.","title":"Probing gender-specific lipid metabolites and diagnostic biomarkers for lung cancer using Fourier transform ion cyclotron resonance mass spectrometry","type":"article-journal","volume":"414"},"uris":["http://www.mendeley.com/documents/?uuid=88de1db9-32b6-3d70-8703-c0d8c85aeebd"]},{"id":"ITEM-2","itemData":{"DOI":"10.1039/c3mb70138g","ISSN":"17422051","abstract":"Globally lung cancer is common among males and recently also noted with increasing incidences in females, especially adenocarcinoma. Further, most lung cancers are not easily detected until the late stage. Metabolic profiling of plasma low molecular weight metabolites may help unveil the complex pathophysiological changes during early lung adenocarcinoma development. Here we used a combination of gas chromatography-mass spectrometry (GC-MS) and liquid chromatography-mass spectrometry (LC-MS) methods to investigate the metabolic signatures in the plasma of 31 stage I human lung adenocarcinoma patients and 28 healthy controls. The metabolic profiles were assayed using orthogonal projections to latent structures discriminant analysis (OPLS-DA), and were further analyzed to identify the associated marker metabolites. The OPLS-DA models derived from both GC-MS and LC-MS showed significant discriminations in metabolic profiles between cases and healthy controls. It was found that around 37 metabolites contributed to the differences. The alterations of these metabolites implied disturbances in amino acids, lipids, fatty acids and glutaminolysis metabolism in human lung adenocarcinoma, even after removal of influencing factors such as age, gender and smoking habits. Of particular interest, the sex hormone metabolic pathway involving the sulfate conjugate of testosterone, androsterone and pregnenolone was found to be disturbed considerably. All these metabolic perturbations occur at an early stage of lung adenocarcinoma and thus could act as biomarkers for its early diagnosis. These exploratory findings suggest that integration of two sensitive and complementary metabolomic approaches enables a comprehensive metabolite profiling for human lung adenocarcinoma, although a more extensive study is needed to confirm the findings. © 2013 The Royal Society of Chemistry.","author":[{"dropping-particle":"","family":"Wen","given":"Tao","non-dropping-particle":"","parse-names":false,"suffix":""},{"dropping-particle":"","family":"Gao","given":"Liang","non-dropping-particle":"","parse-names":false,"suffix":""},{"dropping-particle":"","family":"Wen","given":"Zongmei","non-dropping-particle":"","parse-names":false,"suffix":""},{"dropping-particle":"","family":"Wu","given":"Chunyan","non-dropping-particle":"","parse-names":false,"suffix":""},{"dropping-particle":"","family":"Tan","given":"Chuen Seng","non-dropping-particle":"","parse-names":false,"suffix":""},{"dropping-particle":"","family":"Toh","given":"Wei Zhong","non-dropping-particle":"","parse-names":false,"suffix":""},{"dropping-particle":"","family":"Ong","given":"Choon Nam","non-dropping-particle":"","parse-names":false,"suffix":""}],"container-title":"Molecular BioSystems","id":"ITEM-2","issue":"9","issued":{"date-parts":[["2013"]]},"page":"2370-2378","publisher":"Royal Society of Chemistry","title":"Exploratory investigation of plasma metabolomics in human lung adenocarcinoma","type":"article-journal","volume":"9"},"uris":["http://www.mendeley.com/documents/?uuid=e7b9a547-5c95-3b87-aa0a-5f3401285c1a"]}],"mendeley":{"formattedCitation":"[59], [60]","plainTextFormattedCitation":"[59], [60]","previouslyFormattedCitation":"[59], [60]"},"properties":{"noteIndex":0},"schema":"https://github.com/citation-style-language/schema/raw/master/csl-citation.json"}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[59], [60]</w:t>
            </w:r>
            <w:r w:rsidRPr="00DF6C69">
              <w:rPr>
                <w:rFonts w:cs="Times New Roman"/>
                <w:sz w:val="18"/>
                <w:szCs w:val="18"/>
              </w:rPr>
              <w:fldChar w:fldCharType="end"/>
            </w:r>
            <w:r w:rsidRPr="00DF6C69">
              <w:rPr>
                <w:rFonts w:cs="Times New Roman"/>
                <w:sz w:val="18"/>
                <w:szCs w:val="18"/>
              </w:rPr>
              <w:t xml:space="preserve">, glutamine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{"citationItems":[{"id":"ITEM-1","itemData":{"DOI":"10.3390/metabo3030539","ISSN":"2218-1989","abstract":"Solitary pulmonary nodule (SPN or coin lesion) is a mass in the lung and can be commonly found in chest X-rays or computerized tomography (CT) scans. However, despite the advancement of imaging technologies, it is still difficult to distinguish malignant cancer from benign SPNs. Here we investigated the metabolic profiling of patients with benign and malignant pulmonary nodules. A combination of gas chromatography/mass spectrometry (GC/MS) and liquid chromatography/mass spectrometry (LC/MS) was used to profile the plasma metabolites in 17 patients with malignant SPNs, 15 patients with benign SPNs and 20 healthy controls. The metabolic profiles were assayed using OPLS-DA, and further analyzed to identify marker metabolites related to diseases. Both GC/MS- and LC/MS-derived models showed clear discriminations in metabolic profiles among three groups. It was found that 63 metabolites (12 from GC/MS, 51 from LC/MS) contributed to the differences. Of these, 48 metabolites showed same change trend in both malignant and benign SPNs as compared with healthy controls, indicating some common pathways including inflammation and oxidative injury shared by two diseases. In contrast, 14 metabolites constituted distinct profiles that differentiated malignant from benign SPNs, which might be a unique biochemical feature associated with lung cancer. Overall, our data suggested that integration of two highly sensitive and complementary metabolomics platforms could enable a comprehensive metabolic profiling and assist in discrimination malignant from benign SPNs.","author":[{"dropping-particle":"","family":"Gao","given":"Liang","non-dropping-particle":"","parse-names":false,"suffix":""},{"dropping-particle":"","family":"Wen","given":"Zongmei","non-dropping-particle":"","parse-names":false,"suffix":""},{"dropping-particle":"","family":"Wu","given":"Chunyan","non-dropping-particle":"","parse-names":false,"suffix":""},{"dropping-particle":"","family":"Wen","given":"Tao","non-dropping-particle":"","parse-names":false,"suffix":""},{"dropping-particle":"","family":"Ong","given":"Choon","non-dropping-particle":"","parse-names":false,"suffix":""}],"container-title":"Metabolites","id":"ITEM-1","issue":"3","issued":{"date-parts":[["2013","7","4"]]},"page":"539-551","publisher":"MDPI AG","title":"Metabolic Profiling of Plasma from Benign and Malignant Pulmonary Nodules Patients Using Mass Spectrometry-Based Metabolomics","type":"article-journal","volume":"3"},"uris":["http://www.mendeley.com/documents/?uuid=c43731ae-b472-4c53-988b-e69644bbfa11"]}],"mendeley":{"formattedCitation":"[61]","plainTextFormattedCitation":"[61]","previouslyFormattedCitation":"[61]"},"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[61]</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lysophosphatidylcholine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{"citationItems":[{"id":"ITEM-1","itemData":{"ISSN":"17906245","PMID":"24136976","abstract":"Background: No reliable clinical markers to diagnose early stage-disease and predict its prognosis have yet been found for squamous cell carcinoma of the head and neck (HNSCC). Materials and Methods: In the present study, the metabolomic analysis of serum and tissue samples obtained from patients with HNSCC was performed using gas chromatography/mass spectrometry. Results: In serum, levels of several metabolites related to the glycolytic pathway, such as glucose, were higher in patients with HNSCC, and the levels of several amino acids were lower. In contrast to sera, the levels of many metabolites related to the glycolytic pathway appeared to be lower in tumor tissues of HNSCC than in non-tumorous tissues, and the levels of several amino acids, such as valine, thyrosine, serine and methionine, were higher. Conclusion: Our results demonstrate that changes in metabolite patterns are useful in assessing the clinical characteristics of HNSCC, and will hopefully lead to the establishment of novel diagnostic tools.","author":[{"dropping-particle":"","family":"Yonezawa","given":"Koichiro","non-dropping-particle":"","parse-names":false,"suffix":""},{"dropping-particle":"","family":"Nishiumii","given":"Shin","non-dropping-particle":"","parse-names":false,"suffix":""},{"dropping-particle":"","family":"Kitamoto-Matsuda","given":"Junko","non-dropping-particle":"","parse-names":false,"suffix":""},{"dropping-particle":"","family":"Fujita","given":"Takeshi","non-dropping-particle":"","parse-names":false,"suffix":""},{"dropping-particle":"","family":"Morimoto","given":"Koichi","non-dropping-particle":"","parse-names":false,"suffix":""},{"dropping-particle":"","family":"Yamashita","given":"Daisuke","non-dropping-particle":"","parse-names":false,"suffix":""},{"dropping-particle":"","family":"Saito","given":"Miki","non-dropping-particle":"","parse-names":false,"suffix":""},{"dropping-particle":"","family":"Otsuki","given":"Naoki","non-dropping-particle":"","parse-names":false,"suffix":""},{"dropping-particle":"","family":"Irino","given":"Yasuhiro","non-dropping-particle":"","parse-names":false,"suffix":""},{"dropping-particle":"","family":"Shinohara","given":"Masakazu","non-dropping-particle":"","parse-names":false,"suffix":""},{"dropping-particle":"","family":"Yoshida","given":"Masaru","non-dropping-particle":"","parse-names":false,"suffix":""},{"dropping-particle":"","family":"Nibu","given":"Ken Ichi","non-dropping-particle":"","parse-names":false,"suffix":""}],"container-title":"Cancer Genomics and Proteomics","id":"ITEM-1","issue":"5","issued":{"date-parts":[["2013"]]},"page":"233-238","publisher":"International Institute of Anticancer Research","title":"Serum and tissue metabolomics of head and neck cancer","type":"article-journal","volume":"10"},"uris":["http://www.mendeley.com/documents/?uuid=498db150-f62d-30d6-bc83-420f1e0f209a"]},{"id":"ITEM-2","itemData":{"DOI":"10.1016/j.cca.2012.08.010","ISSN":"18733492","abstract":"Background There are no effective clinical biomarkers for early and specific detection of lung cancer (LC). The changes in the levels of some serum metabolites of LC patients are associated with patient gender and LC stages. Methods Serum metabolites of the LC patients (n = 58) and healthy controls (n = 495) were performed using direct-infusion positive ion electrospray ionization-Fourier transform ion cyclotron resonance mass spectrometry in combination with univariate and partial least squares discriminant analyses (PLS-DA). Results Univariate analysis indicated that 141 of the 212 serum metabolites were significantly changed in the LC patients compared with healthy controls. PLS-DA model, based on the 141 metabolites, demonstrated the differential metabolite distribution in single-sex LC patients compared with the corresponding healthy controls, and also in LC females compared with LC males. Several lipids comprising fatty acid derivations, sphingomyelin (SM) and lysophosphatidylcholine (LPC) were associated with the LC progression. Classification using oleamide, long chain acyl carnitines, LPC(18:1), LPC(20:4), LPC(20:3), LPC(22:6), and SM(16:0/1) as a biomarker panel resulted in remarkable separation between the LC patients and healthy controls with sensitivity and specificity of 100% and 91%, respectively. Conclusion The serum metabolites found in this study may play essential roles in gender-specific LC detection and early diagnosis of cancer.","author":[{"dropping-particle":"","family":"Guo","given":"Yumei","non-dropping-particle":"","parse-names":false,"suffix":""},{"dropping-particle":"","family":"Wang","given":"Xianmin","non-dropping-particle":"","parse-names":false,"suffix":""},{"dropping-particle":"","family":"Qiu","given":"Ling","non-dropping-particle":"","parse-names":false,"suffix":""},{"dropping-particle":"","family":"Qin","given":"Xuzhen","non-dropping-particle":"","parse-names":false,"suffix":""},{"dropping-particle":"","family":"Liu","given":"Hui","non-dropping-particle":"","parse-names":false,"suffix":""},{"dropping-particle":"","family":"Wang","given":"Yanying","non-dropping-particle":"","parse-names":false,"suffix":""},{"dropping-particle":"","family":"Li","given":"Fang","non-dropping-particle":"","parse-names":false,"suffix":""},{"dropping-particle":"","family":"Wang","given":"Xiaodong","non-dropping-particle":"","parse-names":false,"suffix":""},{"dropping-particle":"","family":"Chen","given":"Guoqiang","non-dropping-particle":"","parse-names":false,"suffix":""},{"dropping-particle":"","family":"Song","given":"Gaoguang","non-dropping-particle":"","parse-names":false,"suffix":""},{"dropping-particle":"","family":"Li","given":"Fenjie","non-dropping-particle":"","parse-names":false,"suffix":""},{"dropping-particle":"","family":"Guo","given":"Shuai","non-dropping-particle":"","parse-names":false,"suffix":""},{"dropping-particle":"","family":"Li","given":"Zhili","non-dropping-particle":"","parse-names":false,"suffix":""}],"container-title":"Clinica Chimica Acta","id":"ITEM-2","issued":{"date-parts":[["2012","12","24"]]},"page":"135-141","publisher":"Elsevier B.V.","title":"Probing gender-specific lipid metabolites and diagnostic biomarkers for lung cancer using Fourier transform ion cyclotron resonance mass spectrometry","type":"article-journal","volume":"414"},"uris":["http://www.mendeley.com/documents/?uuid=88de1db9-32b6-3d70-8703-c0d8c85aeebd"]}],"mendeley":{"formattedCitation":"[58], [60]","plainTextFormattedCitation":"[58], [60]","previouslyFormattedCitation":"[58], [60]"},"properties":{"noteIndex":0},"schema":"https://github.com/citation-style-language/schema/raw/master/csl-citation.json"}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[58], [60]</w:t>
            </w:r>
            <w:r w:rsidRPr="00DF6C69">
              <w:rPr>
                <w:rFonts w:cs="Times New Roman"/>
                <w:sz w:val="18"/>
                <w:szCs w:val="18"/>
              </w:rPr>
              <w:fldChar w:fldCharType="end"/>
            </w:r>
            <w:r w:rsidRPr="00DF6C69">
              <w:rPr>
                <w:rFonts w:cs="Times New Roman"/>
                <w:sz w:val="18"/>
                <w:szCs w:val="18"/>
              </w:rPr>
              <w:t xml:space="preserve">, N-succinyl-2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{"citationItems":[{"id":"ITEM-1","itemData":{"ISSN":"17906245","PMID":"24136976","abstract":"Background: No reliable clinical markers to diagnose early stage-disease and predict its prognosis have yet been found for squamous cell carcinoma of the head and neck (HNSCC). Materials and Methods: In the present study, the metabolomic analysis of serum and tissue samples obtained from patients with HNSCC was performed using gas chromatography/mass spectrometry. Results: In serum, levels of several metabolites related to the glycolytic pathway, such as glucose, were higher in patients with HNSCC, and the levels of several amino acids were lower. In contrast to sera, the levels of many metabolites related to the glycolytic pathway appeared to be lower in tumor tissues of HNSCC than in non-tumorous tissues, and the levels of several amino acids, such as valine, thyrosine, serine and methionine, were higher. Conclusion: Our results demonstrate that changes in metabolite patterns are useful in assessing the clinical characteristics of HNSCC, and will hopefully lead to the establishment of novel diagnostic tools.","author":[{"dropping-particle":"","family":"Yonezawa","given":"Koichiro","non-dropping-particle":"","parse-names":false,"suffix":""},{"dropping-particle":"","family":"Nishiumii","given":"Shin","non-dropping-particle":"","parse-names":false,"suffix":""},{"dropping-particle":"","family":"Kitamoto-Matsuda","given":"Junko","non-dropping-particle":"","parse-names":false,"suffix":""},{"dropping-particle":"","family":"Fujita","given":"Takeshi","non-dropping-particle":"","parse-names":false,"suffix":""},{"dropping-particle":"","family":"Morimoto","given":"Koichi","non-dropping-particle":"","parse-names":false,"suffix":""},{"dropping-particle":"","family":"Yamashita","given":"Daisuke","non-dropping-particle":"","parse-names":false,"suffix":""},{"dropping-particle":"","family":"Saito","given":"Miki","non-dropping-particle":"","parse-names":false,"suffix":""},{"dropping-particle":"","family":"Otsuki","given":"Naoki","non-dropping-particle":"","parse-names":false,"suffix":""},{"dropping-particle":"","family":"Irino","given":"Yasuhiro","non-dropping-particle":"","parse-names":false,"suffix":""},{"dropping-particle":"","family":"Shinohara","given":"Masakazu","non-dropping-particle":"","parse-names":false,"suffix":""},{"dropping-particle":"","family":"Yoshida","given":"Masaru","non-dropping-particle":"","parse-names":false,"suffix":""},{"dropping-particle":"","family":"Nibu","given":"Ken Ichi","non-dropping-particle":"","parse-names":false,"suffix":""}],"container-title":"Cancer Genomics and Proteomics","id":"ITEM-1","issue":"5","issued":{"date-parts":[["2013"]]},"page":"233-238","publisher":"International Institute of Anticancer Research","title":"Serum and tissue metabolomics of head and neck cancer","type":"article-journal","volume":"10"},"uris":["http://www.mendeley.com/documents/?uuid=498db150-f62d-30d6-bc83-420f1e0f209a"]}],"mendeley":{"formattedCitation":"[58]","plainTextFormattedCitation":"[58]","previouslyFormattedCitation":"[58]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[58]</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octanoylcarnitine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{"citationItems":[{"id":"ITEM-1","itemData":{"ISSN":"17906245","PMID":"24136976","abstract":"Background: No reliable clinical markers to diagnose early stage-disease and predict its prognosis have yet been found for squamous cell carcinoma of the head and neck (HNSCC). Materials and Methods: In the present study, the metabolomic analysis of serum and tissue samples obtained from patients with HNSCC was performed using gas chromatography/mass spectrometry. Results: In serum, levels of several metabolites related to the glycolytic pathway, such as glucose, were higher in patients with HNSCC, and the levels of several amino acids were lower. In contrast to sera, the levels of many metabolites related to the glycolytic pathway appeared to be lower in tumor tissues of HNSCC than in non-tumorous tissues, and the levels of several amino acids, such as valine, thyrosine, serine and methionine, were higher. Conclusion: Our results demonstrate that changes in metabolite patterns are useful in assessing the clinical characteristics of HNSCC, and will hopefully lead to the establishment of novel diagnostic tools.","author":[{"dropping-particle":"","family":"Yonezawa","given":"Koichiro","non-dropping-particle":"","parse-names":false,"suffix":""},{"dropping-particle":"","family":"Nishiumii","given":"Shin","non-dropping-particle":"","parse-names":false,"suffix":""},{"dropping-particle":"","family":"Kitamoto-Matsuda","given":"Junko","non-dropping-particle":"","parse-names":false,"suffix":""},{"dropping-particle":"","family":"Fujita","given":"Takeshi","non-dropping-particle":"","parse-names":false,"suffix":""},{"dropping-particle":"","family":"Morimoto","given":"Koichi","non-dropping-particle":"","parse-names":false,"suffix":""},{"dropping-particle":"","family":"Yamashita","given":"Daisuke","non-dropping-particle":"","parse-names":false,"suffix":""},{"dropping-particle":"","family":"Saito","given":"Miki","non-dropping-particle":"","parse-names":false,"suffix":""},{"dropping-particle":"","family":"Otsuki","given":"Naoki","non-dropping-particle":"","parse-names":false,"suffix":""},{"dropping-particle":"","family":"Irino","given":"Yasuhiro","non-dropping-particle":"","parse-names":false,"suffix":""},{"dropping-particle":"","family":"Shinohara","given":"Masakazu","non-dropping-particle":"","parse-names":false,"suffix":""},{"dropping-particle":"","family":"Yoshida","given":"Masaru","non-dropping-particle":"","parse-names":false,"suffix":""},{"dropping-particle":"","family":"Nibu","given":"Ken Ichi","non-dropping-particle":"","parse-names":false,"suffix":""}],"container-title":"Cancer Genomics and Proteomics","id":"ITEM-1","issue":"5","issued":{"date-parts":[["2013"]]},"page":"233-238","publisher":"International Institute of Anticancer Research","title":"Serum and tissue metabolomics of head and neck cancer","type":"article-journal","volume":"10"},"uris":["http://www.mendeley.com/documents/?uuid=498db150-f62d-30d6-bc83-420f1e0f209a"]}],"mendeley":{"formattedCitation":"[58]","plainTextFormattedCitation":"[58]","previouslyFormattedCitation":"[58]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[58]</w:t>
            </w:r>
            <w:r w:rsidRPr="00DF6C69">
              <w:rPr>
                <w:rFonts w:cs="Times New Roman"/>
                <w:sz w:val="18"/>
                <w:szCs w:val="18"/>
              </w:rPr>
              <w:fldChar w:fldCharType="end"/>
            </w:r>
            <w:r w:rsidRPr="00DF6C69">
              <w:rPr>
                <w:rFonts w:cs="Times New Roman"/>
                <w:sz w:val="18"/>
                <w:szCs w:val="18"/>
              </w:rPr>
              <w:t xml:space="preserve">, phosphatidylcholine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{"citationItems":[{"id":"ITEM-1","itemData":{"ISSN":"17906245","PMID":"24136976","abstract":"Background: No reliable clinical markers to diagnose early stage-disease and predict its prognosis have yet been found for squamous cell carcinoma of the head and neck (HNSCC). Materials and Methods: In the present study, the metabolomic analysis of serum and tissue samples obtained from patients with HNSCC was performed using gas chromatography/mass spectrometry. Results: In serum, levels of several metabolites related to the glycolytic pathway, such as glucose, were higher in patients with HNSCC, and the levels of several amino acids were lower. In contrast to sera, the levels of many metabolites related to the glycolytic pathway appeared to be lower in tumor tissues of HNSCC than in non-tumorous tissues, and the levels of several amino acids, such as valine, thyrosine, serine and methionine, were higher. Conclusion: Our results demonstrate that changes in metabolite patterns are useful in assessing the clinical characteristics of HNSCC, and will hopefully lead to the establishment of novel diagnostic tools.","author":[{"dropping-particle":"","family":"Yonezawa","given":"Koichiro","non-dropping-particle":"","parse-names":false,"suffix":""},{"dropping-particle":"","family":"Nishiumii","given":"Shin","non-dropping-particle":"","parse-names":false,"suffix":""},{"dropping-particle":"","family":"Kitamoto-Matsuda","given":"Junko","non-dropping-particle":"","parse-names":false,"suffix":""},{"dropping-particle":"","family":"Fujita","given":"Takeshi","non-dropping-particle":"","parse-names":false,"suffix":""},{"dropping-particle":"","family":"Morimoto","given":"Koichi","non-dropping-particle":"","parse-names":false,"suffix":""},{"dropping-particle":"","family":"Yamashita","given":"Daisuke","non-dropping-particle":"","parse-names":false,"suffix":""},{"dropping-particle":"","family":"Saito","given":"Miki","non-dropping-particle":"","parse-names":false,"suffix":""},{"dropping-particle":"","family":"Otsuki","given":"Naoki","non-dropping-particle":"","parse-names":false,"suffix":""},{"dropping-particle":"","family":"Irino","given":"Yasuhiro","non-dropping-particle":"","parse-names":false,"suffix":""},{"dropping-particle":"","family":"Shinohara","given":"Masakazu","non-dropping-particle":"","parse-names":false,"suffix":""},{"dropping-particle":"","family":"Yoshida","given":"Masaru","non-dropping-particle":"","parse-names":false,"suffix":""},{"dropping-particle":"","family":"Nibu","given":"Ken Ichi","non-dropping-particle":"","parse-names":false,"suffix":""}],"container-title":"Cancer Genomics and Proteomics","id":"ITEM-1","issue":"5","issued":{"date-parts":[["2013"]]},"page":"233-238","publisher":"International Institute of Anticancer Research","title":"Serum and tissue metabolomics of head and neck cancer","type":"article-journal","volume":"10"},"uris":["http://www.mendeley.com/documents/?uuid=498db150-f62d-30d6-bc83-420f1e0f209a"]}],"mendeley":{"formattedCitation":"[58]","plainTextFormattedCitation":"[58]","previouslyFormattedCitation":"[58]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[58]</w:t>
            </w:r>
            <w:r w:rsidRPr="00DF6C69">
              <w:rPr>
                <w:rFonts w:cs="Times New Roman"/>
                <w:sz w:val="18"/>
                <w:szCs w:val="18"/>
              </w:rPr>
              <w:fldChar w:fldCharType="end"/>
            </w:r>
            <w:r w:rsidRPr="00DF6C69">
              <w:rPr>
                <w:rFonts w:cs="Times New Roman"/>
                <w:sz w:val="18"/>
                <w:szCs w:val="18"/>
              </w:rPr>
              <w:t xml:space="preserve">, phosphatidylserine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{"citationItems":[{"id":"ITEM-1","itemData":{"ISSN":"17906245","PMID":"24136976","abstract":"Background: No reliable clinical markers to diagnose early stage-disease and predict its prognosis have yet been found for squamous cell carcinoma of the head and neck (HNSCC). Materials and Methods: In the present study, the metabolomic analysis of serum and tissue samples obtained from patients with HNSCC was performed using gas chromatography/mass spectrometry. Results: In serum, levels of several metabolites related to the glycolytic pathway, such as glucose, were higher in patients with HNSCC, and the levels of several amino acids were lower. In contrast to sera, the levels of many metabolites related to the glycolytic pathway appeared to be lower in tumor tissues of HNSCC than in non-tumorous tissues, and the levels of several amino acids, such as valine, thyrosine, serine and methionine, were higher. Conclusion: Our results demonstrate that changes in metabolite patterns are useful in assessing the clinical characteristics of HNSCC, and will hopefully lead to the establishment of novel diagnostic tools.","author":[{"dropping-particle":"","family":"Yonezawa","given":"Koichiro","non-dropping-particle":"","parse-names":false,"suffix":""},{"dropping-particle":"","family":"Nishiumii","given":"Shin","non-dropping-particle":"","parse-names":false,"suffix":""},{"dropping-particle":"","family":"Kitamoto-Matsuda","given":"Junko","non-dropping-particle":"","parse-names":false,"suffix":""},{"dropping-particle":"","family":"Fujita","given":"Takeshi","non-dropping-particle":"","parse-names":false,"suffix":""},{"dropping-particle":"","family":"Morimoto","given":"Koichi","non-dropping-particle":"","parse-names":false,"suffix":""},{"dropping-particle":"","family":"Yamashita","given":"Daisuke","non-dropping-particle":"","parse-names":false,"suffix":""},{"dropping-particle":"","family":"Saito","given":"Miki","non-dropping-particle":"","parse-names":false,"suffix":""},{"dropping-particle":"","family":"Otsuki","given":"Naoki","non-dropping-particle":"","parse-names":false,"suffix":""},{"dropping-particle":"","family":"Irino","given":"Yasuhiro","non-dropping-particle":"","parse-names":false,"suffix":""},{"dropping-particle":"","family":"Shinohara","given":"Masakazu","non-dropping-particle":"","parse-names":false,"suffix":""},{"dropping-particle":"","family":"Yoshida","given":"Masaru","non-dropping-particle":"","parse-names":false,"suffix":""},{"dropping-particle":"","family":"Nibu","given":"Ken Ichi","non-dropping-particle":"","parse-names":false,"suffix":""}],"container-title":"Cancer Genomics and Proteomics","id":"ITEM-1","issue":"5","issued":{"date-parts":[["2013"]]},"page":"233-238","publisher":"International Institute of Anticancer Research","title":"Serum and tissue metabolomics of head and neck cancer","type":"article-journal","volume":"10"},"uris":["http://www.mendeley.com/documents/?uuid=498db150-f62d-30d6-bc83-420f1e0f209a"]}],"mendeley":{"formattedCitation":"[58]","plainTextFormattedCitation":"[58]","previouslyFormattedCitation":"[58]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[58]</w:t>
            </w:r>
            <w:r w:rsidRPr="00DF6C69">
              <w:rPr>
                <w:rFonts w:cs="Times New Roman"/>
                <w:sz w:val="18"/>
                <w:szCs w:val="18"/>
              </w:rPr>
              <w:fldChar w:fldCharType="end"/>
            </w:r>
            <w:r w:rsidRPr="00DF6C69">
              <w:rPr>
                <w:rFonts w:cs="Times New Roman"/>
                <w:sz w:val="18"/>
                <w:szCs w:val="18"/>
              </w:rPr>
              <w:t xml:space="preserve">, sphingomyelin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{"citationItems":[{"id":"ITEM-1","itemData":{"DOI":"10.1016/j.cca.2012.08.010","ISSN":"18733492","abstract":"Background There are no effective clinical biomarkers for early and specific detection of lung cancer (LC). The changes in the levels of some serum metabolites of LC patients are associated with patient gender and LC stages. Methods Serum metabolites of the LC patients (n = 58) and healthy controls (n = 495) were performed using direct-infusion positive ion electrospray ionization-Fourier transform ion cyclotron resonance mass spectrometry in combination with univariate and partial least squares discriminant analyses (PLS-DA). Results Univariate analysis indicated that 141 of the 212 serum metabolites were significantly changed in the LC patients compared with healthy controls. PLS-DA model, based on the 141 metabolites, demonstrated the differential metabolite distribution in single-sex LC patients compared with the corresponding healthy controls, and also in LC females compared with LC males. Several lipids comprising fatty acid derivations, sphingomyelin (SM) and lysophosphatidylcholine (LPC) were associated with the LC progression. Classification using oleamide, long chain acyl carnitines, LPC(18:1), LPC(20:4), LPC(20:3), LPC(22:6), and SM(16:0/1) as a biomarker panel resulted in remarkable separation between the LC patients and healthy controls with sensitivity and specificity of 100% and 91%, respectively. Conclusion The serum metabolites found in this study may play essential roles in gender-specific LC detection and early diagnosis of cancer.","author":[{"dropping-particle":"","family":"Guo","given":"Yumei","non-dropping-particle":"","parse-names":false,"suffix":""},{"dropping-particle":"","family":"Wang","given":"Xianmin","non-dropping-particle":"","parse-names":false,"suffix":""},{"dropping-particle":"","family":"Qiu","given":"Ling","non-dropping-particle":"","parse-names":false,"suffix":""},{"dropping-particle":"","family":"Qin","given":"Xuzhen","non-dropping-particle":"","parse-names":false,"suffix":""},{"dropping-particle":"","family":"Liu","given":"Hui","non-dropping-particle":"","parse-names":false,"suffix":""},{"dropping-particle":"","family":"Wang","given":"Yanying","non-dropping-particle":"","parse-names":false,"suffix":""},{"dropping-particle":"","family":"Li","given":"Fang","non-dropping-particle":"","parse-names":false,"suffix":""},{"dropping-particle":"","family":"Wang","given":"Xiaodong","non-dropping-particle":"","parse-names":false,"suffix":""},{"dropping-particle":"","family":"Chen","given":"Guoqiang","non-dropping-particle":"","parse-names":false,"suffix":""},{"dropping-particle":"","family":"Song","given":"Gaoguang","non-dropping-particle":"","parse-names":false,"suffix":""},{"dropping-particle":"","family":"Li","given":"Fenjie","non-dropping-particle":"","parse-names":false,"suffix":""},{"dropping-particle":"","family":"Guo","given":"Shuai","non-dropping-particle":"","parse-names":false,"suffix":""},{"dropping-particle":"","family":"Li","given":"Zhili","non-dropping-particle":"","parse-names":false,"suffix":""}],"container-title":"Clinica Chimica Acta","id":"ITEM-1","issued":{"date-parts":[["2012","12","24"]]},"page":"135-141","publisher":"Elsevier B.V.","title":"Probing gender-specific lipid metabolites and diagnostic biomarkers for lung cancer using Fourier transform ion cyclotron resonance mass spectrometry","type":"article-journal","volume":"414"},"uris":["http://www.mendeley.com/documents/?uuid=88de1db9-32b6-3d70-8703-c0d8c85aeebd"]}],"mendeley":{"formattedCitation":"[60]","plainTextFormattedCitation":"[60]","previouslyFormattedCitation":"[60]"},"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[60]</w:t>
            </w:r>
            <w:r w:rsidRPr="00DF6C69">
              <w:rPr>
                <w:rFonts w:cs="Times New Roman"/>
                <w:sz w:val="18"/>
                <w:szCs w:val="18"/>
              </w:rPr>
              <w:fldChar w:fldCharType="end"/>
            </w:r>
          </w:p>
        </w:tc>
      </w:tr>
      <w:tr w:rsidR="00521E89" w:rsidRPr="00DF6C69" w14:paraId="6A8A7751" w14:textId="77777777" w:rsidTr="000765CF">
        <w:trPr>
          <w:trHeight w:val="220"/>
        </w:trPr>
        <w:tc>
          <w:tcPr>
            <w:tcW w:w="1418" w:type="dxa"/>
            <w:vMerge/>
            <w:shd w:val="clear" w:color="auto" w:fill="FFF2CC" w:themeFill="accent4" w:themeFillTint="33"/>
            <w:vAlign w:val="center"/>
          </w:tcPr>
          <w:p w14:paraId="3735BC4E" w14:textId="77777777" w:rsidR="00521E89" w:rsidRPr="00DF6C69" w:rsidRDefault="00521E89" w:rsidP="000765CF">
            <w:pPr>
              <w:rPr>
                <w:rFonts w:cs="Times New Roman"/>
                <w:sz w:val="18"/>
                <w:szCs w:val="18"/>
              </w:rPr>
            </w:pPr>
          </w:p>
        </w:tc>
        <w:tc>
          <w:tcPr>
            <w:tcW w:w="993" w:type="dxa"/>
            <w:vAlign w:val="center"/>
          </w:tcPr>
          <w:p w14:paraId="2385DFB1" w14:textId="77777777" w:rsidR="00521E89" w:rsidRPr="00DF6C69" w:rsidRDefault="00521E89" w:rsidP="000765CF">
            <w:pPr>
              <w:rPr>
                <w:rFonts w:cs="Times New Roman"/>
                <w:sz w:val="18"/>
                <w:szCs w:val="18"/>
              </w:rPr>
            </w:pPr>
            <w:r w:rsidRPr="00DF6C69">
              <w:rPr>
                <w:rFonts w:cs="Times New Roman"/>
                <w:sz w:val="18"/>
                <w:szCs w:val="18"/>
              </w:rPr>
              <w:t>Tissue**</w:t>
            </w:r>
          </w:p>
        </w:tc>
        <w:tc>
          <w:tcPr>
            <w:tcW w:w="6945" w:type="dxa"/>
            <w:vAlign w:val="center"/>
          </w:tcPr>
          <w:p w14:paraId="61E35D98" w14:textId="1C06B7E9" w:rsidR="00521E89" w:rsidRPr="00DF6C69" w:rsidRDefault="00521E89" w:rsidP="000765CF">
            <w:pPr>
              <w:rPr>
                <w:rFonts w:cs="Times New Roman"/>
                <w:sz w:val="18"/>
                <w:szCs w:val="18"/>
              </w:rPr>
            </w:pPr>
            <w:r w:rsidRPr="00DF6C69">
              <w:rPr>
                <w:rFonts w:cs="Times New Roman"/>
                <w:sz w:val="18"/>
                <w:szCs w:val="18"/>
              </w:rPr>
              <w:t xml:space="preserve">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{"citationItems":[{"id":"ITEM-1","itemData":{"ISSN":"1791-7530","PMID":"24922639","abstract":"BACKGROUND/AIM The acquisition of resistance to epidermal growth factor receptor (EGFR) tyrosine kinase inhibitors (TKIs) remains a major challenge in lung cancer medicine. We sought to identify biomarkers for the early detection of resistance to TKIs. MATERIALS AND METHODS Capillary electrophoresis time-of-flight mass spectrometry analysis was performed to identify the metabolic signatures associated with erlotinib resistance in erlotinib-resistant PC-9ER NSCLC cells established from the EGFR-mutant NSCLC cell line PC-9. RESULTS PC-9ER cells showed metabolic signatures indicative of enhanced glutamine metabolism. Copy number gains in v-myc avian myelocytomatosis viral oncogene homolog (MYC), glutathione-S-transferase theta 2 (GSTT2), gamma-glutamyltransferase 1 (GGT1), and GGT5 were also detected, suggesting that amplification of these genes confers glutamine addiction in PC-9ER cells. CONCLUSION Enhanced glutamine metabolism may be a surrogate marker that can be used to predict the likelihood of patients to respond to EGFR-TKIs.","author":[{"dropping-particle":"","family":"Serizawa","given":"Masakuni","non-dropping-particle":"","parse-names":false,"suffix":""},{"dropping-particle":"","family":"Kusuhara","given":"Masatoshi","non-dropping-particle":"","parse-names":false,"suffix":""},{"dropping-particle":"","family":"Zangiacomi","given":"Vincent","non-dropping-particle":"","parse-names":false,"suffix":""},{"dropping-particle":"","family":"Urakami","given":"Kenichi","non-dropping-particle":"","parse-names":false,"suffix":""},{"dropping-particle":"","family":"Watanabe","given":"Masaru","non-dropping-particle":"","parse-names":false,"suffix":""},{"dropping-particle":"","family":"Takahashi","given":"Toshiaki","non-dropping-particle":"","parse-names":false,"suffix":""},{"dropping-particle":"","family":"Yamaguchi","given":"Ken","non-dropping-particle":"","parse-names":false,"suffix":""},{"dropping-particle":"","family":"Yamamoto","given":"Nobuyuki","non-dropping-particle":"","parse-names":false,"suffix":""},{"dropping-particle":"","family":"Koh","given":"Yasuhiro","non-dropping-particle":"","parse-names":false,"suffix":""}],"container-title":"Anticancer research","id":"ITEM-1","issue":"6","issued":{"date-parts":[["2014","6"]]},"page":"2779-87","title":"Identification of metabolic signatures associated with erlotinib resistance of non-small cell lung cancer cells.","type":"article-journal","volume":"34"},"uris":["http://www.mendeley.com/documents/?uuid=03579b52-9bc9-379d-84a6-136c398f1462"]}],"mendeley":{"formattedCitation":"[62]","plainTextFormattedCitation":"[62]","previouslyFormattedCitation":"[62]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[62]</w:t>
            </w:r>
            <w:r w:rsidRPr="00DF6C69">
              <w:rPr>
                <w:rFonts w:cs="Times New Roman"/>
                <w:sz w:val="18"/>
                <w:szCs w:val="18"/>
              </w:rPr>
              <w:fldChar w:fldCharType="end"/>
            </w:r>
            <w:r w:rsidRPr="00DF6C69">
              <w:rPr>
                <w:rFonts w:cs="Times New Roman"/>
                <w:sz w:val="18"/>
                <w:szCs w:val="18"/>
              </w:rPr>
              <w:t xml:space="preserve">, fatty acids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{"citationItems":[{"id":"ITEM-1","itemData":{"ISSN":"1791-7530","PMID":"24922639","abstract":"BACKGROUND/AIM The acquisition of resistance to epidermal growth factor receptor (EGFR) tyrosine kinase inhibitors (TKIs) remains a major challenge in lung cancer medicine. We sought to identify biomarkers for the early detection of resistance to TKIs. MATERIALS AND METHODS Capillary electrophoresis time-of-flight mass spectrometry analysis was performed to identify the metabolic signatures associated with erlotinib resistance in erlotinib-resistant PC-9ER NSCLC cells established from the EGFR-mutant NSCLC cell line PC-9. RESULTS PC-9ER cells showed metabolic signatures indicative of enhanced glutamine metabolism. Copy number gains in v-myc avian myelocytomatosis viral oncogene homolog (MYC), glutathione-S-transferase theta 2 (GSTT2), gamma-glutamyltransferase 1 (GGT1), and GGT5 were also detected, suggesting that amplification of these genes confers glutamine addiction in PC-9ER cells. CONCLUSION Enhanced glutamine metabolism may be a surrogate marker that can be used to predict the likelihood of patients to respond to EGFR-TKIs.","author":[{"dropping-particle":"","family":"Serizawa","given":"Masakuni","non-dropping-particle":"","parse-names":false,"suffix":""},{"dropping-particle":"","family":"Kusuhara","given":"Masatoshi","non-dropping-particle":"","parse-names":false,"suffix":""},{"dropping-particle":"","family":"Zangiacomi","given":"Vincent","non-dropping-particle":"","parse-names":false,"suffix":""},{"dropping-particle":"","family":"Urakami","given":"Kenichi","non-dropping-particle":"","parse-names":false,"suffix":""},{"dropping-particle":"","family":"Watanabe","given":"Masaru","non-dropping-particle":"","parse-names":false,"suffix":""},{"dropping-particle":"","family":"Takahashi","given":"Toshiaki","non-dropping-particle":"","parse-names":false,"suffix":""},{"dropping-particle":"","family":"Yamaguchi","given":"Ken","non-dropping-particle":"","parse-names":false,"suffix":""},{"dropping-particle":"","family":"Yamamoto","given":"Nobuyuki","non-dropping-particle":"","parse-names":false,"suffix":""},{"dropping-particle":"","family":"Koh","given":"Yasuhiro","non-dropping-particle":"","parse-names":false,"suffix":""}],"container-title":"Anticancer research","id":"ITEM-1","issue":"6","issued":{"date-parts":[["2014","6"]]},"page":"2779-87","title":"Identification of metabolic signatures associated with erlotinib resistance of non-small cell lung cancer cells.","type":"article-journal","volume":"34"},"uris":["http://www.mendeley.com/documents/?uuid=03579b52-9bc9-379d-84a6-136c398f1462"]}],"mendeley":{"formattedCitation":"[62]","plainTextFormattedCitation":"[62]","previouslyFormattedCitation":"[62]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[62]</w:t>
            </w:r>
            <w:r w:rsidRPr="00DF6C69">
              <w:rPr>
                <w:rFonts w:cs="Times New Roman"/>
                <w:sz w:val="18"/>
                <w:szCs w:val="18"/>
              </w:rPr>
              <w:fldChar w:fldCharType="end"/>
            </w:r>
            <w:r w:rsidRPr="00DF6C69">
              <w:rPr>
                <w:rFonts w:cs="Times New Roman"/>
                <w:sz w:val="18"/>
                <w:szCs w:val="18"/>
              </w:rPr>
              <w:t xml:space="preserve">, glutamine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{"citationItems":[{"id":"ITEM-1","itemData":{"DOI":"10.4161/cbt.21348","ISSN":"15384047","abstract":"One of the hallmarks of cancer is metabolic deregulation. Many tumors display increased glucose uptake and breakdown through the process of aerobic glycolysis, also known as the Warburg effect. Less studied in cancer development and progression is the importance of the glutamine (Gln) pathway, which provides cells with a variety of essential products to sustain cell proliferation, such as ATP and macromoleculeased growth by exogenous addition of downstream metabolites of glutaminolysis. Expression of the GLS1 splice variant KGA was founds for biosynthesis. To this end Gln dependency was assessed in a panel of non-small cell lung cancer lines (NSCLC). Gln was found to be essential for the growth of cells with high rates of glutaminolysis, and after exploring multiple genes in the Gln pathway, GLS1 was found to be the key enzyme associated with this dependence. This dependence was confirmed by observing the rescue of decre to be decreased in tumors compared with normal lung tissue. Transient knock down of GLS1 splice variants indicated that loss of GAC had the most detrimental effect on cancer cell growth. In conclusion, NSCLC cell lines depend on Gln for glutaminolysis to a varying degree, in which the GLS1 splice variant GAC plays an essential role and is a potential target for cancer metabolism-directed therapy. © 2012 Landes Bioscience.","author":[{"dropping-particle":"","family":"Heuvel","given":"A. Pieter J.","non-dropping-particle":"Van Den","parse-names":false,"suffix":""},{"dropping-particle":"","family":"Jing","given":"Junping","non-dropping-particle":"","parse-names":false,"suffix":""},{"dropping-particle":"","family":"Wooster","given":"Richard F.","non-dropping-particle":"","parse-names":false,"suffix":""},{"dropping-particle":"","family":"Bachman","given":"Kurtis E.","non-dropping-particle":"","parse-names":false,"suffix":""}],"container-title":"Cancer Biology and Therapy","id":"ITEM-1","issue":"12","issued":{"date-parts":[["2012","10"]]},"page":"1185-1194","title":"Analysis of glutamine dependency in non-small cell lung cancer: GLS1 splice variant GAC is essential for cancer cell growth","type":"article-journal","volume":"13"},"uris":["http://www.mendeley.com/documents/?uuid=6795d1fd-e9e5-3491-9e42-3c0248216e59"]}],"mendeley":{"formattedCitation":"[63]","plainTextFormattedCitation":"[63]","previouslyFormattedCitation":"[63]"},"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[63]</w:t>
            </w:r>
            <w:r w:rsidRPr="00DF6C69">
              <w:rPr>
                <w:rFonts w:cs="Times New Roman"/>
                <w:sz w:val="18"/>
                <w:szCs w:val="18"/>
              </w:rPr>
              <w:fldChar w:fldCharType="end"/>
            </w:r>
          </w:p>
        </w:tc>
      </w:tr>
      <w:tr w:rsidR="00521E89" w:rsidRPr="00DF6C69" w14:paraId="19496B56" w14:textId="77777777" w:rsidTr="000765CF">
        <w:trPr>
          <w:trHeight w:val="568"/>
        </w:trPr>
        <w:tc>
          <w:tcPr>
            <w:tcW w:w="1418" w:type="dxa"/>
            <w:vMerge w:val="restart"/>
            <w:shd w:val="clear" w:color="auto" w:fill="FFF2CC" w:themeFill="accent4" w:themeFillTint="33"/>
            <w:vAlign w:val="center"/>
          </w:tcPr>
          <w:p w14:paraId="5D105C3B" w14:textId="77777777" w:rsidR="00521E89" w:rsidRPr="00DF6C69" w:rsidRDefault="00521E89" w:rsidP="000765CF">
            <w:pPr>
              <w:rPr>
                <w:rFonts w:cs="Times New Roman"/>
                <w:b/>
                <w:sz w:val="18"/>
                <w:szCs w:val="18"/>
              </w:rPr>
            </w:pPr>
            <w:r w:rsidRPr="00DF6C69">
              <w:rPr>
                <w:rFonts w:cs="Times New Roman"/>
                <w:b/>
                <w:sz w:val="18"/>
                <w:szCs w:val="18"/>
              </w:rPr>
              <w:t>Brain</w:t>
            </w:r>
          </w:p>
          <w:p w14:paraId="57AF1C4C" w14:textId="77777777" w:rsidR="00521E89" w:rsidRPr="00DF6C69" w:rsidRDefault="00521E89" w:rsidP="000765CF">
            <w:pPr>
              <w:rPr>
                <w:rFonts w:cs="Times New Roman"/>
                <w:b/>
                <w:sz w:val="18"/>
                <w:szCs w:val="18"/>
              </w:rPr>
            </w:pPr>
          </w:p>
        </w:tc>
        <w:tc>
          <w:tcPr>
            <w:tcW w:w="993" w:type="dxa"/>
            <w:vAlign w:val="center"/>
          </w:tcPr>
          <w:p w14:paraId="73DD79C8" w14:textId="77777777" w:rsidR="00521E89" w:rsidRPr="00DF6C69" w:rsidRDefault="00521E89" w:rsidP="000765CF">
            <w:pPr>
              <w:rPr>
                <w:rFonts w:cs="Times New Roman"/>
                <w:sz w:val="18"/>
                <w:szCs w:val="18"/>
              </w:rPr>
            </w:pPr>
            <w:r w:rsidRPr="00DF6C69">
              <w:rPr>
                <w:rFonts w:cs="Times New Roman"/>
                <w:sz w:val="18"/>
                <w:szCs w:val="18"/>
              </w:rPr>
              <w:t>Tissue**</w:t>
            </w:r>
          </w:p>
        </w:tc>
        <w:tc>
          <w:tcPr>
            <w:tcW w:w="6945" w:type="dxa"/>
            <w:vAlign w:val="center"/>
          </w:tcPr>
          <w:p w14:paraId="1295D642" w14:textId="1F12AC95" w:rsidR="00521E89" w:rsidRPr="00DF6C69" w:rsidRDefault="00521E89" w:rsidP="000765CF">
            <w:pPr>
              <w:rPr>
                <w:rFonts w:cs="Times New Roman"/>
                <w:sz w:val="18"/>
                <w:szCs w:val="18"/>
              </w:rPr>
            </w:pPr>
            <w:r w:rsidRPr="00DF6C69">
              <w:rPr>
                <w:rFonts w:cs="Times New Roman"/>
                <w:sz w:val="18"/>
                <w:szCs w:val="18"/>
              </w:rPr>
              <w:t xml:space="preserve">arachidonic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{"citationItems":[{"id":"ITEM-1","itemData":{"DOI":"10.1016/j.biocel.2012.06.025","ISSN":"13572725","abstract":"A better understanding of molecular pathways involved in malignant transformation of head and neck squamous cell carcinoma (HNSCC) is essential for the development of novel and efficient anti-cancer drugs. To delineate the global metabolism of HNSCC, we report 1H NMR-based metabolic profiling of HNSCC cells from five different patients that were derived from various sites of the upper aerodigestive tract, including the floor of mouth, tongue and larynx. Primary cultures of normal human oral keratinocytes (NHOK) from three different donors were used for comparison. 1H NMR spectra of polar and non-polar extracts of cells were used to identify more than thirty-five metabolites. Principal component analysis performed on the NMR data revealed a clear classification of NHOK and HNSCC cells. HNSCC cells exhibited significantly altered levels of various metabolites that clearly revealed dysregulation in multiple metabolic events, including Warburg effect, oxidative phosphorylation, energy metabolism, TCA cycle anaplerotic flux, glutaminolysis, hexosamine pathway, osmo-regulatory and anti-oxidant mechanism. In addition, significant alterations in the ratios of phosphatidylcholine/ lysophosphatidylcholine and phosphocholine/glycerophosphocholine, and elevated arachidonic acid observed in HNSCC cells reveal an altered membrane choline phospholipid metabolism (MCPM). Furthermore, significantly increased activity of phospholipase A2 (PLA2), particularly cytosolic PLA 2 (cPLA2) observed in all the HNSCC cells confirm an altered MCPM. In summary, the metabolomic findings presented here can be useful to further elucidate the biological aspects that lead to HNSCC, and also provide a rational basis for monitoring molecular mechanisms in response to chemotherapy. Moreover, cPLA2 may serve as a potential therapeutic target for anti-cancer therapy of HNSCC. © 2012 Elsevier Ltd.","author":[{"dropping-particle":"","family":"Tripathi","given":"Pratima","non-dropping-particle":"","parse-names":false,"suffix":""},{"dropping-particle":"","family":"Kamarajan","given":"Pachiyappan","non-dropping-particle":"","parse-names":false,"suffix":""},{"dropping-particle":"","family":"Somashekar","given":"Bagganahalli S.","non-dropping-particle":"","parse-names":false,"suffix":""},{"dropping-particle":"","family":"MacKinnon","given":"Neil","non-dropping-particle":"","parse-names":false,"suffix":""},{"dropping-particle":"","family":"Chinnaiyan","given":"Arul M.","non-dropping-particle":"","parse-names":false,"suffix":""},{"dropping-particle":"","family":"Kapila","given":"Yvonne L.","non-dropping-particle":"","parse-names":false,"suffix":""},{"dropping-particle":"","family":"Rajendiran","given":"Thekkelnaycke M.","non-dropping-particle":"","parse-names":false,"suffix":""},{"dropping-particle":"","family":"Ramamoorthy","given":"Ayyalusamy","non-dropping-particle":"","parse-names":false,"suffix":""}],"container-title":"International Journal of Biochemistry and Cell Biology","id":"ITEM-1","issue":"11","issued":{"date-parts":[["2012","11"]]},"page":"1852-1861","title":"Delineating metabolic signatures of head and neck squamous cell carcinoma: Phospholipase A2, a potential therapeutic target","type":"article-journal","volume":"44"},"uris":["http://www.mendeley.com/documents/?uuid=53e7784b-0ca1-32e9-9c59-f116e3db4270"]}],"mendeley":{"formattedCitation":"[32]","plainTextFormattedCitation":"[32]","previouslyFormattedCitation":"[32]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[32]</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glycerophosphocholine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{"citationItems":[{"id":"ITEM-1","itemData":{"DOI":"10.1016/j.biocel.2012.06.025","ISSN":"13572725","abstract":"A better understanding of molecular pathways involved in malignant transformation of head and neck squamous cell carcinoma (HNSCC) is essential for the development of novel and efficient anti-cancer drugs. To delineate the global metabolism of HNSCC, we report 1H NMR-based metabolic profiling of HNSCC cells from five different patients that were derived from various sites of the upper aerodigestive tract, including the floor of mouth, tongue and larynx. Primary cultures of normal human oral keratinocytes (NHOK) from three different donors were used for comparison. 1H NMR spectra of polar and non-polar extracts of cells were used to identify more than thirty-five metabolites. Principal component analysis performed on the NMR data revealed a clear classification of NHOK and HNSCC cells. HNSCC cells exhibited significantly altered levels of various metabolites that clearly revealed dysregulation in multiple metabolic events, including Warburg effect, oxidative phosphorylation, energy metabolism, TCA cycle anaplerotic flux, glutaminolysis, hexosamine pathway, osmo-regulatory and anti-oxidant mechanism. In addition, significant alterations in the ratios of phosphatidylcholine/ lysophosphatidylcholine and phosphocholine/glycerophosphocholine, and elevated arachidonic acid observed in HNSCC cells reveal an altered membrane choline phospholipid metabolism (MCPM). Furthermore, significantly increased activity of phospholipase A2 (PLA2), particularly cytosolic PLA 2 (cPLA2) observed in all the HNSCC cells confirm an altered MCPM. In summary, the metabolomic findings presented here can be useful to further elucidate the biological aspects that lead to HNSCC, and also provide a rational basis for monitoring molecular mechanisms in response to chemotherapy. Moreover, cPLA2 may serve as a potential therapeutic target for anti-cancer therapy of HNSCC. © 2012 Elsevier Ltd.","author":[{"dropping-particle":"","family":"Tripathi","given":"Pratima","non-dropping-particle":"","parse-names":false,"suffix":""},{"dropping-particle":"","family":"Kamarajan","given":"Pachiyappan","non-dropping-particle":"","parse-names":false,"suffix":""},{"dropping-particle":"","family":"Somashekar","given":"Bagganahalli S.","non-dropping-particle":"","parse-names":false,"suffix":""},{"dropping-particle":"","family":"MacKinnon","given":"Neil","non-dropping-particle":"","parse-names":false,"suffix":""},{"dropping-particle":"","family":"Chinnaiyan","given":"Arul M.","non-dropping-particle":"","parse-names":false,"suffix":""},{"dropping-particle":"","family":"Kapila","given":"Yvonne L.","non-dropping-particle":"","parse-names":false,"suffix":""},{"dropping-particle":"","family":"Rajendiran","given":"Thekkelnaycke M.","non-dropping-particle":"","parse-names":false,"suffix":""},{"dropping-particle":"","family":"Ramamoorthy","given":"Ayyalusamy","non-dropping-particle":"","parse-names":false,"suffix":""}],"container-title":"International Journal of Biochemistry and Cell Biology","id":"ITEM-1","issue":"11","issued":{"date-parts":[["2012","11"]]},"page":"1852-1861","title":"Delineating metabolic signatures of head and neck squamous cell carcinoma: Phospholipase A2, a potential therapeutic target","type":"article-journal","volume":"44"},"uris":["http://www.mendeley.com/documents/?uuid=53e7784b-0ca1-32e9-9c59-f116e3db4270"]}],"mendeley":{"formattedCitation":"[32]","plainTextFormattedCitation":"[32]","previouslyFormattedCitation":"[32]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[32]</w:t>
            </w:r>
            <w:r w:rsidRPr="00DF6C69">
              <w:rPr>
                <w:rFonts w:cs="Times New Roman"/>
                <w:sz w:val="18"/>
                <w:szCs w:val="18"/>
              </w:rPr>
              <w:fldChar w:fldCharType="end"/>
            </w:r>
            <w:r w:rsidRPr="00DF6C69">
              <w:rPr>
                <w:rFonts w:cs="Times New Roman"/>
                <w:sz w:val="18"/>
                <w:szCs w:val="18"/>
              </w:rPr>
              <w:t xml:space="preserve">, lactate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{"citationItems":[{"id":"ITEM-1","itemData":{"DOI":"10.1016/j.biocel.2012.06.025","ISSN":"13572725","abstract":"A better understanding of molecular pathways involved in malignant transformation of head and neck squamous cell carcinoma (HNSCC) is essential for the development of novel and efficient anti-cancer drugs. To delineate the global metabolism of HNSCC, we report 1H NMR-based metabolic profiling of HNSCC cells from five different patients that were derived from various sites of the upper aerodigestive tract, including the floor of mouth, tongue and larynx. Primary cultures of normal human oral keratinocytes (NHOK) from three different donors were used for comparison. 1H NMR spectra of polar and non-polar extracts of cells were used to identify more than thirty-five metabolites. Principal component analysis performed on the NMR data revealed a clear classification of NHOK and HNSCC cells. HNSCC cells exhibited significantly altered levels of various metabolites that clearly revealed dysregulation in multiple metabolic events, including Warburg effect, oxidative phosphorylation, energy metabolism, TCA cycle anaplerotic flux, glutaminolysis, hexosamine pathway, osmo-regulatory and anti-oxidant mechanism. In addition, significant alterations in the ratios of phosphatidylcholine/ lysophosphatidylcholine and phosphocholine/glycerophosphocholine, and elevated arachidonic acid observed in HNSCC cells reveal an altered membrane choline phospholipid metabolism (MCPM). Furthermore, significantly increased activity of phospholipase A2 (PLA2), particularly cytosolic PLA 2 (cPLA2) observed in all the HNSCC cells confirm an altered MCPM. In summary, the metabolomic findings presented here can be useful to further elucidate the biological aspects that lead to HNSCC, and also provide a rational basis for monitoring molecular mechanisms in response to chemotherapy. Moreover, cPLA2 may serve as a potential therapeutic target for anti-cancer therapy of HNSCC. © 2012 Elsevier Ltd.","author":[{"dropping-particle":"","family":"Tripathi","given":"Pratima","non-dropping-particle":"","parse-names":false,"suffix":""},{"dropping-particle":"","family":"Kamarajan","given":"Pachiyappan","non-dropping-particle":"","parse-names":false,"suffix":""},{"dropping-particle":"","family":"Somashekar","given":"Bagganahalli S.","non-dropping-particle":"","parse-names":false,"suffix":""},{"dropping-particle":"","family":"MacKinnon","given":"Neil","non-dropping-particle":"","parse-names":false,"suffix":""},{"dropping-particle":"","family":"Chinnaiyan","given":"Arul M.","non-dropping-particle":"","parse-names":false,"suffix":""},{"dropping-particle":"","family":"Kapila","given":"Yvonne L.","non-dropping-particle":"","parse-names":false,"suffix":""},{"dropping-particle":"","family":"Rajendiran","given":"Thekkelnaycke M.","non-dropping-particle":"","parse-names":false,"suffix":""},{"dropping-particle":"","family":"Ramamoorthy","given":"Ayyalusamy","non-dropping-particle":"","parse-names":false,"suffix":""}],"container-title":"International Journal of Biochemistry and Cell Biology","id":"ITEM-1","issue":"11","issued":{"date-parts":[["2012","11"]]},"page":"1852-1861","title":"Delineating metabolic signatures of head and neck squamous cell carcinoma: Phospholipase A2, a potential therapeutic target","type":"article-journal","volume":"44"},"uris":["http://www.mendeley.com/documents/?uuid=53e7784b-0ca1-32e9-9c59-f116e3db4270"]}],"mendeley":{"formattedCitation":"[32]","plainTextFormattedCitation":"[32]","previouslyFormattedCitation":"[32]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[32]</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lysophosphatidylcholine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{"citationItems":[{"id":"ITEM-1","itemData":{"DOI":"10.1016/j.biocel.2012.06.025","ISSN":"13572725","abstract":"A better understanding of molecular pathways involved in malignant transformation of head and neck squamous cell carcinoma (HNSCC) is essential for the development of novel and efficient anti-cancer drugs. To delineate the global metabolism of HNSCC, we report 1H NMR-based metabolic profiling of HNSCC cells from five different patients that were derived from various sites of the upper aerodigestive tract, including the floor of mouth, tongue and larynx. Primary cultures of normal human oral keratinocytes (NHOK) from three different donors were used for comparison. 1H NMR spectra of polar and non-polar extracts of cells were used to identify more than thirty-five metabolites. Principal component analysis performed on the NMR data revealed a clear classification of NHOK and HNSCC cells. HNSCC cells exhibited significantly altered levels of various metabolites that clearly revealed dysregulation in multiple metabolic events, including Warburg effect, oxidative phosphorylation, energy metabolism, TCA cycle anaplerotic flux, glutaminolysis, hexosamine pathway, osmo-regulatory and anti-oxidant mechanism. In addition, significant alterations in the ratios of phosphatidylcholine/ lysophosphatidylcholine and phosphocholine/glycerophosphocholine, and elevated arachidonic acid observed in HNSCC cells reveal an altered membrane choline phospholipid metabolism (MCPM). Furthermore, significantly increased activity of phospholipase A2 (PLA2), particularly cytosolic PLA 2 (cPLA2) observed in all the HNSCC cells confirm an altered MCPM. In summary, the metabolomic findings presented here can be useful to further elucidate the biological aspects that lead to HNSCC, and also provide a rational basis for monitoring molecular mechanisms in response to chemotherapy. Moreover, cPLA2 may serve as a potential therapeutic target for anti-cancer therapy of HNSCC. © 2012 Elsevier Ltd.","author":[{"dropping-particle":"","family":"Tripathi","given":"Pratima","non-dropping-particle":"","parse-names":false,"suffix":""},{"dropping-particle":"","family":"Kamarajan","given":"Pachiyappan","non-dropping-particle":"","parse-names":false,"suffix":""},{"dropping-particle":"","family":"Somashekar","given":"Bagganahalli S.","non-dropping-particle":"","parse-names":false,"suffix":""},{"dropping-particle":"","family":"MacKinnon","given":"Neil","non-dropping-particle":"","parse-names":false,"suffix":""},{"dropping-particle":"","family":"Chinnaiyan","given":"Arul M.","non-dropping-particle":"","parse-names":false,"suffix":""},{"dropping-particle":"","family":"Kapila","given":"Yvonne L.","non-dropping-particle":"","parse-names":false,"suffix":""},{"dropping-particle":"","family":"Rajendiran","given":"Thekkelnaycke M.","non-dropping-particle":"","parse-names":false,"suffix":""},{"dropping-particle":"","family":"Ramamoorthy","given":"Ayyalusamy","non-dropping-particle":"","parse-names":false,"suffix":""}],"container-title":"International Journal of Biochemistry and Cell Biology","id":"ITEM-1","issue":"11","issued":{"date-parts":[["2012","11"]]},"page":"1852-1861","title":"Delineating metabolic signatures of head and neck squamous cell carcinoma: Phospholipase A2, a potential therapeutic target","type":"article-journal","volume":"44"},"uris":["http://www.mendeley.com/documents/?uuid=53e7784b-0ca1-32e9-9c59-f116e3db4270"]}],"mendeley":{"formattedCitation":"[32]","plainTextFormattedCitation":"[32]","previouslyFormattedCitation":"[32]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[32]</w:t>
            </w:r>
            <w:r w:rsidRPr="00DF6C69">
              <w:rPr>
                <w:rFonts w:cs="Times New Roman"/>
                <w:sz w:val="18"/>
                <w:szCs w:val="18"/>
              </w:rPr>
              <w:fldChar w:fldCharType="end"/>
            </w:r>
            <w:r w:rsidRPr="00DF6C69">
              <w:rPr>
                <w:rFonts w:cs="Times New Roman"/>
                <w:sz w:val="18"/>
                <w:szCs w:val="18"/>
              </w:rPr>
              <w:t xml:space="preserve">, phosphatidylcholine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{"citationItems":[{"id":"ITEM-1","itemData":{"DOI":"10.1016/j.biocel.2012.06.025","ISSN":"13572725","abstract":"A better understanding of molecular pathways involved in malignant transformation of head and neck squamous cell carcinoma (HNSCC) is essential for the development of novel and efficient anti-cancer drugs. To delineate the global metabolism of HNSCC, we report 1H NMR-based metabolic profiling of HNSCC cells from five different patients that were derived from various sites of the upper aerodigestive tract, including the floor of mouth, tongue and larynx. Primary cultures of normal human oral keratinocytes (NHOK) from three different donors were used for comparison. 1H NMR spectra of polar and non-polar extracts of cells were used to identify more than thirty-five metabolites. Principal component analysis performed on the NMR data revealed a clear classification of NHOK and HNSCC cells. HNSCC cells exhibited significantly altered levels of various metabolites that clearly revealed dysregulation in multiple metabolic events, including Warburg effect, oxidative phosphorylation, energy metabolism, TCA cycle anaplerotic flux, glutaminolysis, hexosamine pathway, osmo-regulatory and anti-oxidant mechanism. In addition, significant alterations in the ratios of phosphatidylcholine/ lysophosphatidylcholine and phosphocholine/glycerophosphocholine, and elevated arachidonic acid observed in HNSCC cells reveal an altered membrane choline phospholipid metabolism (MCPM). Furthermore, significantly increased activity of phospholipase A2 (PLA2), particularly cytosolic PLA 2 (cPLA2) observed in all the HNSCC cells confirm an altered MCPM. In summary, the metabolomic findings presented here can be useful to further elucidate the biological aspects that lead to HNSCC, and also provide a rational basis for monitoring molecular mechanisms in response to chemotherapy. Moreover, cPLA2 may serve as a potential therapeutic target for anti-cancer therapy of HNSCC. © 2012 Elsevier Ltd.","author":[{"dropping-particle":"","family":"Tripathi","given":"Pratima","non-dropping-particle":"","parse-names":false,"suffix":""},{"dropping-particle":"","family":"Kamarajan","given":"Pachiyappan","non-dropping-particle":"","parse-names":false,"suffix":""},{"dropping-particle":"","family":"Somashekar","given":"Bagganahalli S.","non-dropping-particle":"","parse-names":false,"suffix":""},{"dropping-particle":"","family":"MacKinnon","given":"Neil","non-dropping-particle":"","parse-names":false,"suffix":""},{"dropping-particle":"","family":"Chinnaiyan","given":"Arul M.","non-dropping-particle":"","parse-names":false,"suffix":""},{"dropping-particle":"","family":"Kapila","given":"Yvonne L.","non-dropping-particle":"","parse-names":false,"suffix":""},{"dropping-particle":"","family":"Rajendiran","given":"Thekkelnaycke M.","non-dropping-particle":"","parse-names":false,"suffix":""},{"dropping-particle":"","family":"Ramamoorthy","given":"Ayyalusamy","non-dropping-particle":"","parse-names":false,"suffix":""}],"container-title":"International Journal of Biochemistry and Cell Biology","id":"ITEM-1","issue":"11","issued":{"date-parts":[["2012","11"]]},"page":"1852-1861","title":"Delineating metabolic signatures of head and neck squamous cell carcinoma: Phospholipase A2, a potential therapeutic target","type":"article-journal","volume":"44"},"uris":["http://www.mendeley.com/documents/?uuid=53e7784b-0ca1-32e9-9c59-f116e3db4270"]}],"mendeley":{"formattedCitation":"[32]","plainTextFormattedCitation":"[32]","previouslyFormattedCitation":"[32]"},"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[32]</w:t>
            </w:r>
            <w:r w:rsidRPr="00DF6C69">
              <w:rPr>
                <w:rFonts w:cs="Times New Roman"/>
                <w:sz w:val="18"/>
                <w:szCs w:val="18"/>
              </w:rPr>
              <w:fldChar w:fldCharType="end"/>
            </w:r>
          </w:p>
        </w:tc>
      </w:tr>
      <w:tr w:rsidR="00521E89" w:rsidRPr="00DF6C69" w14:paraId="1E8A6626" w14:textId="77777777" w:rsidTr="000765CF">
        <w:trPr>
          <w:trHeight w:val="220"/>
        </w:trPr>
        <w:tc>
          <w:tcPr>
            <w:tcW w:w="1418" w:type="dxa"/>
            <w:vMerge/>
            <w:shd w:val="clear" w:color="auto" w:fill="FFF2CC" w:themeFill="accent4" w:themeFillTint="33"/>
            <w:vAlign w:val="center"/>
          </w:tcPr>
          <w:p w14:paraId="30A76F0D" w14:textId="77777777" w:rsidR="00521E89" w:rsidRPr="00DF6C69" w:rsidRDefault="00521E89" w:rsidP="000765CF">
            <w:pPr>
              <w:rPr>
                <w:rFonts w:cs="Times New Roman"/>
                <w:b/>
                <w:sz w:val="18"/>
                <w:szCs w:val="18"/>
              </w:rPr>
            </w:pPr>
          </w:p>
        </w:tc>
        <w:tc>
          <w:tcPr>
            <w:tcW w:w="993" w:type="dxa"/>
            <w:vAlign w:val="center"/>
          </w:tcPr>
          <w:p w14:paraId="225C1107" w14:textId="79707296" w:rsidR="00521E89" w:rsidRPr="00DF6C69" w:rsidRDefault="00521E89" w:rsidP="000765CF">
            <w:pPr>
              <w:rPr>
                <w:rFonts w:cs="Times New Roman"/>
                <w:sz w:val="18"/>
                <w:szCs w:val="18"/>
              </w:rPr>
            </w:pPr>
            <w:r w:rsidRPr="00DF6C69">
              <w:rPr>
                <w:rFonts w:cs="Times New Roman"/>
                <w:sz w:val="18"/>
                <w:szCs w:val="18"/>
              </w:rPr>
              <w:t>C</w:t>
            </w:r>
            <w:r w:rsidR="004C4A3C" w:rsidRPr="00DF6C69">
              <w:rPr>
                <w:rFonts w:cs="Times New Roman"/>
                <w:sz w:val="18"/>
                <w:szCs w:val="18"/>
              </w:rPr>
              <w:t>S</w:t>
            </w:r>
            <w:r w:rsidRPr="00DF6C69">
              <w:rPr>
                <w:rFonts w:cs="Times New Roman"/>
                <w:sz w:val="18"/>
                <w:szCs w:val="18"/>
              </w:rPr>
              <w:t>F***</w:t>
            </w:r>
          </w:p>
        </w:tc>
        <w:tc>
          <w:tcPr>
            <w:tcW w:w="6945" w:type="dxa"/>
            <w:vAlign w:val="center"/>
          </w:tcPr>
          <w:p w14:paraId="41060213" w14:textId="4B30644C" w:rsidR="00521E89" w:rsidRPr="00DF6C69" w:rsidRDefault="00521E89" w:rsidP="000765CF">
            <w:pPr>
              <w:rPr>
                <w:rFonts w:cs="Times New Roman"/>
                <w:sz w:val="18"/>
                <w:szCs w:val="18"/>
              </w:rPr>
            </w:pPr>
            <w:r w:rsidRPr="00DF6C69">
              <w:rPr>
                <w:rFonts w:cs="Times New Roman"/>
                <w:sz w:val="18"/>
                <w:szCs w:val="18"/>
              </w:rPr>
              <w:t xml:space="preserve">2-aminopimelic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11060-013-1090-x","ISSN":"0167-594X","author":[{"dropping-particle":"","family":"Nakamizo","given":"Satoshi","non-dropping-particle":"","parse-names":false,"suffix":""},{"dropping-particle":"","family":"Sasayama","given":"Takashi","non-dropping-particle":"","parse-names":false,"suffix":""},{"dropping-particle":"","family":"Shinohara","given":"Masakazu","non-dropping-particle":"","parse-names":false,"suffix":""},{"dropping-particle":"","family":"Irino","given":"Yasuhiro","non-dropping-particle":"","parse-names":false,"suffix":""},{"dropping-particle":"","family":"Nishiumi","given":"Shin","non-dropping-particle":"","parse-names":false,"suffix":""},{"dropping-particle":"","family":"Nishihara","given":"Masamitsu","non-dropping-particle":"","parse-names":false,"suffix":""},{"dropping-particle":"","family":"Tanaka","given":"Hirotomo","non-dropping-particle":"","parse-names":false,"suffix":""},{"dropping-particle":"","family":"Tanaka","given":"Kazuhiro","non-dropping-particle":"","parse-names":false,"suffix":""},{"dropping-particle":"","family":"Mizukawa","given":"Katsu","non-dropping-particle":"","parse-names":false,"suffix":""},{"dropping-particle":"","family":"Itoh","given":"Tomoo","non-dropping-particle":"","parse-names":false,"suffix":""},{"dropping-particle":"","family":"Taniguchi","given":"Masaaki","non-dropping-particle":"","parse-names":false,"suffix":""},{"dropping-particle":"","family":"Hosoda","given":"Kohkichi","non-dropping-particle":"","parse-names":false,"suffix":""},{"dropping-particle":"","family":"Yoshida","given":"Masaru","non-dropping-particle":"","parse-names":false,"suffix":""},{"dropping-particle":"","family":"Kohmura","given":"Eiji","non-dropping-particle":"","parse-names":false,"suffix":""}],"container-title":"Journal of Neuro-Oncology","id":"ITEM-1","issue":"1","issued":{"date-parts":[["2013","5","1"]]},"page":"65-74","title":"GC/MS-based metabolomic analysis of cerebrospinal fluid (CSF) from glioma patients","type":"article-journal","volume":"113"},"uris":["http://www.mendeley.com/documents/?uuid=946c730e-c2f3-3318-a991-7a227ca0cfad"]}],"mendeley":{"formattedCitation":"[64]","plainTextFormattedCitation":"[64]","previouslyFormattedCitation":"[64]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[64]</w:t>
            </w:r>
            <w:r w:rsidRPr="00DF6C69">
              <w:rPr>
                <w:rFonts w:cs="Times New Roman"/>
                <w:sz w:val="18"/>
                <w:szCs w:val="18"/>
              </w:rPr>
              <w:fldChar w:fldCharType="end"/>
            </w:r>
            <w:r w:rsidRPr="00DF6C69">
              <w:rPr>
                <w:rFonts w:cs="Times New Roman"/>
                <w:sz w:val="18"/>
                <w:szCs w:val="18"/>
              </w:rPr>
              <w:t xml:space="preserve">, citric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11060-013-1090-x","ISSN":"0167-594X","author":[{"dropping-particle":"","family":"Nakamizo","given":"Satoshi","non-dropping-particle":"","parse-names":false,"suffix":""},{"dropping-particle":"","family":"Sasayama","given":"Takashi","non-dropping-particle":"","parse-names":false,"suffix":""},{"dropping-particle":"","family":"Shinohara","given":"Masakazu","non-dropping-particle":"","parse-names":false,"suffix":""},{"dropping-particle":"","family":"Irino","given":"Yasuhiro","non-dropping-particle":"","parse-names":false,"suffix":""},{"dropping-particle":"","family":"Nishiumi","given":"Shin","non-dropping-particle":"","parse-names":false,"suffix":""},{"dropping-particle":"","family":"Nishihara","given":"Masamitsu","non-dropping-particle":"","parse-names":false,"suffix":""},{"dropping-particle":"","family":"Tanaka","given":"Hirotomo","non-dropping-particle":"","parse-names":false,"suffix":""},{"dropping-particle":"","family":"Tanaka","given":"Kazuhiro","non-dropping-particle":"","parse-names":false,"suffix":""},{"dropping-particle":"","family":"Mizukawa","given":"Katsu","non-dropping-particle":"","parse-names":false,"suffix":""},{"dropping-particle":"","family":"Itoh","given":"Tomoo","non-dropping-particle":"","parse-names":false,"suffix":""},{"dropping-particle":"","family":"Taniguchi","given":"Masaaki","non-dropping-particle":"","parse-names":false,"suffix":""},{"dropping-particle":"","family":"Hosoda","given":"Kohkichi","non-dropping-particle":"","parse-names":false,"suffix":""},{"dropping-particle":"","family":"Yoshida","given":"Masaru","non-dropping-particle":"","parse-names":false,"suffix":""},{"dropping-particle":"","family":"Kohmura","given":"Eiji","non-dropping-particle":"","parse-names":false,"suffix":""}],"container-title":"Journal of Neuro-Oncology","id":"ITEM-1","issue":"1","issued":{"date-parts":[["2013","5","1"]]},"page":"65-74","title":"GC/MS-based metabolomic analysis of cerebrospinal fluid (CSF) from glioma patients","type":"article-journal","volume":"113"},"uris":["http://www.mendeley.com/documents/?uuid=946c730e-c2f3-3318-a991-7a227ca0cfad"]}],"mendeley":{"formattedCitation":"[64]","plainTextFormattedCitation":"[64]","previouslyFormattedCitation":"[64]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[64]</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isocitric</w:t>
            </w:r>
            <w:proofErr w:type="spellEnd"/>
            <w:r w:rsidRPr="00DF6C69">
              <w:rPr>
                <w:rFonts w:cs="Times New Roman"/>
                <w:sz w:val="18"/>
                <w:szCs w:val="18"/>
              </w:rPr>
              <w:t xml:space="preserve">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11060-013-1090-x","ISSN":"0167-594X","author":[{"dropping-particle":"","family":"Nakamizo","given":"Satoshi","non-dropping-particle":"","parse-names":false,"suffix":""},{"dropping-particle":"","family":"Sasayama","given":"Takashi","non-dropping-particle":"","parse-names":false,"suffix":""},{"dropping-particle":"","family":"Shinohara","given":"Masakazu","non-dropping-particle":"","parse-names":false,"suffix":""},{"dropping-particle":"","family":"Irino","given":"Yasuhiro","non-dropping-particle":"","parse-names":false,"suffix":""},{"dropping-particle":"","family":"Nishiumi","given":"Shin","non-dropping-particle":"","parse-names":false,"suffix":""},{"dropping-particle":"","family":"Nishihara","given":"Masamitsu","non-dropping-particle":"","parse-names":false,"suffix":""},{"dropping-particle":"","family":"Tanaka","given":"Hirotomo","non-dropping-particle":"","parse-names":false,"suffix":""},{"dropping-particle":"","family":"Tanaka","given":"Kazuhiro","non-dropping-particle":"","parse-names":false,"suffix":""},{"dropping-particle":"","family":"Mizukawa","given":"Katsu","non-dropping-particle":"","parse-names":false,"suffix":""},{"dropping-particle":"","family":"Itoh","given":"Tomoo","non-dropping-particle":"","parse-names":false,"suffix":""},{"dropping-particle":"","family":"Taniguchi","given":"Masaaki","non-dropping-particle":"","parse-names":false,"suffix":""},{"dropping-particle":"","family":"Hosoda","given":"Kohkichi","non-dropping-particle":"","parse-names":false,"suffix":""},{"dropping-particle":"","family":"Yoshida","given":"Masaru","non-dropping-particle":"","parse-names":false,"suffix":""},{"dropping-particle":"","family":"Kohmura","given":"Eiji","non-dropping-particle":"","parse-names":false,"suffix":""}],"container-title":"Journal of Neuro-Oncology","id":"ITEM-1","issue":"1","issued":{"date-parts":[["2013","5","1"]]},"page":"65-74","title":"GC/MS-based metabolomic analysis of cerebrospinal fluid (CSF) from glioma patients","type":"article-journal","volume":"113"},"uris":["http://www.mendeley.com/documents/?uuid=946c730e-c2f3-3318-a991-7a227ca0cfad"]}],"mendeley":{"formattedCitation":"[64]","plainTextFormattedCitation":"[64]","previouslyFormattedCitation":"[64]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[64]</w:t>
            </w:r>
            <w:r w:rsidRPr="00DF6C69">
              <w:rPr>
                <w:rFonts w:cs="Times New Roman"/>
                <w:sz w:val="18"/>
                <w:szCs w:val="18"/>
              </w:rPr>
              <w:fldChar w:fldCharType="end"/>
            </w:r>
            <w:r w:rsidRPr="00DF6C69">
              <w:rPr>
                <w:rFonts w:cs="Times New Roman"/>
                <w:sz w:val="18"/>
                <w:szCs w:val="18"/>
              </w:rPr>
              <w:t xml:space="preserve">, methionine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11060-013-1090-x","ISSN":"0167-594X","author":[{"dropping-particle":"","family":"Nakamizo","given":"Satoshi","non-dropping-particle":"","parse-names":false,"suffix":""},{"dropping-particle":"","family":"Sasayama","given":"Takashi","non-dropping-particle":"","parse-names":false,"suffix":""},{"dropping-particle":"","family":"Shinohara","given":"Masakazu","non-dropping-particle":"","parse-names":false,"suffix":""},{"dropping-particle":"","family":"Irino","given":"Yasuhiro","non-dropping-particle":"","parse-names":false,"suffix":""},{"dropping-particle":"","family":"Nishiumi","given":"Shin","non-dropping-particle":"","parse-names":false,"suffix":""},{"dropping-particle":"","family":"Nishihara","given":"Masamitsu","non-dropping-particle":"","parse-names":false,"suffix":""},{"dropping-particle":"","family":"Tanaka","given":"Hirotomo","non-dropping-particle":"","parse-names":false,"suffix":""},{"dropping-particle":"","family":"Tanaka","given":"Kazuhiro","non-dropping-particle":"","parse-names":false,"suffix":""},{"dropping-particle":"","family":"Mizukawa","given":"Katsu","non-dropping-particle":"","parse-names":false,"suffix":""},{"dropping-particle":"","family":"Itoh","given":"Tomoo","non-dropping-particle":"","parse-names":false,"suffix":""},{"dropping-particle":"","family":"Taniguchi","given":"Masaaki","non-dropping-particle":"","parse-names":false,"suffix":""},{"dropping-particle":"","family":"Hosoda","given":"Kohkichi","non-dropping-particle":"","parse-names":false,"suffix":""},{"dropping-particle":"","family":"Yoshida","given":"Masaru","non-dropping-particle":"","parse-names":false,"suffix":""},{"dropping-particle":"","family":"Kohmura","given":"Eiji","non-dropping-particle":"","parse-names":false,"suffix":""}],"container-title":"Journal of Neuro-Oncology","id":"ITEM-1","issue":"1","issued":{"date-parts":[["2013","5","1"]]},"page":"65-74","title":"GC/MS-based metabolomic analysis of cerebrospinal fluid (CSF) from glioma patients","type":"article-journal","volume":"113"},"uris":["http://www.mendeley.com/documents/?uuid=946c730e-c2f3-3318-a991-7a227ca0cfad"]}],"mendeley":{"formattedCitation":"[64]","plainTextFormattedCitation":"[64]","previouslyFormattedCitation":"[64]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[64]</w:t>
            </w:r>
            <w:r w:rsidRPr="00DF6C69">
              <w:rPr>
                <w:rFonts w:cs="Times New Roman"/>
                <w:sz w:val="18"/>
                <w:szCs w:val="18"/>
              </w:rPr>
              <w:fldChar w:fldCharType="end"/>
            </w:r>
            <w:r w:rsidRPr="00DF6C69">
              <w:rPr>
                <w:rFonts w:cs="Times New Roman"/>
                <w:sz w:val="18"/>
                <w:szCs w:val="18"/>
              </w:rPr>
              <w:t xml:space="preserve">, serine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11060-013-1090-x","ISSN":"0167-594X","author":[{"dropping-particle":"","family":"Nakamizo","given":"Satoshi","non-dropping-particle":"","parse-names":false,"suffix":""},{"dropping-particle":"","family":"Sasayama","given":"Takashi","non-dropping-particle":"","parse-names":false,"suffix":""},{"dropping-particle":"","family":"Shinohara","given":"Masakazu","non-dropping-particle":"","parse-names":false,"suffix":""},{"dropping-particle":"","family":"Irino","given":"Yasuhiro","non-dropping-particle":"","parse-names":false,"suffix":""},{"dropping-particle":"","family":"Nishiumi","given":"Shin","non-dropping-particle":"","parse-names":false,"suffix":""},{"dropping-particle":"","family":"Nishihara","given":"Masamitsu","non-dropping-particle":"","parse-names":false,"suffix":""},{"dropping-particle":"","family":"Tanaka","given":"Hirotomo","non-dropping-particle":"","parse-names":false,"suffix":""},{"dropping-particle":"","family":"Tanaka","given":"Kazuhiro","non-dropping-particle":"","parse-names":false,"suffix":""},{"dropping-particle":"","family":"Mizukawa","given":"Katsu","non-dropping-particle":"","parse-names":false,"suffix":""},{"dropping-particle":"","family":"Itoh","given":"Tomoo","non-dropping-particle":"","parse-names":false,"suffix":""},{"dropping-particle":"","family":"Taniguchi","given":"Masaaki","non-dropping-particle":"","parse-names":false,"suffix":""},{"dropping-particle":"","family":"Hosoda","given":"Kohkichi","non-dropping-particle":"","parse-names":false,"suffix":""},{"dropping-particle":"","family":"Yoshida","given":"Masaru","non-dropping-particle":"","parse-names":false,"suffix":""},{"dropping-particle":"","family":"Kohmura","given":"Eiji","non-dropping-particle":"","parse-names":false,"suffix":""}],"container-title":"Journal of Neuro-Oncology","id":"ITEM-1","issue":"1","issued":{"date-parts":[["2013","5","1"]]},"page":"65-74","title":"GC/MS-based metabolomic analysis of cerebrospinal fluid (CSF) from glioma patients","type":"article-journal","volume":"113"},"uris":["http://www.mendeley.com/documents/?uuid=946c730e-c2f3-3318-a991-7a227ca0cfad"]}],"mendeley":{"formattedCitation":"[64]","plainTextFormattedCitation":"[64]","previouslyFormattedCitation":"[64]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[64]</w:t>
            </w:r>
            <w:r w:rsidRPr="00DF6C69">
              <w:rPr>
                <w:rFonts w:cs="Times New Roman"/>
                <w:sz w:val="18"/>
                <w:szCs w:val="18"/>
              </w:rPr>
              <w:fldChar w:fldCharType="end"/>
            </w:r>
            <w:r w:rsidRPr="00DF6C69">
              <w:rPr>
                <w:rFonts w:cs="Times New Roman"/>
                <w:sz w:val="18"/>
                <w:szCs w:val="18"/>
              </w:rPr>
              <w:t xml:space="preserve">, tyrosine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11060-013-1090-x","ISSN":"0167-594X","author":[{"dropping-particle":"","family":"Nakamizo","given":"Satoshi","non-dropping-particle":"","parse-names":false,"suffix":""},{"dropping-particle":"","family":"Sasayama","given":"Takashi","non-dropping-particle":"","parse-names":false,"suffix":""},{"dropping-particle":"","family":"Shinohara","given":"Masakazu","non-dropping-particle":"","parse-names":false,"suffix":""},{"dropping-particle":"","family":"Irino","given":"Yasuhiro","non-dropping-particle":"","parse-names":false,"suffix":""},{"dropping-particle":"","family":"Nishiumi","given":"Shin","non-dropping-particle":"","parse-names":false,"suffix":""},{"dropping-particle":"","family":"Nishihara","given":"Masamitsu","non-dropping-particle":"","parse-names":false,"suffix":""},{"dropping-particle":"","family":"Tanaka","given":"Hirotomo","non-dropping-particle":"","parse-names":false,"suffix":""},{"dropping-particle":"","family":"Tanaka","given":"Kazuhiro","non-dropping-particle":"","parse-names":false,"suffix":""},{"dropping-particle":"","family":"Mizukawa","given":"Katsu","non-dropping-particle":"","parse-names":false,"suffix":""},{"dropping-particle":"","family":"Itoh","given":"Tomoo","non-dropping-particle":"","parse-names":false,"suffix":""},{"dropping-particle":"","family":"Taniguchi","given":"Masaaki","non-dropping-particle":"","parse-names":false,"suffix":""},{"dropping-particle":"","family":"Hosoda","given":"Kohkichi","non-dropping-particle":"","parse-names":false,"suffix":""},{"dropping-particle":"","family":"Yoshida","given":"Masaru","non-dropping-particle":"","parse-names":false,"suffix":""},{"dropping-particle":"","family":"Kohmura","given":"Eiji","non-dropping-particle":"","parse-names":false,"suffix":""}],"container-title":"Journal of Neuro-Oncology","id":"ITEM-1","issue":"1","issued":{"date-parts":[["2013","5","1"]]},"page":"65-74","title":"GC/MS-based metabolomic analysis of cerebrospinal fluid (CSF) from glioma patients","type":"article-journal","volume":"113"},"uris":["http://www.mendeley.com/documents/?uuid=946c730e-c2f3-3318-a991-7a227ca0cfad"]}],"mendeley":{"formattedCitation":"[64]","plainTextFormattedCitation":"[64]","previouslyFormattedCitation":"[64]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[64]</w:t>
            </w:r>
            <w:r w:rsidRPr="00DF6C69">
              <w:rPr>
                <w:rFonts w:cs="Times New Roman"/>
                <w:sz w:val="18"/>
                <w:szCs w:val="18"/>
              </w:rPr>
              <w:fldChar w:fldCharType="end"/>
            </w:r>
            <w:r w:rsidRPr="00DF6C69">
              <w:rPr>
                <w:rFonts w:cs="Times New Roman"/>
                <w:sz w:val="18"/>
                <w:szCs w:val="18"/>
              </w:rPr>
              <w:t xml:space="preserve">, valine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10.1007/s11060-013-1090-x","ISSN":"0167-594X","author":[{"dropping-particle":"","family":"Nakamizo","given":"Satoshi","non-dropping-particle":"","parse-names":false,"suffix":""},{"dropping-particle":"","family":"Sasayama","given":"Takashi","non-dropping-particle":"","parse-names":false,"suffix":""},{"dropping-particle":"","family":"Shinohara","given":"Masakazu","non-dropping-particle":"","parse-names":false,"suffix":""},{"dropping-particle":"","family":"Irino","given":"Yasuhiro","non-dropping-particle":"","parse-names":false,"suffix":""},{"dropping-particle":"","family":"Nishiumi","given":"Shin","non-dropping-particle":"","parse-names":false,"suffix":""},{"dropping-particle":"","family":"Nishihara","given":"Masamitsu","non-dropping-particle":"","parse-names":false,"suffix":""},{"dropping-particle":"","family":"Tanaka","given":"Hirotomo","non-dropping-particle":"","parse-names":false,"suffix":""},{"dropping-particle":"","family":"Tanaka","given":"Kazuhiro","non-dropping-particle":"","parse-names":false,"suffix":""},{"dropping-particle":"","family":"Mizukawa","given":"Katsu","non-dropping-particle":"","parse-names":false,"suffix":""},{"dropping-particle":"","family":"Itoh","given":"Tomoo","non-dropping-particle":"","parse-names":false,"suffix":""},{"dropping-particle":"","family":"Taniguchi","given":"Masaaki","non-dropping-particle":"","parse-names":false,"suffix":""},{"dropping-particle":"","family":"Hosoda","given":"Kohkichi","non-dropping-particle":"","parse-names":false,"suffix":""},{"dropping-particle":"","family":"Yoshida","given":"Masaru","non-dropping-particle":"","parse-names":false,"suffix":""},{"dropping-particle":"","family":"Kohmura","given":"Eiji","non-dropping-particle":"","parse-names":false,"suffix":""}],"container-title":"Journal of Neuro-Oncology","id":"ITEM-1","issue":"1","issued":{"date-parts":[["2013","5","1"]]},"page":"65-74","title":"GC/MS-based metabolomic analysis of cerebrospinal fluid (CSF) from glioma patients","type":"article-journal","volume":"113"},"uris":["http://www.mendeley.com/documents/?uuid=946c730e-c2f3-3318-a991-7a227ca0cfad"]}],"mendeley":{"formattedCitation":"[64]","plainTextFormattedCitation":"[64]","previouslyFormattedCitation":"[64]"},"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[64]</w:t>
            </w:r>
            <w:r w:rsidRPr="00DF6C69">
              <w:rPr>
                <w:rFonts w:cs="Times New Roman"/>
                <w:sz w:val="18"/>
                <w:szCs w:val="18"/>
              </w:rPr>
              <w:fldChar w:fldCharType="end"/>
            </w:r>
          </w:p>
        </w:tc>
      </w:tr>
      <w:tr w:rsidR="00521E89" w:rsidRPr="00DF6C69" w14:paraId="3748D914" w14:textId="77777777" w:rsidTr="000765CF">
        <w:trPr>
          <w:trHeight w:val="274"/>
        </w:trPr>
        <w:tc>
          <w:tcPr>
            <w:tcW w:w="1418" w:type="dxa"/>
            <w:vMerge w:val="restart"/>
            <w:shd w:val="clear" w:color="auto" w:fill="FFF2CC" w:themeFill="accent4" w:themeFillTint="33"/>
            <w:vAlign w:val="center"/>
          </w:tcPr>
          <w:p w14:paraId="3E7D9214" w14:textId="77777777" w:rsidR="00521E89" w:rsidRPr="00DF6C69" w:rsidRDefault="00521E89" w:rsidP="000765CF">
            <w:pPr>
              <w:rPr>
                <w:rFonts w:cs="Times New Roman"/>
                <w:b/>
                <w:sz w:val="18"/>
                <w:szCs w:val="18"/>
              </w:rPr>
            </w:pPr>
            <w:r w:rsidRPr="00DF6C69">
              <w:rPr>
                <w:rFonts w:cs="Times New Roman"/>
                <w:b/>
                <w:sz w:val="18"/>
                <w:szCs w:val="18"/>
              </w:rPr>
              <w:t>Leukaemia</w:t>
            </w:r>
          </w:p>
          <w:p w14:paraId="7259CDAC" w14:textId="77777777" w:rsidR="00521E89" w:rsidRPr="00DF6C69" w:rsidRDefault="00521E89" w:rsidP="000765CF">
            <w:pPr>
              <w:rPr>
                <w:rFonts w:cs="Times New Roman"/>
                <w:b/>
                <w:sz w:val="18"/>
                <w:szCs w:val="18"/>
              </w:rPr>
            </w:pPr>
          </w:p>
        </w:tc>
        <w:tc>
          <w:tcPr>
            <w:tcW w:w="993" w:type="dxa"/>
            <w:vAlign w:val="center"/>
          </w:tcPr>
          <w:p w14:paraId="7A343977" w14:textId="77777777" w:rsidR="00521E89" w:rsidRPr="00DF6C69" w:rsidRDefault="00521E89" w:rsidP="000765CF">
            <w:pPr>
              <w:rPr>
                <w:rFonts w:cs="Times New Roman"/>
                <w:sz w:val="18"/>
                <w:szCs w:val="18"/>
              </w:rPr>
            </w:pPr>
            <w:r w:rsidRPr="00DF6C69">
              <w:rPr>
                <w:rFonts w:cs="Times New Roman"/>
                <w:sz w:val="18"/>
                <w:szCs w:val="18"/>
              </w:rPr>
              <w:t>Serum*</w:t>
            </w:r>
          </w:p>
        </w:tc>
        <w:tc>
          <w:tcPr>
            <w:tcW w:w="6945" w:type="dxa"/>
            <w:vAlign w:val="center"/>
          </w:tcPr>
          <w:p w14:paraId="408D7F58" w14:textId="4EDFE907" w:rsidR="00521E89" w:rsidRPr="00DF6C69" w:rsidRDefault="00521E89" w:rsidP="000765CF">
            <w:pPr>
              <w:rPr>
                <w:rFonts w:cs="Times New Roman"/>
                <w:sz w:val="18"/>
                <w:szCs w:val="18"/>
              </w:rPr>
            </w:pPr>
            <w:r w:rsidRPr="00DF6C69">
              <w:rPr>
                <w:rFonts w:cs="Times New Roman"/>
                <w:sz w:val="18"/>
                <w:szCs w:val="18"/>
              </w:rPr>
              <w:t xml:space="preserve">Acetone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arginine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cholesterol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spectroscopy","type":"article-journal","volume":"6"},"uris":["http://www.mendeley.com/documents/?uuid=8f5a0efb-0364-387b-aaab-910a1a1602e4"]},{"id":"ITEM-2","itemData":{"DOI":"10.1038/leu.2009.295","ISSN":"14765551","abstract":"Chronic lymphocytic leukaemia (CLL) is a heterogeneous disease exhibiting variable clinical course and survival rates. Mutational status of the immunoglobulin heavy chain variable regions (IGHVs) of CLL cells offers useful prognostic information for high-risk patients, but time and economical costs originally prevented it from being routinely used in a clinical setting. Instead, alternative markers of IGHV status, such as zeta-associated protein (ZAP70) or messenger RNA levels are often used. We report a 1H-NMR- based metabolomics approach to examine serum metabolic profiles of early stage, untreated CLL patients (Binet stage A) classified on the basis of IGHV mutational status or ZAP70. Metabolic profiles of CLL patients (n29) exhibited higher concentrations of pyruvate and glutamate and decreased concentrations of isoleucine compared with controls (n9). Differences in metabolic profiles between unmutated (UM-IGHV; n10) and mutated IGHV (M-IGHV; n19) patients were determined using partial least square discriminatory analysis (PLS-DA; R 2 0.74, Q2 0.36). The UM-IGHV patients had elevated levels of cholesterol, lactate, uridine and fumarate, and decreased levels of pyridoxine, glycerol, 3-hydroxybutyrate and methionine concentrations. The PLS-DA models derived from ZAP70 classifications showed comparatively poor goodness-of-fit values, suggesting that IGHV mutational status correlates better with disease-related metabolic profiles. Our results highlight the usefulness of 1 H-NMR-based metabolomics as a potential non-invasive prognostic tool for identifying CLL disease-state biomarkers. © 2010 Macmillan Publishers Limited All rights reserved.","author":[{"dropping-particle":"","family":"MacIntyre","given":"D. A.","non-dropping-particle":"","parse-names":false,"suffix":""},{"dropping-particle":"","family":"Jiménez","given":"B.","non-dropping-particle":"","parse-names":false,"suffix":""},{"dropping-particle":"","family":"Lewintre","given":"E. Jantus","non-dropping-particle":"","parse-names":false,"suffix":""},{"dropping-particle":"","family":"Martín","given":"C. Reinoso","non-dropping-particle":"","parse-names":false,"suffix":""},{"dropping-particle":"","family":"Schäfer","given":"H.","non-dropping-particle":"","parse-names":false,"suffix":""},{"dropping-particle":"","family":"Ballesteros","given":"C. García","non-dropping-particle":"","parse-names":false,"suffix":""},{"dropping-particle":"","family":"Mayans","given":"J. Ramón","non-dropping-particle":"","parse-names":false,"suffix":""},{"dropping-particle":"","family":"Spraul","given":"M.","non-dropping-particle":"","parse-names":false,"suffix":""},{"dropping-particle":"","family":"García-Conde","given":"J.","non-dropping-particle":"","parse-names":false,"suffix":""},{"dropping-particle":"","family":"Pineda-Lucena","given":"A.","non-dropping-particle":"","parse-names":false,"suffix":""}],"container-title":"Leukemia","id":"ITEM-2","issue":"4","issued":{"date-parts":[["2010"]]},"page":"788-797","publisher":"Nature Publishing Group","title":"Serum metabolome analysis by 1H-NMR reveals differences between chronic lymphocytic leukaemia molecular subgroups","type":"article-journal","volume":"24"},"uris":["http://www.mendeley.com/documents/?uuid=be97c8ca-6276-3a0d-8aca-8a183f78b316"]}],"mendeley":{"formattedCitation":"[65], [66]","plainTextFormattedCitation":"[65], [66]","previouslyFormattedCitation":"[65], [66]"},"properties":{"noteIndex":0},"schema":"https://github.com/citation-style-language/schema/raw/master/csl-citation.json"}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 [66]</w:t>
            </w:r>
            <w:r w:rsidRPr="00DF6C69">
              <w:rPr>
                <w:rFonts w:cs="Times New Roman"/>
                <w:sz w:val="18"/>
                <w:szCs w:val="18"/>
              </w:rPr>
              <w:fldChar w:fldCharType="end"/>
            </w:r>
            <w:r w:rsidRPr="00DF6C69">
              <w:rPr>
                <w:rFonts w:cs="Times New Roman"/>
                <w:sz w:val="18"/>
                <w:szCs w:val="18"/>
              </w:rPr>
              <w:t xml:space="preserve">, 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creatine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cysteinyl-glycine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{"citationItems":[{"id":"ITEM-1","itemData":{"DOI":"10.1021/pr400337b","ISSN":"15353893","abstract":"Recent studies suggest that biofluid-based metabonomics may identify metabolite markers promising for colorectal cancer (CRC) diagnosis. We report here a follow-up replication study, after a previous CRC metabonomics study, aiming to identify a distinct serum metabolic signature of CRC with diagnostic potential. Serum metabolites from newly diagnosed CRC patients (N = 101) and healthy subjects (N = 102) were profiled using gas chromatography time-of-flight mass spectrometry (GC-TOFMS) and ultraperformance liquid chromatography quadrupole time-of-flight mass spectrometry (UPLC-QTOFMS). Differential metabolites were identified with statistical tests of orthogonal partial least-squares-discriminant analysis (VIP &gt; 1) and the Mann-Whitney U test (p &lt; 0.05). With a total of 249 annotated serum metabolites, we were able to differentiate CRC patients from the healthy controls using an orthogonal partial least-squares-discriminant analysis (OPLS-DA) in a learning sample set of 62 CRC patients and 62 matched healthy controls. This established model was able to correctly assign the rest of the samples to the CRC or control groups in a validation set of 39 CRC patients and 40 healthy controls. Consistent with our findings from the previous study, we observed a distinct metabolic signature in CRC patients including tricarboxylic acid (TCA) cycle, urea cycle, glutamine, fatty acids, and gut flora metabolism. Our results demonstrated that a panel of serum metabolite markers is of great potential as a noninvasive diagnostic method for the detection of CRC. © 2013 American Chemical Society.","author":[{"dropping-particle":"","family":"Tan","given":"Binbin","non-dropping-particle":"","parse-names":false,"suffix":""},{"dropping-particle":"","family":"Qiu","given":"Yunping","non-dropping-particle":"","parse-names":false,"suffix":""},{"dropping-particle":"","family":"Zou","given":"Xia","non-dropping-particle":"","parse-names":false,"suffix":""},{"dropping-particle":"","family":"Chen","given":"Tianlu","non-dropping-particle":"","parse-names":false,"suffix":""},{"dropping-particle":"","family":"Xie","given":"Guoxiang","non-dropping-particle":"","parse-names":false,"suffix":""},{"dropping-particle":"","family":"Cheng","given":"Yu","non-dropping-particle":"","parse-names":false,"suffix":""},{"dropping-particle":"","family":"Dong","given":"Taotao","non-dropping-particle":"","parse-names":false,"suffix":""},{"dropping-particle":"","family":"Zhao","given":"Linjing","non-dropping-particle":"","parse-names":false,"suffix":""},{"dropping-particle":"","family":"Feng","given":"Bo","non-dropping-particle":"","parse-names":false,"suffix":""},{"dropping-particle":"","family":"Hu","given":"Xiaofang","non-dropping-particle":"","parse-names":false,"suffix":""},{"dropping-particle":"","family":"Xu","given":"Lisa X.","non-dropping-particle":"","parse-names":false,"suffix":""},{"dropping-particle":"","family":"Zhao","given":"Aihua","non-dropping-particle":"","parse-names":false,"suffix":""},{"dropping-particle":"","family":"Zhang","given":"Menghui","non-dropping-particle":"","parse-names":false,"suffix":""},{"dropping-particle":"","family":"Cai","given":"Guoxiang","non-dropping-particle":"","parse-names":false,"suffix":""},{"dropping-particle":"","family":"Cai","given":"Sanjun","non-dropping-particle":"","parse-names":false,"suffix":""},{"dropping-particle":"","family":"Zhou","given":"Zhanxiang","non-dropping-particle":"","parse-names":false,"suffix":""},{"dropping-particle":"","family":"Zheng","given":"Minhua","non-dropping-particle":"","parse-names":false,"suffix":""},{"dropping-particle":"","family":"Zhang","given":"Yan","non-dropping-particle":"","parse-names":false,"suffix":""},{"dropping-particle":"","family":"Jia","given":"Wei","non-dropping-particle":"","parse-names":false,"suffix":""}],"container-title":"Journal of Proteome Research","id":"ITEM-1","issue":"6","issued":{"date-parts":[["2013"]]},"page":"3000-3009","title":"Metabonomics identifies serum metabolite markers of colorectal cancer","type":"article-journal","volume":"12"},"uris":["http://www.mendeley.com/documents/?uuid=c6c8116e-4e56-3192-a356-b6962759dc6a"]}],"mendeley":{"formattedCitation":"[67]","plainTextFormattedCitation":"[67]","previouslyFormattedCitation":"[67]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[67]</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formate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glucose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glutamate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{"citationItems":[{"id":"ITEM-1","itemData":{"DOI":"10.1021/pr400337b","ISSN":"15353893","abstract":"Recent studies suggest that biofluid-based metabonomics may identify metabolite markers promising for colorectal cancer (CRC) diagnosis. We report here a follow-up replication study, after a previous CRC metabonomics study, aiming to identify a distinct serum metabolic signature of CRC with diagnostic potential. Serum metabolites from newly diagnosed CRC patients (N = 101) and healthy subjects (N = 102) were profiled using gas chromatography time-of-flight mass spectrometry (GC-TOFMS) and ultraperformance liquid chromatography quadrupole time-of-flight mass spectrometry (UPLC-QTOFMS). Differential metabolites were identified with statistical tests of orthogonal partial least-squares-discriminant analysis (VIP &gt; 1) and the Mann-Whitney U test (p &lt; 0.05). With a total of 249 annotated serum metabolites, we were able to differentiate CRC patients from the healthy controls using an orthogonal partial least-squares-discriminant analysis (OPLS-DA) in a learning sample set of 62 CRC patients and 62 matched healthy controls. This established model was able to correctly assign the rest of the samples to the CRC or control groups in a validation set of 39 CRC patients and 40 healthy controls. Consistent with our findings from the previous study, we observed a distinct metabolic signature in CRC patients including tricarboxylic acid (TCA) cycle, urea cycle, glutamine, fatty acids, and gut flora metabolism. Our results demonstrated that a panel of serum metabolite markers is of great potential as a noninvasive diagnostic method for the detection of CRC. © 2013 American Chemical Society.","author":[{"dropping-particle":"","family":"Tan","given":"Binbin","non-dropping-particle":"","parse-names":false,"suffix":""},{"dropping-particle":"","family":"Qiu","given":"Yunping","non-dropping-particle":"","parse-names":false,"suffix":""},{"dropping-particle":"","family":"Zou","given":"Xia","non-dropping-particle":"","parse-names":false,"suffix":""},{"dropping-particle":"","family":"Chen","given":"Tianlu","non-dropping-particle":"","parse-names":false,"suffix":""},{"dropping-particle":"","family":"Xie","given":"Guoxiang","non-dropping-particle":"","parse-names":false,"suffix":""},{"dropping-particle":"","family":"Cheng","given":"Yu","non-dropping-particle":"","parse-names":false,"suffix":""},{"dropping-particle":"","family":"Dong","given":"Taotao","non-dropping-particle":"","parse-names":false,"suffix":""},{"dropping-particle":"","family":"Zhao","given":"Linjing","non-dropping-particle":"","parse-names":false,"suffix":""},{"dropping-particle":"","family":"Feng","given":"Bo","non-dropping-particle":"","parse-names":false,"suffix":""},{"dropping-particle":"","family":"Hu","given":"Xiaofang","non-dropping-particle":"","parse-names":false,"suffix":""},{"dropping-particle":"","family":"Xu","given":"Lisa X.","non-dropping-particle":"","parse-names":false,"suffix":""},{"dropping-particle":"","family":"Zhao","given":"Aihua","non-dropping-particle":"","parse-names":false,"suffix":""},{"dropping-particle":"","family":"Zhang","given":"Menghui","non-dropping-particle":"","parse-names":false,"suffix":""},{"dropping-particle":"","family":"Cai","given":"Guoxiang","non-dropping-particle":"","parse-names":false,"suffix":""},{"dropping-particle":"","family":"Cai","given":"Sanjun","non-dropping-particle":"","parse-names":false,"suffix":""},{"dropping-particle":"","family":"Zhou","given":"Zhanxiang","non-dropping-particle":"","parse-names":false,"suffix":""},{"dropping-particle":"","family":"Zheng","given":"Minhua","non-dropping-particle":"","parse-names":false,"suffix":""},{"dropping-particle":"","family":"Zhang","given":"Yan","non-dropping-particle":"","parse-names":false,"suffix":""},{"dropping-particle":"","family":"Jia","given":"Wei","non-dropping-particle":"","parse-names":false,"suffix":""}],"container-title":"Journal of Proteome Research","id":"ITEM-1","issue":"6","issued":{"date-parts":[["2013"]]},"page":"3000-3009","title":"Metabonomics identifies serum metabolite markers of colorectal cancer","type":"article-journal","volume":"12"},"uris":["http://www.mendeley.com/documents/?uuid=c6c8116e-4e56-3192-a356-b6962759dc6a"]}],"mendeley":{"formattedCitation":"[67]","plainTextFormattedCitation":"[67]","previouslyFormattedCitation":"[67]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[67]</w:t>
            </w:r>
            <w:r w:rsidRPr="00DF6C69">
              <w:rPr>
                <w:rFonts w:cs="Times New Roman"/>
                <w:sz w:val="18"/>
                <w:szCs w:val="18"/>
              </w:rPr>
              <w:fldChar w:fldCharType="end"/>
            </w:r>
            <w:r w:rsidRPr="00DF6C69">
              <w:rPr>
                <w:rFonts w:cs="Times New Roman"/>
                <w:sz w:val="18"/>
                <w:szCs w:val="18"/>
              </w:rPr>
              <w:t xml:space="preserve">, glycerol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{"citationItems":[{"id":"ITEM-1","itemData":{"DOI":"10.1038/leu.2009.295","ISSN":"14765551","abstract":"Chronic lymphocytic leukaemia (CLL) is a heterogeneous disease exhibiting variable clinical course and survival rates. Mutational status of the immunoglobulin heavy chain variable regions (IGHVs) of CLL cells offers useful prognostic information for high-risk patients, but time and economical costs originally prevented it from being routinely used in a clinical setting. Instead, alternative markers of IGHV status, such as zeta-associated protein (ZAP70) or messenger RNA levels are often used. We report a 1H-NMR- based metabolomics approach to examine serum metabolic profiles of early stage, untreated CLL patients (Binet stage A) classified on the basis of IGHV mutational status or ZAP70. Metabolic profiles of CLL patients (n29) exhibited higher concentrations of pyruvate and glutamate and decreased concentrations of isoleucine compared with controls (n9). Differences in metabolic profiles between unmutated (UM-IGHV; n10) and mutated IGHV (M-IGHV; n19) patients were determined using partial least square discriminatory analysis (PLS-DA; R 2 0.74, Q2 0.36). The UM-IGHV patients had elevated levels of cholesterol, lactate, uridine and fumarate, and decreased levels of pyridoxine, glycerol, 3-hydroxybutyrate and methionine concentrations. The PLS-DA models derived from ZAP70 classifications showed comparatively poor goodness-of-fit values, suggesting that IGHV mutational status correlates better with disease-related metabolic profiles. Our results highlight the usefulness of 1 H-NMR-based metabolomics as a potential non-invasive prognostic tool for identifying CLL disease-state biomarkers. © 2010 Macmillan Publishers Limited All rights reserved.","author":[{"dropping-particle":"","family":"MacIntyre","given":"D. A.","non-dropping-particle":"","parse-names":false,"suffix":""},{"dropping-particle":"","family":"Jiménez","given":"B.","non-dropping-particle":"","parse-names":false,"suffix":""},{"dropping-particle":"","family":"Lewintre","given":"E. Jantus","non-dropping-particle":"","parse-names":false,"suffix":""},{"dropping-particle":"","family":"Martín","given":"C. Reinoso","non-dropping-particle":"","parse-names":false,"suffix":""},{"dropping-particle":"","family":"Schäfer","given":"H.","non-dropping-particle":"","parse-names":false,"suffix":""},{"dropping-particle":"","family":"Ballesteros","given":"C. García","non-dropping-particle":"","parse-names":false,"suffix":""},{"dropping-particle":"","family":"Mayans","given":"J. Ramón","non-dropping-particle":"","parse-names":false,"suffix":""},{"dropping-particle":"","family":"Spraul","given":"M.","non-dropping-particle":"","parse-names":false,"suffix":""},{"dropping-particle":"","family":"García-Conde","given":"J.","non-dropping-particle":"","parse-names":false,"suffix":""},{"dropping-particle":"","family":"Pineda-Lucena","given":"A.","non-dropping-particle":"","parse-names":false,"suffix":""}],"container-title":"Leukemia","id":"ITEM-1","issue":"4","issued":{"date-parts":[["2010"]]},"page":"788-797","publisher":"Nature Publishing Group","title":"Serum metabolome analysis by 1H-NMR reveals differences between chronic lymphocytic leukaemia molecular subgroups","type":"article-journal","volume":"24"},"uris":["http://www.mendeley.com/documents/?uuid=be97c8ca-6276-3a0d-8aca-8a183f78b316"]}],"mendeley":{"formattedCitation":"[66]","plainTextFormattedCitation":"[66]","previouslyFormattedCitation":"[66]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[66]</w:t>
            </w:r>
            <w:r w:rsidRPr="00DF6C69">
              <w:rPr>
                <w:rFonts w:cs="Times New Roman"/>
                <w:sz w:val="18"/>
                <w:szCs w:val="18"/>
              </w:rPr>
              <w:fldChar w:fldCharType="end"/>
            </w:r>
            <w:r w:rsidRPr="00DF6C69">
              <w:rPr>
                <w:rFonts w:cs="Times New Roman"/>
                <w:sz w:val="18"/>
                <w:szCs w:val="18"/>
              </w:rPr>
              <w:t xml:space="preserve">, histidine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lactate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spectroscopy","type":"article-journal","volume":"6"},"uris":["http://www.mendeley.com/documents/?uuid=8f5a0efb-0364-387b-aaab-910a1a1602e4"]},{"id":"ITEM-2","itemData":{"DOI":"10.1038/leu.2009.295","ISSN":"14765551","abstract":"Chronic lymphocytic leukaemia (CLL) is a heterogeneous disease exhibiting variable clinical course and survival rates. Mutational status of the immunoglobulin heavy chain variable regions (IGHVs) of CLL cells offers useful prognostic information for high-risk patients, but time and economical costs originally prevented it from being routinely used in a clinical setting. Instead, alternative markers of IGHV status, such as zeta-associated protein (ZAP70) or messenger RNA levels are often used. We report a 1H-NMR- based metabolomics approach to examine serum metabolic profiles of early stage, untreated CLL patients (Binet stage A) classified on the basis of IGHV mutational status or ZAP70. Metabolic profiles of CLL patients (n29) exhibited higher concentrations of pyruvate and glutamate and decreased concentrations of isoleucine compared with controls (n9). Differences in metabolic profiles between unmutated (UM-IGHV; n10) and mutated IGHV (M-IGHV; n19) patients were determined using partial least square discriminatory analysis (PLS-DA; R 2 0.74, Q2 0.36). The UM-IGHV patients had elevated levels of cholesterol, lactate, uridine and fumarate, and decreased levels of pyridoxine, glycerol, 3-hydroxybutyrate and methionine concentrations. The PLS-DA models derived from ZAP70 classifications showed comparatively poor goodness-of-fit values, suggesting that IGHV mutational status correlates better with disease-related metabolic profiles. Our results highlight the usefulness of 1 H-NMR-based metabolomics as a potential non-invasive prognostic tool for identifying CLL disease-state biomarkers. © 2010 Macmillan Publishers Limited All rights reserved.","author":[{"dropping-particle":"","family":"MacIntyre","given":"D. A.","non-dropping-particle":"","parse-names":false,"suffix":""},{"dropping-particle":"","family":"Jiménez","given":"B.","non-dropping-particle":"","parse-names":false,"suffix":""},{"dropping-particle":"","family":"Lewintre","given":"E. Jantus","non-dropping-particle":"","parse-names":false,"suffix":""},{"dropping-particle":"","family":"Martín","given":"C. Reinoso","non-dropping-particle":"","parse-names":false,"suffix":""},{"dropping-particle":"","family":"Schäfer","given":"H.","non-dropping-particle":"","parse-names":false,"suffix":""},{"dropping-particle":"","family":"Ballesteros","given":"C. García","non-dropping-particle":"","parse-names":false,"suffix":""},{"dropping-particle":"","family":"Mayans","given":"J. Ramón","non-dropping-particle":"","parse-names":false,"suffix":""},{"dropping-particle":"","family":"Spraul","given":"M.","non-dropping-particle":"","parse-names":false,"suffix":""},{"dropping-particle":"","family":"García-Conde","given":"J.","non-dropping-particle":"","parse-names":false,"suffix":""},{"dropping-particle":"","family":"Pineda-Lucena","given":"A.","non-dropping-particle":"","parse-names":false,"suffix":""}],"container-title":"Leukemia","id":"ITEM-2","issue":"4","issued":{"date-parts":[["2010"]]},"page":"788-797","publisher":"Nature Publishing Group","title":"Serum metabolome analysis by 1H-NMR reveals differences between chronic lymphocytic leukaemia molecular subgroups","type":"article-journal","volume":"24"},"uris":["http://www.mendeley.com/documents/?uuid=be97c8ca-6276-3a0d-8aca-8a183f78b316"]}],"mendeley":{"formattedCitation":"[65], [66]","plainTextFormattedCitation":"[65], [66]","previouslyFormattedCitation":"[65], [66]"},"properties":{"noteIndex":0},"schema":"https://github.com/citation-style-language/schema/raw/master/csl-citation.json"}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 [66]</w:t>
            </w:r>
            <w:r w:rsidRPr="00DF6C69">
              <w:rPr>
                <w:rFonts w:cs="Times New Roman"/>
                <w:sz w:val="18"/>
                <w:szCs w:val="18"/>
              </w:rPr>
              <w:fldChar w:fldCharType="end"/>
            </w:r>
            <w:r w:rsidRPr="00DF6C69">
              <w:rPr>
                <w:rFonts w:cs="Times New Roman"/>
                <w:sz w:val="18"/>
                <w:szCs w:val="18"/>
              </w:rPr>
              <w:t xml:space="preserve">, leucine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lysine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w:t>
            </w:r>
            <w:proofErr w:type="spellStart"/>
            <w:r w:rsidRPr="00DF6C69">
              <w:rPr>
                <w:rFonts w:cs="Times New Roman"/>
                <w:sz w:val="18"/>
                <w:szCs w:val="18"/>
              </w:rPr>
              <w:t>lysophosphatidylcholine</w:t>
            </w:r>
            <w:proofErr w:type="spellEnd"/>
            <w:r w:rsidRPr="00DF6C69">
              <w:rPr>
                <w:rFonts w:cs="Times New Roman"/>
                <w:sz w:val="18"/>
                <w:szCs w:val="18"/>
              </w:rPr>
              <w:t xml:space="preserv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{"citationItems":[{"id":"ITEM-1","itemData":{"DOI":"10.1021/pr400337b","ISSN":"15353893","abstract":"Recent studies suggest that biofluid-based metabonomics may identify metabolite markers promising for colorectal cancer (CRC) diagnosis. We report here a follow-up replication study, after a previous CRC metabonomics study, aiming to identify a distinct serum metabolic signature of CRC with diagnostic potential. Serum metabolites from newly diagnosed CRC patients (N = 101) and healthy subjects (N = 102) were profiled using gas chromatography time-of-flight mass spectrometry (GC-TOFMS) and ultraperformance liquid chromatography quadrupole time-of-flight mass spectrometry (UPLC-QTOFMS). Differential metabolites were identified with statistical tests of orthogonal partial least-squares-discriminant analysis (VIP &gt; 1) and the Mann-Whitney U test (p &lt; 0.05). With a total of 249 annotated serum metabolites, we were able to differentiate CRC patients from the healthy controls using an orthogonal partial least-squares-discriminant analysis (OPLS-DA) in a learning sample set of 62 CRC patients and 62 matched healthy controls. This established model was able to correctly assign the rest of the samples to the CRC or control groups in a validation set of 39 CRC patients and 40 healthy controls. Consistent with our findings from the previous study, we observed a distinct metabolic signature in CRC patients including tricarboxylic acid (TCA) cycle, urea cycle, glutamine, fatty acids, and gut flora metabolism. Our results demonstrated that a panel of serum metabolite markers is of great potential as a noninvasive diagnostic method for the detection of CRC. © 2013 American Chemical Society.","author":[{"dropping-particle":"","family":"Tan","given":"Binbin","non-dropping-particle":"","parse-names":false,"suffix":""},{"dropping-particle":"","family":"Qiu","given":"Yunping","non-dropping-particle":"","parse-names":false,"suffix":""},{"dropping-particle":"","family":"Zou","given":"Xia","non-dropping-particle":"","parse-names":false,"suffix":""},{"dropping-particle":"","family":"Chen","given":"Tianlu","non-dropping-particle":"","parse-names":false,"suffix":""},{"dropping-particle":"","family":"Xie","given":"Guoxiang","non-dropping-particle":"","parse-names":false,"suffix":""},{"dropping-particle":"","family":"Cheng","given":"Yu","non-dropping-particle":"","parse-names":false,"suffix":""},{"dropping-particle":"","family":"Dong","given":"Taotao","non-dropping-particle":"","parse-names":false,"suffix":""},{"dropping-particle":"","family":"Zhao","given":"Linjing","non-dropping-particle":"","parse-names":false,"suffix":""},{"dropping-particle":"","family":"Feng","given":"Bo","non-dropping-particle":"","parse-names":false,"suffix":""},{"dropping-particle":"","family":"Hu","given":"Xiaofang","non-dropping-particle":"","parse-names":false,"suffix":""},{"dropping-particle":"","family":"Xu","given":"Lisa X.","non-dropping-particle":"","parse-names":false,"suffix":""},{"dropping-particle":"","family":"Zhao","given":"Aihua","non-dropping-particle":"","parse-names":false,"suffix":""},{"dropping-particle":"","family":"Zhang","given":"Menghui","non-dropping-particle":"","parse-names":false,"suffix":""},{"dropping-particle":"","family":"Cai","given":"Guoxiang","non-dropping-particle":"","parse-names":false,"suffix":""},{"dropping-particle":"","family":"Cai","given":"Sanjun","non-dropping-particle":"","parse-names":false,"suffix":""},{"dropping-particle":"","family":"Zhou","given":"Zhanxiang","non-dropping-particle":"","parse-names":false,"suffix":""},{"dropping-particle":"","family":"Zheng","given":"Minhua","non-dropping-particle":"","parse-names":false,"suffix":""},{"dropping-particle":"","family":"Zhang","given":"Yan","non-dropping-particle":"","parse-names":false,"suffix":""},{"dropping-particle":"","family":"Jia","given":"Wei","non-dropping-particle":"","parse-names":false,"suffix":""}],"container-title":"Journal of Proteome Research","id":"ITEM-1","issue":"6","issued":{"date-parts":[["2013"]]},"page":"3000-3009","title":"Metabonomics identifies serum metabolite markers of colorectal cancer","type":"article-journal","volume":"12"},"uris":["http://www.mendeley.com/documents/?uuid=c6c8116e-4e56-3192-a356-b6962759dc6a"]}],"mendeley":{"formattedCitation":"[67]","plainTextFormattedCitation":"[67]","previouslyFormattedCitation":"[67]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[67]</w:t>
            </w:r>
            <w:r w:rsidRPr="00DF6C69">
              <w:rPr>
                <w:rFonts w:cs="Times New Roman"/>
                <w:sz w:val="18"/>
                <w:szCs w:val="18"/>
              </w:rPr>
              <w:fldChar w:fldCharType="end"/>
            </w:r>
            <w:r w:rsidRPr="00DF6C69">
              <w:rPr>
                <w:rFonts w:cs="Times New Roman"/>
                <w:sz w:val="18"/>
                <w:szCs w:val="18"/>
              </w:rPr>
              <w:t xml:space="preserve">, myoinositol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phenylalanine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phosphatidylcholine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{"citationItems":[{"id":"ITEM-1","itemData":{"DOI":"10.1021/pr400337b","ISSN":"15353893","abstract":"Recent studies suggest that biofluid-based metabonomics may identify metabolite markers promising for colorectal cancer (CRC) diagnosis. We report here a follow-up replication study, after a previous CRC metabonomics study, aiming to identify a distinct serum metabolic signature of CRC with diagnostic potential. Serum metabolites from newly diagnosed CRC patients (N = 101) and healthy subjects (N = 102) were profiled using gas chromatography time-of-flight mass spectrometry (GC-TOFMS) and ultraperformance liquid chromatography quadrupole time-of-flight mass spectrometry (UPLC-QTOFMS). Differential metabolites were identified with statistical tests of orthogonal partial least-squares-discriminant analysis (VIP &gt; 1) and the Mann-Whitney U test (p &lt; 0.05). With a total of 249 annotated serum metabolites, we were able to differentiate CRC patients from the healthy controls using an orthogonal partial least-squares-discriminant analysis (OPLS-DA) in a learning sample set of 62 CRC patients and 62 matched healthy controls. This established model was able to correctly assign the rest of the samples to the CRC or control groups in a validation set of 39 CRC patients and 40 healthy controls. Consistent with our findings from the previous study, we observed a distinct metabolic signature in CRC patients including tricarboxylic acid (TCA) cycle, urea cycle, glutamine, fatty acids, and gut flora metabolism. Our results demonstrated that a panel of serum metabolite markers is of great potential as a noninvasive diagnostic method for the detection of CRC. © 2013 American Chemical Society.","author":[{"dropping-particle":"","family":"Tan","given":"Binbin","non-dropping-particle":"","parse-names":false,"suffix":""},{"dropping-particle":"","family":"Qiu","given":"Yunping","non-dropping-particle":"","parse-names":false,"suffix":""},{"dropping-particle":"","family":"Zou","given":"Xia","non-dropping-particle":"","parse-names":false,"suffix":""},{"dropping-particle":"","family":"Chen","given":"Tianlu","non-dropping-particle":"","parse-names":false,"suffix":""},{"dropping-particle":"","family":"Xie","given":"Guoxiang","non-dropping-particle":"","parse-names":false,"suffix":""},{"dropping-particle":"","family":"Cheng","given":"Yu","non-dropping-particle":"","parse-names":false,"suffix":""},{"dropping-particle":"","family":"Dong","given":"Taotao","non-dropping-particle":"","parse-names":false,"suffix":""},{"dropping-particle":"","family":"Zhao","given":"Linjing","non-dropping-particle":"","parse-names":false,"suffix":""},{"dropping-particle":"","family":"Feng","given":"Bo","non-dropping-particle":"","parse-names":false,"suffix":""},{"dropping-particle":"","family":"Hu","given":"Xiaofang","non-dropping-particle":"","parse-names":false,"suffix":""},{"dropping-particle":"","family":"Xu","given":"Lisa X.","non-dropping-particle":"","parse-names":false,"suffix":""},{"dropping-particle":"","family":"Zhao","given":"Aihua","non-dropping-particle":"","parse-names":false,"suffix":""},{"dropping-particle":"","family":"Zhang","given":"Menghui","non-dropping-particle":"","parse-names":false,"suffix":""},{"dropping-particle":"","family":"Cai","given":"Guoxiang","non-dropping-particle":"","parse-names":false,"suffix":""},{"dropping-particle":"","family":"Cai","given":"Sanjun","non-dropping-particle":"","parse-names":false,"suffix":""},{"dropping-particle":"","family":"Zhou","given":"Zhanxiang","non-dropping-particle":"","parse-names":false,"suffix":""},{"dropping-particle":"","family":"Zheng","given":"Minhua","non-dropping-particle":"","parse-names":false,"suffix":""},{"dropping-particle":"","family":"Zhang","given":"Yan","non-dropping-particle":"","parse-names":false,"suffix":""},{"dropping-particle":"","family":"Jia","given":"Wei","non-dropping-particle":"","parse-names":false,"suffix":""}],"container-title":"Journal of Proteome Research","id":"ITEM-1","issue":"6","issued":{"date-parts":[["2013"]]},"page":"3000-3009","title":"Metabonomics identifies serum metabolite markers of colorectal cancer","type":"article-journal","volume":"12"},"uris":["http://www.mendeley.com/documents/?uuid=c6c8116e-4e56-3192-a356-b6962759dc6a"]}],"mendeley":{"formattedCitation":"[67]","plainTextFormattedCitation":"[67]","previouslyFormattedCitation":"[67]"},"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[67]</w:t>
            </w:r>
            <w:r w:rsidRPr="00DF6C69">
              <w:rPr>
                <w:rFonts w:cs="Times New Roman"/>
                <w:sz w:val="18"/>
                <w:szCs w:val="18"/>
              </w:rPr>
              <w:fldChar w:fldCharType="end"/>
            </w:r>
            <w:r w:rsidRPr="00DF6C69">
              <w:rPr>
                <w:rFonts w:cs="Times New Roman"/>
                <w:sz w:val="18"/>
                <w:szCs w:val="18"/>
              </w:rPr>
              <w:t xml:space="preserve">, phosphocholine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{"citationItems":[{"id":"ITEM-1","itemData":{"DOI":"10.1038/leu.2009.295","ISSN":"14765551","abstract":"Chronic lymphocytic leukaemia (CLL) is a heterogeneous disease exhibiting variable clinical course and survival rates. Mutational status of the immunoglobulin heavy chain variable regions (IGHVs) of CLL cells offers useful prognostic information for high-risk patients, but time and economical costs originally prevented it from being routinely used in a clinical setting. Instead, alternative markers of IGHV status, such as zeta-associated protein (ZAP70) or messenger RNA levels are often used. We report a 1H-NMR- based metabolomics approach to examine serum metabolic profiles of early stage, untreated CLL patients (Binet stage A) classified on the basis of IGHV mutational status or ZAP70. Metabolic profiles of CLL patients (n29) exhibited higher concentrations of pyruvate and glutamate and decreased concentrations of isoleucine compared with controls (n9). Differences in metabolic profiles between unmutated (UM-IGHV; n10) and mutated IGHV (M-IGHV; n19) patients were determined using partial least square discriminatory analysis (PLS-DA; R 2 0.74, Q2 0.36). The UM-IGHV patients had elevated levels of cholesterol, lactate, uridine and fumarate, and decreased levels of pyridoxine, glycerol, 3-hydroxybutyrate and methionine concentrations. The PLS-DA models derived from ZAP70 classifications showed comparatively poor goodness-of-fit values, suggesting that IGHV mutational status correlates better with disease-related metabolic profiles. Our results highlight the usefulness of 1 H-NMR-based metabolomics as a potential non-invasive prognostic tool for identifying CLL disease-state biomarkers. © 2010 Macmillan Publishers Limited All rights reserved.","author":[{"dropping-particle":"","family":"MacIntyre","given":"D. A.","non-dropping-particle":"","parse-names":false,"suffix":""},{"dropping-particle":"","family":"Jiménez","given":"B.","non-dropping-particle":"","parse-names":false,"suffix":""},{"dropping-particle":"","family":"Lewintre","given":"E. Jantus","non-dropping-particle":"","parse-names":false,"suffix":""},{"dropping-particle":"","family":"Martín","given":"C. Reinoso","non-dropping-particle":"","parse-names":false,"suffix":""},{"dropping-particle":"","family":"Schäfer","given":"H.","non-dropping-particle":"","parse-names":false,"suffix":""},{"dropping-particle":"","family":"Ballesteros","given":"C. García","non-dropping-particle":"","parse-names":false,"suffix":""},{"dropping-particle":"","family":"Mayans","given":"J. Ramón","non-dropping-particle":"","parse-names":false,"suffix":""},{"dropping-particle":"","family":"Spraul","given":"M.","non-dropping-particle":"","parse-names":false,"suffix":""},{"dropping-particle":"","family":"García-Conde","given":"J.","non-dropping-particle":"","parse-names":false,"suffix":""},{"dropping-particle":"","family":"Pineda-Lucena","given":"A.","non-dropping-particle":"","parse-names":false,"suffix":""}],"container-title":"Leukemia","id":"ITEM-1","issue":"4","issued":{"date-parts":[["2010"]]},"page":"788-797","publisher":"Nature Publishing Group","title":"Serum metabolome analysis by 1H-NMR reveals differences between chronic lymphocytic leukaemia molecular subgroups","type":"article-journal","volume":"24"},"uris":["http://www.mendeley.com/documents/?uuid=be97c8ca-6276-3a0d-8aca-8a183f78b316"]}],"mendeley":{"formattedCitation":"[66]","plainTextFormattedCitation":"[66]","previouslyFormattedCitation":"[66]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[66]</w:t>
            </w:r>
            <w:r w:rsidRPr="00DF6C69">
              <w:rPr>
                <w:rFonts w:cs="Times New Roman"/>
                <w:sz w:val="18"/>
                <w:szCs w:val="18"/>
              </w:rPr>
              <w:fldChar w:fldCharType="end"/>
            </w:r>
            <w:r w:rsidRPr="00DF6C69">
              <w:rPr>
                <w:rFonts w:cs="Times New Roman"/>
                <w:sz w:val="18"/>
                <w:szCs w:val="18"/>
              </w:rPr>
              <w:t xml:space="preserve">, proline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pyruvate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{"citationItems":[{"id":"ITEM-1","itemData":{"DOI":"10.1038/leu.2009.295","ISSN":"14765551","abstract":"Chronic lymphocytic leukaemia (CLL) is a heterogeneous disease exhibiting variable clinical course and survival rates. Mutational status of the immunoglobulin heavy chain variable regions (IGHVs) of CLL cells offers useful prognostic information for high-risk patients, but time and economical costs originally prevented it from being routinely used in a clinical setting. Instead, alternative markers of IGHV status, such as zeta-associated protein (ZAP70) or messenger RNA levels are often used. We report a 1H-NMR- based metabolomics approach to examine serum metabolic profiles of early stage, untreated CLL patients (Binet stage A) classified on the basis of IGHV mutational status or ZAP70. Metabolic profiles of CLL patients (n29) exhibited higher concentrations of pyruvate and glutamate and decreased concentrations of isoleucine compared with controls (n9). Differences in metabolic profiles between unmutated (UM-IGHV; n10) and mutated IGHV (M-IGHV; n19) patients were determined using partial least square discriminatory analysis (PLS-DA; R 2 0.74, Q2 0.36). The UM-IGHV patients had elevated levels of cholesterol, lactate, uridine and fumarate, and decreased levels of pyridoxine, glycerol, 3-hydroxybutyrate and methionine concentrations. The PLS-DA models derived from ZAP70 classifications showed comparatively poor goodness-of-fit values, suggesting that IGHV mutational status correlates better with disease-related metabolic profiles. Our results highlight the usefulness of 1 H-NMR-based metabolomics as a potential non-invasive prognostic tool for identifying CLL disease-state biomarkers. © 2010 Macmillan Publishers Limited All rights reserved.","author":[{"dropping-particle":"","family":"MacIntyre","given":"D. A.","non-dropping-particle":"","parse-names":false,"suffix":""},{"dropping-particle":"","family":"Jiménez","given":"B.","non-dropping-particle":"","parse-names":false,"suffix":""},{"dropping-particle":"","family":"Lewintre","given":"E. Jantus","non-dropping-particle":"","parse-names":false,"suffix":""},{"dropping-particle":"","family":"Martín","given":"C. Reinoso","non-dropping-particle":"","parse-names":false,"suffix":""},{"dropping-particle":"","family":"Schäfer","given":"H.","non-dropping-particle":"","parse-names":false,"suffix":""},{"dropping-particle":"","family":"Ballesteros","given":"C. García","non-dropping-particle":"","parse-names":false,"suffix":""},{"dropping-particle":"","family":"Mayans","given":"J. Ramón","non-dropping-particle":"","parse-names":false,"suffix":""},{"dropping-particle":"","family":"Spraul","given":"M.","non-dropping-particle":"","parse-names":false,"suffix":""},{"dropping-particle":"","family":"García-Conde","given":"J.","non-dropping-particle":"","parse-names":false,"suffix":""},{"dropping-particle":"","family":"Pineda-Lucena","given":"A.","non-dropping-particle":"","parse-names":false,"suffix":""}],"container-title":"Leukemia","id":"ITEM-1","issue":"4","issued":{"date-parts":[["2010"]]},"page":"788-797","publisher":"Nature Publishing Group","title":"Serum metabolome analysis by 1H-NMR reveals differences between chronic lymphocytic leukaemia molecular subgroups","type":"article-journal","volume":"24"},"uris":["http://www.mendeley.com/documents/?uuid=be97c8ca-6276-3a0d-8aca-8a183f78b316"]}],"mendeley":{"formattedCitation":"[66]","plainTextFormattedCitation":"[66]","previouslyFormattedCitation":"[66]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[66]</w:t>
            </w:r>
            <w:r w:rsidRPr="00DF6C69">
              <w:rPr>
                <w:rFonts w:cs="Times New Roman"/>
                <w:sz w:val="18"/>
                <w:szCs w:val="18"/>
              </w:rPr>
              <w:fldChar w:fldCharType="end"/>
            </w:r>
            <w:r w:rsidRPr="00DF6C69">
              <w:rPr>
                <w:rFonts w:cs="Times New Roman"/>
                <w:sz w:val="18"/>
                <w:szCs w:val="18"/>
              </w:rPr>
              <w:t xml:space="preserve">, trimethylamine-N-Oxide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tyrosine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r w:rsidRPr="00DF6C69">
              <w:rPr>
                <w:rFonts w:cs="Times New Roman"/>
                <w:sz w:val="18"/>
                <w:szCs w:val="18"/>
              </w:rPr>
              <w:t xml:space="preserve">, </w:t>
            </w:r>
          </w:p>
          <w:p w14:paraId="0F5B2937" w14:textId="13174B85" w:rsidR="00521E89" w:rsidRPr="00DF6C69" w:rsidRDefault="00521E89" w:rsidP="000765CF">
            <w:pPr>
              <w:rPr>
                <w:rFonts w:cs="Times New Roman"/>
                <w:sz w:val="18"/>
                <w:szCs w:val="18"/>
              </w:rPr>
            </w:pPr>
            <w:r w:rsidRPr="00DF6C69">
              <w:rPr>
                <w:rFonts w:cs="Times New Roman"/>
                <w:sz w:val="18"/>
                <w:szCs w:val="18"/>
              </w:rPr>
              <w:t xml:space="preserve">uric acid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{"citationItems":[{"id":"ITEM-1","itemData":{"DOI":"10.1038/leu.2009.295","ISSN":"14765551","abstract":"Chronic lymphocytic leukaemia (CLL) is a heterogeneous disease exhibiting variable clinical course and survival rates. Mutational status of the immunoglobulin heavy chain variable regions (IGHVs) of CLL cells offers useful prognostic information for high-risk patients, but time and economical costs originally prevented it from being routinely used in a clinical setting. Instead, alternative markers of IGHV status, such as zeta-associated protein (ZAP70) or messenger RNA levels are often used. We report a 1H-NMR- based metabolomics approach to examine serum metabolic profiles of early stage, untreated CLL patients (Binet stage A) classified on the basis of IGHV mutational status or ZAP70. Metabolic profiles of CLL patients (n29) exhibited higher concentrations of pyruvate and glutamate and decreased concentrations of isoleucine compared with controls (n9). Differences in metabolic profiles between unmutated (UM-IGHV; n10) and mutated IGHV (M-IGHV; n19) patients were determined using partial least square discriminatory analysis (PLS-DA; R 2 0.74, Q2 0.36). The UM-IGHV patients had elevated levels of cholesterol, lactate, uridine and fumarate, and decreased levels of pyridoxine, glycerol, 3-hydroxybutyrate and methionine concentrations. The PLS-DA models derived from ZAP70 classifications showed comparatively poor goodness-of-fit values, suggesting that IGHV mutational status correlates better with disease-related metabolic profiles. Our results highlight the usefulness of 1 H-NMR-based metabolomics as a potential non-invasive prognostic tool for identifying CLL disease-state biomarkers. © 2010 Macmillan Publishers Limited All rights reserved.","author":[{"dropping-particle":"","family":"MacIntyre","given":"D. A.","non-dropping-particle":"","parse-names":false,"suffix":""},{"dropping-particle":"","family":"Jiménez","given":"B.","non-dropping-particle":"","parse-names":false,"suffix":""},{"dropping-particle":"","family":"Lewintre","given":"E. Jantus","non-dropping-particle":"","parse-names":false,"suffix":""},{"dropping-particle":"","family":"Martín","given":"C. Reinoso","non-dropping-particle":"","parse-names":false,"suffix":""},{"dropping-particle":"","family":"Schäfer","given":"H.","non-dropping-particle":"","parse-names":false,"suffix":""},{"dropping-particle":"","family":"Ballesteros","given":"C. García","non-dropping-particle":"","parse-names":false,"suffix":""},{"dropping-particle":"","family":"Mayans","given":"J. Ramón","non-dropping-particle":"","parse-names":false,"suffix":""},{"dropping-particle":"","family":"Spraul","given":"M.","non-dropping-particle":"","parse-names":false,"suffix":""},{"dropping-particle":"","family":"García-Conde","given":"J.","non-dropping-particle":"","parse-names":false,"suffix":""},{"dropping-particle":"","family":"Pineda-Lucena","given":"A.","non-dropping-particle":"","parse-names":false,"suffix":""}],"container-title":"Leukemia","id":"ITEM-1","issue":"4","issued":{"date-parts":[["2010"]]},"page":"788-797","publisher":"Nature Publishing Group","title":"Serum metabolome analysis by 1H-NMR reveals differences between chronic lymphocytic leukaemia molecular subgroups","type":"article-journal","volume":"24"},"uris":["http://www.mendeley.com/documents/?uuid=be97c8ca-6276-3a0d-8aca-8a183f78b316"]}],"mendeley":{"formattedCitation":"[66]","plainTextFormattedCitation":"[66]","previouslyFormattedCitation":"[66]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[66]</w:t>
            </w:r>
            <w:r w:rsidRPr="00DF6C69">
              <w:rPr>
                <w:rFonts w:cs="Times New Roman"/>
                <w:sz w:val="18"/>
                <w:szCs w:val="18"/>
              </w:rPr>
              <w:fldChar w:fldCharType="end"/>
            </w:r>
            <w:r w:rsidRPr="00DF6C69">
              <w:rPr>
                <w:rFonts w:cs="Times New Roman"/>
                <w:sz w:val="18"/>
                <w:szCs w:val="18"/>
              </w:rPr>
              <w:t xml:space="preserve">, uridine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{"citationItems":[{"id":"ITEM-1","itemData":{"DOI":"10.1038/leu.2009.295","ISSN":"14765551","abstract":"Chronic lymphocytic leukaemia (CLL) is a heterogeneous disease exhibiting variable clinical course and survival rates. Mutational status of the immunoglobulin heavy chain variable regions (IGHVs) of CLL cells offers useful prognostic information for high-risk patients, but time and economical costs originally prevented it from being routinely used in a clinical setting. Instead, alternative markers of IGHV status, such as zeta-associated protein (ZAP70) or messenger RNA levels are often used. We report a 1H-NMR- based metabolomics approach to examine serum metabolic profiles of early stage, untreated CLL patients (Binet stage A) classified on the basis of IGHV mutational status or ZAP70. Metabolic profiles of CLL patients (n29) exhibited higher concentrations of pyruvate and glutamate and decreased concentrations of isoleucine compared with controls (n9). Differences in metabolic profiles between unmutated (UM-IGHV; n10) and mutated IGHV (M-IGHV; n19) patients were determined using partial least square discriminatory analysis (PLS-DA; R 2 0.74, Q2 0.36). The UM-IGHV patients had elevated levels of cholesterol, lactate, uridine and fumarate, and decreased levels of pyridoxine, glycerol, 3-hydroxybutyrate and methionine concentrations. The PLS-DA models derived from ZAP70 classifications showed comparatively poor goodness-of-fit values, suggesting that IGHV mutational status correlates better with disease-related metabolic profiles. Our results highlight the usefulness of 1 H-NMR-based metabolomics as a potential non-invasive prognostic tool for identifying CLL disease-state biomarkers. © 2010 Macmillan Publishers Limited All rights reserved.","author":[{"dropping-particle":"","family":"MacIntyre","given":"D. A.","non-dropping-particle":"","parse-names":false,"suffix":""},{"dropping-particle":"","family":"Jiménez","given":"B.","non-dropping-particle":"","parse-names":false,"suffix":""},{"dropping-particle":"","family":"Lewintre","given":"E. Jantus","non-dropping-particle":"","parse-names":false,"suffix":""},{"dropping-particle":"","family":"Martín","given":"C. Reinoso","non-dropping-particle":"","parse-names":false,"suffix":""},{"dropping-particle":"","family":"Schäfer","given":"H.","non-dropping-particle":"","parse-names":false,"suffix":""},{"dropping-particle":"","family":"Ballesteros","given":"C. García","non-dropping-particle":"","parse-names":false,"suffix":""},{"dropping-particle":"","family":"Mayans","given":"J. Ramón","non-dropping-particle":"","parse-names":false,"suffix":""},{"dropping-particle":"","family":"Spraul","given":"M.","non-dropping-particle":"","parse-names":false,"suffix":""},{"dropping-particle":"","family":"García-Conde","given":"J.","non-dropping-particle":"","parse-names":false,"suffix":""},{"dropping-particle":"","family":"Pineda-Lucena","given":"A.","non-dropping-particle":"","parse-names":false,"suffix":""}],"container-title":"Leukemia","id":"ITEM-1","issue":"4","issued":{"date-parts":[["2010"]]},"page":"788-797","publisher":"Nature Publishing Group","title":"Serum metabolome analysis by 1H-NMR reveals differences between chronic lymphocytic leukaemia molecular subgroups","type":"article-journal","volume":"24"},"uris":["http://www.mendeley.com/documents/?uuid=be97c8ca-6276-3a0d-8aca-8a183f78b316"]}],"mendeley":{"formattedCitation":"[66]","plainTextFormattedCitation":"[66]","previouslyFormattedCitation":"[66]"},"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[66]</w:t>
            </w:r>
            <w:r w:rsidRPr="00DF6C69">
              <w:rPr>
                <w:rFonts w:cs="Times New Roman"/>
                <w:sz w:val="18"/>
                <w:szCs w:val="18"/>
              </w:rPr>
              <w:fldChar w:fldCharType="end"/>
            </w:r>
            <w:r w:rsidRPr="00DF6C69">
              <w:rPr>
                <w:rFonts w:cs="Times New Roman"/>
                <w:sz w:val="18"/>
                <w:szCs w:val="18"/>
              </w:rPr>
              <w:t xml:space="preserve">, valine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{"citationItems":[{"id":"ITEM-1","itemData":{"DOI":"10.1038/srep30693","ISSN":"20452322","abstract":"Acute leukemia is a critical neoplasm of white blood cells. In order to differentiate between the metabolic alterations associated with two subtypes of acute leukemia, acute lymphoblastic leukemia (ALL) and acute myeloid leukemia (AML), we investigated the serum of ALL and AML patients and compared with two controls (healthy and aplastic anemia) using 1 H NMR (nuclear magnetic resonance) spectroscopy. Thirty-seven putative metabolites were identified using Carr-Purcell-Meiboom-Gill (CPMG) sequence. The use of PLS-DA and OPLS-DA models gave results with 84.38% and 90.63% classification rate, respectively. The metabolites responsible for classification are mainly lipids, lactate and glucose. Compared with controls, ALL and AML patients showed serum metabonomic differences involving aberrant metabolism pathways including glycolysis, TCA cycle, lipoprotein changes, choline and fatty acid metabolisms.","author":[{"dropping-particle":"","family":"Musharraf","given":"Syed Ghulam","non-dropping-particle":"","parse-names":false,"suffix":""},{"dropping-particle":"","family":"Siddiqui","given":"Amna Jabbar","non-dropping-particle":"","parse-names":false,"suffix":""},{"dropping-particle":"","family":"Shamsi","given":"Tahir","non-dropping-particle":"","parse-names":false,"suffix":""},{"dropping-particle":"","family":"Choudhary","given":"M. Iqbal","non-dropping-particle":"","parse-names":false,"suffix":""},{"dropping-particle":"","family":"Rahman","given":"Atta Ur","non-dropping-particle":"","parse-names":false,"suffix":""}],"container-title":"Scientific Reports","id":"ITEM-1","issued":{"date-parts":[["2016","8","2"]]},"publisher":"Nature Publishing Group","title":"Serum metabonomics of acute leukemia using nuclear magnetic resonance spectroscopy","type":"article-journal","volume":"6"},"uris":["http://www.mendeley.com/documents/?uuid=8f5a0efb-0364-387b-aaab-910a1a1602e4"]}],"mendeley":{"formattedCitation":"[65]","plainTextFormattedCitation":"[65]","previouslyFormattedCitation":"[65]"},"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[65]</w:t>
            </w:r>
            <w:r w:rsidRPr="00DF6C69">
              <w:rPr>
                <w:rFonts w:cs="Times New Roman"/>
                <w:sz w:val="18"/>
                <w:szCs w:val="18"/>
              </w:rPr>
              <w:fldChar w:fldCharType="end"/>
            </w:r>
          </w:p>
        </w:tc>
      </w:tr>
      <w:tr w:rsidR="00521E89" w:rsidRPr="00DF6C69" w14:paraId="7A31F498" w14:textId="77777777" w:rsidTr="000765CF">
        <w:trPr>
          <w:trHeight w:val="220"/>
        </w:trPr>
        <w:tc>
          <w:tcPr>
            <w:tcW w:w="1418" w:type="dxa"/>
            <w:vMerge/>
            <w:shd w:val="clear" w:color="auto" w:fill="FFF2CC" w:themeFill="accent4" w:themeFillTint="33"/>
            <w:vAlign w:val="center"/>
          </w:tcPr>
          <w:p w14:paraId="00BCB3A7" w14:textId="77777777" w:rsidR="00521E89" w:rsidRPr="00DF6C69" w:rsidRDefault="00521E89" w:rsidP="000765CF">
            <w:pPr>
              <w:rPr>
                <w:rFonts w:cs="Times New Roman"/>
                <w:b/>
                <w:sz w:val="18"/>
                <w:szCs w:val="18"/>
              </w:rPr>
            </w:pPr>
          </w:p>
        </w:tc>
        <w:tc>
          <w:tcPr>
            <w:tcW w:w="993" w:type="dxa"/>
            <w:vAlign w:val="center"/>
          </w:tcPr>
          <w:p w14:paraId="6244C9E9" w14:textId="77777777" w:rsidR="00521E89" w:rsidRPr="00DF6C69" w:rsidRDefault="00521E89" w:rsidP="000765CF">
            <w:pPr>
              <w:rPr>
                <w:rFonts w:cs="Times New Roman"/>
                <w:sz w:val="18"/>
                <w:szCs w:val="18"/>
              </w:rPr>
            </w:pPr>
            <w:r w:rsidRPr="00DF6C69">
              <w:rPr>
                <w:rFonts w:cs="Times New Roman"/>
                <w:sz w:val="18"/>
                <w:szCs w:val="18"/>
              </w:rPr>
              <w:t>Tissue**</w:t>
            </w:r>
          </w:p>
        </w:tc>
        <w:tc>
          <w:tcPr>
            <w:tcW w:w="6945" w:type="dxa"/>
            <w:vAlign w:val="center"/>
          </w:tcPr>
          <w:p w14:paraId="0402CAFD" w14:textId="44004EE6" w:rsidR="00521E89" w:rsidRPr="00DF6C69" w:rsidRDefault="00521E89" w:rsidP="000765CF">
            <w:pPr>
              <w:rPr>
                <w:rFonts w:cs="Times New Roman"/>
                <w:sz w:val="18"/>
                <w:szCs w:val="18"/>
              </w:rPr>
            </w:pPr>
            <w:r w:rsidRPr="00DF6C69">
              <w:rPr>
                <w:rFonts w:cs="Times New Roman"/>
                <w:sz w:val="18"/>
                <w:szCs w:val="18"/>
              </w:rPr>
              <w:t xml:space="preserve">Asparagine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{"citationItems":[{"id":"ITEM-1","itemData":{"DOI":"10.1038/ncomms11457","ISSN":"20411723","abstract":"Cellular amino acid uptake is critical for mTOR complex 1 (mTORC1) activation and cell proliferation. However, the regulation of amino acid uptake is not well-understood. Here we describe a role for asparagine as an amino acid exchange factor: intracellular asparagine exchanges with extracellular amino acids. Through asparagine synthetase knockdown and altering of media asparagine concentrations, we show that intracellular asparagine levels regulate uptake of amino acids, especially serine, arginine and histidine. Through its exchange factor role, asparagine regulates mTORC1 activity and protein synthesis. In addition, we show that asparagine regulation of serine uptake influences serine metabolism and nucleotide synthesis, suggesting that asparagine is involved in coordinating protein and nucleotide synthesis. Finally, we show that maintenance of intracellular asparagine levels is critical for cancer cell growth. Collectively, our results indicate that asparagine is an important regulator of cancer cell amino acid homeostasis, anabolic metabolism and proliferation.","author":[{"dropping-particle":"","family":"Krall","given":"Abigail S.","non-dropping-particle":"","parse-names":false,"suffix":""},{"dropping-particle":"","family":"Xu","given":"Shili","non-dropping-particle":"","parse-names":false,"suffix":""},{"dropping-particle":"","family":"Graeber","given":"Thomas G.","non-dropping-particle":"","parse-names":false,"suffix":""},{"dropping-particle":"","family":"Braas","given":"Daniel","non-dropping-particle":"","parse-names":false,"suffix":""},{"dropping-particle":"","family":"Christofk","given":"Heather R.","non-dropping-particle":"","parse-names":false,"suffix":""}],"container-title":"Nature Communications","id":"ITEM-1","issued":{"date-parts":[["2016","4","29"]]},"page":"1-13","publisher":"Nature Publishing Group","title":"Asparagine promotes cancer cell proliferation through use as an amino acid exchange factor","type":"article-journal","volume":"7"},"uris":["http://www.mendeley.com/documents/?uuid=2cb50b1a-389f-409f-b5fe-547de6598976"]},{"id":"ITEM-2","itemData":{"DOI":"10.1038/sj.leu.2404423","ISSN":"14765551","author":[{"dropping-particle":"","family":"Li","given":"B. S.","non-dropping-particle":"","parse-names":false,"suffix":""},{"dropping-particle":"","family":"Gu","given":"L. J.","non-dropping-particle":"","parse-names":false,"suffix":""},{"dropping-particle":"","family":"Luo","given":"C. Y.","non-dropping-particle":"","parse-names":false,"suffix":""},{"dropping-particle":"","family":"Li","given":"W. S.","non-dropping-particle":"","parse-names":false,"suffix":""},{"dropping-particle":"","family":"Jiang","given":"L. M.","non-dropping-particle":"","parse-names":false,"suffix":""},{"dropping-particle":"","family":"Shen","given":"S. H.","non-dropping-particle":"","parse-names":false,"suffix":""},{"dropping-particle":"","family":"Jiang","given":"H.","non-dropping-particle":"","parse-names":false,"suffix":""},{"dropping-particle":"","family":"Shen","given":"S. H.","non-dropping-particle":"","parse-names":false,"suffix":""},{"dropping-particle":"","family":"Zhang","given":"B.","non-dropping-particle":"","parse-names":false,"suffix":""},{"dropping-particle":"","family":"Chen","given":"J.","non-dropping-particle":"","parse-names":false,"suffix":""},{"dropping-particle":"","family":"Xue","given":"H. L.","non-dropping-particle":"","parse-names":false,"suffix":""},{"dropping-particle":"","family":"Tang","given":"J. Y.","non-dropping-particle":"","parse-names":false,"suffix":""}],"container-title":"Leukemia","id":"ITEM-2","issue":"12","issued":{"date-parts":[["2006"]]},"page":"2199-2201","publisher":"Nature Publishing Group","title":"The downregulation of asparagine synthetase expression can increase the sensitivity of cells resistant to L-asparaginase [13]","type":"article","volume":"20"},"uris":["http://www.mendeley.com/documents/?uuid=ab2bba7d-c011-31eb-959b-74a3f08609cc"]}],"mendeley":{"formattedCitation":"[12], [68]","plainTextFormattedCitation":"[12], [68]","previouslyFormattedCitation":"[12], [68]"},"properties":{"noteIndex":0},"schema":"https://github.com/citation-style-language/schema/raw/master/csl-citation.json"}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[12], [68]</w:t>
            </w:r>
            <w:r w:rsidRPr="00DF6C69">
              <w:rPr>
                <w:rFonts w:cs="Times New Roman"/>
                <w:sz w:val="18"/>
                <w:szCs w:val="18"/>
              </w:rPr>
              <w:fldChar w:fldCharType="end"/>
            </w:r>
            <w:r w:rsidRPr="00DF6C69">
              <w:rPr>
                <w:rFonts w:cs="Times New Roman"/>
                <w:sz w:val="18"/>
                <w:szCs w:val="18"/>
              </w:rPr>
              <w:t xml:space="preserve">, glutathione </w:t>
            </w:r>
            <w:r w:rsidRPr="00DF6C69">
              <w:rPr>
                <w:rFonts w:cs="Times New Roman"/>
                <w:sz w:val="18"/>
                <w:szCs w:val="18"/>
              </w:rPr>
              <w:fldChar w:fldCharType="begin" w:fldLock="1"/>
            </w:r>
            <w:r w:rsidR="0053537D" w:rsidRPr="00DF6C69">
              <w:rPr>
                <w:rFonts w:cs="Times New Roman"/>
                <w:sz w:val="18"/>
                <w:szCs w:val="18"/>
              </w:rPr>
              <w:instrText>ADDIN CSL_CITATION {"citationItems":[{"id":"ITEM-1","itemData":{"DOI":"10.1074/mcp.M113.030387","ISSN":"15359476","PMID":"23878401","abstract":"Cancer is a leading cause of death and alterations of glycosylation are characteristic features of malignant cells. Colorectal cancer is one of the most common cancers and its exact causes and biology are not yet well understood. Here, we compared glycosylation profiles of colorectal tumor tissues and corresponding control tissues of 13 colorectal cancer patients to contribute to the understanding of this cancer. Using MALDI-TOF(/TOF)-MS and 2-dimensional LC-MS/MS we characterized enzymatically released and 2-aminobenzoic acid labeled glycans from glycosphingolipids. Multivariate data analysis revealed significant differences between tumor and corresponding control tissues. Main discriminators were obtained, which represent the overall alteration in glycosylation of glycosphingolipids during colorectal cancer progression, and these were found to be characterized by (1) increased fucosylation, (2) decreased acetylation, (3) decreased sulfation, (4) reduced expression of globo-type glycans, as well as (5) disialyl gangliosides. The findings of our current research confirm former reports, and in addition expand the knowledge of glycosphingolipid glycosylation in colorectal cancer by revealing new glycans with discriminative power and characteristic, cancer-associated glycosylation alterations. The obtained discriminating glycans can contribute to progress the discovery of biomarkers to improve diagnostics and patient treatment. © 2013 by The American Society for Biochemistry and Molecular Biology, Inc.","author":[{"dropping-particle":"","family":"Holst","given":"Stephanie","non-dropping-particle":"","parse-names":false,"suffix":""},{"dropping-particle":"","family":"Stavenhagen","given":"Kathrin","non-dropping-particle":"","parse-names":false,"suffix":""},{"dropping-particle":"","family":"Balog","given":"Crina I.A.","non-dropping-particle":"","parse-names":false,"suffix":""},{"dropping-particle":"","family":"Koeleman","given":"Carolien A.M.","non-dropping-particle":"","parse-names":false,"suffix":""},{"dropping-particle":"","family":"McDonnell","given":"Liam M.","non-dropping-particle":"","parse-names":false,"suffix":""},{"dropping-particle":"","family":"Mayboroda","given":"Oleg A.","non-dropping-particle":"","parse-names":false,"suffix":""},{"dropping-particle":"","family":"Verhoeven","given":"Aswin","non-dropping-particle":"","parse-names":false,"suffix":""},{"dropping-particle":"","family":"Mesker","given":"Wilma E.","non-dropping-particle":"","parse-names":false,"suffix":""},{"dropping-particle":"","family":"Tollenaar","given":"Rob A.E.M.","non-dropping-particle":"","parse-names":false,"suffix":""},{"dropping-particle":"","family":"Deelder","given":"André M.","non-dropping-particle":"","parse-names":false,"suffix":""},{"dropping-particle":"","family":"Wuhrer","given":"Manfred","non-dropping-particle":"","parse-names":false,"suffix":""}],"container-title":"Molecular and Cellular Proteomics","id":"ITEM-1","issue":"11","issued":{"date-parts":[["2013","11"]]},"page":"3081-3093","title":"Investigations on aberrant glycosylation of glycosphingolipids in colorectal cancer tissues using liquid chromatography and matrix-assisted laser desorption time-of- flight mass spectrometry (MALDI-TOF-MS)","type":"article-journal","volume":"12"},"uris":["http://www.mendeley.com/documents/?uuid=862a4953-23ca-310c-bdd2-408893ad08ca"]}],"mendeley":{"formattedCitation":"[69]","plainTextFormattedCitation":"[69]","previouslyFormattedCitation":"[69]"},"properties":{"noteIndex":0},"schema":"https://github.com/citation-style-language/schema/raw/master/csl-citation.json"}</w:instrText>
            </w:r>
            <w:r w:rsidRPr="00DF6C69">
              <w:rPr>
                <w:rFonts w:cs="Times New Roman"/>
                <w:sz w:val="18"/>
                <w:szCs w:val="18"/>
              </w:rPr>
              <w:fldChar w:fldCharType="separate"/>
            </w:r>
            <w:r w:rsidR="0033020E" w:rsidRPr="00DF6C69">
              <w:rPr>
                <w:rFonts w:cs="Times New Roman"/>
                <w:sz w:val="18"/>
                <w:szCs w:val="18"/>
              </w:rPr>
              <w:t>[69]</w:t>
            </w:r>
            <w:r w:rsidRPr="00DF6C69">
              <w:rPr>
                <w:rFonts w:cs="Times New Roman"/>
                <w:sz w:val="18"/>
                <w:szCs w:val="18"/>
              </w:rPr>
              <w:fldChar w:fldCharType="end"/>
            </w:r>
          </w:p>
        </w:tc>
      </w:tr>
      <w:tr w:rsidR="00521E89" w:rsidRPr="00DF6C69" w14:paraId="08DA522C" w14:textId="77777777" w:rsidTr="0048316E">
        <w:trPr>
          <w:trHeight w:val="776"/>
        </w:trPr>
        <w:tc>
          <w:tcPr>
            <w:tcW w:w="9356" w:type="dxa"/>
            <w:gridSpan w:val="3"/>
            <w:vAlign w:val="center"/>
          </w:tcPr>
          <w:p w14:paraId="69815D42" w14:textId="77777777" w:rsidR="00521E89" w:rsidRPr="00DF6C69" w:rsidRDefault="00521E89" w:rsidP="000765CF">
            <w:pPr>
              <w:rPr>
                <w:rFonts w:cs="Times New Roman"/>
                <w:sz w:val="18"/>
                <w:szCs w:val="18"/>
              </w:rPr>
            </w:pPr>
            <w:r w:rsidRPr="00DF6C69">
              <w:rPr>
                <w:rFonts w:cs="Times New Roman"/>
                <w:sz w:val="18"/>
                <w:szCs w:val="18"/>
              </w:rPr>
              <w:t xml:space="preserve">* This group includes blood, </w:t>
            </w:r>
            <w:proofErr w:type="gramStart"/>
            <w:r w:rsidRPr="00DF6C69">
              <w:rPr>
                <w:rFonts w:cs="Times New Roman"/>
                <w:sz w:val="18"/>
                <w:szCs w:val="18"/>
              </w:rPr>
              <w:t>serum</w:t>
            </w:r>
            <w:proofErr w:type="gramEnd"/>
            <w:r w:rsidRPr="00DF6C69">
              <w:rPr>
                <w:rFonts w:cs="Times New Roman"/>
                <w:sz w:val="18"/>
                <w:szCs w:val="18"/>
              </w:rPr>
              <w:t xml:space="preserve"> or plasma</w:t>
            </w:r>
          </w:p>
          <w:p w14:paraId="22E39880" w14:textId="77777777" w:rsidR="00521E89" w:rsidRPr="00DF6C69" w:rsidRDefault="00521E89" w:rsidP="000765CF">
            <w:pPr>
              <w:rPr>
                <w:rFonts w:cs="Times New Roman"/>
                <w:sz w:val="18"/>
                <w:szCs w:val="18"/>
              </w:rPr>
            </w:pPr>
            <w:r w:rsidRPr="00DF6C69">
              <w:rPr>
                <w:rFonts w:cs="Times New Roman"/>
                <w:sz w:val="18"/>
                <w:szCs w:val="18"/>
              </w:rPr>
              <w:t>** This group includes tissue, cells or locally collected biological fluid (e.g. secretions)</w:t>
            </w:r>
          </w:p>
          <w:p w14:paraId="105E3314" w14:textId="77777777" w:rsidR="00521E89" w:rsidRPr="00DF6C69" w:rsidRDefault="00521E89" w:rsidP="000765CF">
            <w:pPr>
              <w:rPr>
                <w:rFonts w:cs="Times New Roman"/>
                <w:sz w:val="18"/>
                <w:szCs w:val="18"/>
              </w:rPr>
            </w:pPr>
            <w:r w:rsidRPr="00DF6C69">
              <w:rPr>
                <w:rFonts w:cs="Times New Roman"/>
                <w:sz w:val="18"/>
                <w:szCs w:val="18"/>
              </w:rPr>
              <w:t xml:space="preserve">*** Cerebrospinal fluid </w:t>
            </w:r>
          </w:p>
        </w:tc>
      </w:tr>
    </w:tbl>
    <w:p w14:paraId="7BA8847F" w14:textId="77777777" w:rsidR="0033020E" w:rsidRPr="00DF6C69" w:rsidRDefault="0033020E" w:rsidP="00261657"/>
    <w:p w14:paraId="5946138E" w14:textId="4B71B3F7" w:rsidR="0048316E" w:rsidRPr="00DF6C69" w:rsidRDefault="00B039E9" w:rsidP="0048316E">
      <w:pPr>
        <w:pStyle w:val="Heading3"/>
        <w:numPr>
          <w:ilvl w:val="0"/>
          <w:numId w:val="0"/>
        </w:numPr>
      </w:pPr>
      <w:r w:rsidRPr="00DF6C69">
        <w:t>Identifying a prostate cancer specific</w:t>
      </w:r>
      <w:r w:rsidR="0048316E" w:rsidRPr="00DF6C69">
        <w:t xml:space="preserve"> metabolic </w:t>
      </w:r>
      <w:r w:rsidR="00F56E55" w:rsidRPr="00DF6C69">
        <w:t xml:space="preserve">marker </w:t>
      </w:r>
      <w:r w:rsidR="0048316E" w:rsidRPr="00DF6C69">
        <w:t>panel</w:t>
      </w:r>
    </w:p>
    <w:p w14:paraId="7FBE3DA8" w14:textId="0BA23F14" w:rsidR="0048316E" w:rsidRPr="00DF6C69" w:rsidRDefault="00E5442A" w:rsidP="0048316E">
      <w:r w:rsidRPr="00DF6C69">
        <w:t xml:space="preserve">Table 2 refines the range of </w:t>
      </w:r>
      <w:r w:rsidR="00C62F32" w:rsidRPr="00DF6C69">
        <w:t xml:space="preserve">potential </w:t>
      </w:r>
      <w:r w:rsidRPr="00DF6C69">
        <w:t>metabolites</w:t>
      </w:r>
      <w:r w:rsidR="00B3378A" w:rsidRPr="00DF6C69">
        <w:t xml:space="preserve"> shown in Table 1</w:t>
      </w:r>
      <w:r w:rsidRPr="00DF6C69">
        <w:t xml:space="preserve"> to those known to be rele</w:t>
      </w:r>
      <w:r w:rsidR="00744F53" w:rsidRPr="00DF6C69">
        <w:t xml:space="preserve">vant to </w:t>
      </w:r>
      <w:r w:rsidR="0048316E" w:rsidRPr="00DF6C69">
        <w:t>prostate cancer (PCa). Table</w:t>
      </w:r>
      <w:r w:rsidR="00B3378A" w:rsidRPr="00DF6C69">
        <w:t xml:space="preserve"> 2</w:t>
      </w:r>
      <w:r w:rsidR="0048316E" w:rsidRPr="00DF6C69">
        <w:t xml:space="preserve"> shows the link between PCa and metabolites using four sub-categories: associated risk or likelihood of recurrence; evidence of diagnostic capability; evidence of capability of discriminating </w:t>
      </w:r>
      <w:r w:rsidR="00E650D4" w:rsidRPr="00DF6C69">
        <w:t xml:space="preserve">between </w:t>
      </w:r>
      <w:r w:rsidR="0048316E" w:rsidRPr="00DF6C69">
        <w:t xml:space="preserve">a malignant </w:t>
      </w:r>
      <w:r w:rsidR="00E650D4" w:rsidRPr="00DF6C69">
        <w:t xml:space="preserve">and </w:t>
      </w:r>
      <w:r w:rsidR="0048316E" w:rsidRPr="00DF6C69">
        <w:t xml:space="preserve">a benign </w:t>
      </w:r>
      <w:proofErr w:type="spellStart"/>
      <w:r w:rsidR="0048316E" w:rsidRPr="00DF6C69">
        <w:t>tumor</w:t>
      </w:r>
      <w:proofErr w:type="spellEnd"/>
      <w:r w:rsidR="0048316E" w:rsidRPr="00DF6C69">
        <w:t>; and demonstrated capability of providing information about cancer stage, including presence of eventual metastasis.</w:t>
      </w:r>
    </w:p>
    <w:p w14:paraId="2F88193B" w14:textId="0B6DB3A1" w:rsidR="00B226C7" w:rsidRPr="00DF6C69" w:rsidRDefault="00B847ED" w:rsidP="002258FE">
      <w:r w:rsidRPr="00DF6C69">
        <w:t>Since our objective was to devise a single test for multiple metabolites, t</w:t>
      </w:r>
      <w:r w:rsidR="00783A08" w:rsidRPr="00DF6C69">
        <w:t>he data from Table</w:t>
      </w:r>
      <w:r w:rsidR="0029610A" w:rsidRPr="00DF6C69">
        <w:t xml:space="preserve"> 2 was further refined as shown in </w:t>
      </w:r>
      <w:r w:rsidR="005F1925" w:rsidRPr="00DF6C69">
        <w:fldChar w:fldCharType="begin"/>
      </w:r>
      <w:r w:rsidR="005F1925" w:rsidRPr="00DF6C69">
        <w:instrText xml:space="preserve"> REF _Ref42700261 \h </w:instrText>
      </w:r>
      <w:r w:rsidR="00DF6C69">
        <w:instrText xml:space="preserve"> \* MERGEFORMAT </w:instrText>
      </w:r>
      <w:r w:rsidR="005F1925" w:rsidRPr="00DF6C69">
        <w:fldChar w:fldCharType="separate"/>
      </w:r>
      <w:r w:rsidR="00645E46" w:rsidRPr="00DF6C69">
        <w:t xml:space="preserve">Table </w:t>
      </w:r>
      <w:r w:rsidR="00645E46" w:rsidRPr="00DF6C69">
        <w:rPr>
          <w:noProof/>
        </w:rPr>
        <w:t>3</w:t>
      </w:r>
      <w:r w:rsidR="005F1925" w:rsidRPr="00DF6C69">
        <w:fldChar w:fldCharType="end"/>
      </w:r>
      <w:r w:rsidR="005F1925" w:rsidRPr="00DF6C69">
        <w:t xml:space="preserve"> </w:t>
      </w:r>
      <w:r w:rsidR="0029610A" w:rsidRPr="00DF6C69">
        <w:t xml:space="preserve">to </w:t>
      </w:r>
      <w:r w:rsidR="00093BAC" w:rsidRPr="00DF6C69">
        <w:t xml:space="preserve">consider only those metabolites that </w:t>
      </w:r>
      <w:r w:rsidR="00D818A7" w:rsidRPr="00DF6C69">
        <w:t>could</w:t>
      </w:r>
      <w:r w:rsidR="00093BAC" w:rsidRPr="00DF6C69">
        <w:t xml:space="preserve"> be measured in blood</w:t>
      </w:r>
      <w:r w:rsidR="00D818A7" w:rsidRPr="00DF6C69">
        <w:t xml:space="preserve">. </w:t>
      </w:r>
      <w:r w:rsidR="000B32ED" w:rsidRPr="00DF6C69">
        <w:t>If metabolites that are found only in tissues</w:t>
      </w:r>
      <w:r w:rsidR="00462786" w:rsidRPr="00DF6C69">
        <w:t xml:space="preserve"> or other fluids</w:t>
      </w:r>
      <w:r w:rsidR="000B32ED" w:rsidRPr="00DF6C69">
        <w:t xml:space="preserve"> such as urine</w:t>
      </w:r>
      <w:r w:rsidR="003B694B" w:rsidRPr="00DF6C69">
        <w:t xml:space="preserve"> were used</w:t>
      </w:r>
      <w:r w:rsidR="002F7411" w:rsidRPr="00DF6C69">
        <w:t>, a biopsy or multiple tests would be needed.</w:t>
      </w:r>
      <w:r w:rsidR="004951C2" w:rsidRPr="00DF6C69">
        <w:t xml:space="preserve"> </w:t>
      </w:r>
      <w:r w:rsidR="006C0133" w:rsidRPr="00DF6C69">
        <w:t>Since the platform in this study</w:t>
      </w:r>
      <w:r w:rsidR="00B64F31" w:rsidRPr="00DF6C69">
        <w:t xml:space="preserve"> relies on a colorimetric assay, we</w:t>
      </w:r>
      <w:r w:rsidR="00FC0985" w:rsidRPr="00DF6C69">
        <w:t xml:space="preserve"> modelled the </w:t>
      </w:r>
      <w:r w:rsidR="00426564" w:rsidRPr="00DF6C69">
        <w:t xml:space="preserve">expected </w:t>
      </w:r>
      <w:r w:rsidR="00EF2B2E" w:rsidRPr="00DF6C69">
        <w:t>optical absorption</w:t>
      </w:r>
      <w:r w:rsidR="00426564" w:rsidRPr="00DF6C69">
        <w:t xml:space="preserve"> characteristic</w:t>
      </w:r>
      <w:r w:rsidR="00AD602B" w:rsidRPr="00DF6C69">
        <w:t>s</w:t>
      </w:r>
      <w:r w:rsidR="00426564" w:rsidRPr="00DF6C69">
        <w:t xml:space="preserve"> </w:t>
      </w:r>
      <w:r w:rsidR="00E714EA" w:rsidRPr="00DF6C69">
        <w:t>of</w:t>
      </w:r>
      <w:r w:rsidR="00426564" w:rsidRPr="00DF6C69">
        <w:t xml:space="preserve"> different </w:t>
      </w:r>
      <w:r w:rsidR="00E714EA" w:rsidRPr="00DF6C69">
        <w:t xml:space="preserve">candidate </w:t>
      </w:r>
      <w:r w:rsidR="00426564" w:rsidRPr="00DF6C69">
        <w:t xml:space="preserve">assays </w:t>
      </w:r>
      <w:r w:rsidR="00E714EA" w:rsidRPr="00DF6C69">
        <w:t>for</w:t>
      </w:r>
      <w:r w:rsidR="00886142" w:rsidRPr="00DF6C69">
        <w:t xml:space="preserve"> metabolites </w:t>
      </w:r>
      <w:r w:rsidR="00426564" w:rsidRPr="00DF6C69">
        <w:t xml:space="preserve">using Matlab. The </w:t>
      </w:r>
      <w:r w:rsidR="00AD602B" w:rsidRPr="00DF6C69">
        <w:t>simulation</w:t>
      </w:r>
      <w:r w:rsidR="00426564" w:rsidRPr="00DF6C69">
        <w:t xml:space="preserve"> too</w:t>
      </w:r>
      <w:r w:rsidR="00AD602B" w:rsidRPr="00DF6C69">
        <w:t>k</w:t>
      </w:r>
      <w:r w:rsidR="00426564" w:rsidRPr="00DF6C69">
        <w:t xml:space="preserve"> into account the Michaelis-Menten model for enzym</w:t>
      </w:r>
      <w:r w:rsidR="008A4467" w:rsidRPr="00DF6C69">
        <w:t xml:space="preserve">atic substrate turnover using </w:t>
      </w:r>
      <w:r w:rsidR="00087119" w:rsidRPr="00DF6C69">
        <w:t>parameters</w:t>
      </w:r>
      <w:r w:rsidR="008A4467" w:rsidRPr="00DF6C69">
        <w:t xml:space="preserve"> from the BRENDA database </w:t>
      </w:r>
      <w:r w:rsidR="008A4467" w:rsidRPr="00DF6C69">
        <w:fldChar w:fldCharType="begin" w:fldLock="1"/>
      </w:r>
      <w:r w:rsidR="00847C65" w:rsidRPr="00DF6C69">
        <w:instrText>ADDIN CSL_CITATION {"citationItems":[{"id":"ITEM-1","itemData":{"URL":"https://www.brenda-enzymes.org/index.php","accessed":{"date-parts":[["2020","1","22"]]},"id":"ITEM-1","issued":{"date-parts":[["0"]]},"title":"Enzyme Database - BRENDA","type":"webpage"},"uris":["http://www.mendeley.com/documents/?uuid=0887271e-0527-3d6e-a734-b4726773f56d"]}],"mendeley":{"formattedCitation":"[70]","plainTextFormattedCitation":"[70]","previouslyFormattedCitation":"[70]"},"properties":{"noteIndex":0},"schema":"https://github.com/citation-style-language/schema/raw/master/csl-citation.json"}</w:instrText>
      </w:r>
      <w:r w:rsidR="008A4467" w:rsidRPr="00DF6C69">
        <w:fldChar w:fldCharType="separate"/>
      </w:r>
      <w:r w:rsidR="008A4467" w:rsidRPr="00DF6C69">
        <w:t>[70]</w:t>
      </w:r>
      <w:r w:rsidR="008A4467" w:rsidRPr="00DF6C69">
        <w:fldChar w:fldCharType="end"/>
      </w:r>
      <w:r w:rsidR="00995F59" w:rsidRPr="00DF6C69">
        <w:t>,</w:t>
      </w:r>
      <w:r w:rsidR="008A4467" w:rsidRPr="00DF6C69">
        <w:t xml:space="preserve"> and the Beer-Lambert law for optical absorption.</w:t>
      </w:r>
      <w:r w:rsidR="00995F59" w:rsidRPr="00DF6C69">
        <w:t xml:space="preserve"> </w:t>
      </w:r>
      <w:r w:rsidR="00B226C7" w:rsidRPr="00DF6C69">
        <w:t xml:space="preserve">The simulated </w:t>
      </w:r>
      <w:r w:rsidR="00995F59" w:rsidRPr="00DF6C69">
        <w:t>absor</w:t>
      </w:r>
      <w:r w:rsidR="000145B6" w:rsidRPr="00DF6C69">
        <w:t>p</w:t>
      </w:r>
      <w:r w:rsidR="00995F59" w:rsidRPr="00DF6C69">
        <w:t>tion</w:t>
      </w:r>
      <w:r w:rsidR="00B226C7" w:rsidRPr="00DF6C69">
        <w:t xml:space="preserve"> for a given colorimetric reaction was </w:t>
      </w:r>
      <w:r w:rsidR="00B01598" w:rsidRPr="00DF6C69">
        <w:t>paired</w:t>
      </w:r>
      <w:r w:rsidR="00B226C7" w:rsidRPr="00DF6C69">
        <w:t xml:space="preserve"> to the characteristics of the </w:t>
      </w:r>
      <w:r w:rsidR="000145B6" w:rsidRPr="00DF6C69">
        <w:t>photodiodes</w:t>
      </w:r>
      <w:r w:rsidR="00C27AA7" w:rsidRPr="00DF6C69">
        <w:t xml:space="preserve"> to </w:t>
      </w:r>
      <w:r w:rsidR="000145B6" w:rsidRPr="00DF6C69">
        <w:t>assess</w:t>
      </w:r>
      <w:r w:rsidR="00C27AA7" w:rsidRPr="00DF6C69">
        <w:t xml:space="preserve"> </w:t>
      </w:r>
      <w:r w:rsidR="000145B6" w:rsidRPr="00DF6C69">
        <w:t xml:space="preserve">the suitability of </w:t>
      </w:r>
      <w:r w:rsidR="00B01598" w:rsidRPr="00DF6C69">
        <w:t xml:space="preserve">available assays for integration on to </w:t>
      </w:r>
      <w:r w:rsidR="00C27AA7" w:rsidRPr="00DF6C69">
        <w:t xml:space="preserve">the platform </w:t>
      </w:r>
      <w:r w:rsidR="00B226C7" w:rsidRPr="00DF6C69">
        <w:fldChar w:fldCharType="begin" w:fldLock="1"/>
      </w:r>
      <w:r w:rsidR="00847C65" w:rsidRPr="00DF6C69">
        <w:instrText>ADDIN CSL_CITATION {"citationItems":[{"id":"ITEM-1","itemData":{"DOI":"10.1109/TBME.2019.2919192","ISSN":"1558-2531","PMID":"31226063","abstract":"Precision metabolomics and quantification for cost-effective, rapid diagnosis of disease are key goals in personalized medicine and point-of-care testing. Presently, patients are subjected to multiple test procedures requiring large laboratory equipment. Microelectronics has already made modern computing and communications possible by integration of complex functions within a single chip. As More than Moore technology increases in importance, integrated circuits for densely patterned sensor chips have grown in significance. Here, we present a versatile single CMOS chip forming a platform to address personalized needs through on-chip multimodal optical and electrochemical detection that will reduce the number of tests that patients must take. The chip integrates interleaved sensing subsystems for quadruple-mode colorimetric, chemiluminescent, surface plasmon resonance and hydrogen ion measurements. These subsystems include a photodiode array and a single photon avalanche diode array, with some elements functionalized to introduce a surface plasmon resonance mode. The chip also includes an array of ion sensitive field effect transistors. The sensor arrays are distributed uniformly over an active area on the chip surface in a scalable and modular design. Bio-functionalization of the physical sensors yields a highly selective simultaneous multiple-assay platform in a disposable format. We demonstrate its versatile capabilities through quantified bioassays performed on-chip for glucose, cholesterol, urea and urate, each within their naturally occurring physiological range.","author":[{"dropping-particle":"","family":"Al-Rawhani","given":"Mohammed A","non-dropping-particle":"","parse-names":false,"suffix":""},{"dropping-particle":"","family":"Hu","given":"Chunxiao","non-dropping-particle":"","parse-names":false,"suffix":""},{"dropping-particle":"","family":"Giagkoulovits","given":"Christos","non-dropping-particle":"","parse-names":false,"suffix":""},{"dropping-particle":"","family":"Annese","given":"Valerio","non-dropping-particle":"","parse-names":false,"suffix":""},{"dropping-particle":"","family":"Chong Cheah","given":"Boon","non-dropping-particle":"","parse-names":false,"suffix":""},{"dropping-particle":"","family":"Beeley","given":"James Malcolm","non-dropping-particle":"","parse-names":false,"suffix":""},{"dropping-particle":"","family":"Velugotla","given":"Srinivas","non-dropping-particle":"","parse-names":false,"suffix":""},{"dropping-particle":"","family":"Accarino","given":"Claudio","non-dropping-particle":"","parse-names":false,"suffix":""},{"dropping-particle":"","family":"Grant","given":"James","non-dropping-particle":"","parse-names":false,"suffix":""},{"dropping-particle":"","family":"Mitra","given":"Srinjoy","non-dropping-particle":"","parse-names":false,"suffix":""},{"dropping-particle":"","family":"Barrett","given":"Michael","non-dropping-particle":"","parse-names":false,"suffix":""},{"dropping-particle":"","family":"Cochran","given":"Sandy","non-dropping-particle":"","parse-names":false,"suffix":""},{"dropping-particle":"","family":"Cumming","given":"David","non-dropping-particle":"","parse-names":false,"suffix":""}],"container-title":"IEEE transactions on bio-medical engineering","id":"ITEM-1","issued":{"date-parts":[["2019","6","19"]]},"title":"Multimodal Integrated Sensor Platform for Rapid Biomarker Detection.","type":"article-journal"},"uris":["http://www.mendeley.com/documents/?uuid=29a1c8cb-3824-32a3-8515-5ef805e212a7"]}],"mendeley":{"formattedCitation":"[71]","plainTextFormattedCitation":"[71]","previouslyFormattedCitation":"[78]"},"properties":{"noteIndex":0},"schema":"https://github.com/citation-style-language/schema/raw/master/csl-citation.json"}</w:instrText>
      </w:r>
      <w:r w:rsidR="00B226C7" w:rsidRPr="00DF6C69">
        <w:fldChar w:fldCharType="separate"/>
      </w:r>
      <w:r w:rsidR="00847C65" w:rsidRPr="00DF6C69">
        <w:t>[71]</w:t>
      </w:r>
      <w:r w:rsidR="00B226C7" w:rsidRPr="00DF6C69">
        <w:fldChar w:fldCharType="end"/>
      </w:r>
      <w:r w:rsidR="00C27AA7" w:rsidRPr="00DF6C69">
        <w:t>.</w:t>
      </w:r>
    </w:p>
    <w:p w14:paraId="4CCB4EA2" w14:textId="0A90DD71" w:rsidR="004B2262" w:rsidRPr="00DF6C69" w:rsidRDefault="003B056E" w:rsidP="00791ADE">
      <w:r w:rsidRPr="00DF6C69">
        <w:t>It can be seen from</w:t>
      </w:r>
      <w:r w:rsidR="00344A5E" w:rsidRPr="00DF6C69">
        <w:t xml:space="preserve"> </w:t>
      </w:r>
      <w:r w:rsidR="005F1925" w:rsidRPr="00DF6C69">
        <w:fldChar w:fldCharType="begin"/>
      </w:r>
      <w:r w:rsidR="005F1925" w:rsidRPr="00DF6C69">
        <w:instrText xml:space="preserve"> REF _Ref42700261 \h </w:instrText>
      </w:r>
      <w:r w:rsidR="00DF6C69">
        <w:instrText xml:space="preserve"> \* MERGEFORMAT </w:instrText>
      </w:r>
      <w:r w:rsidR="005F1925" w:rsidRPr="00DF6C69">
        <w:fldChar w:fldCharType="separate"/>
      </w:r>
      <w:r w:rsidR="00645E46" w:rsidRPr="00DF6C69">
        <w:t xml:space="preserve">Table </w:t>
      </w:r>
      <w:r w:rsidR="00645E46" w:rsidRPr="00DF6C69">
        <w:rPr>
          <w:noProof/>
        </w:rPr>
        <w:t>3</w:t>
      </w:r>
      <w:r w:rsidR="005F1925" w:rsidRPr="00DF6C69">
        <w:fldChar w:fldCharType="end"/>
      </w:r>
      <w:r w:rsidR="005F1925" w:rsidRPr="00DF6C69">
        <w:t xml:space="preserve"> that </w:t>
      </w:r>
      <w:r w:rsidR="003F7918" w:rsidRPr="00DF6C69">
        <w:t>n</w:t>
      </w:r>
      <w:r w:rsidR="0048316E" w:rsidRPr="00DF6C69">
        <w:t>o</w:t>
      </w:r>
      <w:r w:rsidR="003F7918" w:rsidRPr="00DF6C69">
        <w:t xml:space="preserve"> single</w:t>
      </w:r>
      <w:r w:rsidR="005F1925" w:rsidRPr="00DF6C69">
        <w:t xml:space="preserve"> blood </w:t>
      </w:r>
      <w:r w:rsidR="0048316E" w:rsidRPr="00DF6C69">
        <w:t>metabolite</w:t>
      </w:r>
      <w:r w:rsidR="007915D7" w:rsidRPr="00DF6C69">
        <w:t xml:space="preserve"> that was </w:t>
      </w:r>
      <w:r w:rsidR="002366D2" w:rsidRPr="00DF6C69">
        <w:t>likely to give a good signal</w:t>
      </w:r>
      <w:r w:rsidR="0048316E" w:rsidRPr="00DF6C69">
        <w:t xml:space="preserve"> </w:t>
      </w:r>
      <w:r w:rsidR="005F1925" w:rsidRPr="00DF6C69">
        <w:t xml:space="preserve">was </w:t>
      </w:r>
      <w:r w:rsidR="003F7918" w:rsidRPr="00DF6C69">
        <w:t>uniquely</w:t>
      </w:r>
      <w:r w:rsidR="0048316E" w:rsidRPr="00DF6C69">
        <w:t xml:space="preserve"> specific to PCa </w:t>
      </w:r>
      <w:r w:rsidR="006D5771" w:rsidRPr="00DF6C69">
        <w:t>h</w:t>
      </w:r>
      <w:r w:rsidR="0048316E" w:rsidRPr="00DF6C69">
        <w:t xml:space="preserve">ence a </w:t>
      </w:r>
      <w:r w:rsidR="00186658" w:rsidRPr="00DF6C69">
        <w:t xml:space="preserve">more selective collaborative </w:t>
      </w:r>
      <w:r w:rsidR="0048316E" w:rsidRPr="00DF6C69">
        <w:t>panel of metabolites</w:t>
      </w:r>
      <w:r w:rsidR="002366D2" w:rsidRPr="00DF6C69">
        <w:t xml:space="preserve"> </w:t>
      </w:r>
      <w:r w:rsidR="004B2262" w:rsidRPr="00DF6C69">
        <w:t>was</w:t>
      </w:r>
      <w:r w:rsidR="00186658" w:rsidRPr="00DF6C69">
        <w:t xml:space="preserve"> desirable</w:t>
      </w:r>
      <w:r w:rsidR="0048316E" w:rsidRPr="00DF6C69">
        <w:t>.</w:t>
      </w:r>
    </w:p>
    <w:p w14:paraId="014DF235" w14:textId="441C8F26" w:rsidR="00791ADE" w:rsidRPr="00DF6C69" w:rsidRDefault="0040363E" w:rsidP="00791ADE">
      <w:r w:rsidRPr="00DF6C69">
        <w:t xml:space="preserve">Glutamate was selected because of its higher physiological concentration, potentially leading to a more reliable assay. </w:t>
      </w:r>
      <w:r w:rsidR="00791ADE" w:rsidRPr="00DF6C69">
        <w:rPr>
          <w:shd w:val="clear" w:color="auto" w:fill="FFFFFF"/>
        </w:rPr>
        <w:t xml:space="preserve">Glutamine is metabolised in the glutaminolysis cycle to yield energy and glutamate </w:t>
      </w:r>
      <w:r w:rsidR="00791ADE" w:rsidRPr="00DF6C69">
        <w:rPr>
          <w:shd w:val="clear" w:color="auto" w:fill="FFFFFF"/>
        </w:rPr>
        <w:fldChar w:fldCharType="begin" w:fldLock="1"/>
      </w:r>
      <w:r w:rsidR="00847C65" w:rsidRPr="00DF6C69">
        <w:rPr>
          <w:shd w:val="clear" w:color="auto" w:fill="FFFFFF"/>
        </w:rPr>
        <w:instrText>ADDIN CSL_CITATION {"citationItems":[{"id":"ITEM-1","itemData":{"DOI":"10.3389/fendo.2014.00145","ISSN":"16642392","abstract":"Although cancer metabolism has received considerable attention over the past decade, our knowledge on its specifics is still fragmentary. Altered cellular metabolism is one of the most important hallmarks of cancer. Cancer cells exhibit aberrant glucose metabolism characterized by aerobic glycolysis, a phenomenon known as Warburg effect. Accelerated glucose uptake and glycolysis are main characteristics of cancer cells that allow them for intensive growth and proliferation. Accumulating evidence suggests that O-GlcNAc transferase (OGT), an enzyme responsible for modification of proteins with N-acetylglucosamine, may act as a nutrient sensor that links hexosamine biosynthesis pathway to oncogenic signaling and regulation of factors involved in glucose and lipid metabolism. Recent studies suggest that metabolic reprograming in cancer is connected to changes at the epigenetic level. O-GlcNAcylation seems to play an important role in the regulation of the epigenome in response to cellular metabolic status. Through histone modifications and assembly of gene transcription complexes, OGT can impact on expression of genes important for cellular metabolism. This paper reviews recent findings related to O-GlcNAc-dependent regulation of signaling pathways, transcription factors, enzymes, and epigenetic changes involved in metabolic reprograming of cancer.","author":[{"dropping-particle":"","family":"Jóźwiak","given":"Paweł","non-dropping-particle":"","parse-names":false,"suffix":""},{"dropping-particle":"","family":"Forma","given":"Ewa","non-dropping-particle":"","parse-names":false,"suffix":""},{"dropping-particle":"","family":"Bryś","given":"Magdalena","non-dropping-particle":"","parse-names":false,"suffix":""},{"dropping-particle":"","family":"Krześlak","given":"Anna","non-dropping-particle":"","parse-names":false,"suffix":""}],"container-title":"Frontiers in Endocrinology","id":"ITEM-1","issue":"SEP","issued":{"date-parts":[["2014"]]},"publisher":"Frontiers Media S.A.","title":"O-GlcNAcylation and metabolic reprograming in cancer","type":"article","volume":"5"},"uris":["http://www.mendeley.com/documents/?uuid=5cd8298c-1e9b-3d2e-aaf5-02739f5a22f6"]}],"mendeley":{"formattedCitation":"[72]","plainTextFormattedCitation":"[72]","previouslyFormattedCitation":"[75]"},"properties":{"noteIndex":0},"schema":"https://github.com/citation-style-language/schema/raw/master/csl-citation.json"}</w:instrText>
      </w:r>
      <w:r w:rsidR="00791ADE" w:rsidRPr="00DF6C69">
        <w:rPr>
          <w:shd w:val="clear" w:color="auto" w:fill="FFFFFF"/>
        </w:rPr>
        <w:fldChar w:fldCharType="separate"/>
      </w:r>
      <w:r w:rsidR="00847C65" w:rsidRPr="00DF6C69">
        <w:rPr>
          <w:shd w:val="clear" w:color="auto" w:fill="FFFFFF"/>
        </w:rPr>
        <w:t>[72]</w:t>
      </w:r>
      <w:r w:rsidR="00791ADE" w:rsidRPr="00DF6C69">
        <w:rPr>
          <w:shd w:val="clear" w:color="auto" w:fill="FFFFFF"/>
        </w:rPr>
        <w:fldChar w:fldCharType="end"/>
      </w:r>
      <w:r w:rsidR="00791ADE" w:rsidRPr="00DF6C69">
        <w:rPr>
          <w:shd w:val="clear" w:color="auto" w:fill="FFFFFF"/>
        </w:rPr>
        <w:t xml:space="preserve">. During the tricarboxylic acid cycle, oxidative phosphorylation produces stored energy in the form of adenosine triphosphate. In cancer cells the cycle accelerates and as a consequence more glutamate is produced </w:t>
      </w:r>
      <w:r w:rsidR="00791ADE" w:rsidRPr="00DF6C69">
        <w:rPr>
          <w:shd w:val="clear" w:color="auto" w:fill="FFFFFF"/>
        </w:rPr>
        <w:fldChar w:fldCharType="begin" w:fldLock="1"/>
      </w:r>
      <w:r w:rsidR="00847C65" w:rsidRPr="00DF6C69">
        <w:rPr>
          <w:shd w:val="clear" w:color="auto" w:fill="FFFFFF"/>
        </w:rPr>
        <w:instrText>ADDIN CSL_CITATION {"citationItems":[{"id":"ITEM-1","itemData":{"DOI":"10.1016/j.redox.2017.04.018","ISSN":"22132317","abstract":"This review of the basics of cancer metabolism focuses on exploiting the metabolic differences between normal and cancer cells. The first part of the review covers the different metabolic pathways utilized in normal cells to generate cellular energy, or ATP, and the glycolytic intermediates required to build the cellular machinery. The second part of the review discusses aerobic glycolysis, or the Warburg effect, and the metabolic reprogramming involving glycolysis, tricarboxylic acid cycle, and glutaminolysis in the context of developing targeted inhibitors in cancer cells. Finally, the selective targeting of cancer mitochondrial metabolism using positively charged lipophilic compounds as potential therapeutics and their ability to mitigate the toxic side effects of conventional chemotherapeutics in normal cells are discussed. I hope this graphical review will be useful in helping undergraduate, graduate, and medical students understand how investigating the basics of cancer cell metabolism could provide new insight in developing potentially new anticancer treatment strategies.","author":[{"dropping-particle":"","family":"Kalyanaraman","given":"Balaraman","non-dropping-particle":"","parse-names":false,"suffix":""}],"container-title":"Redox Biology","id":"ITEM-1","issued":{"date-parts":[["2017","8","1"]]},"page":"833-842","publisher":"Elsevier B.V.","title":"Teaching the basics of cancer metabolism: Developing antitumor strategies by exploiting the differences between normal and cancer cell metabolism","type":"article","volume":"12"},"uris":["http://www.mendeley.com/documents/?uuid=5e0b1901-d42c-37d8-aecf-3b61d3a0931c"]},{"id":"ITEM-2","itemData":{"DOI":"10.1242/jcs.181016","ISSN":"14779137","abstract":"A defining hallmark of cancer is uncontrolled cell proliferation. This is initiated once cells have accumulated alterations in signaling pathways that control metabolism and proliferation, wherein the metabolic alterations provide the energetic and anabolic demands of enhanced cell proliferation. How these metabolic requirements are satisfied depends, in part, on the tumor microenvironment, which determines the availability of nutrients and oxygen. In this Cell Science at a Glance paper and the accompanying poster, we summarize our current understanding of cancer metabolism, emphasizing pathways of nutrient utilization and metabolism that either appear or have been proven essential for cancer cells. We also review how this knowledge has contributed to the development of anticancer therapies that target cancer metabolism.","author":[{"dropping-particle":"","family":"Vazquez","given":"Alexei","non-dropping-particle":"","parse-names":false,"suffix":""},{"dropping-particle":"","family":"Kamphorst","given":"Jurre J.","non-dropping-particle":"","parse-names":false,"suffix":""},{"dropping-particle":"","family":"Markert","given":"Elke K.","non-dropping-particle":"","parse-names":false,"suffix":""},{"dropping-particle":"","family":"Schug","given":"Zachary T.","non-dropping-particle":"","parse-names":false,"suffix":""},{"dropping-particle":"","family":"Tardito","given":"Saverio","non-dropping-particle":"","parse-names":false,"suffix":""},{"dropping-particle":"","family":"Gottlieb","given":"Eyal","non-dropping-particle":"","parse-names":false,"suffix":""}],"container-title":"Journal of Cell Science","id":"ITEM-2","issue":"18","issued":{"date-parts":[["2016"]]},"page":"3367-3373","title":"Cancer metabolism at a glance","type":"article-journal","volume":"129"},"uris":["http://www.mendeley.com/documents/?uuid=337701cd-9560-4b05-9c3a-4546d658ad97"]},{"id":"ITEM-3","itemData":{"DOI":"10.3389/fendo.2014.00145","ISSN":"16642392","abstract":"Although cancer metabolism has received considerable attention over the past decade, our knowledge on its specifics is still fragmentary. Altered cellular metabolism is one of the most important hallmarks of cancer. Cancer cells exhibit aberrant glucose metabolism characterized by aerobic glycolysis, a phenomenon known as Warburg effect. Accelerated glucose uptake and glycolysis are main characteristics of cancer cells that allow them for intensive growth and proliferation. Accumulating evidence suggests that O-GlcNAc transferase (OGT), an enzyme responsible for modification of proteins with N-acetylglucosamine, may act as a nutrient sensor that links hexosamine biosynthesis pathway to oncogenic signaling and regulation of factors involved in glucose and lipid metabolism. Recent studies suggest that metabolic reprograming in cancer is connected to changes at the epigenetic level. O-GlcNAcylation seems to play an important role in the regulation of the epigenome in response to cellular metabolic status. Through histone modifications and assembly of gene transcription complexes, OGT can impact on expression of genes important for cellular metabolism. This paper reviews recent findings related to O-GlcNAc-dependent regulation of signaling pathways, transcription factors, enzymes, and epigenetic changes involved in metabolic reprograming of cancer.","author":[{"dropping-particle":"","family":"Jóźwiak","given":"Paweł","non-dropping-particle":"","parse-names":false,"suffix":""},{"dropping-particle":"","family":"Forma","given":"Ewa","non-dropping-particle":"","parse-names":false,"suffix":""},{"dropping-particle":"","family":"Bryś","given":"Magdalena","non-dropping-particle":"","parse-names":false,"suffix":""},{"dropping-particle":"","family":"Krześlak","given":"Anna","non-dropping-particle":"","parse-names":false,"suffix":""}],"container-title":"Frontiers in Endocrinology","id":"ITEM-3","issue":"SEP","issued":{"date-parts":[["2014"]]},"publisher":"Frontiers Media S.A.","title":"O-GlcNAcylation and metabolic reprograming in cancer","type":"article","volume":"5"},"uris":["http://www.mendeley.com/documents/?uuid=5cd8298c-1e9b-3d2e-aaf5-02739f5a22f6"]}],"mendeley":{"formattedCitation":"[72]–[74]","plainTextFormattedCitation":"[72]–[74]","previouslyFormattedCitation":"[75]–[77]"},"properties":{"noteIndex":0},"schema":"https://github.com/citation-style-language/schema/raw/master/csl-citation.json"}</w:instrText>
      </w:r>
      <w:r w:rsidR="00791ADE" w:rsidRPr="00DF6C69">
        <w:rPr>
          <w:shd w:val="clear" w:color="auto" w:fill="FFFFFF"/>
        </w:rPr>
        <w:fldChar w:fldCharType="separate"/>
      </w:r>
      <w:r w:rsidR="00847C65" w:rsidRPr="00DF6C69">
        <w:rPr>
          <w:shd w:val="clear" w:color="auto" w:fill="FFFFFF"/>
        </w:rPr>
        <w:t>[72]–[74]</w:t>
      </w:r>
      <w:r w:rsidR="00791ADE" w:rsidRPr="00DF6C69">
        <w:rPr>
          <w:shd w:val="clear" w:color="auto" w:fill="FFFFFF"/>
        </w:rPr>
        <w:fldChar w:fldCharType="end"/>
      </w:r>
      <w:r w:rsidR="00791ADE" w:rsidRPr="00DF6C69">
        <w:rPr>
          <w:shd w:val="clear" w:color="auto" w:fill="FFFFFF"/>
        </w:rPr>
        <w:t xml:space="preserve">. LAAs are intermediate products of the cycle and may therefore also be used as a biomarker for elevated glutamine </w:t>
      </w:r>
      <w:proofErr w:type="spellStart"/>
      <w:r w:rsidR="00791ADE" w:rsidRPr="00DF6C69">
        <w:rPr>
          <w:shd w:val="clear" w:color="auto" w:fill="FFFFFF"/>
        </w:rPr>
        <w:t>metabolisation</w:t>
      </w:r>
      <w:proofErr w:type="spellEnd"/>
      <w:r w:rsidR="00791ADE" w:rsidRPr="00DF6C69">
        <w:rPr>
          <w:shd w:val="clear" w:color="auto" w:fill="FFFFFF"/>
        </w:rPr>
        <w:t>. The glutaminolysis cycle is known to increase fatty and nucleic acid synthesis that sustain cell proliferation in cancer.</w:t>
      </w:r>
    </w:p>
    <w:p w14:paraId="41871C0C" w14:textId="68577BB6" w:rsidR="0082134A" w:rsidRPr="00DF6C69" w:rsidRDefault="00791ADE" w:rsidP="0082134A">
      <w:r w:rsidRPr="00DF6C69">
        <w:rPr>
          <w:shd w:val="clear" w:color="auto" w:fill="FFFFFF"/>
        </w:rPr>
        <w:t xml:space="preserve">Choline and sarcosine are essential compounds in fatty acids and cell membrane synthesis </w:t>
      </w:r>
      <w:r w:rsidRPr="00DF6C69">
        <w:fldChar w:fldCharType="begin" w:fldLock="1"/>
      </w:r>
      <w:r w:rsidR="00847C65" w:rsidRPr="00DF6C69">
        <w:instrText>ADDIN CSL_CITATION {"citationItems":[{"id":"ITEM-1","itemData":{"DOI":"10.1097/01.NT.0000286155.55343.fa","ISSN":"0029666X","abstract":"Choline is needed for the maintenance of the structural integrity and signaling functions of cell membranes, for neurotransmission, and for transport of lipids and as a source of methyl groups. Choline can be made de novo in the body, but some individuals must also obtain choline in the diet to prevent deficiency symptoms. A number of environmental and genetic factors influence dietary requirements for choline, and average intakes in the population vary widely. Therefore, certain individuals may be at greater risk of choline deficiency. Choline is critical during fetal development, particularly during the development of the brain, where it can influence neural tube closure and lifelong memory and learning functions. © 2007 Lippincott Williams &amp; Wilkins, Inc.","author":[{"dropping-particle":"","family":"Sanders","given":"Lisa M.","non-dropping-particle":"","parse-names":false,"suffix":""},{"dropping-particle":"","family":"Zeisel","given":"Steven H.","non-dropping-particle":"","parse-names":false,"suffix":""}],"container-title":"Nutrition Today","id":"ITEM-1","issue":"4","issued":{"date-parts":[["2007"]]},"page":"181-186","title":"Choline: Dietary requirements and role in brain development","type":"article-journal","volume":"42"},"uris":["http://www.mendeley.com/documents/?uuid=1907dc94-5a80-4817-a98a-42c4bb8bec07"]}],"mendeley":{"formattedCitation":"[75]","plainTextFormattedCitation":"[75]","previouslyFormattedCitation":"[71]"},"properties":{"noteIndex":0},"schema":"https://github.com/citation-style-language/schema/raw/master/csl-citation.json"}</w:instrText>
      </w:r>
      <w:r w:rsidRPr="00DF6C69">
        <w:fldChar w:fldCharType="separate"/>
      </w:r>
      <w:r w:rsidR="00847C65" w:rsidRPr="00DF6C69">
        <w:t>[75]</w:t>
      </w:r>
      <w:r w:rsidRPr="00DF6C69">
        <w:fldChar w:fldCharType="end"/>
      </w:r>
      <w:r w:rsidRPr="00DF6C69">
        <w:t xml:space="preserve">, thus increased levels of choline and sarcosine are thought to indicate biological transformation </w:t>
      </w:r>
      <w:r w:rsidRPr="00DF6C69">
        <w:lastRenderedPageBreak/>
        <w:t xml:space="preserve">of cells linked to tumour cell proliferation. </w:t>
      </w:r>
      <w:r w:rsidR="00464B35" w:rsidRPr="00DF6C69">
        <w:t xml:space="preserve">Choline was included in the panel as a distinctive measurement that is related to lipid transport and cell membrane synthesis </w:t>
      </w:r>
      <w:bookmarkStart w:id="6" w:name="_Hlk43200169"/>
      <w:r w:rsidR="00464B35" w:rsidRPr="00DF6C69">
        <w:fldChar w:fldCharType="begin" w:fldLock="1"/>
      </w:r>
      <w:r w:rsidR="00847C65" w:rsidRPr="00DF6C69">
        <w:instrText>ADDIN CSL_CITATION {"citationItems":[{"id":"ITEM-1","itemData":{"DOI":"10.1097/01.NT.0000286155.55343.fa","ISSN":"0029666X","abstract":"Choline is needed for the maintenance of the structural integrity and signaling functions of cell membranes, for neurotransmission, and for transport of lipids and as a source of methyl groups. Choline can be made de novo in the body, but some individuals must also obtain choline in the diet to prevent deficiency symptoms. A number of environmental and genetic factors influence dietary requirements for choline, and average intakes in the population vary widely. Therefore, certain individuals may be at greater risk of choline deficiency. Choline is critical during fetal development, particularly during the development of the brain, where it can influence neural tube closure and lifelong memory and learning functions. © 2007 Lippincott Williams &amp; Wilkins, Inc.","author":[{"dropping-particle":"","family":"Sanders","given":"Lisa M.","non-dropping-particle":"","parse-names":false,"suffix":""},{"dropping-particle":"","family":"Zeisel","given":"Steven H.","non-dropping-particle":"","parse-names":false,"suffix":""}],"container-title":"Nutrition Today","id":"ITEM-1","issue":"4","issued":{"date-parts":[["2007"]]},"page":"181-186","title":"Choline: Dietary requirements and role in brain development","type":"article-journal","volume":"42"},"uris":["http://www.mendeley.com/documents/?uuid=1907dc94-5a80-4817-a98a-42c4bb8bec07"]}],"mendeley":{"formattedCitation":"[75]","plainTextFormattedCitation":"[75]","previouslyFormattedCitation":"[71]"},"properties":{"noteIndex":0},"schema":"https://github.com/citation-style-language/schema/raw/master/csl-citation.json"}</w:instrText>
      </w:r>
      <w:r w:rsidR="00464B35" w:rsidRPr="00DF6C69">
        <w:fldChar w:fldCharType="separate"/>
      </w:r>
      <w:r w:rsidR="00847C65" w:rsidRPr="00DF6C69">
        <w:t>[75]</w:t>
      </w:r>
      <w:r w:rsidR="00464B35" w:rsidRPr="00DF6C69">
        <w:fldChar w:fldCharType="end"/>
      </w:r>
      <w:bookmarkEnd w:id="6"/>
      <w:r w:rsidR="00464B35" w:rsidRPr="00DF6C69">
        <w:t xml:space="preserve">. </w:t>
      </w:r>
      <w:r w:rsidR="0082134A" w:rsidRPr="00DF6C69">
        <w:t xml:space="preserve">As well as LAA, sarcosine concentration appears from Table 3 to be a highly specific metabolite for PCa among the relevant choices and therefore was included in the metabolic panel. </w:t>
      </w:r>
      <w:r w:rsidR="004B2262" w:rsidRPr="00DF6C69">
        <w:t>S</w:t>
      </w:r>
      <w:r w:rsidR="0082134A" w:rsidRPr="00DF6C69">
        <w:t>arcosine has been found to be linked to colorectal cancer as well as PCa and the usefulness of sarcosine as a marker for PCa is debatable [74</w:t>
      </w:r>
      <w:proofErr w:type="gramStart"/>
      <w:r w:rsidR="0082134A" w:rsidRPr="00DF6C69">
        <w:t>]</w:t>
      </w:r>
      <w:r w:rsidR="004B2262" w:rsidRPr="00DF6C69">
        <w:t>, but</w:t>
      </w:r>
      <w:proofErr w:type="gramEnd"/>
      <w:r w:rsidR="004B2262" w:rsidRPr="00DF6C69">
        <w:t xml:space="preserve"> </w:t>
      </w:r>
      <w:r w:rsidR="00D04D91" w:rsidRPr="00DF6C69">
        <w:t xml:space="preserve">could be seen to be a viable candidate marker from the </w:t>
      </w:r>
      <w:r w:rsidR="00C33719" w:rsidRPr="00DF6C69">
        <w:t>literature.</w:t>
      </w:r>
    </w:p>
    <w:p w14:paraId="7F847643" w14:textId="09E2CB1A" w:rsidR="003E4567" w:rsidRPr="00DF6C69" w:rsidRDefault="00BB171C" w:rsidP="00511FB3">
      <w:pPr>
        <w:rPr>
          <w:rFonts w:eastAsia="Times New Roman" w:cs="Times New Roman"/>
          <w:i/>
          <w:iCs/>
          <w:color w:val="000000" w:themeColor="text1"/>
          <w:szCs w:val="18"/>
          <w:lang w:eastAsia="en-GB"/>
        </w:rPr>
      </w:pPr>
      <w:r w:rsidRPr="00DF6C69">
        <w:rPr>
          <w:shd w:val="clear" w:color="auto" w:fill="FFFFFF"/>
        </w:rPr>
        <w:t>Owing to the dysregulation of glutamate, LAA, choline and sarcosine in tumour cell proliferation, and their su</w:t>
      </w:r>
      <w:r w:rsidR="007470AD" w:rsidRPr="00DF6C69">
        <w:rPr>
          <w:shd w:val="clear" w:color="auto" w:fill="FFFFFF"/>
        </w:rPr>
        <w:t>i</w:t>
      </w:r>
      <w:r w:rsidRPr="00DF6C69">
        <w:rPr>
          <w:shd w:val="clear" w:color="auto" w:fill="FFFFFF"/>
        </w:rPr>
        <w:t xml:space="preserve">tability for working on the platform, </w:t>
      </w:r>
      <w:r w:rsidR="007470AD" w:rsidRPr="00DF6C69">
        <w:rPr>
          <w:shd w:val="clear" w:color="auto" w:fill="FFFFFF"/>
        </w:rPr>
        <w:t xml:space="preserve">these metabolites were </w:t>
      </w:r>
      <w:r w:rsidRPr="00DF6C69">
        <w:rPr>
          <w:shd w:val="clear" w:color="auto" w:fill="FFFFFF"/>
        </w:rPr>
        <w:t>selected for our panel.</w:t>
      </w:r>
      <w:bookmarkStart w:id="7" w:name="_Ref38298468"/>
      <w:bookmarkEnd w:id="1"/>
      <w:bookmarkEnd w:id="2"/>
      <w:r w:rsidR="003E4567" w:rsidRPr="00DF6C69">
        <w:br w:type="page"/>
      </w:r>
    </w:p>
    <w:p w14:paraId="335314A4" w14:textId="3AE5E055" w:rsidR="00173E7A" w:rsidRPr="00DF6C69" w:rsidRDefault="00521E89" w:rsidP="00521E89">
      <w:pPr>
        <w:pStyle w:val="Caption"/>
      </w:pPr>
      <w:r w:rsidRPr="00DF6C69">
        <w:lastRenderedPageBreak/>
        <w:t xml:space="preserve">Table </w:t>
      </w:r>
      <w:fldSimple w:instr=" SEQ Table \* ARABIC ">
        <w:r w:rsidR="00645E46" w:rsidRPr="00DF6C69">
          <w:rPr>
            <w:noProof/>
          </w:rPr>
          <w:t>2</w:t>
        </w:r>
      </w:fldSimple>
      <w:bookmarkEnd w:id="7"/>
      <w:r w:rsidR="00313218" w:rsidRPr="00DF6C69">
        <w:t>.</w:t>
      </w:r>
      <w:r w:rsidRPr="00DF6C69">
        <w:t xml:space="preserve"> Summary of metabolites </w:t>
      </w:r>
      <w:r w:rsidR="00942EEF" w:rsidRPr="00DF6C69">
        <w:t xml:space="preserve">that </w:t>
      </w:r>
      <w:r w:rsidRPr="00DF6C69">
        <w:t>have been linked to PCa in</w:t>
      </w:r>
      <w:r w:rsidR="00942EEF" w:rsidRPr="00DF6C69">
        <w:t xml:space="preserve"> the</w:t>
      </w:r>
      <w:r w:rsidRPr="00DF6C69">
        <w:t xml:space="preserve"> literature. Metabolite correlation with cancer has been divided into the type of sample (serum*, tissue**, urine) and cancer stage.</w:t>
      </w:r>
    </w:p>
    <w:tbl>
      <w:tblPr>
        <w:tblStyle w:val="TableGrid"/>
        <w:tblW w:w="9356" w:type="dxa"/>
        <w:tblInd w:w="-289" w:type="dxa"/>
        <w:tblLayout w:type="fixed"/>
        <w:tblLook w:val="04A0" w:firstRow="1" w:lastRow="0" w:firstColumn="1" w:lastColumn="0" w:noHBand="0" w:noVBand="1"/>
      </w:tblPr>
      <w:tblGrid>
        <w:gridCol w:w="472"/>
        <w:gridCol w:w="1532"/>
        <w:gridCol w:w="974"/>
        <w:gridCol w:w="1440"/>
        <w:gridCol w:w="1549"/>
        <w:gridCol w:w="1549"/>
        <w:gridCol w:w="1840"/>
      </w:tblGrid>
      <w:tr w:rsidR="00521E89" w:rsidRPr="00DF6C69" w14:paraId="573E8152" w14:textId="77777777" w:rsidTr="00313218">
        <w:trPr>
          <w:trHeight w:val="20"/>
        </w:trPr>
        <w:tc>
          <w:tcPr>
            <w:tcW w:w="2004" w:type="dxa"/>
            <w:gridSpan w:val="2"/>
            <w:shd w:val="clear" w:color="auto" w:fill="D9E2F3" w:themeFill="accent1" w:themeFillTint="33"/>
            <w:noWrap/>
            <w:vAlign w:val="center"/>
            <w:hideMark/>
          </w:tcPr>
          <w:p w14:paraId="66729A8B" w14:textId="77777777" w:rsidR="00521E89" w:rsidRPr="00DF6C69" w:rsidRDefault="00521E89" w:rsidP="000765CF">
            <w:pPr>
              <w:jc w:val="center"/>
              <w:rPr>
                <w:rFonts w:ascii="Times New Roman" w:hAnsi="Times New Roman" w:cs="Times New Roman"/>
                <w:b/>
                <w:bCs/>
                <w:sz w:val="18"/>
                <w:szCs w:val="18"/>
              </w:rPr>
            </w:pPr>
            <w:bookmarkStart w:id="8" w:name="_Hlk42615498"/>
            <w:r w:rsidRPr="00DF6C69">
              <w:rPr>
                <w:rFonts w:ascii="Times New Roman" w:hAnsi="Times New Roman" w:cs="Times New Roman"/>
                <w:b/>
                <w:bCs/>
                <w:sz w:val="18"/>
                <w:szCs w:val="18"/>
              </w:rPr>
              <w:t>Metabolite</w:t>
            </w:r>
          </w:p>
        </w:tc>
        <w:tc>
          <w:tcPr>
            <w:tcW w:w="974" w:type="dxa"/>
            <w:shd w:val="clear" w:color="auto" w:fill="D9E2F3" w:themeFill="accent1" w:themeFillTint="33"/>
            <w:vAlign w:val="center"/>
          </w:tcPr>
          <w:p w14:paraId="559FB7B6" w14:textId="77777777" w:rsidR="00521E89" w:rsidRPr="00DF6C69" w:rsidRDefault="00521E89" w:rsidP="000765CF">
            <w:pPr>
              <w:jc w:val="center"/>
              <w:rPr>
                <w:rFonts w:ascii="Times New Roman" w:hAnsi="Times New Roman" w:cs="Times New Roman"/>
                <w:b/>
                <w:bCs/>
                <w:sz w:val="18"/>
                <w:szCs w:val="18"/>
              </w:rPr>
            </w:pPr>
            <w:r w:rsidRPr="00DF6C69">
              <w:rPr>
                <w:rFonts w:ascii="Times New Roman" w:hAnsi="Times New Roman" w:cs="Times New Roman"/>
                <w:b/>
                <w:bCs/>
                <w:sz w:val="18"/>
                <w:szCs w:val="18"/>
              </w:rPr>
              <w:t>Sample</w:t>
            </w:r>
          </w:p>
        </w:tc>
        <w:tc>
          <w:tcPr>
            <w:tcW w:w="1440" w:type="dxa"/>
            <w:shd w:val="clear" w:color="auto" w:fill="D9E2F3" w:themeFill="accent1" w:themeFillTint="33"/>
            <w:noWrap/>
            <w:vAlign w:val="center"/>
            <w:hideMark/>
          </w:tcPr>
          <w:p w14:paraId="6B57AC90" w14:textId="77777777" w:rsidR="00521E89" w:rsidRPr="00DF6C69" w:rsidRDefault="00521E89" w:rsidP="000765CF">
            <w:pPr>
              <w:jc w:val="center"/>
              <w:rPr>
                <w:rFonts w:ascii="Times New Roman" w:hAnsi="Times New Roman" w:cs="Times New Roman"/>
                <w:b/>
                <w:bCs/>
                <w:sz w:val="18"/>
                <w:szCs w:val="18"/>
              </w:rPr>
            </w:pPr>
            <w:r w:rsidRPr="00DF6C69">
              <w:rPr>
                <w:rFonts w:ascii="Times New Roman" w:hAnsi="Times New Roman" w:cs="Times New Roman"/>
                <w:b/>
                <w:bCs/>
                <w:sz w:val="18"/>
                <w:szCs w:val="18"/>
              </w:rPr>
              <w:t>Risk or recurrence</w:t>
            </w:r>
          </w:p>
        </w:tc>
        <w:tc>
          <w:tcPr>
            <w:tcW w:w="1549" w:type="dxa"/>
            <w:shd w:val="clear" w:color="auto" w:fill="D9E2F3" w:themeFill="accent1" w:themeFillTint="33"/>
            <w:noWrap/>
            <w:vAlign w:val="center"/>
            <w:hideMark/>
          </w:tcPr>
          <w:p w14:paraId="1D83FC49" w14:textId="77777777" w:rsidR="00521E89" w:rsidRPr="00DF6C69" w:rsidRDefault="00521E89" w:rsidP="000765CF">
            <w:pPr>
              <w:jc w:val="center"/>
              <w:rPr>
                <w:rFonts w:ascii="Times New Roman" w:hAnsi="Times New Roman" w:cs="Times New Roman"/>
                <w:b/>
                <w:bCs/>
                <w:sz w:val="18"/>
                <w:szCs w:val="18"/>
              </w:rPr>
            </w:pPr>
            <w:r w:rsidRPr="00DF6C69">
              <w:rPr>
                <w:rFonts w:ascii="Times New Roman" w:hAnsi="Times New Roman" w:cs="Times New Roman"/>
                <w:b/>
                <w:bCs/>
                <w:sz w:val="18"/>
                <w:szCs w:val="18"/>
              </w:rPr>
              <w:t>Diagnosis</w:t>
            </w:r>
          </w:p>
        </w:tc>
        <w:tc>
          <w:tcPr>
            <w:tcW w:w="1549" w:type="dxa"/>
            <w:shd w:val="clear" w:color="auto" w:fill="D9E2F3" w:themeFill="accent1" w:themeFillTint="33"/>
            <w:noWrap/>
            <w:vAlign w:val="center"/>
            <w:hideMark/>
          </w:tcPr>
          <w:p w14:paraId="6B724C9E" w14:textId="77777777" w:rsidR="00521E89" w:rsidRPr="00DF6C69" w:rsidRDefault="00521E89" w:rsidP="000765CF">
            <w:pPr>
              <w:jc w:val="center"/>
              <w:rPr>
                <w:rFonts w:ascii="Times New Roman" w:hAnsi="Times New Roman" w:cs="Times New Roman"/>
                <w:b/>
                <w:bCs/>
                <w:sz w:val="18"/>
                <w:szCs w:val="18"/>
              </w:rPr>
            </w:pPr>
            <w:r w:rsidRPr="00DF6C69">
              <w:rPr>
                <w:rFonts w:ascii="Times New Roman" w:hAnsi="Times New Roman" w:cs="Times New Roman"/>
                <w:b/>
                <w:bCs/>
                <w:sz w:val="18"/>
                <w:szCs w:val="18"/>
              </w:rPr>
              <w:t>Malignancy (vs benignancy)</w:t>
            </w:r>
          </w:p>
        </w:tc>
        <w:tc>
          <w:tcPr>
            <w:tcW w:w="1840" w:type="dxa"/>
            <w:shd w:val="clear" w:color="auto" w:fill="D9E2F3" w:themeFill="accent1" w:themeFillTint="33"/>
            <w:noWrap/>
            <w:vAlign w:val="center"/>
            <w:hideMark/>
          </w:tcPr>
          <w:p w14:paraId="1AF229E9" w14:textId="77777777" w:rsidR="00521E89" w:rsidRPr="00DF6C69" w:rsidRDefault="00521E89" w:rsidP="000765CF">
            <w:pPr>
              <w:jc w:val="center"/>
              <w:rPr>
                <w:rFonts w:ascii="Times New Roman" w:hAnsi="Times New Roman" w:cs="Times New Roman"/>
                <w:b/>
                <w:bCs/>
                <w:sz w:val="18"/>
                <w:szCs w:val="18"/>
              </w:rPr>
            </w:pPr>
            <w:r w:rsidRPr="00DF6C69">
              <w:rPr>
                <w:rFonts w:ascii="Times New Roman" w:hAnsi="Times New Roman" w:cs="Times New Roman"/>
                <w:b/>
                <w:bCs/>
                <w:sz w:val="18"/>
                <w:szCs w:val="18"/>
              </w:rPr>
              <w:t>Staging</w:t>
            </w:r>
          </w:p>
        </w:tc>
      </w:tr>
      <w:tr w:rsidR="00521E89" w:rsidRPr="00DF6C69" w14:paraId="386585DE" w14:textId="77777777" w:rsidTr="00313218">
        <w:trPr>
          <w:trHeight w:val="20"/>
        </w:trPr>
        <w:tc>
          <w:tcPr>
            <w:tcW w:w="2004" w:type="dxa"/>
            <w:gridSpan w:val="2"/>
            <w:vMerge w:val="restart"/>
            <w:shd w:val="clear" w:color="auto" w:fill="FFF2CC" w:themeFill="accent4" w:themeFillTint="33"/>
            <w:noWrap/>
            <w:vAlign w:val="center"/>
          </w:tcPr>
          <w:p w14:paraId="67832AA3" w14:textId="77777777" w:rsidR="00521E89" w:rsidRPr="00DF6C69" w:rsidRDefault="00521E89" w:rsidP="00313218">
            <w:pPr>
              <w:jc w:val="center"/>
              <w:rPr>
                <w:rFonts w:ascii="Times New Roman" w:hAnsi="Times New Roman" w:cs="Times New Roman"/>
                <w:sz w:val="18"/>
                <w:szCs w:val="18"/>
              </w:rPr>
            </w:pPr>
            <w:bookmarkStart w:id="9" w:name="_Hlk43196946"/>
            <w:r w:rsidRPr="00DF6C69">
              <w:rPr>
                <w:rFonts w:ascii="Times New Roman" w:hAnsi="Times New Roman" w:cs="Times New Roman"/>
                <w:sz w:val="18"/>
                <w:szCs w:val="18"/>
              </w:rPr>
              <w:t xml:space="preserve">Androsterone </w:t>
            </w:r>
            <w:proofErr w:type="spellStart"/>
            <w:r w:rsidRPr="00DF6C69">
              <w:rPr>
                <w:rFonts w:ascii="Times New Roman" w:hAnsi="Times New Roman" w:cs="Times New Roman"/>
                <w:sz w:val="18"/>
                <w:szCs w:val="18"/>
              </w:rPr>
              <w:t>sulfate</w:t>
            </w:r>
            <w:proofErr w:type="spellEnd"/>
          </w:p>
        </w:tc>
        <w:tc>
          <w:tcPr>
            <w:tcW w:w="974" w:type="dxa"/>
            <w:shd w:val="clear" w:color="auto" w:fill="FFF2CC" w:themeFill="accent4" w:themeFillTint="33"/>
            <w:vAlign w:val="center"/>
          </w:tcPr>
          <w:p w14:paraId="2E07AC32"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7765D31A"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18607D97" w14:textId="240524FF"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auto"/>
            <w:noWrap/>
            <w:vAlign w:val="center"/>
          </w:tcPr>
          <w:p w14:paraId="48BEC81F"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auto"/>
            <w:noWrap/>
            <w:vAlign w:val="center"/>
          </w:tcPr>
          <w:p w14:paraId="5A1024ED" w14:textId="77777777" w:rsidR="00521E89" w:rsidRPr="00DF6C69" w:rsidRDefault="00521E89" w:rsidP="000765CF">
            <w:pPr>
              <w:jc w:val="center"/>
              <w:rPr>
                <w:rFonts w:ascii="Times New Roman" w:hAnsi="Times New Roman" w:cs="Times New Roman"/>
                <w:sz w:val="18"/>
                <w:szCs w:val="18"/>
              </w:rPr>
            </w:pPr>
          </w:p>
        </w:tc>
      </w:tr>
      <w:tr w:rsidR="00521E89" w:rsidRPr="00DF6C69" w14:paraId="2EB543A4" w14:textId="77777777" w:rsidTr="00313218">
        <w:trPr>
          <w:trHeight w:val="20"/>
        </w:trPr>
        <w:tc>
          <w:tcPr>
            <w:tcW w:w="2004" w:type="dxa"/>
            <w:gridSpan w:val="2"/>
            <w:vMerge/>
            <w:shd w:val="clear" w:color="auto" w:fill="FFF2CC" w:themeFill="accent4" w:themeFillTint="33"/>
            <w:noWrap/>
            <w:vAlign w:val="center"/>
          </w:tcPr>
          <w:p w14:paraId="29CD7376"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49D3393A"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47474B39"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151DABCB"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2E54354F" w14:textId="77777777" w:rsidR="00521E89" w:rsidRPr="00DF6C69" w:rsidRDefault="00521E89" w:rsidP="000765CF">
            <w:pPr>
              <w:jc w:val="center"/>
              <w:rPr>
                <w:rFonts w:ascii="Times New Roman" w:hAnsi="Times New Roman" w:cs="Times New Roman"/>
                <w:sz w:val="18"/>
                <w:szCs w:val="18"/>
              </w:rPr>
            </w:pPr>
          </w:p>
        </w:tc>
        <w:tc>
          <w:tcPr>
            <w:tcW w:w="1840" w:type="dxa"/>
            <w:noWrap/>
            <w:vAlign w:val="center"/>
          </w:tcPr>
          <w:p w14:paraId="6F8DD1C4" w14:textId="77777777" w:rsidR="00521E89" w:rsidRPr="00DF6C69" w:rsidRDefault="00521E89" w:rsidP="000765CF">
            <w:pPr>
              <w:jc w:val="center"/>
              <w:rPr>
                <w:rFonts w:ascii="Times New Roman" w:hAnsi="Times New Roman" w:cs="Times New Roman"/>
                <w:sz w:val="18"/>
                <w:szCs w:val="18"/>
              </w:rPr>
            </w:pPr>
          </w:p>
        </w:tc>
      </w:tr>
      <w:tr w:rsidR="00521E89" w:rsidRPr="00DF6C69" w14:paraId="35F1012F" w14:textId="77777777" w:rsidTr="00313218">
        <w:trPr>
          <w:trHeight w:val="20"/>
        </w:trPr>
        <w:tc>
          <w:tcPr>
            <w:tcW w:w="2004" w:type="dxa"/>
            <w:gridSpan w:val="2"/>
            <w:vMerge/>
            <w:shd w:val="clear" w:color="auto" w:fill="FFF2CC" w:themeFill="accent4" w:themeFillTint="33"/>
            <w:noWrap/>
            <w:vAlign w:val="center"/>
          </w:tcPr>
          <w:p w14:paraId="7AF0B2BB"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7F05AD0F"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17CD25D7"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343179A8"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6914DF9F"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auto"/>
            <w:noWrap/>
            <w:vAlign w:val="center"/>
          </w:tcPr>
          <w:p w14:paraId="60D3BC70" w14:textId="77777777" w:rsidR="00521E89" w:rsidRPr="00DF6C69" w:rsidRDefault="00521E89" w:rsidP="000765CF">
            <w:pPr>
              <w:jc w:val="center"/>
              <w:rPr>
                <w:rFonts w:ascii="Times New Roman" w:hAnsi="Times New Roman" w:cs="Times New Roman"/>
                <w:sz w:val="18"/>
                <w:szCs w:val="18"/>
              </w:rPr>
            </w:pPr>
          </w:p>
        </w:tc>
      </w:tr>
      <w:tr w:rsidR="00521E89" w:rsidRPr="00DF6C69" w14:paraId="159C985A" w14:textId="77777777" w:rsidTr="00313218">
        <w:trPr>
          <w:trHeight w:val="20"/>
        </w:trPr>
        <w:tc>
          <w:tcPr>
            <w:tcW w:w="2004" w:type="dxa"/>
            <w:gridSpan w:val="2"/>
            <w:vMerge w:val="restart"/>
            <w:shd w:val="clear" w:color="auto" w:fill="FFF2CC" w:themeFill="accent4" w:themeFillTint="33"/>
            <w:noWrap/>
            <w:vAlign w:val="center"/>
          </w:tcPr>
          <w:p w14:paraId="79C74282" w14:textId="77777777" w:rsidR="00521E89" w:rsidRPr="00DF6C69" w:rsidRDefault="00521E89" w:rsidP="00313218">
            <w:pPr>
              <w:jc w:val="center"/>
              <w:rPr>
                <w:rFonts w:ascii="Times New Roman" w:hAnsi="Times New Roman" w:cs="Times New Roman"/>
                <w:sz w:val="18"/>
                <w:szCs w:val="18"/>
              </w:rPr>
            </w:pPr>
            <w:r w:rsidRPr="00DF6C69">
              <w:rPr>
                <w:rFonts w:ascii="Times New Roman" w:hAnsi="Times New Roman" w:cs="Times New Roman"/>
                <w:sz w:val="18"/>
                <w:szCs w:val="18"/>
              </w:rPr>
              <w:t>Arachidonoyl amine</w:t>
            </w:r>
          </w:p>
        </w:tc>
        <w:tc>
          <w:tcPr>
            <w:tcW w:w="974" w:type="dxa"/>
            <w:shd w:val="clear" w:color="auto" w:fill="FFF2CC" w:themeFill="accent4" w:themeFillTint="33"/>
            <w:vAlign w:val="center"/>
          </w:tcPr>
          <w:p w14:paraId="6C4F7EA5"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40BA5EE0"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48D6969C" w14:textId="1EBA7DBE"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auto"/>
            <w:noWrap/>
            <w:vAlign w:val="center"/>
          </w:tcPr>
          <w:p w14:paraId="6B5CB357"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auto"/>
            <w:noWrap/>
            <w:vAlign w:val="center"/>
          </w:tcPr>
          <w:p w14:paraId="5E58F42F" w14:textId="77777777" w:rsidR="00521E89" w:rsidRPr="00DF6C69" w:rsidRDefault="00521E89" w:rsidP="000765CF">
            <w:pPr>
              <w:jc w:val="center"/>
              <w:rPr>
                <w:rFonts w:ascii="Times New Roman" w:hAnsi="Times New Roman" w:cs="Times New Roman"/>
                <w:sz w:val="18"/>
                <w:szCs w:val="18"/>
              </w:rPr>
            </w:pPr>
          </w:p>
        </w:tc>
      </w:tr>
      <w:bookmarkEnd w:id="9"/>
      <w:tr w:rsidR="00521E89" w:rsidRPr="00DF6C69" w14:paraId="43A4C4C3" w14:textId="77777777" w:rsidTr="00313218">
        <w:trPr>
          <w:trHeight w:val="20"/>
        </w:trPr>
        <w:tc>
          <w:tcPr>
            <w:tcW w:w="2004" w:type="dxa"/>
            <w:gridSpan w:val="2"/>
            <w:vMerge/>
            <w:shd w:val="clear" w:color="auto" w:fill="FFF2CC" w:themeFill="accent4" w:themeFillTint="33"/>
            <w:noWrap/>
            <w:vAlign w:val="center"/>
          </w:tcPr>
          <w:p w14:paraId="338D700A"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54100413"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057941F2"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17E389C1"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0F28645E"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auto"/>
            <w:noWrap/>
            <w:vAlign w:val="center"/>
          </w:tcPr>
          <w:p w14:paraId="1B9F26EB" w14:textId="77777777" w:rsidR="00521E89" w:rsidRPr="00DF6C69" w:rsidRDefault="00521E89" w:rsidP="000765CF">
            <w:pPr>
              <w:jc w:val="center"/>
              <w:rPr>
                <w:rFonts w:ascii="Times New Roman" w:hAnsi="Times New Roman" w:cs="Times New Roman"/>
                <w:sz w:val="18"/>
                <w:szCs w:val="18"/>
              </w:rPr>
            </w:pPr>
          </w:p>
        </w:tc>
      </w:tr>
      <w:tr w:rsidR="00521E89" w:rsidRPr="00DF6C69" w14:paraId="644788C2" w14:textId="77777777" w:rsidTr="00313218">
        <w:trPr>
          <w:trHeight w:val="20"/>
        </w:trPr>
        <w:tc>
          <w:tcPr>
            <w:tcW w:w="2004" w:type="dxa"/>
            <w:gridSpan w:val="2"/>
            <w:vMerge/>
            <w:shd w:val="clear" w:color="auto" w:fill="FFF2CC" w:themeFill="accent4" w:themeFillTint="33"/>
            <w:noWrap/>
            <w:vAlign w:val="center"/>
          </w:tcPr>
          <w:p w14:paraId="231D39F1"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3344A8DF"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6C0F3013"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1DB44A88"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289C002D"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auto"/>
            <w:noWrap/>
            <w:vAlign w:val="center"/>
          </w:tcPr>
          <w:p w14:paraId="03BF7DBE" w14:textId="77777777" w:rsidR="00521E89" w:rsidRPr="00DF6C69" w:rsidRDefault="00521E89" w:rsidP="000765CF">
            <w:pPr>
              <w:jc w:val="center"/>
              <w:rPr>
                <w:rFonts w:ascii="Times New Roman" w:hAnsi="Times New Roman" w:cs="Times New Roman"/>
                <w:sz w:val="18"/>
                <w:szCs w:val="18"/>
              </w:rPr>
            </w:pPr>
          </w:p>
        </w:tc>
      </w:tr>
      <w:tr w:rsidR="00521E89" w:rsidRPr="00DF6C69" w14:paraId="5CEA465D" w14:textId="77777777" w:rsidTr="00313218">
        <w:trPr>
          <w:trHeight w:val="20"/>
        </w:trPr>
        <w:tc>
          <w:tcPr>
            <w:tcW w:w="2004" w:type="dxa"/>
            <w:gridSpan w:val="2"/>
            <w:vMerge w:val="restart"/>
            <w:shd w:val="clear" w:color="auto" w:fill="FFF2CC" w:themeFill="accent4" w:themeFillTint="33"/>
            <w:noWrap/>
            <w:vAlign w:val="center"/>
            <w:hideMark/>
          </w:tcPr>
          <w:p w14:paraId="07171A3F" w14:textId="77777777" w:rsidR="00521E89" w:rsidRPr="00DF6C69" w:rsidRDefault="00521E89" w:rsidP="00313218">
            <w:pPr>
              <w:jc w:val="center"/>
              <w:rPr>
                <w:rFonts w:ascii="Times New Roman" w:hAnsi="Times New Roman" w:cs="Times New Roman"/>
                <w:sz w:val="18"/>
                <w:szCs w:val="18"/>
              </w:rPr>
            </w:pPr>
            <w:r w:rsidRPr="00DF6C69">
              <w:rPr>
                <w:rFonts w:ascii="Times New Roman" w:hAnsi="Times New Roman" w:cs="Times New Roman"/>
                <w:sz w:val="18"/>
                <w:szCs w:val="18"/>
              </w:rPr>
              <w:t>Cholesterol</w:t>
            </w:r>
          </w:p>
        </w:tc>
        <w:tc>
          <w:tcPr>
            <w:tcW w:w="974" w:type="dxa"/>
            <w:shd w:val="clear" w:color="auto" w:fill="FFF2CC" w:themeFill="accent4" w:themeFillTint="33"/>
            <w:vAlign w:val="center"/>
          </w:tcPr>
          <w:p w14:paraId="1C569BC3"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hideMark/>
          </w:tcPr>
          <w:p w14:paraId="41A23625"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hideMark/>
          </w:tcPr>
          <w:p w14:paraId="07040D06"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hideMark/>
          </w:tcPr>
          <w:p w14:paraId="41746204"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E2EFD9" w:themeFill="accent6" w:themeFillTint="33"/>
            <w:vAlign w:val="center"/>
            <w:hideMark/>
          </w:tcPr>
          <w:p w14:paraId="28E10E31" w14:textId="23337D6A"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r>
      <w:tr w:rsidR="00521E89" w:rsidRPr="00DF6C69" w14:paraId="5F3C0E1C" w14:textId="77777777" w:rsidTr="00313218">
        <w:trPr>
          <w:trHeight w:val="20"/>
        </w:trPr>
        <w:tc>
          <w:tcPr>
            <w:tcW w:w="2004" w:type="dxa"/>
            <w:gridSpan w:val="2"/>
            <w:vMerge/>
            <w:shd w:val="clear" w:color="auto" w:fill="FFF2CC" w:themeFill="accent4" w:themeFillTint="33"/>
            <w:noWrap/>
            <w:vAlign w:val="center"/>
          </w:tcPr>
          <w:p w14:paraId="229A5273"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1559D880"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32D36E5B"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743D7A50"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758A466C"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E2EFD9" w:themeFill="accent6" w:themeFillTint="33"/>
            <w:vAlign w:val="center"/>
          </w:tcPr>
          <w:p w14:paraId="54BC84B6" w14:textId="2EFC912D"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r>
      <w:tr w:rsidR="00521E89" w:rsidRPr="00DF6C69" w14:paraId="0CBFBB81" w14:textId="77777777" w:rsidTr="00313218">
        <w:trPr>
          <w:trHeight w:val="20"/>
        </w:trPr>
        <w:tc>
          <w:tcPr>
            <w:tcW w:w="2004" w:type="dxa"/>
            <w:gridSpan w:val="2"/>
            <w:vMerge/>
            <w:shd w:val="clear" w:color="auto" w:fill="FFF2CC" w:themeFill="accent4" w:themeFillTint="33"/>
            <w:noWrap/>
            <w:vAlign w:val="center"/>
          </w:tcPr>
          <w:p w14:paraId="1DF639C4"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0A12D5C5"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0F9F9793"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78868DEF"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5CFFF81E" w14:textId="77777777" w:rsidR="00521E89" w:rsidRPr="00DF6C69" w:rsidRDefault="00521E89" w:rsidP="000765CF">
            <w:pPr>
              <w:jc w:val="center"/>
              <w:rPr>
                <w:rFonts w:ascii="Times New Roman" w:hAnsi="Times New Roman" w:cs="Times New Roman"/>
                <w:sz w:val="18"/>
                <w:szCs w:val="18"/>
              </w:rPr>
            </w:pPr>
          </w:p>
        </w:tc>
        <w:tc>
          <w:tcPr>
            <w:tcW w:w="1840" w:type="dxa"/>
            <w:vAlign w:val="center"/>
          </w:tcPr>
          <w:p w14:paraId="62DE7F1F" w14:textId="77777777" w:rsidR="00521E89" w:rsidRPr="00DF6C69" w:rsidRDefault="00521E89" w:rsidP="000765CF">
            <w:pPr>
              <w:jc w:val="center"/>
              <w:rPr>
                <w:rFonts w:ascii="Times New Roman" w:hAnsi="Times New Roman" w:cs="Times New Roman"/>
                <w:sz w:val="18"/>
                <w:szCs w:val="18"/>
              </w:rPr>
            </w:pPr>
          </w:p>
        </w:tc>
      </w:tr>
      <w:tr w:rsidR="00521E89" w:rsidRPr="00DF6C69" w14:paraId="01FD5042" w14:textId="77777777" w:rsidTr="00313218">
        <w:trPr>
          <w:trHeight w:val="20"/>
        </w:trPr>
        <w:tc>
          <w:tcPr>
            <w:tcW w:w="2004" w:type="dxa"/>
            <w:gridSpan w:val="2"/>
            <w:vMerge w:val="restart"/>
            <w:shd w:val="clear" w:color="auto" w:fill="FFF2CC" w:themeFill="accent4" w:themeFillTint="33"/>
            <w:noWrap/>
            <w:vAlign w:val="center"/>
            <w:hideMark/>
          </w:tcPr>
          <w:p w14:paraId="32890547" w14:textId="77777777" w:rsidR="00521E89" w:rsidRPr="00DF6C69" w:rsidRDefault="00521E89" w:rsidP="00313218">
            <w:pPr>
              <w:jc w:val="center"/>
              <w:rPr>
                <w:rFonts w:ascii="Times New Roman" w:hAnsi="Times New Roman" w:cs="Times New Roman"/>
                <w:sz w:val="18"/>
                <w:szCs w:val="18"/>
              </w:rPr>
            </w:pPr>
            <w:r w:rsidRPr="00DF6C69">
              <w:rPr>
                <w:rFonts w:ascii="Times New Roman" w:hAnsi="Times New Roman" w:cs="Times New Roman"/>
                <w:sz w:val="18"/>
                <w:szCs w:val="18"/>
              </w:rPr>
              <w:t>Choline</w:t>
            </w:r>
          </w:p>
        </w:tc>
        <w:tc>
          <w:tcPr>
            <w:tcW w:w="974" w:type="dxa"/>
            <w:shd w:val="clear" w:color="auto" w:fill="FFF2CC" w:themeFill="accent4" w:themeFillTint="33"/>
            <w:vAlign w:val="center"/>
          </w:tcPr>
          <w:p w14:paraId="4D9C3E39"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E2EFD9" w:themeFill="accent6" w:themeFillTint="33"/>
            <w:noWrap/>
            <w:vAlign w:val="center"/>
            <w:hideMark/>
          </w:tcPr>
          <w:p w14:paraId="7E0BEAD8" w14:textId="62407501"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{"citationItems":[{"id":"ITEM-1","itemData":{"DOI":"10.1158/1055-9965.EPI-08-1193","ISSN":"10559965","abstract":"Purpose: Components of one-carbon metabolism are believed to influence cancer development with suggested mechanisms, including DNA methylation and DNA repair mechanisms. However, few prospective studies have investigated one-carbon metabolism in relation to prostate cancer risk, and the results have been conflicting. The aim of this study was to do a comprehensive investigation of the components of one-carbon metabolism in relation to prostate cancer risk. A panel of seven circulating B vitamins and related metabolites was selected, most of which have not been studied before. Materials and Methods: We analyzed plasma concentrations of betaine, choline, cysteine, methionine, methylmalonic acid (MMA), vitamin B2, and vitamin B6 in 561 cases and 1,034 controls matched for age and recruitment date, nested within the population-based Northern Sweden Health and Disease Cohort. Relative risks of prostate cancer were estimated by conditional logistic regression. Results: Positive associations with prostate cancer risk were observed for choline and vitamin B2, and an inverse association was observed for MMA. The relative risks for a doubling in concentrationswere 1.46 [95%confidence interval (95% CI), 1.04-2.05; Ptrend = 0.03] for choline, 1.11 (95% CI, 1.00-1.23; Ptrend = 0.04) for vitamin B2, and 0.78 (95% CI, 0.63-0.97; Ptrend = 0.03) for MMA. Concentrations of betaine, cysteine,methionine, and vitamin B6 were not associated with prostate cancer risk. Conclusion: The results of this large prospective study suggest that elevated plasma concentrations of choline and vitamin B2 may be associated with an increased risk of prostate cancer. These novel findings support a role of one-carbon metabolism in prostate cancer etiology and warrant further investigation. Copyright © 2009 American Association for Cancer Research.","author":[{"dropping-particle":"","family":"Johansson","given":"Mattias","non-dropping-particle":"","parse-names":false,"suffix":""},{"dropping-particle":"","family":"Guelpen","given":"Bethany","non-dropping-particle":"Van","parse-names":false,"suffix":""},{"dropping-particle":"","family":"Vollset","given":"Stein Emil","non-dropping-particle":"","parse-names":false,"suffix":""},{"dropping-particle":"","family":"Hultdin","given":"Johan","non-dropping-particle":"","parse-names":false,"suffix":""},{"dropping-particle":"","family":"Bergh","given":"Anders","non-dropping-particle":"","parse-names":false,"suffix":""},{"dropping-particle":"","family":"Key","given":"Tim","non-dropping-particle":"","parse-names":false,"suffix":""},{"dropping-particle":"","family":"Midttun","given":"Øivind","non-dropping-particle":"","parse-names":false,"suffix":""},{"dropping-particle":"","family":"Hallmans","given":"Göran","non-dropping-particle":"","parse-names":false,"suffix":""},{"dropping-particle":"","family":"Ueland","given":"Per M.","non-dropping-particle":"","parse-names":false,"suffix":""},{"dropping-particle":"","family":"Stattin","given":"Pär","non-dropping-particle":"","parse-names":false,"suffix":""}],"container-title":"Cancer Epidemiology Biomarkers and Prevention","id":"ITEM-1","issue":"5","issued":{"date-parts":[["2009","5"]]},"page":"1538-1543","title":"One-carbon metabolism and prostate cancer risk: Prospective investigation of seven circulating B vitamins and metabolites","type":"article-journal","volume":"18"},"uris":["http://www.mendeley.com/documents/?uuid=208d5f48-0321-35b3-bd36-75f142a8684e"]}],"mendeley":{"formattedCitation":"[44]","plainTextFormattedCitation":"[44]","previouslyFormattedCitation":"[44]"},"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[44]</w:t>
            </w:r>
            <w:r w:rsidRPr="00DF6C69">
              <w:rPr>
                <w:rFonts w:ascii="Times New Roman" w:hAnsi="Times New Roman" w:cs="Times New Roman"/>
                <w:sz w:val="18"/>
                <w:szCs w:val="18"/>
              </w:rPr>
              <w:fldChar w:fldCharType="end"/>
            </w:r>
          </w:p>
        </w:tc>
        <w:tc>
          <w:tcPr>
            <w:tcW w:w="1549" w:type="dxa"/>
            <w:shd w:val="clear" w:color="auto" w:fill="E2EFD9" w:themeFill="accent6" w:themeFillTint="33"/>
            <w:vAlign w:val="center"/>
            <w:hideMark/>
          </w:tcPr>
          <w:p w14:paraId="2A3D4E04" w14:textId="0FF828A8"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{"citationItems":[{"id":"ITEM-1","itemData":{"DOI":"10.1158/1055-9965.EPI-08-1193","ISSN":"10559965","abstract":"Purpose: Components of one-carbon metabolism are believed to influence cancer development with suggested mechanisms, including DNA methylation and DNA repair mechanisms. However, few prospective studies have investigated one-carbon metabolism in relation to prostate cancer risk, and the results have been conflicting. The aim of this study was to do a comprehensive investigation of the components of one-carbon metabolism in relation to prostate cancer risk. A panel of seven circulating B vitamins and related metabolites was selected, most of which have not been studied before. Materials and Methods: We analyzed plasma concentrations of betaine, choline, cysteine, methionine, methylmalonic acid (MMA), vitamin B2, and vitamin B6 in 561 cases and 1,034 controls matched for age and recruitment date, nested within the population-based Northern Sweden Health and Disease Cohort. Relative risks of prostate cancer were estimated by conditional logistic regression. Results: Positive associations with prostate cancer risk were observed for choline and vitamin B2, and an inverse association was observed for MMA. The relative risks for a doubling in concentrationswere 1.46 [95%confidence interval (95% CI), 1.04-2.05; Ptrend = 0.03] for choline, 1.11 (95% CI, 1.00-1.23; Ptrend = 0.04) for vitamin B2, and 0.78 (95% CI, 0.63-0.97; Ptrend = 0.03) for MMA. Concentrations of betaine, cysteine,methionine, and vitamin B6 were not associated with prostate cancer risk. Conclusion: The results of this large prospective study suggest that elevated plasma concentrations of choline and vitamin B2 may be associated with an increased risk of prostate cancer. These novel findings support a role of one-carbon metabolism in prostate cancer etiology and warrant further investigation. Copyright © 2009 American Association for Cancer Research.","author":[{"dropping-particle":"","family":"Johansson","given":"Mattias","non-dropping-particle":"","parse-names":false,"suffix":""},{"dropping-particle":"","family":"Guelpen","given":"Bethany","non-dropping-particle":"Van","parse-names":false,"suffix":""},{"dropping-particle":"","family":"Vollset","given":"Stein Emil","non-dropping-particle":"","parse-names":false,"suffix":""},{"dropping-particle":"","family":"Hultdin","given":"Johan","non-dropping-particle":"","parse-names":false,"suffix":""},{"dropping-particle":"","family":"Bergh","given":"Anders","non-dropping-particle":"","parse-names":false,"suffix":""},{"dropping-particle":"","family":"Key","given":"Tim","non-dropping-particle":"","parse-names":false,"suffix":""},{"dropping-particle":"","family":"Midttun","given":"Øivind","non-dropping-particle":"","parse-names":false,"suffix":""},{"dropping-particle":"","family":"Hallmans","given":"Göran","non-dropping-particle":"","parse-names":false,"suffix":""},{"dropping-particle":"","family":"Ueland","given":"Per M.","non-dropping-particle":"","parse-names":false,"suffix":""},{"dropping-particle":"","family":"Stattin","given":"Pär","non-dropping-particle":"","parse-names":false,"suffix":""}],"container-title":"Cancer Epidemiology Biomarkers and Prevention","id":"ITEM-1","issue":"5","issued":{"date-parts":[["2009","5"]]},"page":"1538-1543","title":"One-carbon metabolism and prostate cancer risk: Prospective investigation of seven circulating B vitamins and metabolites","type":"article-journal","volume":"18"},"uris":["http://www.mendeley.com/documents/?uuid=208d5f48-0321-35b3-bd36-75f142a8684e"]}],"mendeley":{"formattedCitation":"[44]","plainTextFormattedCitation":"[44]","previouslyFormattedCitation":"[44]"},"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[44]</w:t>
            </w:r>
            <w:r w:rsidRPr="00DF6C69">
              <w:rPr>
                <w:rFonts w:ascii="Times New Roman" w:hAnsi="Times New Roman" w:cs="Times New Roman"/>
                <w:sz w:val="18"/>
                <w:szCs w:val="18"/>
              </w:rPr>
              <w:fldChar w:fldCharType="end"/>
            </w:r>
          </w:p>
        </w:tc>
        <w:tc>
          <w:tcPr>
            <w:tcW w:w="1549" w:type="dxa"/>
            <w:vAlign w:val="center"/>
            <w:hideMark/>
          </w:tcPr>
          <w:p w14:paraId="0CE6B883" w14:textId="77777777" w:rsidR="00521E89" w:rsidRPr="00DF6C69" w:rsidRDefault="00521E89" w:rsidP="000765CF">
            <w:pPr>
              <w:jc w:val="center"/>
              <w:rPr>
                <w:rFonts w:ascii="Times New Roman" w:hAnsi="Times New Roman" w:cs="Times New Roman"/>
                <w:sz w:val="18"/>
                <w:szCs w:val="18"/>
              </w:rPr>
            </w:pPr>
          </w:p>
        </w:tc>
        <w:tc>
          <w:tcPr>
            <w:tcW w:w="1840" w:type="dxa"/>
            <w:vAlign w:val="center"/>
            <w:hideMark/>
          </w:tcPr>
          <w:p w14:paraId="0A4130E4" w14:textId="77777777" w:rsidR="00521E89" w:rsidRPr="00DF6C69" w:rsidRDefault="00521E89" w:rsidP="000765CF">
            <w:pPr>
              <w:jc w:val="center"/>
              <w:rPr>
                <w:rFonts w:ascii="Times New Roman" w:hAnsi="Times New Roman" w:cs="Times New Roman"/>
                <w:sz w:val="18"/>
                <w:szCs w:val="18"/>
              </w:rPr>
            </w:pPr>
          </w:p>
        </w:tc>
      </w:tr>
      <w:tr w:rsidR="00521E89" w:rsidRPr="00DF6C69" w14:paraId="665B8216" w14:textId="77777777" w:rsidTr="00313218">
        <w:trPr>
          <w:trHeight w:val="20"/>
        </w:trPr>
        <w:tc>
          <w:tcPr>
            <w:tcW w:w="2004" w:type="dxa"/>
            <w:gridSpan w:val="2"/>
            <w:vMerge/>
            <w:shd w:val="clear" w:color="auto" w:fill="FFF2CC" w:themeFill="accent4" w:themeFillTint="33"/>
            <w:noWrap/>
            <w:vAlign w:val="center"/>
          </w:tcPr>
          <w:p w14:paraId="6DFC94A5"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0DDF5F47"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4D56EF66"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vAlign w:val="center"/>
          </w:tcPr>
          <w:p w14:paraId="1B2AF645" w14:textId="39331AFD"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 [50]","plainTextFormattedCitation":"[42], [50]","previouslyFormattedCitation":"[42], [50]"},"properties":{"noteIndex":0},"schema":"https://github.com/citation-style-language/schema/raw/master/csl-citation.json"}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 [50]</w:t>
            </w:r>
            <w:r w:rsidRPr="00DF6C69">
              <w:rPr>
                <w:rFonts w:ascii="Times New Roman" w:hAnsi="Times New Roman" w:cs="Times New Roman"/>
                <w:sz w:val="18"/>
                <w:szCs w:val="18"/>
              </w:rPr>
              <w:fldChar w:fldCharType="end"/>
            </w:r>
          </w:p>
        </w:tc>
        <w:tc>
          <w:tcPr>
            <w:tcW w:w="1549" w:type="dxa"/>
            <w:shd w:val="clear" w:color="auto" w:fill="E2EFD9" w:themeFill="accent6" w:themeFillTint="33"/>
            <w:vAlign w:val="center"/>
          </w:tcPr>
          <w:p w14:paraId="5A368337" w14:textId="1D5045A4"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 [50]","plainTextFormattedCitation":"[42], [50]","previouslyFormattedCitation":"[42], [50]"},"properties":{"noteIndex":0},"schema":"https://github.com/citation-style-language/schema/raw/master/csl-citation.json"}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 [50]</w:t>
            </w:r>
            <w:r w:rsidRPr="00DF6C69">
              <w:rPr>
                <w:rFonts w:ascii="Times New Roman" w:hAnsi="Times New Roman" w:cs="Times New Roman"/>
                <w:sz w:val="18"/>
                <w:szCs w:val="18"/>
              </w:rPr>
              <w:fldChar w:fldCharType="end"/>
            </w:r>
          </w:p>
        </w:tc>
        <w:tc>
          <w:tcPr>
            <w:tcW w:w="1840" w:type="dxa"/>
            <w:shd w:val="clear" w:color="auto" w:fill="E2EFD9" w:themeFill="accent6" w:themeFillTint="33"/>
            <w:vAlign w:val="center"/>
          </w:tcPr>
          <w:p w14:paraId="7854C020" w14:textId="48870DC9"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recurrence","type":"article-journal","volume":"25"},"uris":["http://www.mendeley.com/documents/?uuid=1e8e070d-6cee-47e1-9bdd-fcc792ce1489"]},{"id":"ITEM-2","itemData":{"DOI":"10.1038/nature07762","ISSN":"14764687","abstract":"Multiple,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M.","non-dropping-particle":"","parse-names":false,"suffix":""}],"container-title":"Nature","id":"ITEM-2","issue":"7231","issued":{"date-parts":[["2009","2","12"]]},"page":"910-914","publisher":"Nature Publishing Group","title":"Metabolomic profiles delineate potential role for sarcosine in prostate cancer progression","type":"article-journal","volume":"457"},"uris":["http://www.mendeley.com/documents/?uuid=313bedd1-f343-42b3-b288-9c3e9a45bc9f"]},{"id":"ITEM-3","itemData":{"DOI":"10.1038/nrc3557","ISSN":"1474175X","abstract":"One-carbon metabolism involving the folate and methionine cycles integrates nutritional status from amino acids, glucose and vitamins, and generates diverse outputs, such as the biosynthesis of lipids, nucleotides and proteins, the maintenance of redox status and the substrates for methylation reactions. Long considered a 'housekeeping' process, this pathway has recently been shown to have additional complexity. Genetic and functional evidence suggests that hyperactivation of this pathway is a driver of oncogenesis and establishes a link to cellular epigenetic status. Given the wealth of clinically available agents that target one-carbon metabolism, these new findings could present opportunities for translation into precision cancer medicine. © 2013 Macmillan Publishers Limited.","author":[{"dropping-particle":"","family":"Locasale","given":"Jason W.","non-dropping-particle":"","parse-names":false,"suffix":""}],"container-title":"Nature Reviews Cancer","id":"ITEM-3","issue":"8","issued":{"date-parts":[["2013","8"]]},"page":"572-583","title":"Serine, glycine and one-carbon units: Cancer metabolism in full circle","type":"article","volume":"13"},"uris":["http://www.mendeley.com/documents/?uuid=10818148-f2a2-3141-9fae-9905c6640d71"]}],"mendeley":{"formattedCitation":"[42], [51], [53]","plainTextFormattedCitation":"[42], [51], [53]","previouslyFormattedCitation":"[42], [51], [53]"},"properties":{"noteIndex":0},"schema":"https://github.com/citation-style-language/schema/raw/master/csl-citation.json"}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 [51], [53]</w:t>
            </w:r>
            <w:r w:rsidRPr="00DF6C69">
              <w:rPr>
                <w:rFonts w:ascii="Times New Roman" w:hAnsi="Times New Roman" w:cs="Times New Roman"/>
                <w:sz w:val="18"/>
                <w:szCs w:val="18"/>
              </w:rPr>
              <w:fldChar w:fldCharType="end"/>
            </w:r>
          </w:p>
        </w:tc>
      </w:tr>
      <w:tr w:rsidR="00521E89" w:rsidRPr="00DF6C69" w14:paraId="3ABAE1E5" w14:textId="77777777" w:rsidTr="00313218">
        <w:trPr>
          <w:trHeight w:val="20"/>
        </w:trPr>
        <w:tc>
          <w:tcPr>
            <w:tcW w:w="2004" w:type="dxa"/>
            <w:gridSpan w:val="2"/>
            <w:vMerge/>
            <w:shd w:val="clear" w:color="auto" w:fill="FFF2CC" w:themeFill="accent4" w:themeFillTint="33"/>
            <w:noWrap/>
            <w:vAlign w:val="center"/>
          </w:tcPr>
          <w:p w14:paraId="5F9A6693"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415DF469"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4C764645"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vAlign w:val="center"/>
          </w:tcPr>
          <w:p w14:paraId="7072B502" w14:textId="69E57499"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549" w:type="dxa"/>
            <w:shd w:val="clear" w:color="auto" w:fill="E2EFD9" w:themeFill="accent6" w:themeFillTint="33"/>
            <w:vAlign w:val="center"/>
          </w:tcPr>
          <w:p w14:paraId="7B96F5CC" w14:textId="509B368F"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840" w:type="dxa"/>
            <w:vAlign w:val="center"/>
          </w:tcPr>
          <w:p w14:paraId="69609ED9" w14:textId="77777777" w:rsidR="00521E89" w:rsidRPr="00DF6C69" w:rsidRDefault="00521E89" w:rsidP="000765CF">
            <w:pPr>
              <w:jc w:val="center"/>
              <w:rPr>
                <w:rFonts w:ascii="Times New Roman" w:hAnsi="Times New Roman" w:cs="Times New Roman"/>
                <w:sz w:val="18"/>
                <w:szCs w:val="18"/>
              </w:rPr>
            </w:pPr>
          </w:p>
        </w:tc>
      </w:tr>
      <w:tr w:rsidR="00521E89" w:rsidRPr="00DF6C69" w14:paraId="106D73EF" w14:textId="77777777" w:rsidTr="00313218">
        <w:trPr>
          <w:trHeight w:val="20"/>
        </w:trPr>
        <w:tc>
          <w:tcPr>
            <w:tcW w:w="2004" w:type="dxa"/>
            <w:gridSpan w:val="2"/>
            <w:vMerge w:val="restart"/>
            <w:shd w:val="clear" w:color="auto" w:fill="FFF2CC" w:themeFill="accent4" w:themeFillTint="33"/>
            <w:noWrap/>
            <w:vAlign w:val="center"/>
            <w:hideMark/>
          </w:tcPr>
          <w:p w14:paraId="2E78D9B8" w14:textId="77777777" w:rsidR="00521E89" w:rsidRPr="00DF6C69" w:rsidRDefault="00521E89" w:rsidP="00313218">
            <w:pPr>
              <w:jc w:val="center"/>
              <w:rPr>
                <w:rFonts w:ascii="Times New Roman" w:hAnsi="Times New Roman" w:cs="Times New Roman"/>
                <w:sz w:val="18"/>
                <w:szCs w:val="18"/>
              </w:rPr>
            </w:pPr>
            <w:r w:rsidRPr="00DF6C69">
              <w:rPr>
                <w:rFonts w:ascii="Times New Roman" w:hAnsi="Times New Roman" w:cs="Times New Roman"/>
                <w:sz w:val="18"/>
                <w:szCs w:val="18"/>
              </w:rPr>
              <w:t>Citrate</w:t>
            </w:r>
          </w:p>
        </w:tc>
        <w:tc>
          <w:tcPr>
            <w:tcW w:w="974" w:type="dxa"/>
            <w:shd w:val="clear" w:color="auto" w:fill="FFF2CC" w:themeFill="accent4" w:themeFillTint="33"/>
            <w:vAlign w:val="center"/>
          </w:tcPr>
          <w:p w14:paraId="6D454547"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E2EFD9" w:themeFill="accent6" w:themeFillTint="33"/>
            <w:vAlign w:val="center"/>
            <w:hideMark/>
          </w:tcPr>
          <w:p w14:paraId="157FA20B" w14:textId="7A7943EA"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c>
          <w:tcPr>
            <w:tcW w:w="1549" w:type="dxa"/>
            <w:shd w:val="clear" w:color="auto" w:fill="auto"/>
            <w:vAlign w:val="center"/>
            <w:hideMark/>
          </w:tcPr>
          <w:p w14:paraId="5C782D2D"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vAlign w:val="center"/>
            <w:hideMark/>
          </w:tcPr>
          <w:p w14:paraId="096A057F" w14:textId="3015BB64"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c>
          <w:tcPr>
            <w:tcW w:w="1840" w:type="dxa"/>
            <w:shd w:val="clear" w:color="auto" w:fill="E2EFD9" w:themeFill="accent6" w:themeFillTint="33"/>
            <w:vAlign w:val="center"/>
            <w:hideMark/>
          </w:tcPr>
          <w:p w14:paraId="43618D10" w14:textId="2A91998B"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847C65"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trial","type":"article-journal","volume":"115"},"uris":["http://www.mendeley.com/documents/?uuid=0b2adbe1-b9fd-3235-80ee-e2dbb0d36336"]},{"id":"ITEM-2","itemData":{"DOI":"10.1038/s41585-019-0179-1","ISSN":"17594820","abstract":"The FDA’s approval of the first point-of-care total PSA test for prostate cancer has the potential to improve patient care by streamlining PSA testing. However, a Clinical Laboratory Improvement Amendments waiver is needed before this test can be fully integrated into clinical care.","author":[{"dropping-particle":"","family":"Meyer","given":"Alexa R.","non-dropping-particle":"","parse-names":false,"suffix":""},{"dropping-particle":"","family":"Gorin","given":"Michael A.","non-dropping-particle":"","parse-names":false,"suffix":""}],"container-title":"Nature Reviews Urology","id":"ITEM-2","issue":"6","issued":{"date-parts":[["2019"]]},"page":"332-333","publisher":"Springer US","title":"First point-of-care PSA test for prostate cancer detection","type":"article-journal","volume":"16"},"uris":["http://www.mendeley.com/documents/?uuid=be843cad-0e0a-4db0-885d-1c010310e5c0"]}],"mendeley":{"formattedCitation":"[40], [76]","plainTextFormattedCitation":"[40], [76]","previouslyFormattedCitation":"[40], [72]"},"properties":{"noteIndex":0},"schema":"https://github.com/citation-style-language/schema/raw/master/csl-citation.json"}</w:instrText>
            </w:r>
            <w:r w:rsidRPr="00DF6C69">
              <w:rPr>
                <w:rFonts w:ascii="Times New Roman" w:hAnsi="Times New Roman" w:cs="Times New Roman"/>
                <w:sz w:val="18"/>
                <w:szCs w:val="18"/>
              </w:rPr>
              <w:fldChar w:fldCharType="separate"/>
            </w:r>
            <w:r w:rsidR="00847C65" w:rsidRPr="00DF6C69">
              <w:rPr>
                <w:rFonts w:ascii="Times New Roman" w:hAnsi="Times New Roman" w:cs="Times New Roman"/>
                <w:sz w:val="18"/>
                <w:szCs w:val="18"/>
              </w:rPr>
              <w:t>[40], [76]</w:t>
            </w:r>
            <w:r w:rsidRPr="00DF6C69">
              <w:rPr>
                <w:rFonts w:ascii="Times New Roman" w:hAnsi="Times New Roman" w:cs="Times New Roman"/>
                <w:sz w:val="18"/>
                <w:szCs w:val="18"/>
              </w:rPr>
              <w:fldChar w:fldCharType="end"/>
            </w:r>
          </w:p>
        </w:tc>
      </w:tr>
      <w:tr w:rsidR="00521E89" w:rsidRPr="00DF6C69" w14:paraId="14CB0DF4" w14:textId="77777777" w:rsidTr="00313218">
        <w:trPr>
          <w:trHeight w:val="20"/>
        </w:trPr>
        <w:tc>
          <w:tcPr>
            <w:tcW w:w="2004" w:type="dxa"/>
            <w:gridSpan w:val="2"/>
            <w:vMerge/>
            <w:shd w:val="clear" w:color="auto" w:fill="FFF2CC" w:themeFill="accent4" w:themeFillTint="33"/>
            <w:noWrap/>
            <w:vAlign w:val="center"/>
          </w:tcPr>
          <w:p w14:paraId="5205587D"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322083E2"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E2EFD9" w:themeFill="accent6" w:themeFillTint="33"/>
            <w:vAlign w:val="center"/>
          </w:tcPr>
          <w:p w14:paraId="24705217" w14:textId="6CC3C040"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E2EFD9" w:themeFill="accent6" w:themeFillTint="33"/>
            <w:vAlign w:val="center"/>
          </w:tcPr>
          <w:p w14:paraId="0409FFCB" w14:textId="06B989FF"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E2EFD9" w:themeFill="accent6" w:themeFillTint="33"/>
            <w:vAlign w:val="center"/>
          </w:tcPr>
          <w:p w14:paraId="0EA6D482" w14:textId="0FF54F8B"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840" w:type="dxa"/>
            <w:vAlign w:val="center"/>
          </w:tcPr>
          <w:p w14:paraId="313336D3" w14:textId="77777777" w:rsidR="00521E89" w:rsidRPr="00DF6C69" w:rsidRDefault="00521E89" w:rsidP="000765CF">
            <w:pPr>
              <w:jc w:val="center"/>
              <w:rPr>
                <w:rFonts w:ascii="Times New Roman" w:hAnsi="Times New Roman" w:cs="Times New Roman"/>
                <w:sz w:val="18"/>
                <w:szCs w:val="18"/>
              </w:rPr>
            </w:pPr>
          </w:p>
        </w:tc>
      </w:tr>
      <w:tr w:rsidR="00521E89" w:rsidRPr="00DF6C69" w14:paraId="3A8EE682" w14:textId="77777777" w:rsidTr="00313218">
        <w:trPr>
          <w:trHeight w:val="20"/>
        </w:trPr>
        <w:tc>
          <w:tcPr>
            <w:tcW w:w="2004" w:type="dxa"/>
            <w:gridSpan w:val="2"/>
            <w:vMerge/>
            <w:shd w:val="clear" w:color="auto" w:fill="FFF2CC" w:themeFill="accent4" w:themeFillTint="33"/>
            <w:noWrap/>
            <w:vAlign w:val="center"/>
          </w:tcPr>
          <w:p w14:paraId="4CE30030"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3B8B1445"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vAlign w:val="center"/>
          </w:tcPr>
          <w:p w14:paraId="619564F2"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vAlign w:val="center"/>
          </w:tcPr>
          <w:p w14:paraId="3B4E7580" w14:textId="128A98B3"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549" w:type="dxa"/>
            <w:shd w:val="clear" w:color="auto" w:fill="auto"/>
            <w:vAlign w:val="center"/>
          </w:tcPr>
          <w:p w14:paraId="4BFE8452"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E2EFD9" w:themeFill="accent6" w:themeFillTint="33"/>
            <w:vAlign w:val="center"/>
          </w:tcPr>
          <w:p w14:paraId="7E2708F0" w14:textId="21110918"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r>
      <w:tr w:rsidR="00521E89" w:rsidRPr="00DF6C69" w14:paraId="4593089D" w14:textId="77777777" w:rsidTr="00313218">
        <w:trPr>
          <w:trHeight w:val="20"/>
        </w:trPr>
        <w:tc>
          <w:tcPr>
            <w:tcW w:w="2004" w:type="dxa"/>
            <w:gridSpan w:val="2"/>
            <w:vMerge w:val="restart"/>
            <w:shd w:val="clear" w:color="auto" w:fill="FFF2CC" w:themeFill="accent4" w:themeFillTint="33"/>
            <w:noWrap/>
            <w:vAlign w:val="center"/>
            <w:hideMark/>
          </w:tcPr>
          <w:p w14:paraId="172DE4DE" w14:textId="77777777" w:rsidR="00521E89" w:rsidRPr="00DF6C69" w:rsidRDefault="00521E89" w:rsidP="00313218">
            <w:pPr>
              <w:jc w:val="center"/>
              <w:rPr>
                <w:rFonts w:ascii="Times New Roman" w:hAnsi="Times New Roman" w:cs="Times New Roman"/>
                <w:sz w:val="18"/>
                <w:szCs w:val="18"/>
              </w:rPr>
            </w:pPr>
            <w:r w:rsidRPr="00DF6C69">
              <w:rPr>
                <w:rFonts w:ascii="Times New Roman" w:hAnsi="Times New Roman" w:cs="Times New Roman"/>
                <w:sz w:val="18"/>
                <w:szCs w:val="18"/>
              </w:rPr>
              <w:t>Creatinine</w:t>
            </w:r>
          </w:p>
        </w:tc>
        <w:tc>
          <w:tcPr>
            <w:tcW w:w="974" w:type="dxa"/>
            <w:shd w:val="clear" w:color="auto" w:fill="FFF2CC" w:themeFill="accent4" w:themeFillTint="33"/>
            <w:vAlign w:val="center"/>
          </w:tcPr>
          <w:p w14:paraId="56B1D1BE"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E2EFD9" w:themeFill="accent6" w:themeFillTint="33"/>
            <w:noWrap/>
            <w:vAlign w:val="center"/>
            <w:hideMark/>
          </w:tcPr>
          <w:p w14:paraId="7EC84F98" w14:textId="2261790F"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{"citationItems":[{"id":"ITEM-1","itemData":{"DOI":"10.1158/1055-9965.EPI-09-0322","ISSN":"10559965","abstract":"Background: Several studies have examined serum creatinine as a marker for prostate cancer stage, recurrence, and prognosis. We evaluated whether serum creatinine concentration was associated with risk of developing prostate cancer in a prospective cohort of male smokers. Methods: A nested case-control study within the Alpha-Tocopherol, Beta-Carotene Cancer Prevention Study of 50- to 69-year-old Finnish men was conducted. Two controls (n = 464) were matched to each case (n = 232) on study center, intervention group, date of baseline blood draw (±45 days), and age (±5 years). Conditional logistic regression was used to calculate odds ratios and 95% confidence intervals. All P values were two-sided. Results: Cases had significantly higher prediagnostic serum creatinine concentrations compared with controls (medians of 1.13 versus 1.10 mg/dL, respectively; P = 0.004). Serum creatinine was associated with a significantly greater risk of prostate cancer (multivariate odds ratio, 2.23; 95% confidence interval, 1.33-3.75 for highest versus lowest quartile), with a significant trend (P trend = 0.0008). Exclusion of subjects with a reported history of diabetes, benign prostatic hyperplasia, or hypertension, or whose cancer was diagnosed within the first 5 years of follow-up, did not alter the association. Risk did not differ by disease stage or time from blood draw to diagnosis. Conclusion: Prospectively measured serum creatinine, within normal ranges, is positively related to prostate cancer risk. Future research should reexamine the association in other populations, including any interrelationship with serum prostate-specific antigen. Copyright © 2009 American Association for Cancer Research.","author":[{"dropping-particle":"","family":"Weinstein","given":"Stephanie J.","non-dropping-particle":"","parse-names":false,"suffix":""},{"dropping-particle":"","family":"Mackrain","given":"Katrina","non-dropping-particle":"","parse-names":false,"suffix":""},{"dropping-particle":"","family":"Stolzenberg-Solomon","given":"Rachael Z.","non-dropping-particle":"","parse-names":false,"suffix":""},{"dropping-particle":"","family":"Selhub","given":"Jacob","non-dropping-particle":"","parse-names":false,"suffix":""},{"dropping-particle":"","family":"Virtamo","given":"Jarmo","non-dropping-particle":"","parse-names":false,"suffix":""},{"dropping-particle":"","family":"Albanes","given":"Demetrius","non-dropping-particle":"","parse-names":false,"suffix":""}],"container-title":"Cancer Epidemiology Biomarkers and Prevention","id":"ITEM-1","issue":"10","issued":{"date-parts":[["2009","10"]]},"page":"2643-2649","title":"Serum creatinine and prostate cancer risk in a prospective study","type":"article-journal","volume":"18"},"uris":["http://www.mendeley.com/documents/?uuid=ed29e50c-47e6-4aaa-a026-587b595834c7"]}],"mendeley":{"formattedCitation":"[46]","plainTextFormattedCitation":"[46]","previouslyFormattedCitation":"[46]"},"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[46]</w:t>
            </w:r>
            <w:r w:rsidRPr="00DF6C69">
              <w:rPr>
                <w:rFonts w:ascii="Times New Roman" w:hAnsi="Times New Roman" w:cs="Times New Roman"/>
                <w:sz w:val="18"/>
                <w:szCs w:val="18"/>
              </w:rPr>
              <w:fldChar w:fldCharType="end"/>
            </w:r>
          </w:p>
        </w:tc>
        <w:tc>
          <w:tcPr>
            <w:tcW w:w="1549" w:type="dxa"/>
            <w:noWrap/>
            <w:vAlign w:val="center"/>
            <w:hideMark/>
          </w:tcPr>
          <w:p w14:paraId="65A277CC" w14:textId="77777777" w:rsidR="00521E89" w:rsidRPr="00DF6C69" w:rsidRDefault="00521E89" w:rsidP="000765CF">
            <w:pPr>
              <w:jc w:val="center"/>
              <w:rPr>
                <w:rFonts w:ascii="Times New Roman" w:hAnsi="Times New Roman" w:cs="Times New Roman"/>
                <w:sz w:val="18"/>
                <w:szCs w:val="18"/>
              </w:rPr>
            </w:pPr>
          </w:p>
        </w:tc>
        <w:tc>
          <w:tcPr>
            <w:tcW w:w="1549" w:type="dxa"/>
            <w:vAlign w:val="center"/>
            <w:hideMark/>
          </w:tcPr>
          <w:p w14:paraId="24DAB76F"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E2EFD9" w:themeFill="accent6" w:themeFillTint="33"/>
            <w:noWrap/>
            <w:vAlign w:val="center"/>
            <w:hideMark/>
          </w:tcPr>
          <w:p w14:paraId="75BBED7F" w14:textId="27CF2BB5"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{"citationItems":[{"id":"ITEM-1","itemData":{"DOI":"10.1016/0167-8140(94)90411-1","ISSN":"01678140","abstract":"From 1988 to 1991, 284 patients with prostatic cancer and painful bone metastases were treated with either radiotherapy or strontium-89 (200 MBq). Patients were first stratified according to suitability for local or hemibody radiotherapy, then randomly allocated that form of treatment or strontium-89 (i.v. injection). After 4, 8 and 12 weeks pain sites were mapped, toxicity monitored, and all additional palliative treatments recorded. There was no significant difference in median survival (after &gt; 80% had died); 33 weeks following strontium-89 and 28 weeks following radiotherapy (p = 0.1). All treatments provided effective pain relief; improvement was sustained to 3 months in 63.6% after hemibody radiotherapy compared with 66.1%, after strontium-89, and in 61% after local radiotherapy compared with 65.9% in the comparable strontium-89 group. Fewer patients reported new pain sites after strontium-89 than after local or hemibody radiotherapy (p &lt; 0.05). Radiotherapy to a new site was required by 12 patients in the local radiotherapy group compared with 2 after strontium-89 (p &lt; 0.01), although there was no significant difference between hemibody radiotherapy (6 patients) and strontium-89 (9 patients) in this respect. Platelets and leukocytes fell by an average 30-40% after strontium-89 but sequelae were uncommon, and other symptoms rare. © 1994.","author":[{"dropping-particle":"","family":"Quilty","given":"P. M.","non-dropping-particle":"","parse-names":false,"suffix":""},{"dropping-particle":"","family":"Kirk","given":"D.","non-dropping-particle":"","parse-names":false,"suffix":""},{"dropping-particle":"","family":"Bolger","given":"J. J.","non-dropping-particle":"","parse-names":false,"suffix":""},{"dropping-particle":"","family":"Dearnaley","given":"D. P.","non-dropping-particle":"","parse-names":false,"suffix":""},{"dropping-particle":"","family":"Lewington","given":"V. J.","non-dropping-particle":"","parse-names":false,"suffix":""},{"dropping-particle":"","family":"Masone","given":"M. D.","non-dropping-particle":"","parse-names":false,"suffix":""},{"dropping-particle":"","family":"Reed","given":"N. S.E.","non-dropping-particle":"","parse-names":false,"suffix":""},{"dropping-particle":"","family":"Russell","given":"J. M.","non-dropping-particle":"","parse-names":false,"suffix":""},{"dropping-particle":"","family":"Yardley","given":"J.","non-dropping-particle":"","parse-names":false,"suffix":""}],"container-title":"Radiotherapy and Oncology","id":"ITEM-1","issue":"1","issued":{"date-parts":[["1994"]]},"page":"33-40","title":"A comparison of the palliative effects of strontium-89 and external beam radiotherapy in metastatic prostate cancer","type":"article-journal","volume":"31"},"uris":["http://www.mendeley.com/documents/?uuid=812c22a0-a72a-40b6-9ef1-d5e9943374e7"]}],"mendeley":{"formattedCitation":"[47]","plainTextFormattedCitation":"[47]","previouslyFormattedCitation":"[47]"},"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[47]</w:t>
            </w:r>
            <w:r w:rsidRPr="00DF6C69">
              <w:rPr>
                <w:rFonts w:ascii="Times New Roman" w:hAnsi="Times New Roman" w:cs="Times New Roman"/>
                <w:sz w:val="18"/>
                <w:szCs w:val="18"/>
              </w:rPr>
              <w:fldChar w:fldCharType="end"/>
            </w:r>
          </w:p>
        </w:tc>
      </w:tr>
      <w:tr w:rsidR="00521E89" w:rsidRPr="00DF6C69" w14:paraId="081C9683" w14:textId="77777777" w:rsidTr="00313218">
        <w:trPr>
          <w:trHeight w:val="20"/>
        </w:trPr>
        <w:tc>
          <w:tcPr>
            <w:tcW w:w="2004" w:type="dxa"/>
            <w:gridSpan w:val="2"/>
            <w:vMerge/>
            <w:shd w:val="clear" w:color="auto" w:fill="FFF2CC" w:themeFill="accent4" w:themeFillTint="33"/>
            <w:noWrap/>
            <w:vAlign w:val="center"/>
          </w:tcPr>
          <w:p w14:paraId="34BE4308"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021E5523"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60B4E147"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1633382A"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vAlign w:val="center"/>
          </w:tcPr>
          <w:p w14:paraId="45FE65CB" w14:textId="77777777" w:rsidR="00521E89" w:rsidRPr="00DF6C69" w:rsidRDefault="00521E89" w:rsidP="000765CF">
            <w:pPr>
              <w:jc w:val="center"/>
              <w:rPr>
                <w:rFonts w:ascii="Times New Roman" w:hAnsi="Times New Roman" w:cs="Times New Roman"/>
                <w:sz w:val="18"/>
                <w:szCs w:val="18"/>
              </w:rPr>
            </w:pPr>
          </w:p>
        </w:tc>
        <w:tc>
          <w:tcPr>
            <w:tcW w:w="1840" w:type="dxa"/>
            <w:noWrap/>
            <w:vAlign w:val="center"/>
          </w:tcPr>
          <w:p w14:paraId="4B9401F9" w14:textId="77777777" w:rsidR="00521E89" w:rsidRPr="00DF6C69" w:rsidRDefault="00521E89" w:rsidP="000765CF">
            <w:pPr>
              <w:jc w:val="center"/>
              <w:rPr>
                <w:rFonts w:ascii="Times New Roman" w:hAnsi="Times New Roman" w:cs="Times New Roman"/>
                <w:sz w:val="18"/>
                <w:szCs w:val="18"/>
              </w:rPr>
            </w:pPr>
          </w:p>
        </w:tc>
      </w:tr>
      <w:tr w:rsidR="00521E89" w:rsidRPr="00DF6C69" w14:paraId="0602ADF7" w14:textId="77777777" w:rsidTr="00313218">
        <w:trPr>
          <w:trHeight w:val="20"/>
        </w:trPr>
        <w:tc>
          <w:tcPr>
            <w:tcW w:w="2004" w:type="dxa"/>
            <w:gridSpan w:val="2"/>
            <w:vMerge/>
            <w:shd w:val="clear" w:color="auto" w:fill="FFF2CC" w:themeFill="accent4" w:themeFillTint="33"/>
            <w:noWrap/>
            <w:vAlign w:val="center"/>
          </w:tcPr>
          <w:p w14:paraId="4BC6C607"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23A7DB5A"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7996D93E"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2B191FA7"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vAlign w:val="center"/>
          </w:tcPr>
          <w:p w14:paraId="7DE01485" w14:textId="5B958008"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840" w:type="dxa"/>
            <w:noWrap/>
            <w:vAlign w:val="center"/>
          </w:tcPr>
          <w:p w14:paraId="18801DC4" w14:textId="77777777" w:rsidR="00521E89" w:rsidRPr="00DF6C69" w:rsidRDefault="00521E89" w:rsidP="000765CF">
            <w:pPr>
              <w:jc w:val="center"/>
              <w:rPr>
                <w:rFonts w:ascii="Times New Roman" w:hAnsi="Times New Roman" w:cs="Times New Roman"/>
                <w:sz w:val="18"/>
                <w:szCs w:val="18"/>
              </w:rPr>
            </w:pPr>
          </w:p>
        </w:tc>
      </w:tr>
      <w:tr w:rsidR="00521E89" w:rsidRPr="00DF6C69" w14:paraId="592E6D46" w14:textId="77777777" w:rsidTr="00313218">
        <w:trPr>
          <w:trHeight w:val="20"/>
        </w:trPr>
        <w:tc>
          <w:tcPr>
            <w:tcW w:w="2004" w:type="dxa"/>
            <w:gridSpan w:val="2"/>
            <w:vMerge w:val="restart"/>
            <w:shd w:val="clear" w:color="auto" w:fill="FFF2CC" w:themeFill="accent4" w:themeFillTint="33"/>
            <w:noWrap/>
            <w:vAlign w:val="center"/>
          </w:tcPr>
          <w:p w14:paraId="7C2C32E2" w14:textId="77777777" w:rsidR="00521E89" w:rsidRPr="00DF6C69" w:rsidRDefault="00521E89" w:rsidP="00313218">
            <w:pPr>
              <w:jc w:val="center"/>
              <w:rPr>
                <w:rFonts w:ascii="Times New Roman" w:hAnsi="Times New Roman" w:cs="Times New Roman"/>
                <w:sz w:val="18"/>
                <w:szCs w:val="18"/>
              </w:rPr>
            </w:pPr>
            <w:proofErr w:type="spellStart"/>
            <w:r w:rsidRPr="00DF6C69">
              <w:rPr>
                <w:rFonts w:ascii="Times New Roman" w:hAnsi="Times New Roman" w:cs="Times New Roman"/>
                <w:sz w:val="18"/>
                <w:szCs w:val="18"/>
              </w:rPr>
              <w:t>dimethylheptanoyl</w:t>
            </w:r>
            <w:proofErr w:type="spellEnd"/>
            <w:r w:rsidRPr="00DF6C69">
              <w:rPr>
                <w:rFonts w:ascii="Times New Roman" w:hAnsi="Times New Roman" w:cs="Times New Roman"/>
                <w:sz w:val="18"/>
                <w:szCs w:val="18"/>
              </w:rPr>
              <w:t xml:space="preserve"> carnitine</w:t>
            </w:r>
          </w:p>
        </w:tc>
        <w:tc>
          <w:tcPr>
            <w:tcW w:w="974" w:type="dxa"/>
            <w:shd w:val="clear" w:color="auto" w:fill="FFF2CC" w:themeFill="accent4" w:themeFillTint="33"/>
            <w:vAlign w:val="center"/>
          </w:tcPr>
          <w:p w14:paraId="46A9095A"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5DD8A845"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5BBC5274" w14:textId="39BC8D63"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noWrap/>
            <w:vAlign w:val="center"/>
          </w:tcPr>
          <w:p w14:paraId="62B421DA" w14:textId="77777777" w:rsidR="00521E89" w:rsidRPr="00DF6C69" w:rsidRDefault="00521E89" w:rsidP="000765CF">
            <w:pPr>
              <w:jc w:val="center"/>
              <w:rPr>
                <w:rFonts w:ascii="Times New Roman" w:hAnsi="Times New Roman" w:cs="Times New Roman"/>
                <w:sz w:val="18"/>
                <w:szCs w:val="18"/>
              </w:rPr>
            </w:pPr>
          </w:p>
        </w:tc>
        <w:tc>
          <w:tcPr>
            <w:tcW w:w="1840" w:type="dxa"/>
            <w:noWrap/>
            <w:vAlign w:val="center"/>
          </w:tcPr>
          <w:p w14:paraId="33838FBF" w14:textId="77777777" w:rsidR="00521E89" w:rsidRPr="00DF6C69" w:rsidRDefault="00521E89" w:rsidP="000765CF">
            <w:pPr>
              <w:jc w:val="center"/>
              <w:rPr>
                <w:rFonts w:ascii="Times New Roman" w:hAnsi="Times New Roman" w:cs="Times New Roman"/>
                <w:sz w:val="18"/>
                <w:szCs w:val="18"/>
              </w:rPr>
            </w:pPr>
          </w:p>
        </w:tc>
      </w:tr>
      <w:tr w:rsidR="00521E89" w:rsidRPr="00DF6C69" w14:paraId="6E46D2FA" w14:textId="77777777" w:rsidTr="00313218">
        <w:trPr>
          <w:trHeight w:val="20"/>
        </w:trPr>
        <w:tc>
          <w:tcPr>
            <w:tcW w:w="2004" w:type="dxa"/>
            <w:gridSpan w:val="2"/>
            <w:vMerge/>
            <w:shd w:val="clear" w:color="auto" w:fill="FFF2CC" w:themeFill="accent4" w:themeFillTint="33"/>
            <w:noWrap/>
            <w:vAlign w:val="center"/>
          </w:tcPr>
          <w:p w14:paraId="6522FCEE"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0A4E22E3"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729D0B92"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0DD1C738"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43D46777"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auto"/>
            <w:noWrap/>
            <w:vAlign w:val="center"/>
          </w:tcPr>
          <w:p w14:paraId="46921BF1" w14:textId="77777777" w:rsidR="00521E89" w:rsidRPr="00DF6C69" w:rsidRDefault="00521E89" w:rsidP="000765CF">
            <w:pPr>
              <w:jc w:val="center"/>
              <w:rPr>
                <w:rFonts w:ascii="Times New Roman" w:hAnsi="Times New Roman" w:cs="Times New Roman"/>
                <w:sz w:val="18"/>
                <w:szCs w:val="18"/>
              </w:rPr>
            </w:pPr>
          </w:p>
        </w:tc>
      </w:tr>
      <w:tr w:rsidR="00521E89" w:rsidRPr="00DF6C69" w14:paraId="047E4CF1" w14:textId="77777777" w:rsidTr="00313218">
        <w:trPr>
          <w:trHeight w:val="20"/>
        </w:trPr>
        <w:tc>
          <w:tcPr>
            <w:tcW w:w="2004" w:type="dxa"/>
            <w:gridSpan w:val="2"/>
            <w:vMerge/>
            <w:shd w:val="clear" w:color="auto" w:fill="FFF2CC" w:themeFill="accent4" w:themeFillTint="33"/>
            <w:noWrap/>
            <w:vAlign w:val="center"/>
          </w:tcPr>
          <w:p w14:paraId="2E18A646"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02AFA32D"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27139D5C"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3688AC1D"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343FAF46"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auto"/>
            <w:noWrap/>
            <w:vAlign w:val="center"/>
          </w:tcPr>
          <w:p w14:paraId="0A33E900" w14:textId="77777777" w:rsidR="00521E89" w:rsidRPr="00DF6C69" w:rsidRDefault="00521E89" w:rsidP="000765CF">
            <w:pPr>
              <w:jc w:val="center"/>
              <w:rPr>
                <w:rFonts w:ascii="Times New Roman" w:hAnsi="Times New Roman" w:cs="Times New Roman"/>
                <w:sz w:val="18"/>
                <w:szCs w:val="18"/>
              </w:rPr>
            </w:pPr>
          </w:p>
        </w:tc>
      </w:tr>
      <w:tr w:rsidR="00521E89" w:rsidRPr="00DF6C69" w14:paraId="5BCDE6A0" w14:textId="77777777" w:rsidTr="00313218">
        <w:trPr>
          <w:trHeight w:val="20"/>
        </w:trPr>
        <w:tc>
          <w:tcPr>
            <w:tcW w:w="2004" w:type="dxa"/>
            <w:gridSpan w:val="2"/>
            <w:vMerge w:val="restart"/>
            <w:shd w:val="clear" w:color="auto" w:fill="FFF2CC" w:themeFill="accent4" w:themeFillTint="33"/>
            <w:noWrap/>
            <w:vAlign w:val="center"/>
            <w:hideMark/>
          </w:tcPr>
          <w:p w14:paraId="7C5A65E8" w14:textId="77777777" w:rsidR="00521E89" w:rsidRPr="00DF6C69" w:rsidRDefault="00521E89" w:rsidP="00313218">
            <w:pPr>
              <w:jc w:val="center"/>
              <w:rPr>
                <w:rFonts w:ascii="Times New Roman" w:hAnsi="Times New Roman" w:cs="Times New Roman"/>
                <w:sz w:val="18"/>
                <w:szCs w:val="18"/>
              </w:rPr>
            </w:pPr>
            <w:r w:rsidRPr="00DF6C69">
              <w:rPr>
                <w:rFonts w:ascii="Times New Roman" w:hAnsi="Times New Roman" w:cs="Times New Roman"/>
                <w:sz w:val="18"/>
                <w:szCs w:val="18"/>
              </w:rPr>
              <w:t>Fatty acid</w:t>
            </w:r>
          </w:p>
        </w:tc>
        <w:tc>
          <w:tcPr>
            <w:tcW w:w="974" w:type="dxa"/>
            <w:shd w:val="clear" w:color="auto" w:fill="FFF2CC" w:themeFill="accent4" w:themeFillTint="33"/>
            <w:vAlign w:val="center"/>
          </w:tcPr>
          <w:p w14:paraId="33046380"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E2EFD9" w:themeFill="accent6" w:themeFillTint="33"/>
            <w:noWrap/>
            <w:vAlign w:val="center"/>
            <w:hideMark/>
          </w:tcPr>
          <w:p w14:paraId="4A6A06D5" w14:textId="20DB1D1C"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c>
          <w:tcPr>
            <w:tcW w:w="1549" w:type="dxa"/>
            <w:shd w:val="clear" w:color="auto" w:fill="FFFFFF" w:themeFill="background1"/>
            <w:noWrap/>
            <w:vAlign w:val="center"/>
            <w:hideMark/>
          </w:tcPr>
          <w:p w14:paraId="6094F158"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vAlign w:val="center"/>
            <w:hideMark/>
          </w:tcPr>
          <w:p w14:paraId="4CFBA040" w14:textId="010FB953"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recurrence","type":"article-journal","volume":"25"},"uris":["http://www.mendeley.com/documents/?uuid=1e8e070d-6cee-47e1-9bdd-fcc792ce1489"]}],"mendeley":{"formattedCitation":"[40], [42]","plainTextFormattedCitation":"[40], [42]","previouslyFormattedCitation":"[40], [42]"},"properties":{"noteIndex":0},"schema":"https://github.com/citation-style-language/schema/raw/master/csl-citation.json"}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[40], [42]</w:t>
            </w:r>
            <w:r w:rsidRPr="00DF6C69">
              <w:rPr>
                <w:rFonts w:ascii="Times New Roman" w:hAnsi="Times New Roman" w:cs="Times New Roman"/>
                <w:sz w:val="18"/>
                <w:szCs w:val="18"/>
              </w:rPr>
              <w:fldChar w:fldCharType="end"/>
            </w:r>
          </w:p>
        </w:tc>
        <w:tc>
          <w:tcPr>
            <w:tcW w:w="1840" w:type="dxa"/>
            <w:shd w:val="clear" w:color="auto" w:fill="E2EFD9" w:themeFill="accent6" w:themeFillTint="33"/>
            <w:vAlign w:val="center"/>
            <w:hideMark/>
          </w:tcPr>
          <w:p w14:paraId="6C3F8493" w14:textId="5400CD91"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r>
      <w:tr w:rsidR="00521E89" w:rsidRPr="00DF6C69" w14:paraId="74ED23AD" w14:textId="77777777" w:rsidTr="00313218">
        <w:trPr>
          <w:trHeight w:val="20"/>
        </w:trPr>
        <w:tc>
          <w:tcPr>
            <w:tcW w:w="2004" w:type="dxa"/>
            <w:gridSpan w:val="2"/>
            <w:vMerge/>
            <w:shd w:val="clear" w:color="auto" w:fill="FFF2CC" w:themeFill="accent4" w:themeFillTint="33"/>
            <w:noWrap/>
            <w:vAlign w:val="center"/>
          </w:tcPr>
          <w:p w14:paraId="05155F45"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1FF4970F"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0553EEBF"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7FFAD61F"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vAlign w:val="center"/>
          </w:tcPr>
          <w:p w14:paraId="54F56111"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E2EFD9" w:themeFill="accent6" w:themeFillTint="33"/>
            <w:vAlign w:val="center"/>
          </w:tcPr>
          <w:p w14:paraId="6499A21D" w14:textId="05F4F829"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r>
      <w:tr w:rsidR="00521E89" w:rsidRPr="00DF6C69" w14:paraId="20A52759" w14:textId="77777777" w:rsidTr="00313218">
        <w:trPr>
          <w:trHeight w:val="20"/>
        </w:trPr>
        <w:tc>
          <w:tcPr>
            <w:tcW w:w="2004" w:type="dxa"/>
            <w:gridSpan w:val="2"/>
            <w:vMerge/>
            <w:shd w:val="clear" w:color="auto" w:fill="FFF2CC" w:themeFill="accent4" w:themeFillTint="33"/>
            <w:noWrap/>
            <w:vAlign w:val="center"/>
          </w:tcPr>
          <w:p w14:paraId="487E8854"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3940C852"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0551C869"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2D8216B9"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vAlign w:val="center"/>
          </w:tcPr>
          <w:p w14:paraId="72AE81FC" w14:textId="7E1E1979"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840" w:type="dxa"/>
            <w:shd w:val="clear" w:color="auto" w:fill="auto"/>
            <w:vAlign w:val="center"/>
          </w:tcPr>
          <w:p w14:paraId="2BBD8507" w14:textId="77777777" w:rsidR="00521E89" w:rsidRPr="00DF6C69" w:rsidRDefault="00521E89" w:rsidP="000765CF">
            <w:pPr>
              <w:jc w:val="center"/>
              <w:rPr>
                <w:rFonts w:ascii="Times New Roman" w:hAnsi="Times New Roman" w:cs="Times New Roman"/>
                <w:sz w:val="18"/>
                <w:szCs w:val="18"/>
              </w:rPr>
            </w:pPr>
          </w:p>
        </w:tc>
      </w:tr>
      <w:tr w:rsidR="00521E89" w:rsidRPr="00DF6C69" w14:paraId="3167A77A" w14:textId="77777777" w:rsidTr="00313218">
        <w:trPr>
          <w:trHeight w:val="20"/>
        </w:trPr>
        <w:tc>
          <w:tcPr>
            <w:tcW w:w="2004" w:type="dxa"/>
            <w:gridSpan w:val="2"/>
            <w:vMerge w:val="restart"/>
            <w:shd w:val="clear" w:color="auto" w:fill="FFF2CC" w:themeFill="accent4" w:themeFillTint="33"/>
            <w:noWrap/>
            <w:vAlign w:val="center"/>
            <w:hideMark/>
          </w:tcPr>
          <w:p w14:paraId="7AE357F2" w14:textId="77777777" w:rsidR="00521E89" w:rsidRPr="00DF6C69" w:rsidRDefault="00521E89" w:rsidP="00313218">
            <w:pPr>
              <w:jc w:val="center"/>
              <w:rPr>
                <w:rFonts w:ascii="Times New Roman" w:hAnsi="Times New Roman" w:cs="Times New Roman"/>
                <w:sz w:val="18"/>
                <w:szCs w:val="18"/>
              </w:rPr>
            </w:pPr>
            <w:proofErr w:type="spellStart"/>
            <w:r w:rsidRPr="00DF6C69">
              <w:rPr>
                <w:rFonts w:ascii="Times New Roman" w:hAnsi="Times New Roman" w:cs="Times New Roman"/>
                <w:sz w:val="18"/>
                <w:szCs w:val="18"/>
              </w:rPr>
              <w:t>Formate</w:t>
            </w:r>
            <w:proofErr w:type="spellEnd"/>
          </w:p>
        </w:tc>
        <w:tc>
          <w:tcPr>
            <w:tcW w:w="974" w:type="dxa"/>
            <w:shd w:val="clear" w:color="auto" w:fill="FFF2CC" w:themeFill="accent4" w:themeFillTint="33"/>
            <w:vAlign w:val="center"/>
          </w:tcPr>
          <w:p w14:paraId="7EB1DE37"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hideMark/>
          </w:tcPr>
          <w:p w14:paraId="08A6D533"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hideMark/>
          </w:tcPr>
          <w:p w14:paraId="034DCAB1"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noWrap/>
            <w:vAlign w:val="center"/>
            <w:hideMark/>
          </w:tcPr>
          <w:p w14:paraId="5A658E83" w14:textId="2D947B0B"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hideMark/>
          </w:tcPr>
          <w:p w14:paraId="051929DD" w14:textId="6D2F4C24"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r>
      <w:tr w:rsidR="00521E89" w:rsidRPr="00DF6C69" w14:paraId="2D0E1D8E" w14:textId="77777777" w:rsidTr="00313218">
        <w:trPr>
          <w:trHeight w:val="20"/>
        </w:trPr>
        <w:tc>
          <w:tcPr>
            <w:tcW w:w="2004" w:type="dxa"/>
            <w:gridSpan w:val="2"/>
            <w:vMerge/>
            <w:shd w:val="clear" w:color="auto" w:fill="FFF2CC" w:themeFill="accent4" w:themeFillTint="33"/>
            <w:noWrap/>
            <w:vAlign w:val="center"/>
          </w:tcPr>
          <w:p w14:paraId="7090C2E4"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7C91A148"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79E53C1E"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6A403991"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3CED5474" w14:textId="77777777" w:rsidR="00521E89" w:rsidRPr="00DF6C69" w:rsidRDefault="00521E89" w:rsidP="000765CF">
            <w:pPr>
              <w:jc w:val="center"/>
              <w:rPr>
                <w:rFonts w:ascii="Times New Roman" w:hAnsi="Times New Roman" w:cs="Times New Roman"/>
                <w:sz w:val="18"/>
                <w:szCs w:val="18"/>
              </w:rPr>
            </w:pPr>
          </w:p>
        </w:tc>
        <w:tc>
          <w:tcPr>
            <w:tcW w:w="1840" w:type="dxa"/>
            <w:noWrap/>
            <w:vAlign w:val="center"/>
          </w:tcPr>
          <w:p w14:paraId="77CDCBBE" w14:textId="77777777" w:rsidR="00521E89" w:rsidRPr="00DF6C69" w:rsidRDefault="00521E89" w:rsidP="000765CF">
            <w:pPr>
              <w:jc w:val="center"/>
              <w:rPr>
                <w:rFonts w:ascii="Times New Roman" w:hAnsi="Times New Roman" w:cs="Times New Roman"/>
                <w:sz w:val="18"/>
                <w:szCs w:val="18"/>
              </w:rPr>
            </w:pPr>
          </w:p>
        </w:tc>
      </w:tr>
      <w:tr w:rsidR="00521E89" w:rsidRPr="00DF6C69" w14:paraId="7309535B" w14:textId="77777777" w:rsidTr="00313218">
        <w:trPr>
          <w:trHeight w:val="20"/>
        </w:trPr>
        <w:tc>
          <w:tcPr>
            <w:tcW w:w="2004" w:type="dxa"/>
            <w:gridSpan w:val="2"/>
            <w:vMerge/>
            <w:shd w:val="clear" w:color="auto" w:fill="FFF2CC" w:themeFill="accent4" w:themeFillTint="33"/>
            <w:noWrap/>
            <w:vAlign w:val="center"/>
          </w:tcPr>
          <w:p w14:paraId="119088DC"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70DF2334"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3B568670"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01705CF8"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4EAB473F" w14:textId="77777777" w:rsidR="00521E89" w:rsidRPr="00DF6C69" w:rsidRDefault="00521E89" w:rsidP="000765CF">
            <w:pPr>
              <w:jc w:val="center"/>
              <w:rPr>
                <w:rFonts w:ascii="Times New Roman" w:hAnsi="Times New Roman" w:cs="Times New Roman"/>
                <w:sz w:val="18"/>
                <w:szCs w:val="18"/>
              </w:rPr>
            </w:pPr>
          </w:p>
        </w:tc>
        <w:tc>
          <w:tcPr>
            <w:tcW w:w="1840" w:type="dxa"/>
            <w:noWrap/>
            <w:vAlign w:val="center"/>
          </w:tcPr>
          <w:p w14:paraId="1BD91BB9" w14:textId="77777777" w:rsidR="00521E89" w:rsidRPr="00DF6C69" w:rsidRDefault="00521E89" w:rsidP="000765CF">
            <w:pPr>
              <w:jc w:val="center"/>
              <w:rPr>
                <w:rFonts w:ascii="Times New Roman" w:hAnsi="Times New Roman" w:cs="Times New Roman"/>
                <w:sz w:val="18"/>
                <w:szCs w:val="18"/>
              </w:rPr>
            </w:pPr>
          </w:p>
        </w:tc>
      </w:tr>
      <w:tr w:rsidR="00521E89" w:rsidRPr="00DF6C69" w14:paraId="39C32445" w14:textId="77777777" w:rsidTr="00313218">
        <w:trPr>
          <w:trHeight w:val="20"/>
        </w:trPr>
        <w:tc>
          <w:tcPr>
            <w:tcW w:w="2004" w:type="dxa"/>
            <w:gridSpan w:val="2"/>
            <w:vMerge w:val="restart"/>
            <w:shd w:val="clear" w:color="auto" w:fill="FFF2CC" w:themeFill="accent4" w:themeFillTint="33"/>
            <w:noWrap/>
            <w:vAlign w:val="center"/>
            <w:hideMark/>
          </w:tcPr>
          <w:p w14:paraId="47CFD161" w14:textId="77777777" w:rsidR="00521E89" w:rsidRPr="00DF6C69" w:rsidRDefault="00521E89" w:rsidP="00313218">
            <w:pPr>
              <w:jc w:val="center"/>
              <w:rPr>
                <w:rFonts w:ascii="Times New Roman" w:hAnsi="Times New Roman" w:cs="Times New Roman"/>
                <w:sz w:val="18"/>
                <w:szCs w:val="18"/>
              </w:rPr>
            </w:pPr>
            <w:r w:rsidRPr="00DF6C69">
              <w:rPr>
                <w:rFonts w:ascii="Times New Roman" w:hAnsi="Times New Roman" w:cs="Times New Roman"/>
                <w:sz w:val="18"/>
                <w:szCs w:val="18"/>
              </w:rPr>
              <w:t>Glucose</w:t>
            </w:r>
          </w:p>
        </w:tc>
        <w:tc>
          <w:tcPr>
            <w:tcW w:w="974" w:type="dxa"/>
            <w:shd w:val="clear" w:color="auto" w:fill="FFF2CC" w:themeFill="accent4" w:themeFillTint="33"/>
            <w:vAlign w:val="center"/>
          </w:tcPr>
          <w:p w14:paraId="0AA051E1"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hideMark/>
          </w:tcPr>
          <w:p w14:paraId="4371DDD5"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hideMark/>
          </w:tcPr>
          <w:p w14:paraId="02581DF5"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noWrap/>
            <w:vAlign w:val="center"/>
            <w:hideMark/>
          </w:tcPr>
          <w:p w14:paraId="0981F0DC" w14:textId="5DA49FB6"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{"citationItems":[{"id":"ITEM-1","itemData":{"DOI":"10.1038/bjc.2015.411","ISSN":"15321827","abstract":"An individualised risk-stratified screening for prostate cancer (PCa) would select the patients who will benefit from further investigations as well as therapy. Current detection methods suffer from low sensitivity and specificity, especially for separating PCa from benign prostatic conditions. We have investigated the use of metabolomics analyses of blood samples for separating PCa patients and controls with benign prostatic hyperplasia (BPH).Methods:Blood plasma and serum samples from 29 PCa patient and 21 controls with BPH were analysed by metabolomics analysis using magnetic resonance spectroscopy, mass spectrometry and gas chromatography. Differences in blood metabolic patterns were examined by multivariate and univariate statistics.Results:By combining results from different methodological platforms, PCa patients and controls were separated with a sensitivity and specificity of 81.5% and 75.2%, respectively.Conclusions:The combined analysis of serum and plasma samples by different metabolomics measurement techniques gave successful discrimination of PCa and controls, and provided metabolic markers and insight into the processes characteristic of PCa. Our results suggest changes in fatty acid (acylcarnitines), choline (glycerophospholipids) and amino acid metabolism (arginine) as markers for PCa compared with BPH.","author":[{"dropping-particle":"","family":"Giskeødegård","given":"Guro F.","non-dropping-particle":"","parse-names":false,"suffix":""},{"dropping-particle":"","family":"Hansen","given":"Ailin Falkmo","non-dropping-particle":"","parse-names":false,"suffix":""},{"dropping-particle":"","family":"Bertilsson","given":"Helena","non-dropping-particle":"","parse-names":false,"suffix":""},{"dropping-particle":"","family":"Gonzalez","given":"Susana Villa","non-dropping-particle":"","parse-names":false,"suffix":""},{"dropping-particle":"","family":"Kristiansen","given":"Kåre Andre","non-dropping-particle":"","parse-names":false,"suffix":""},{"dropping-particle":"","family":"Bruheim","given":"Per","non-dropping-particle":"","parse-names":false,"suffix":""},{"dropping-particle":"","family":"Mjøs","given":"Svein A.","non-dropping-particle":"","parse-names":false,"suffix":""},{"dropping-particle":"","family":"Angelsen","given":"Anders","non-dropping-particle":"","parse-names":false,"suffix":""},{"dropping-particle":"","family":"Bathen","given":"Tone Frost","non-dropping-particle":"","parse-names":false,"suffix":""},{"dropping-particle":"","family":"Tessem","given":"May Britt","non-dropping-particle":"","parse-names":false,"suffix":""}],"container-title":"British Journal of Cancer","id":"ITEM-1","issue":"12","issued":{"date-parts":[["2015","12","22"]]},"page":"1712-1719","publisher":"Nature Publishing Group","title":"Metabolic markers in blood can separate prostate cancer from benign prostatic hyperplasia","type":"article-journal","volume":"113"},"uris":["http://www.mendeley.com/documents/?uuid=4e1706c9-2508-3ddb-b9e9-196a5c942929"]}],"mendeley":{"formattedCitation":"[43]","plainTextFormattedCitation":"[43]","previouslyFormattedCitation":"[43]"},"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[43]</w:t>
            </w:r>
            <w:r w:rsidRPr="00DF6C69">
              <w:rPr>
                <w:rFonts w:ascii="Times New Roman" w:hAnsi="Times New Roman" w:cs="Times New Roman"/>
                <w:sz w:val="18"/>
                <w:szCs w:val="18"/>
              </w:rPr>
              <w:fldChar w:fldCharType="end"/>
            </w:r>
          </w:p>
        </w:tc>
        <w:tc>
          <w:tcPr>
            <w:tcW w:w="1840" w:type="dxa"/>
            <w:noWrap/>
            <w:vAlign w:val="center"/>
            <w:hideMark/>
          </w:tcPr>
          <w:p w14:paraId="5901EBE2" w14:textId="77777777" w:rsidR="00521E89" w:rsidRPr="00DF6C69" w:rsidRDefault="00521E89" w:rsidP="000765CF">
            <w:pPr>
              <w:jc w:val="center"/>
              <w:rPr>
                <w:rFonts w:ascii="Times New Roman" w:hAnsi="Times New Roman" w:cs="Times New Roman"/>
                <w:sz w:val="18"/>
                <w:szCs w:val="18"/>
              </w:rPr>
            </w:pPr>
          </w:p>
        </w:tc>
      </w:tr>
      <w:tr w:rsidR="00521E89" w:rsidRPr="00DF6C69" w14:paraId="25E1ECE4" w14:textId="77777777" w:rsidTr="00313218">
        <w:trPr>
          <w:trHeight w:val="20"/>
        </w:trPr>
        <w:tc>
          <w:tcPr>
            <w:tcW w:w="2004" w:type="dxa"/>
            <w:gridSpan w:val="2"/>
            <w:vMerge/>
            <w:shd w:val="clear" w:color="auto" w:fill="FFF2CC" w:themeFill="accent4" w:themeFillTint="33"/>
            <w:noWrap/>
            <w:vAlign w:val="center"/>
          </w:tcPr>
          <w:p w14:paraId="0E533A32"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29EC3C73"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66D7C8AA"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7F3A0722"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70309A56" w14:textId="77777777" w:rsidR="00521E89" w:rsidRPr="00DF6C69" w:rsidRDefault="00521E89" w:rsidP="000765CF">
            <w:pPr>
              <w:jc w:val="center"/>
              <w:rPr>
                <w:rFonts w:ascii="Times New Roman" w:hAnsi="Times New Roman" w:cs="Times New Roman"/>
                <w:sz w:val="18"/>
                <w:szCs w:val="18"/>
              </w:rPr>
            </w:pPr>
          </w:p>
        </w:tc>
        <w:tc>
          <w:tcPr>
            <w:tcW w:w="1840" w:type="dxa"/>
            <w:noWrap/>
            <w:vAlign w:val="center"/>
          </w:tcPr>
          <w:p w14:paraId="139DC02B" w14:textId="77777777" w:rsidR="00521E89" w:rsidRPr="00DF6C69" w:rsidRDefault="00521E89" w:rsidP="000765CF">
            <w:pPr>
              <w:jc w:val="center"/>
              <w:rPr>
                <w:rFonts w:ascii="Times New Roman" w:hAnsi="Times New Roman" w:cs="Times New Roman"/>
                <w:sz w:val="18"/>
                <w:szCs w:val="18"/>
              </w:rPr>
            </w:pPr>
          </w:p>
        </w:tc>
      </w:tr>
      <w:tr w:rsidR="00521E89" w:rsidRPr="00DF6C69" w14:paraId="3708EF76" w14:textId="77777777" w:rsidTr="00313218">
        <w:trPr>
          <w:trHeight w:val="20"/>
        </w:trPr>
        <w:tc>
          <w:tcPr>
            <w:tcW w:w="2004" w:type="dxa"/>
            <w:gridSpan w:val="2"/>
            <w:vMerge/>
            <w:shd w:val="clear" w:color="auto" w:fill="FFF2CC" w:themeFill="accent4" w:themeFillTint="33"/>
            <w:noWrap/>
            <w:vAlign w:val="center"/>
          </w:tcPr>
          <w:p w14:paraId="6749B44D"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1196E723"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652DD22D"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29E4E57C" w14:textId="77777777" w:rsidR="00521E89" w:rsidRPr="00DF6C69" w:rsidRDefault="00521E89" w:rsidP="000765CF">
            <w:pPr>
              <w:jc w:val="center"/>
              <w:rPr>
                <w:rFonts w:ascii="Times New Roman" w:hAnsi="Times New Roman" w:cs="Times New Roman"/>
                <w:sz w:val="18"/>
                <w:szCs w:val="18"/>
              </w:rPr>
            </w:pPr>
          </w:p>
        </w:tc>
        <w:tc>
          <w:tcPr>
            <w:tcW w:w="1549" w:type="dxa"/>
            <w:noWrap/>
            <w:vAlign w:val="center"/>
          </w:tcPr>
          <w:p w14:paraId="4D44976B" w14:textId="77777777" w:rsidR="00521E89" w:rsidRPr="00DF6C69" w:rsidRDefault="00521E89" w:rsidP="000765CF">
            <w:pPr>
              <w:jc w:val="center"/>
              <w:rPr>
                <w:rFonts w:ascii="Times New Roman" w:hAnsi="Times New Roman" w:cs="Times New Roman"/>
                <w:sz w:val="18"/>
                <w:szCs w:val="18"/>
              </w:rPr>
            </w:pPr>
          </w:p>
        </w:tc>
        <w:tc>
          <w:tcPr>
            <w:tcW w:w="1840" w:type="dxa"/>
            <w:noWrap/>
            <w:vAlign w:val="center"/>
          </w:tcPr>
          <w:p w14:paraId="5B71C7C0" w14:textId="77777777" w:rsidR="00521E89" w:rsidRPr="00DF6C69" w:rsidRDefault="00521E89" w:rsidP="000765CF">
            <w:pPr>
              <w:jc w:val="center"/>
              <w:rPr>
                <w:rFonts w:ascii="Times New Roman" w:hAnsi="Times New Roman" w:cs="Times New Roman"/>
                <w:sz w:val="18"/>
                <w:szCs w:val="18"/>
              </w:rPr>
            </w:pPr>
          </w:p>
        </w:tc>
      </w:tr>
      <w:tr w:rsidR="00521E89" w:rsidRPr="00DF6C69" w14:paraId="18551ECB" w14:textId="77777777" w:rsidTr="00313218">
        <w:trPr>
          <w:trHeight w:val="20"/>
        </w:trPr>
        <w:tc>
          <w:tcPr>
            <w:tcW w:w="2004" w:type="dxa"/>
            <w:gridSpan w:val="2"/>
            <w:vMerge w:val="restart"/>
            <w:shd w:val="clear" w:color="auto" w:fill="FFF2CC" w:themeFill="accent4" w:themeFillTint="33"/>
            <w:noWrap/>
            <w:vAlign w:val="center"/>
            <w:hideMark/>
          </w:tcPr>
          <w:p w14:paraId="618FD0BA" w14:textId="77777777" w:rsidR="00521E89" w:rsidRPr="00DF6C69" w:rsidRDefault="00521E89" w:rsidP="00313218">
            <w:pPr>
              <w:jc w:val="center"/>
              <w:rPr>
                <w:rFonts w:ascii="Times New Roman" w:hAnsi="Times New Roman" w:cs="Times New Roman"/>
                <w:sz w:val="18"/>
                <w:szCs w:val="18"/>
              </w:rPr>
            </w:pPr>
            <w:r w:rsidRPr="00DF6C69">
              <w:rPr>
                <w:rFonts w:ascii="Times New Roman" w:hAnsi="Times New Roman" w:cs="Times New Roman"/>
                <w:sz w:val="18"/>
                <w:szCs w:val="18"/>
              </w:rPr>
              <w:t>Glycerol</w:t>
            </w:r>
          </w:p>
        </w:tc>
        <w:tc>
          <w:tcPr>
            <w:tcW w:w="974" w:type="dxa"/>
            <w:shd w:val="clear" w:color="auto" w:fill="FFF2CC" w:themeFill="accent4" w:themeFillTint="33"/>
            <w:vAlign w:val="center"/>
          </w:tcPr>
          <w:p w14:paraId="654761AF"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tcPr>
          <w:p w14:paraId="7E7B68E9"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vAlign w:val="center"/>
          </w:tcPr>
          <w:p w14:paraId="5F74B9E3"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vAlign w:val="center"/>
          </w:tcPr>
          <w:p w14:paraId="1C0C346D"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auto"/>
            <w:vAlign w:val="center"/>
          </w:tcPr>
          <w:p w14:paraId="1B43EFD9" w14:textId="77777777" w:rsidR="00521E89" w:rsidRPr="00DF6C69" w:rsidRDefault="00521E89" w:rsidP="000765CF">
            <w:pPr>
              <w:jc w:val="center"/>
              <w:rPr>
                <w:rFonts w:ascii="Times New Roman" w:hAnsi="Times New Roman" w:cs="Times New Roman"/>
                <w:sz w:val="18"/>
                <w:szCs w:val="18"/>
              </w:rPr>
            </w:pPr>
          </w:p>
        </w:tc>
      </w:tr>
      <w:tr w:rsidR="00521E89" w:rsidRPr="00DF6C69" w14:paraId="21D31BE5" w14:textId="77777777" w:rsidTr="00313218">
        <w:trPr>
          <w:trHeight w:val="20"/>
        </w:trPr>
        <w:tc>
          <w:tcPr>
            <w:tcW w:w="2004" w:type="dxa"/>
            <w:gridSpan w:val="2"/>
            <w:vMerge/>
            <w:shd w:val="clear" w:color="auto" w:fill="FFF2CC" w:themeFill="accent4" w:themeFillTint="33"/>
            <w:noWrap/>
            <w:vAlign w:val="center"/>
          </w:tcPr>
          <w:p w14:paraId="148B05C0"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34684C7A"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204AA0DD"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vAlign w:val="center"/>
          </w:tcPr>
          <w:p w14:paraId="6A0A0F21" w14:textId="3B471951"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 [50]","plainTextFormattedCitation":"[42], [50]","previouslyFormattedCitation":"[42], [50]"},"properties":{"noteIndex":0},"schema":"https://github.com/citation-style-language/schema/raw/master/csl-citation.json"}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 [50]</w:t>
            </w:r>
            <w:r w:rsidRPr="00DF6C69">
              <w:rPr>
                <w:rFonts w:ascii="Times New Roman" w:hAnsi="Times New Roman" w:cs="Times New Roman"/>
                <w:sz w:val="18"/>
                <w:szCs w:val="18"/>
              </w:rPr>
              <w:fldChar w:fldCharType="end"/>
            </w:r>
          </w:p>
        </w:tc>
        <w:tc>
          <w:tcPr>
            <w:tcW w:w="1549" w:type="dxa"/>
            <w:shd w:val="clear" w:color="auto" w:fill="E2EFD9" w:themeFill="accent6" w:themeFillTint="33"/>
            <w:vAlign w:val="center"/>
          </w:tcPr>
          <w:p w14:paraId="1EF364D1" w14:textId="1258D236"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840" w:type="dxa"/>
            <w:shd w:val="clear" w:color="auto" w:fill="E2EFD9" w:themeFill="accent6" w:themeFillTint="33"/>
            <w:vAlign w:val="center"/>
          </w:tcPr>
          <w:p w14:paraId="7A6F7B1E" w14:textId="5F771F4A"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r>
      <w:tr w:rsidR="00521E89" w:rsidRPr="00DF6C69" w14:paraId="429BD760" w14:textId="77777777" w:rsidTr="00313218">
        <w:trPr>
          <w:trHeight w:val="20"/>
        </w:trPr>
        <w:tc>
          <w:tcPr>
            <w:tcW w:w="2004" w:type="dxa"/>
            <w:gridSpan w:val="2"/>
            <w:vMerge/>
            <w:shd w:val="clear" w:color="auto" w:fill="FFF2CC" w:themeFill="accent4" w:themeFillTint="33"/>
            <w:noWrap/>
            <w:vAlign w:val="center"/>
          </w:tcPr>
          <w:p w14:paraId="3AE1EC8B"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083C6DDC"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114F50D7"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vAlign w:val="center"/>
          </w:tcPr>
          <w:p w14:paraId="2ADCF943" w14:textId="496FF8BE"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 [50]","plainTextFormattedCitation":"[42], [50]","previouslyFormattedCitation":"[42], [50]"},"properties":{"noteIndex":0},"schema":"https://github.com/citation-style-language/schema/raw/master/csl-citation.json"}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 [50]</w:t>
            </w:r>
            <w:r w:rsidRPr="00DF6C69">
              <w:rPr>
                <w:rFonts w:ascii="Times New Roman" w:hAnsi="Times New Roman" w:cs="Times New Roman"/>
                <w:sz w:val="18"/>
                <w:szCs w:val="18"/>
              </w:rPr>
              <w:fldChar w:fldCharType="end"/>
            </w:r>
          </w:p>
        </w:tc>
        <w:tc>
          <w:tcPr>
            <w:tcW w:w="1549" w:type="dxa"/>
            <w:shd w:val="clear" w:color="auto" w:fill="auto"/>
            <w:vAlign w:val="center"/>
          </w:tcPr>
          <w:p w14:paraId="7A5338CE" w14:textId="77777777" w:rsidR="00521E89" w:rsidRPr="00DF6C69" w:rsidRDefault="00521E89" w:rsidP="000765CF">
            <w:pPr>
              <w:jc w:val="center"/>
              <w:rPr>
                <w:rFonts w:ascii="Times New Roman" w:hAnsi="Times New Roman" w:cs="Times New Roman"/>
                <w:sz w:val="18"/>
                <w:szCs w:val="18"/>
              </w:rPr>
            </w:pPr>
          </w:p>
        </w:tc>
        <w:tc>
          <w:tcPr>
            <w:tcW w:w="1840" w:type="dxa"/>
            <w:shd w:val="clear" w:color="auto" w:fill="auto"/>
            <w:vAlign w:val="center"/>
          </w:tcPr>
          <w:p w14:paraId="65B74340" w14:textId="37FC45D9"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r>
      <w:tr w:rsidR="00521E89" w:rsidRPr="00DF6C69" w14:paraId="126FFF59" w14:textId="77777777" w:rsidTr="00313218">
        <w:trPr>
          <w:trHeight w:val="20"/>
        </w:trPr>
        <w:tc>
          <w:tcPr>
            <w:tcW w:w="2004" w:type="dxa"/>
            <w:gridSpan w:val="2"/>
            <w:vMerge w:val="restart"/>
            <w:shd w:val="clear" w:color="auto" w:fill="FFF2CC" w:themeFill="accent4" w:themeFillTint="33"/>
            <w:noWrap/>
            <w:vAlign w:val="center"/>
          </w:tcPr>
          <w:p w14:paraId="55134B39" w14:textId="77777777" w:rsidR="00521E89" w:rsidRPr="00DF6C69" w:rsidRDefault="00521E89" w:rsidP="00313218">
            <w:pPr>
              <w:jc w:val="center"/>
              <w:rPr>
                <w:rFonts w:ascii="Times New Roman" w:hAnsi="Times New Roman" w:cs="Times New Roman"/>
                <w:sz w:val="18"/>
                <w:szCs w:val="18"/>
              </w:rPr>
            </w:pPr>
            <w:proofErr w:type="spellStart"/>
            <w:r w:rsidRPr="00DF6C69">
              <w:rPr>
                <w:rFonts w:ascii="Times New Roman" w:hAnsi="Times New Roman" w:cs="Times New Roman"/>
                <w:sz w:val="18"/>
                <w:szCs w:val="18"/>
              </w:rPr>
              <w:t>Isolithocholic</w:t>
            </w:r>
            <w:proofErr w:type="spellEnd"/>
            <w:r w:rsidRPr="00DF6C69">
              <w:rPr>
                <w:rFonts w:ascii="Times New Roman" w:hAnsi="Times New Roman" w:cs="Times New Roman"/>
                <w:sz w:val="18"/>
                <w:szCs w:val="18"/>
              </w:rPr>
              <w:t xml:space="preserve"> acid</w:t>
            </w:r>
          </w:p>
        </w:tc>
        <w:tc>
          <w:tcPr>
            <w:tcW w:w="974" w:type="dxa"/>
            <w:shd w:val="clear" w:color="auto" w:fill="FFF2CC" w:themeFill="accent4" w:themeFillTint="33"/>
            <w:vAlign w:val="center"/>
          </w:tcPr>
          <w:p w14:paraId="60399BC0"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1D1910FC"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65AD4D2A" w14:textId="5997666E" w:rsidR="00521E89" w:rsidRPr="00DF6C69" w:rsidRDefault="00521E89" w:rsidP="000765CF">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53537D"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0033020E"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auto"/>
            <w:vAlign w:val="center"/>
          </w:tcPr>
          <w:p w14:paraId="4476383F" w14:textId="77777777" w:rsidR="00521E89" w:rsidRPr="00DF6C69" w:rsidRDefault="00521E89" w:rsidP="000765CF">
            <w:pPr>
              <w:jc w:val="center"/>
              <w:rPr>
                <w:rFonts w:ascii="Times New Roman" w:hAnsi="Times New Roman" w:cs="Times New Roman"/>
                <w:sz w:val="18"/>
                <w:szCs w:val="18"/>
              </w:rPr>
            </w:pPr>
          </w:p>
        </w:tc>
        <w:tc>
          <w:tcPr>
            <w:tcW w:w="1840" w:type="dxa"/>
            <w:noWrap/>
            <w:vAlign w:val="center"/>
          </w:tcPr>
          <w:p w14:paraId="0658A99F" w14:textId="77777777" w:rsidR="00521E89" w:rsidRPr="00DF6C69" w:rsidRDefault="00521E89" w:rsidP="000765CF">
            <w:pPr>
              <w:jc w:val="center"/>
              <w:rPr>
                <w:rFonts w:ascii="Times New Roman" w:hAnsi="Times New Roman" w:cs="Times New Roman"/>
                <w:sz w:val="18"/>
                <w:szCs w:val="18"/>
              </w:rPr>
            </w:pPr>
          </w:p>
        </w:tc>
      </w:tr>
      <w:tr w:rsidR="00521E89" w:rsidRPr="00DF6C69" w14:paraId="6BAF7494" w14:textId="77777777" w:rsidTr="00313218">
        <w:trPr>
          <w:trHeight w:val="20"/>
        </w:trPr>
        <w:tc>
          <w:tcPr>
            <w:tcW w:w="2004" w:type="dxa"/>
            <w:gridSpan w:val="2"/>
            <w:vMerge/>
            <w:shd w:val="clear" w:color="auto" w:fill="FFF2CC" w:themeFill="accent4" w:themeFillTint="33"/>
            <w:noWrap/>
            <w:vAlign w:val="center"/>
          </w:tcPr>
          <w:p w14:paraId="6DA3B0DA"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3BC48BE3"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7E37647E"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2E173E98"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vAlign w:val="center"/>
          </w:tcPr>
          <w:p w14:paraId="4CC91AC5" w14:textId="77777777" w:rsidR="00521E89" w:rsidRPr="00DF6C69" w:rsidRDefault="00521E89" w:rsidP="000765CF">
            <w:pPr>
              <w:jc w:val="center"/>
              <w:rPr>
                <w:rFonts w:ascii="Times New Roman" w:hAnsi="Times New Roman" w:cs="Times New Roman"/>
                <w:sz w:val="18"/>
                <w:szCs w:val="18"/>
              </w:rPr>
            </w:pPr>
          </w:p>
        </w:tc>
        <w:tc>
          <w:tcPr>
            <w:tcW w:w="1840" w:type="dxa"/>
            <w:noWrap/>
            <w:vAlign w:val="center"/>
          </w:tcPr>
          <w:p w14:paraId="5A14D154" w14:textId="77777777" w:rsidR="00521E89" w:rsidRPr="00DF6C69" w:rsidRDefault="00521E89" w:rsidP="000765CF">
            <w:pPr>
              <w:jc w:val="center"/>
              <w:rPr>
                <w:rFonts w:ascii="Times New Roman" w:hAnsi="Times New Roman" w:cs="Times New Roman"/>
                <w:sz w:val="18"/>
                <w:szCs w:val="18"/>
              </w:rPr>
            </w:pPr>
          </w:p>
        </w:tc>
      </w:tr>
      <w:tr w:rsidR="00521E89" w:rsidRPr="00DF6C69" w14:paraId="729D5C88" w14:textId="77777777" w:rsidTr="00313218">
        <w:trPr>
          <w:trHeight w:val="20"/>
        </w:trPr>
        <w:tc>
          <w:tcPr>
            <w:tcW w:w="2004" w:type="dxa"/>
            <w:gridSpan w:val="2"/>
            <w:vMerge/>
            <w:shd w:val="clear" w:color="auto" w:fill="FFF2CC" w:themeFill="accent4" w:themeFillTint="33"/>
            <w:noWrap/>
            <w:vAlign w:val="center"/>
          </w:tcPr>
          <w:p w14:paraId="451855A4" w14:textId="77777777" w:rsidR="00521E89" w:rsidRPr="00DF6C69" w:rsidRDefault="00521E89" w:rsidP="00313218">
            <w:pPr>
              <w:jc w:val="center"/>
              <w:rPr>
                <w:rFonts w:ascii="Times New Roman" w:hAnsi="Times New Roman" w:cs="Times New Roman"/>
                <w:sz w:val="18"/>
                <w:szCs w:val="18"/>
              </w:rPr>
            </w:pPr>
          </w:p>
        </w:tc>
        <w:tc>
          <w:tcPr>
            <w:tcW w:w="974" w:type="dxa"/>
            <w:shd w:val="clear" w:color="auto" w:fill="FFF2CC" w:themeFill="accent4" w:themeFillTint="33"/>
            <w:vAlign w:val="center"/>
          </w:tcPr>
          <w:p w14:paraId="519A426E" w14:textId="77777777" w:rsidR="00521E89" w:rsidRPr="00DF6C69" w:rsidRDefault="00521E89" w:rsidP="000765CF">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25F3453D"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noWrap/>
            <w:vAlign w:val="center"/>
          </w:tcPr>
          <w:p w14:paraId="00B3EF62" w14:textId="77777777" w:rsidR="00521E89" w:rsidRPr="00DF6C69" w:rsidRDefault="00521E89" w:rsidP="000765CF">
            <w:pPr>
              <w:jc w:val="center"/>
              <w:rPr>
                <w:rFonts w:ascii="Times New Roman" w:hAnsi="Times New Roman" w:cs="Times New Roman"/>
                <w:sz w:val="18"/>
                <w:szCs w:val="18"/>
              </w:rPr>
            </w:pPr>
          </w:p>
        </w:tc>
        <w:tc>
          <w:tcPr>
            <w:tcW w:w="1549" w:type="dxa"/>
            <w:shd w:val="clear" w:color="auto" w:fill="auto"/>
            <w:vAlign w:val="center"/>
          </w:tcPr>
          <w:p w14:paraId="11F33B40" w14:textId="77777777" w:rsidR="00521E89" w:rsidRPr="00DF6C69" w:rsidRDefault="00521E89" w:rsidP="000765CF">
            <w:pPr>
              <w:jc w:val="center"/>
              <w:rPr>
                <w:rFonts w:ascii="Times New Roman" w:hAnsi="Times New Roman" w:cs="Times New Roman"/>
                <w:sz w:val="18"/>
                <w:szCs w:val="18"/>
              </w:rPr>
            </w:pPr>
          </w:p>
        </w:tc>
        <w:tc>
          <w:tcPr>
            <w:tcW w:w="1840" w:type="dxa"/>
            <w:noWrap/>
            <w:vAlign w:val="center"/>
          </w:tcPr>
          <w:p w14:paraId="3B34C604" w14:textId="77777777" w:rsidR="00521E89" w:rsidRPr="00DF6C69" w:rsidRDefault="00521E89" w:rsidP="000765CF">
            <w:pPr>
              <w:jc w:val="center"/>
              <w:rPr>
                <w:rFonts w:ascii="Times New Roman" w:hAnsi="Times New Roman" w:cs="Times New Roman"/>
                <w:sz w:val="18"/>
                <w:szCs w:val="18"/>
              </w:rPr>
            </w:pPr>
          </w:p>
        </w:tc>
      </w:tr>
      <w:tr w:rsidR="00FA0D4C" w:rsidRPr="00DF6C69" w14:paraId="1EF7BF7A" w14:textId="77777777" w:rsidTr="00313218">
        <w:trPr>
          <w:trHeight w:val="20"/>
        </w:trPr>
        <w:tc>
          <w:tcPr>
            <w:tcW w:w="472" w:type="dxa"/>
            <w:vMerge w:val="restart"/>
            <w:shd w:val="clear" w:color="auto" w:fill="FFF2CC" w:themeFill="accent4" w:themeFillTint="33"/>
            <w:noWrap/>
            <w:textDirection w:val="btLr"/>
            <w:vAlign w:val="center"/>
          </w:tcPr>
          <w:p w14:paraId="4A95226B" w14:textId="3FB1868F" w:rsidR="00FA0D4C" w:rsidRPr="00DF6C69" w:rsidRDefault="00EA2C1D" w:rsidP="00313218">
            <w:pPr>
              <w:ind w:left="113" w:right="113"/>
              <w:jc w:val="center"/>
              <w:rPr>
                <w:rFonts w:ascii="Times New Roman" w:hAnsi="Times New Roman" w:cs="Times New Roman"/>
                <w:sz w:val="18"/>
                <w:szCs w:val="18"/>
              </w:rPr>
            </w:pPr>
            <w:r w:rsidRPr="00DF6C69">
              <w:rPr>
                <w:rFonts w:cs="Times New Roman"/>
                <w:b/>
                <w:bCs/>
                <w:color w:val="000000"/>
                <w:sz w:val="18"/>
                <w:szCs w:val="18"/>
              </w:rPr>
              <w:t>L-amino acids (LAA)</w:t>
            </w:r>
          </w:p>
        </w:tc>
        <w:tc>
          <w:tcPr>
            <w:tcW w:w="1532" w:type="dxa"/>
            <w:vMerge w:val="restart"/>
            <w:shd w:val="clear" w:color="auto" w:fill="D9E2F3" w:themeFill="accent1" w:themeFillTint="33"/>
            <w:vAlign w:val="center"/>
          </w:tcPr>
          <w:p w14:paraId="53D99E24" w14:textId="0B11144F"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Alanine</w:t>
            </w:r>
          </w:p>
        </w:tc>
        <w:tc>
          <w:tcPr>
            <w:tcW w:w="974" w:type="dxa"/>
            <w:shd w:val="clear" w:color="auto" w:fill="FFF2CC" w:themeFill="accent4" w:themeFillTint="33"/>
            <w:vAlign w:val="center"/>
          </w:tcPr>
          <w:p w14:paraId="56564CBE" w14:textId="5D926280"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47CB081D"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E2EFD9" w:themeFill="accent6" w:themeFillTint="33"/>
            <w:vAlign w:val="center"/>
          </w:tcPr>
          <w:p w14:paraId="53031A60" w14:textId="4CB83747"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b/>
                <w:sz w:val="18"/>
                <w:szCs w:val="18"/>
              </w:rPr>
              <w:t>↔</w:t>
            </w: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{"citationItems":[{"id":"ITEM-1","itemData":{"DOI":"10.3390/diagnostics9010021","ISSN":"20754418","abstract":"Prostate cancer (PCa) diagnosis with current biomarkers is difficult and often results in unnecessary invasive procedures as well as over-diagnosis and over-treatment, highlighting the need for novel biomarkers. The aim of this review is to provide a summary of available metabolomics PCa biomarkers, particularly for clinically significant disease. A systematic search was conducted on PubMed for publications from July 2008 to July 2018 in accordance with PRISMA guidelines to report biomarkers with respect to their application in PCa diagnosis, progression, aggressiveness, recurrence, and treatment response. The vast majority of studies report biomarkers with the ability to distinguish malignant from benign prostate tissue with a few studies investigating biomarkers associated with disease progression, treatment response or tumour recurrence. In general, these studies report high dimensional datasets and the number of analysed metabolites often significantly exceeded the number of available samples. Hence, observed multivariate differences between case and control samples in the datasets might potentially also be associated with pre-analytical, technical, statistical and confounding factors. Giving the technical and methodological hurdles, there are nevertheless a number of metabolites and pathways repeatedly reported across various technical approaches, cohorts and sample types that appear to play a predominant role in PCa tumour biology, progression and recurrence.","author":[{"dropping-particle":"","family":"Kdadra","given":"Marouane","non-dropping-particle":"","parse-names":false,"suffix":""},{"dropping-particle":"","family":"Höckner","given":"Sebastian","non-dropping-particle":"","parse-names":false,"suffix":""},{"dropping-particle":"","family":"Leung","given":"Hing","non-dropping-particle":"","parse-names":false,"suffix":""},{"dropping-particle":"","family":"Kremer","given":"Werner","non-dropping-particle":"","parse-names":false,"suffix":""},{"dropping-particle":"","family":"Schiffer","given":"Eric","non-dropping-particle":"","parse-names":false,"suffix":""}],"container-title":"Diagnostics","id":"ITEM-1","issue":"1","issued":{"date-parts":[["2019","2","19"]]},"page":"1-44","title":"Metabolomics biomarkers of prostate cancer: A systematic review","type":"article-journal","volume":"9"},"uris":["http://www.mendeley.com/documents/?uuid=af4b2e7e-5479-41b2-9215-23a7e0c14039"]}],"mendeley":{"formattedCitation":"[41]","plainTextFormattedCitation":"[41]","previouslyFormattedCitation":"[41]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[41]</w:t>
            </w:r>
            <w:r w:rsidRPr="00DF6C69">
              <w:rPr>
                <w:rFonts w:ascii="Times New Roman" w:hAnsi="Times New Roman" w:cs="Times New Roman"/>
                <w:sz w:val="18"/>
                <w:szCs w:val="18"/>
              </w:rPr>
              <w:fldChar w:fldCharType="end"/>
            </w:r>
          </w:p>
        </w:tc>
        <w:tc>
          <w:tcPr>
            <w:tcW w:w="1549" w:type="dxa"/>
            <w:shd w:val="clear" w:color="auto" w:fill="auto"/>
            <w:noWrap/>
            <w:vAlign w:val="center"/>
          </w:tcPr>
          <w:p w14:paraId="3917A68C"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E2EFD9" w:themeFill="accent6" w:themeFillTint="33"/>
            <w:noWrap/>
            <w:vAlign w:val="center"/>
          </w:tcPr>
          <w:p w14:paraId="5B5D223F" w14:textId="522D848B"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r>
      <w:tr w:rsidR="00FA0D4C" w:rsidRPr="00DF6C69" w14:paraId="25AB785D" w14:textId="77777777" w:rsidTr="00313218">
        <w:trPr>
          <w:trHeight w:val="20"/>
        </w:trPr>
        <w:tc>
          <w:tcPr>
            <w:tcW w:w="472" w:type="dxa"/>
            <w:vMerge/>
            <w:shd w:val="clear" w:color="auto" w:fill="FFF2CC" w:themeFill="accent4" w:themeFillTint="33"/>
            <w:noWrap/>
            <w:vAlign w:val="center"/>
          </w:tcPr>
          <w:p w14:paraId="21797713"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1FFD9037"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4BD9DFE1" w14:textId="2A692D5A"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006E9BA0"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2E54F748"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0C9F5ACE" w14:textId="1631A2B0"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840" w:type="dxa"/>
            <w:shd w:val="clear" w:color="auto" w:fill="auto"/>
            <w:noWrap/>
            <w:vAlign w:val="center"/>
          </w:tcPr>
          <w:p w14:paraId="586B410D" w14:textId="77777777" w:rsidR="00FA0D4C" w:rsidRPr="00DF6C69" w:rsidRDefault="00FA0D4C" w:rsidP="00E95C4A">
            <w:pPr>
              <w:jc w:val="center"/>
              <w:rPr>
                <w:rFonts w:ascii="Times New Roman" w:hAnsi="Times New Roman" w:cs="Times New Roman"/>
                <w:sz w:val="18"/>
                <w:szCs w:val="18"/>
              </w:rPr>
            </w:pPr>
          </w:p>
        </w:tc>
      </w:tr>
      <w:tr w:rsidR="00FA0D4C" w:rsidRPr="00DF6C69" w14:paraId="14B58E9D" w14:textId="77777777" w:rsidTr="00313218">
        <w:trPr>
          <w:trHeight w:val="20"/>
        </w:trPr>
        <w:tc>
          <w:tcPr>
            <w:tcW w:w="472" w:type="dxa"/>
            <w:vMerge/>
            <w:shd w:val="clear" w:color="auto" w:fill="FFF2CC" w:themeFill="accent4" w:themeFillTint="33"/>
            <w:noWrap/>
            <w:vAlign w:val="center"/>
          </w:tcPr>
          <w:p w14:paraId="3E35417B"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54F732EA"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1C1DE048" w14:textId="124DFD32"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4131E068"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317ABCBD"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4CA77906" w14:textId="3622BCA0"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840" w:type="dxa"/>
            <w:shd w:val="clear" w:color="auto" w:fill="auto"/>
            <w:noWrap/>
            <w:vAlign w:val="center"/>
          </w:tcPr>
          <w:p w14:paraId="4FDAB744" w14:textId="77777777" w:rsidR="00FA0D4C" w:rsidRPr="00DF6C69" w:rsidRDefault="00FA0D4C" w:rsidP="00E95C4A">
            <w:pPr>
              <w:jc w:val="center"/>
              <w:rPr>
                <w:rFonts w:ascii="Times New Roman" w:hAnsi="Times New Roman" w:cs="Times New Roman"/>
                <w:sz w:val="18"/>
                <w:szCs w:val="18"/>
              </w:rPr>
            </w:pPr>
          </w:p>
        </w:tc>
      </w:tr>
      <w:tr w:rsidR="00FA0D4C" w:rsidRPr="00DF6C69" w14:paraId="13F2C282" w14:textId="77777777" w:rsidTr="00313218">
        <w:trPr>
          <w:trHeight w:val="20"/>
        </w:trPr>
        <w:tc>
          <w:tcPr>
            <w:tcW w:w="472" w:type="dxa"/>
            <w:vMerge/>
            <w:shd w:val="clear" w:color="auto" w:fill="FFF2CC" w:themeFill="accent4" w:themeFillTint="33"/>
            <w:noWrap/>
            <w:vAlign w:val="center"/>
          </w:tcPr>
          <w:p w14:paraId="142CC786" w14:textId="1FD55320"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0A078B07" w14:textId="1E54372C"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Arginine</w:t>
            </w:r>
          </w:p>
        </w:tc>
        <w:tc>
          <w:tcPr>
            <w:tcW w:w="974" w:type="dxa"/>
            <w:shd w:val="clear" w:color="auto" w:fill="FFF2CC" w:themeFill="accent4" w:themeFillTint="33"/>
            <w:vAlign w:val="center"/>
          </w:tcPr>
          <w:p w14:paraId="14EF12C9" w14:textId="0052F82D"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32B057DA"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32270DD4"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1F4A4A5F" w14:textId="5E4E1098"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{"citationItems":[{"id":"ITEM-1","itemData":{"DOI":"10.1038/bjc.2015.411","ISSN":"15321827","abstract":"An individualised risk-stratified screening for prostate cancer (PCa) would select the patients who will benefit from further investigations as well as therapy. Current detection methods suffer from low sensitivity and specificity, especially for separating PCa from benign prostatic conditions. We have investigated the use of metabolomics analyses of blood samples for separating PCa patients and controls with benign prostatic hyperplasia (BPH).Methods:Blood plasma and serum samples from 29 PCa patient and 21 controls with BPH were analysed by metabolomics analysis using magnetic resonance spectroscopy, mass spectrometry and gas chromatography. Differences in blood metabolic patterns were examined by multivariate and univariate statistics.Results:By combining results from different methodological platforms, PCa patients and controls were separated with a sensitivity and specificity of 81.5% and 75.2%, respectively.Conclusions:The combined analysis of serum and plasma samples by different metabolomics measurement techniques gave successful discrimination of PCa and controls, and provided metabolic markers and insight into the processes characteristic of PCa. Our results suggest changes in fatty acid (acylcarnitines), choline (glycerophospholipids) and amino acid metabolism (arginine) as markers for PCa compared with BPH.","author":[{"dropping-particle":"","family":"Giskeødegård","given":"Guro F.","non-dropping-particle":"","parse-names":false,"suffix":""},{"dropping-particle":"","family":"Hansen","given":"Ailin Falkmo","non-dropping-particle":"","parse-names":false,"suffix":""},{"dropping-particle":"","family":"Bertilsson","given":"Helena","non-dropping-particle":"","parse-names":false,"suffix":""},{"dropping-particle":"","family":"Gonzalez","given":"Susana Villa","non-dropping-particle":"","parse-names":false,"suffix":""},{"dropping-particle":"","family":"Kristiansen","given":"Kåre Andre","non-dropping-particle":"","parse-names":false,"suffix":""},{"dropping-particle":"","family":"Bruheim","given":"Per","non-dropping-particle":"","parse-names":false,"suffix":""},{"dropping-particle":"","family":"Mjøs","given":"Svein A.","non-dropping-particle":"","parse-names":false,"suffix":""},{"dropping-particle":"","family":"Angelsen","given":"Anders","non-dropping-particle":"","parse-names":false,"suffix":""},{"dropping-particle":"","family":"Bathen","given":"Tone Frost","non-dropping-particle":"","parse-names":false,"suffix":""},{"dropping-particle":"","family":"Tessem","given":"May Britt","non-dropping-particle":"","parse-names":false,"suffix":""}],"container-title":"British Journal of Cancer","id":"ITEM-1","issue":"12","issued":{"date-parts":[["2015","12","22"]]},"page":"1712-1719","publisher":"Nature Publishing Group","title":"Metabolic markers in blood can separate prostate cancer from benign prostatic hyperplasia","type":"article-journal","volume":"113"},"uris":["http://www.mendeley.com/documents/?uuid=4e1706c9-2508-3ddb-b9e9-196a5c942929"]}],"mendeley":{"formattedCitation":"[43]","plainTextFormattedCitation":"[43]","previouslyFormattedCitation":"[43]"},"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[43]</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0013D583" w14:textId="73DF8E34"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r>
      <w:tr w:rsidR="00FA0D4C" w:rsidRPr="00DF6C69" w14:paraId="59D768E4" w14:textId="77777777" w:rsidTr="00313218">
        <w:trPr>
          <w:trHeight w:val="20"/>
        </w:trPr>
        <w:tc>
          <w:tcPr>
            <w:tcW w:w="472" w:type="dxa"/>
            <w:vMerge/>
            <w:shd w:val="clear" w:color="auto" w:fill="FFF2CC" w:themeFill="accent4" w:themeFillTint="33"/>
            <w:noWrap/>
            <w:vAlign w:val="center"/>
          </w:tcPr>
          <w:p w14:paraId="631CA661"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577A0D09"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5D27C4BA" w14:textId="64E244E6"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59B2F400"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41479B70"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7322DFB1"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E2EFD9" w:themeFill="accent6" w:themeFillTint="33"/>
            <w:noWrap/>
            <w:vAlign w:val="center"/>
          </w:tcPr>
          <w:p w14:paraId="1BEC787F" w14:textId="7CEC4C31"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M.","non-dropping-particle":"","parse-names":false,"suffix":""}],"container-title":"Nature","id":"ITEM-1","issue":"7231","issued":{"date-parts":[["2009","2","12"]]},"page":"910-914","publisher":"Nature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[51]","plainTextFormattedCitation":"[51]","previouslyFormattedCitation":"[51]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[51]</w:t>
            </w:r>
            <w:r w:rsidRPr="00DF6C69">
              <w:rPr>
                <w:rFonts w:ascii="Times New Roman" w:hAnsi="Times New Roman" w:cs="Times New Roman"/>
                <w:sz w:val="18"/>
                <w:szCs w:val="18"/>
              </w:rPr>
              <w:fldChar w:fldCharType="end"/>
            </w:r>
          </w:p>
        </w:tc>
      </w:tr>
      <w:tr w:rsidR="00FA0D4C" w:rsidRPr="00DF6C69" w14:paraId="64511230" w14:textId="77777777" w:rsidTr="00313218">
        <w:trPr>
          <w:trHeight w:val="20"/>
        </w:trPr>
        <w:tc>
          <w:tcPr>
            <w:tcW w:w="472" w:type="dxa"/>
            <w:vMerge/>
            <w:shd w:val="clear" w:color="auto" w:fill="FFF2CC" w:themeFill="accent4" w:themeFillTint="33"/>
            <w:noWrap/>
            <w:vAlign w:val="center"/>
          </w:tcPr>
          <w:p w14:paraId="37DFDAFB"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576BFD53"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21E09518" w14:textId="19AE8689"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3FC47F41"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7052A9AA"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2E43E2C8"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7D5FEE97" w14:textId="77777777" w:rsidR="00FA0D4C" w:rsidRPr="00DF6C69" w:rsidRDefault="00FA0D4C" w:rsidP="00E95C4A">
            <w:pPr>
              <w:jc w:val="center"/>
              <w:rPr>
                <w:rFonts w:ascii="Times New Roman" w:hAnsi="Times New Roman" w:cs="Times New Roman"/>
                <w:sz w:val="18"/>
                <w:szCs w:val="18"/>
              </w:rPr>
            </w:pPr>
          </w:p>
        </w:tc>
      </w:tr>
      <w:tr w:rsidR="00FA0D4C" w:rsidRPr="00DF6C69" w14:paraId="73AF9B38" w14:textId="77777777" w:rsidTr="00313218">
        <w:trPr>
          <w:trHeight w:val="20"/>
        </w:trPr>
        <w:tc>
          <w:tcPr>
            <w:tcW w:w="472" w:type="dxa"/>
            <w:vMerge/>
            <w:shd w:val="clear" w:color="auto" w:fill="FFF2CC" w:themeFill="accent4" w:themeFillTint="33"/>
            <w:noWrap/>
            <w:vAlign w:val="center"/>
          </w:tcPr>
          <w:p w14:paraId="153394AE" w14:textId="3FF98ABE"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22C869D7" w14:textId="437D7B8C"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Asparagine</w:t>
            </w:r>
          </w:p>
        </w:tc>
        <w:tc>
          <w:tcPr>
            <w:tcW w:w="974" w:type="dxa"/>
            <w:shd w:val="clear" w:color="auto" w:fill="FFF2CC" w:themeFill="accent4" w:themeFillTint="33"/>
            <w:vAlign w:val="center"/>
          </w:tcPr>
          <w:p w14:paraId="76DB977F" w14:textId="690C954C"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614FDD7E"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4FF11C70"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6FDCE394"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08139E61" w14:textId="77777777" w:rsidR="00FA0D4C" w:rsidRPr="00DF6C69" w:rsidRDefault="00FA0D4C" w:rsidP="00E95C4A">
            <w:pPr>
              <w:jc w:val="center"/>
              <w:rPr>
                <w:rFonts w:ascii="Times New Roman" w:hAnsi="Times New Roman" w:cs="Times New Roman"/>
                <w:sz w:val="18"/>
                <w:szCs w:val="18"/>
              </w:rPr>
            </w:pPr>
          </w:p>
        </w:tc>
      </w:tr>
      <w:tr w:rsidR="00FA0D4C" w:rsidRPr="00DF6C69" w14:paraId="73BBF8EB" w14:textId="77777777" w:rsidTr="00313218">
        <w:trPr>
          <w:trHeight w:val="20"/>
        </w:trPr>
        <w:tc>
          <w:tcPr>
            <w:tcW w:w="472" w:type="dxa"/>
            <w:vMerge/>
            <w:shd w:val="clear" w:color="auto" w:fill="FFF2CC" w:themeFill="accent4" w:themeFillTint="33"/>
            <w:noWrap/>
            <w:vAlign w:val="center"/>
          </w:tcPr>
          <w:p w14:paraId="32E2A516"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752A0B9E"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3BE40CA4" w14:textId="4B9A2FD6"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36C5CCA4"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5D4879FB"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407C7A2F" w14:textId="7A879D85"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M.","non-dropping-particle":"","parse-names":false,"suffix":""}],"container-title":"Nature","id":"ITEM-1","issue":"7231","issued":{"date-parts":[["2009","2","12"]]},"page":"910-914","publisher":"Nature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[51]","plainTextFormattedCitation":"[51]","previouslyFormattedCitation":"[51]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[51]</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02683B6A" w14:textId="3FB2ED2E"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r>
      <w:tr w:rsidR="00FA0D4C" w:rsidRPr="00DF6C69" w14:paraId="55ACD5BC" w14:textId="77777777" w:rsidTr="00313218">
        <w:trPr>
          <w:trHeight w:val="20"/>
        </w:trPr>
        <w:tc>
          <w:tcPr>
            <w:tcW w:w="472" w:type="dxa"/>
            <w:vMerge/>
            <w:shd w:val="clear" w:color="auto" w:fill="FFF2CC" w:themeFill="accent4" w:themeFillTint="33"/>
            <w:noWrap/>
            <w:vAlign w:val="center"/>
          </w:tcPr>
          <w:p w14:paraId="0D493E0C"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78D2D74A"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4DDE0157" w14:textId="632E0DC3"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58E63C2C"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139F4E76"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6191BC9D"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2EFDB245" w14:textId="77777777" w:rsidR="00FA0D4C" w:rsidRPr="00DF6C69" w:rsidRDefault="00FA0D4C" w:rsidP="00E95C4A">
            <w:pPr>
              <w:jc w:val="center"/>
              <w:rPr>
                <w:rFonts w:ascii="Times New Roman" w:hAnsi="Times New Roman" w:cs="Times New Roman"/>
                <w:sz w:val="18"/>
                <w:szCs w:val="18"/>
              </w:rPr>
            </w:pPr>
          </w:p>
        </w:tc>
      </w:tr>
      <w:tr w:rsidR="00FA0D4C" w:rsidRPr="00DF6C69" w14:paraId="75FEF285" w14:textId="77777777" w:rsidTr="00313218">
        <w:trPr>
          <w:trHeight w:val="20"/>
        </w:trPr>
        <w:tc>
          <w:tcPr>
            <w:tcW w:w="472" w:type="dxa"/>
            <w:vMerge/>
            <w:shd w:val="clear" w:color="auto" w:fill="FFF2CC" w:themeFill="accent4" w:themeFillTint="33"/>
            <w:noWrap/>
            <w:vAlign w:val="center"/>
          </w:tcPr>
          <w:p w14:paraId="629070E0" w14:textId="0FC55999"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28E7510C" w14:textId="6CB8FCC1"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Cysteine</w:t>
            </w:r>
          </w:p>
        </w:tc>
        <w:tc>
          <w:tcPr>
            <w:tcW w:w="974" w:type="dxa"/>
            <w:shd w:val="clear" w:color="auto" w:fill="FFF2CC" w:themeFill="accent4" w:themeFillTint="33"/>
            <w:vAlign w:val="center"/>
          </w:tcPr>
          <w:p w14:paraId="5A472A93" w14:textId="7E1FE6D4"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E2EFD9" w:themeFill="accent6" w:themeFillTint="33"/>
            <w:noWrap/>
            <w:vAlign w:val="center"/>
          </w:tcPr>
          <w:p w14:paraId="77392423" w14:textId="2A16A4F6"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auto"/>
            <w:vAlign w:val="center"/>
          </w:tcPr>
          <w:p w14:paraId="662C51A4"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4D44F564"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6986DDFC" w14:textId="77777777" w:rsidR="00FA0D4C" w:rsidRPr="00DF6C69" w:rsidRDefault="00FA0D4C" w:rsidP="00E95C4A">
            <w:pPr>
              <w:jc w:val="center"/>
              <w:rPr>
                <w:rFonts w:ascii="Times New Roman" w:hAnsi="Times New Roman" w:cs="Times New Roman"/>
                <w:sz w:val="18"/>
                <w:szCs w:val="18"/>
              </w:rPr>
            </w:pPr>
          </w:p>
        </w:tc>
      </w:tr>
      <w:tr w:rsidR="00FA0D4C" w:rsidRPr="00DF6C69" w14:paraId="3D5D0E12" w14:textId="77777777" w:rsidTr="00313218">
        <w:trPr>
          <w:trHeight w:val="20"/>
        </w:trPr>
        <w:tc>
          <w:tcPr>
            <w:tcW w:w="472" w:type="dxa"/>
            <w:vMerge/>
            <w:shd w:val="clear" w:color="auto" w:fill="FFF2CC" w:themeFill="accent4" w:themeFillTint="33"/>
            <w:noWrap/>
            <w:vAlign w:val="center"/>
          </w:tcPr>
          <w:p w14:paraId="50AAE0AF"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05CBFFC5"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467A89E4" w14:textId="196D00FF"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6608D461"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7BC8844C"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56884980" w14:textId="7B686A96"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M.","non-dropping-particle":"","parse-names":false,"suffix":""}],"container-title":"Nature","id":"ITEM-1","issue":"7231","issued":{"date-parts":[["2009","2","12"]]},"page":"910-914","publisher":"Nature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[51]","plainTextFormattedCitation":"[51]","previouslyFormattedCitation":"[51]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[51]</w:t>
            </w:r>
            <w:r w:rsidRPr="00DF6C69">
              <w:rPr>
                <w:rFonts w:ascii="Times New Roman" w:hAnsi="Times New Roman" w:cs="Times New Roman"/>
                <w:sz w:val="18"/>
                <w:szCs w:val="18"/>
              </w:rPr>
              <w:fldChar w:fldCharType="end"/>
            </w:r>
          </w:p>
        </w:tc>
        <w:tc>
          <w:tcPr>
            <w:tcW w:w="1840" w:type="dxa"/>
            <w:shd w:val="clear" w:color="auto" w:fill="auto"/>
            <w:noWrap/>
            <w:vAlign w:val="center"/>
          </w:tcPr>
          <w:p w14:paraId="457890F0" w14:textId="77777777" w:rsidR="00FA0D4C" w:rsidRPr="00DF6C69" w:rsidRDefault="00FA0D4C" w:rsidP="00E95C4A">
            <w:pPr>
              <w:jc w:val="center"/>
              <w:rPr>
                <w:rFonts w:ascii="Times New Roman" w:hAnsi="Times New Roman" w:cs="Times New Roman"/>
                <w:sz w:val="18"/>
                <w:szCs w:val="18"/>
              </w:rPr>
            </w:pPr>
          </w:p>
        </w:tc>
      </w:tr>
      <w:tr w:rsidR="00FA0D4C" w:rsidRPr="00DF6C69" w14:paraId="13CA064F" w14:textId="77777777" w:rsidTr="00313218">
        <w:trPr>
          <w:trHeight w:val="20"/>
        </w:trPr>
        <w:tc>
          <w:tcPr>
            <w:tcW w:w="472" w:type="dxa"/>
            <w:vMerge/>
            <w:shd w:val="clear" w:color="auto" w:fill="FFF2CC" w:themeFill="accent4" w:themeFillTint="33"/>
            <w:noWrap/>
            <w:vAlign w:val="center"/>
          </w:tcPr>
          <w:p w14:paraId="35F19BEF"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2D4DB6DD"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10F80009" w14:textId="67CFE33E"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E2EFD9" w:themeFill="accent6" w:themeFillTint="33"/>
            <w:noWrap/>
            <w:vAlign w:val="center"/>
          </w:tcPr>
          <w:p w14:paraId="15261571" w14:textId="4D751E33"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auto"/>
            <w:vAlign w:val="center"/>
          </w:tcPr>
          <w:p w14:paraId="71113E0E"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3D868D28"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6DE20AED" w14:textId="77777777" w:rsidR="00FA0D4C" w:rsidRPr="00DF6C69" w:rsidRDefault="00FA0D4C" w:rsidP="00E95C4A">
            <w:pPr>
              <w:jc w:val="center"/>
              <w:rPr>
                <w:rFonts w:ascii="Times New Roman" w:hAnsi="Times New Roman" w:cs="Times New Roman"/>
                <w:sz w:val="18"/>
                <w:szCs w:val="18"/>
              </w:rPr>
            </w:pPr>
          </w:p>
        </w:tc>
      </w:tr>
      <w:tr w:rsidR="00FA0D4C" w:rsidRPr="00DF6C69" w14:paraId="23B1A6B6" w14:textId="77777777" w:rsidTr="00313218">
        <w:trPr>
          <w:trHeight w:val="20"/>
        </w:trPr>
        <w:tc>
          <w:tcPr>
            <w:tcW w:w="472" w:type="dxa"/>
            <w:vMerge/>
            <w:shd w:val="clear" w:color="auto" w:fill="FFF2CC" w:themeFill="accent4" w:themeFillTint="33"/>
            <w:noWrap/>
            <w:vAlign w:val="center"/>
          </w:tcPr>
          <w:p w14:paraId="4860C0DE" w14:textId="3ECBD24A"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4EA59AC4" w14:textId="25E0DEB0"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Glutamate</w:t>
            </w:r>
          </w:p>
        </w:tc>
        <w:tc>
          <w:tcPr>
            <w:tcW w:w="974" w:type="dxa"/>
            <w:shd w:val="clear" w:color="auto" w:fill="FFF2CC" w:themeFill="accent4" w:themeFillTint="33"/>
            <w:vAlign w:val="center"/>
          </w:tcPr>
          <w:p w14:paraId="42D3D905" w14:textId="789386C1"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E2EFD9" w:themeFill="accent6" w:themeFillTint="33"/>
            <w:noWrap/>
            <w:vAlign w:val="center"/>
          </w:tcPr>
          <w:p w14:paraId="54395C86" w14:textId="353DB4D3"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c>
          <w:tcPr>
            <w:tcW w:w="1549" w:type="dxa"/>
            <w:shd w:val="clear" w:color="auto" w:fill="E2EFD9" w:themeFill="accent6" w:themeFillTint="33"/>
            <w:vAlign w:val="center"/>
          </w:tcPr>
          <w:p w14:paraId="379F5400" w14:textId="159CAE1A"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w:t>
            </w:r>
            <w:r w:rsidRPr="00DF6C69">
              <w:rPr>
                <w:rFonts w:ascii="Times New Roman" w:hAnsi="Times New Roman" w:cs="Times New Roman"/>
                <w:sz w:val="18"/>
                <w:szCs w:val="18"/>
              </w:rPr>
              <w:fldChar w:fldCharType="begin" w:fldLock="1"/>
            </w:r>
            <w:r w:rsidR="00847C65"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recurrence","type":"article-journal","volume":"25"},"uris":["http://www.mendeley.com/documents/?uuid=1e8e070d-6cee-47e1-9bdd-fcc792ce1489"]},{"id":"ITEM-2","itemData":{"DOI":"10.1158/1078-0432.CCR-12-1308","ISSN":"10780432","abstract":"Purpose: During glutaminolysis, glutamine is catabolized to glutamate and incorporated into citric acid cycle and lipogenesis. Serum glutamate levels were measured in patients with primary prostate cancer or metastatic castrate-resistant prostate cancer (mCRPCa) to establish clinical relevance. The effect of glutamate deprivation or blockade by metabotropic glutamate receptor 1 (GRM1) antagonists was investigated on prostate cancer cells' growth, migration, and invasion to establish biologic relevance. Experimental Design: Serum glutamate levels were measured in normal men (n = 60) and patients with primary prostate cancer (n = 197) or mCRPCa (n = 109). GRM1 expression in prostatic tissues was examined using immunohistochemistry (IHC). Cell growth, migration, and invasion were determined using cell cytotoxicity and modified Boyden chamber assays, respectively. Apoptosis was detected using immunoblotting against cleaved caspases, PARP, and γ-H2AX. Results: Univariate and multivariate analyses showed significantly higher serum glutamate levels in Gleason score ≥ 8 than in the Gleason score ≤ 7 and in African Americans than in the Caucasian Americans. African Americans with mCRPCa had significantly higher serum glutamate levels than those with primary prostate cancer or benign prostate. However, in Caucasian Americans, serum glutamate levels were similar in normal research subjects and patients with mCRPC. IHC showed weak or no expression of GRM1 in luminal acinar epithelial cells of normal or hyperplastic glands but high expression in primary or metastatic prostate cancer tissues. Glutamate deprivation or blockade decreased prostate cancer cells' proliferation, migration, and invasion and led to apoptotic cell death. Conclusions: Glutamate expression is mechanistically associated with and may provide a biomarker of prostate cancer aggressiveness. ©2012 AACR.","author":[{"dropping-particle":"","family":"Koochekpour","given":"Shahriar","non-dropping-particle":"","parse-names":false,"suffix":""},{"dropping-particle":"","family":"Majumdar","given":"Sunipa","non-dropping-particle":"","parse-names":false,"suffix":""},{"dropping-particle":"","family":"Azabdaftari","given":"Gissou","non-dropping-particle":"","parse-names":false,"suffix":""},{"dropping-particle":"","family":"Attwood","given":"Kristopher","non-dropping-particle":"","parse-names":false,"suffix":""},{"dropping-particle":"","family":"Scioneaux","given":"Ray","non-dropping-particle":"","parse-names":false,"suffix":""},{"dropping-particle":"","family":"Subramani","given":"Dhatchayini","non-dropping-particle":"","parse-names":false,"suffix":""},{"dropping-particle":"","family":"Manhardt","given":"Charles","non-dropping-particle":"","parse-names":false,"suffix":""},{"dropping-particle":"","family":"Lorusso","given":"Giovanni D.","non-dropping-particle":"","parse-names":false,"suffix":""},{"dropping-particle":"","family":"Willard","given":"Stacey S.","non-dropping-particle":"","parse-names":false,"suffix":""},{"dropping-particle":"","family":"Thompson","given":"Hillary","non-dropping-particle":"","parse-names":false,"suffix":""},{"dropping-particle":"","family":"Shourideh","given":"Mojgan","non-dropping-particle":"","parse-names":false,"suffix":""},{"dropping-particle":"","family":"Rezaei","given":"Katayoon","non-dropping-particle":"","parse-names":false,"suffix":""},{"dropping-particle":"","family":"Sartor","given":"Oliver","non-dropping-particle":"","parse-names":false,"suffix":""},{"dropping-particle":"","family":"Mohler","given":"James L.","non-dropping-particle":"","parse-names":false,"suffix":""},{"dropping-particle":"","family":"Vessella","given":"Robert L.","non-dropping-particle":"","parse-names":false,"suffix":""}],"container-title":"Clinical Cancer Research","id":"ITEM-2","issue":"21","issued":{"date-parts":[["2012","11","1"]]},"page":"5888-5901","title":"Serum glutamate levels correlate with gleason score and glutamate blockade decreases proliferation, migration, and invasion and induces apoptosis in prostate cancer cells","type":"article-journal","volume":"18"},"uris":["http://www.mendeley.com/documents/?uuid=f55f99e1-d869-4822-8e1d-55c161648ef6"]}],"mendeley":{"formattedCitation":"[42], [77]","plainTextFormattedCitation":"[42], [77]","previouslyFormattedCitation":"[42], [73]"},"properties":{"noteIndex":0},"schema":"https://github.com/citation-style-language/schema/raw/master/csl-citation.json"}</w:instrText>
            </w:r>
            <w:r w:rsidRPr="00DF6C69">
              <w:rPr>
                <w:rFonts w:ascii="Times New Roman" w:hAnsi="Times New Roman" w:cs="Times New Roman"/>
                <w:sz w:val="18"/>
                <w:szCs w:val="18"/>
              </w:rPr>
              <w:fldChar w:fldCharType="separate"/>
            </w:r>
            <w:r w:rsidR="00847C65" w:rsidRPr="00DF6C69">
              <w:rPr>
                <w:rFonts w:ascii="Times New Roman" w:hAnsi="Times New Roman" w:cs="Times New Roman"/>
                <w:sz w:val="18"/>
                <w:szCs w:val="18"/>
              </w:rPr>
              <w:t>[42], [77]</w:t>
            </w:r>
            <w:r w:rsidRPr="00DF6C69">
              <w:rPr>
                <w:rFonts w:ascii="Times New Roman" w:hAnsi="Times New Roman" w:cs="Times New Roman"/>
                <w:sz w:val="18"/>
                <w:szCs w:val="18"/>
              </w:rPr>
              <w:fldChar w:fldCharType="end"/>
            </w:r>
          </w:p>
        </w:tc>
        <w:tc>
          <w:tcPr>
            <w:tcW w:w="1549" w:type="dxa"/>
            <w:shd w:val="clear" w:color="auto" w:fill="E2EFD9" w:themeFill="accent6" w:themeFillTint="33"/>
            <w:noWrap/>
            <w:vAlign w:val="center"/>
          </w:tcPr>
          <w:p w14:paraId="76665D3D" w14:textId="5EB6263E"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847C65"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trial","type":"article-journal","volume":"115"},"uris":["http://www.mendeley.com/documents/?uuid=0b2adbe1-b9fd-3235-80ee-e2dbb0d36336"]},{"id":"ITEM-2","itemData":{"DOI":"10.1158/1078-0432.CCR-12-1308","ISSN":"10780432","abstract":"Purpose: During glutaminolysis, glutamine is catabolized to glutamate and incorporated into citric acid cycle and lipogenesis. Serum glutamate levels were measured in patients with primary prostate cancer or metastatic castrate-resistant prostate cancer (mCRPCa) to establish clinical relevance. The effect of glutamate deprivation or blockade by metabotropic glutamate receptor 1 (GRM1) antagonists was investigated on prostate cancer cells' growth, migration, and invasion to establish biologic relevance. Experimental Design: Serum glutamate levels were measured in normal men (n = 60) and patients with primary prostate cancer (n = 197) or mCRPCa (n = 109). GRM1 expression in prostatic tissues was examined using immunohistochemistry (IHC). Cell growth, migration, and invasion were determined using cell cytotoxicity and modified Boyden chamber assays, respectively. Apoptosis was detected using immunoblotting against cleaved caspases, PARP, and γ-H2AX. Results: Univariate and multivariate analyses showed significantly higher serum glutamate levels in Gleason score ≥ 8 than in the Gleason score ≤ 7 and in African Americans than in the Caucasian Americans. African Americans with mCRPCa had significantly higher serum glutamate levels than those with primary prostate cancer or benign prostate. However, in Caucasian Americans, serum glutamate levels were similar in normal research subjects and patients with mCRPC. IHC showed weak or no expression of GRM1 in luminal acinar epithelial cells of normal or hyperplastic glands but high expression in primary or metastatic prostate cancer tissues. Glutamate deprivation or blockade decreased prostate cancer cells' proliferation, migration, and invasion and led to apoptotic cell death. Conclusions: Glutamate expression is mechanistically associated with and may provide a biomarker of prostate cancer aggressiveness. ©2012 AACR.","author":[{"dropping-particle":"","family":"Koochekpour","given":"Shahriar","non-dropping-particle":"","parse-names":false,"suffix":""},{"dropping-particle":"","family":"Majumdar","given":"Sunipa","non-dropping-particle":"","parse-names":false,"suffix":""},{"dropping-particle":"","family":"Azabdaftari","given":"Gissou","non-dropping-particle":"","parse-names":false,"suffix":""},{"dropping-particle":"","family":"Attwood","given":"Kristopher","non-dropping-particle":"","parse-names":false,"suffix":""},{"dropping-particle":"","family":"Scioneaux","given":"Ray","non-dropping-particle":"","parse-names":false,"suffix":""},{"dropping-particle":"","family":"Subramani","given":"Dhatchayini","non-dropping-particle":"","parse-names":false,"suffix":""},{"dropping-particle":"","family":"Manhardt","given":"Charles","non-dropping-particle":"","parse-names":false,"suffix":""},{"dropping-particle":"","family":"Lorusso","given":"Giovanni D.","non-dropping-particle":"","parse-names":false,"suffix":""},{"dropping-particle":"","family":"Willard","given":"Stacey S.","non-dropping-particle":"","parse-names":false,"suffix":""},{"dropping-particle":"","family":"Thompson","given":"Hillary","non-dropping-particle":"","parse-names":false,"suffix":""},{"dropping-particle":"","family":"Shourideh","given":"Mojgan","non-dropping-particle":"","parse-names":false,"suffix":""},{"dropping-particle":"","family":"Rezaei","given":"Katayoon","non-dropping-particle":"","parse-names":false,"suffix":""},{"dropping-particle":"","family":"Sartor","given":"Oliver","non-dropping-particle":"","parse-names":false,"suffix":""},{"dropping-particle":"","family":"Mohler","given":"James L.","non-dropping-particle":"","parse-names":false,"suffix":""},{"dropping-particle":"","family":"Vessella","given":"Robert L.","non-dropping-particle":"","parse-names":false,"suffix":""}],"container-title":"Clinical Cancer Research","id":"ITEM-2","issue":"21","issued":{"date-parts":[["2012","11","1"]]},"page":"5888-5901","title":"Serum glutamate levels correlate with gleason score and glutamate blockade decreases proliferation, migration, and invasion and induces apoptosis in prostate cancer cells","type":"article-journal","volume":"18"},"uris":["http://www.mendeley.com/documents/?uuid=f55f99e1-d869-4822-8e1d-55c161648ef6"]},{"id":"ITEM-3","itemData":{"DOI":"10.1038/bjc.2015.411","ISSN":"15321827","abstract":"An individualised risk-stratified screening for prostate cancer (PCa) would select the patients who will benefit from further investigations as well as therapy. Current detection methods suffer from low sensitivity and specificity, especially for separating PCa from benign prostatic conditions. We have investigated the use of metabolomics analyses of blood samples for separating PCa patients and controls with benign prostatic hyperplasia (BPH).Methods:Blood plasma and serum samples from 29 PCa patient and 21 controls with BPH were analysed by metabolomics analysis using magnetic resonance spectroscopy, mass spectrometry and gas chromatography. Differences in blood metabolic patterns were examined by multivariate and univariate statistics.Results:By combining results from different methodological platforms, PCa patients and controls were separated with a sensitivity and specificity of 81.5% and 75.2%, respectively.Conclusions:The combined analysis of serum and plasma samples by different metabolomics measurement techniques gave successful discrimination of PCa and controls, and provided metabolic markers and insight into the processes characteristic of PCa. Our results suggest changes in fatty acid (acylcarnitines), choline (glycerophospholipids) and amino acid metabolism (arginine) as markers for PCa compared with BPH.","author":[{"dropping-particle":"","family":"Giskeødegård","given":"Guro F.","non-dropping-particle":"","parse-names":false,"suffix":""},{"dropping-particle":"","family":"Hansen","given":"Ailin Falkmo","non-dropping-particle":"","parse-names":false,"suffix":""},{"dropping-particle":"","family":"Bertilsson","given":"Helena","non-dropping-particle":"","parse-names":false,"suffix":""},{"dropping-particle":"","family":"Gonzalez","given":"Susana Villa","non-dropping-particle":"","parse-names":false,"suffix":""},{"dropping-particle":"","family":"Kristiansen","given":"Kåre Andre","non-dropping-particle":"","parse-names":false,"suffix":""},{"dropping-particle":"","family":"Bruheim","given":"Per","non-dropping-particle":"","parse-names":false,"suffix":""},{"dropping-particle":"","family":"Mjøs","given":"Svein A.","non-dropping-particle":"","parse-names":false,"suffix":""},{"dropping-particle":"","family":"Angelsen","given":"Anders","non-dropping-particle":"","parse-names":false,"suffix":""},{"dropping-particle":"","family":"Bathen","given":"Tone Frost","non-dropping-particle":"","parse-names":false,"suffix":""},{"dropping-particle":"","family":"Tessem","given":"May Britt","non-dropping-particle":"","parse-names":false,"suffix":""}],"container-title":"British Journal of Cancer","id":"ITEM-3","issue":"12","issued":{"date-parts":[["2015","12","22"]]},"page":"1712-1719","publisher":"Nature Publishing Group","title":"Metabolic markers in blood can separate prostate cancer from benign prostatic hyperplasia","type":"article-journal","volume":"113"},"uris":["http://www.mendeley.com/documents/?uuid=4e1706c9-2508-3ddb-b9e9-196a5c942929"]}],"mendeley":{"formattedCitation":"[40], [43], [77]","plainTextFormattedCitation":"[40], [43], [77]","previouslyFormattedCitation":"[40], [43], [73]"},"properties":{"noteIndex":0},"schema":"https://github.com/citation-style-language/schema/raw/master/csl-citation.json"}</w:instrText>
            </w:r>
            <w:r w:rsidRPr="00DF6C69">
              <w:rPr>
                <w:rFonts w:ascii="Times New Roman" w:hAnsi="Times New Roman" w:cs="Times New Roman"/>
                <w:sz w:val="18"/>
                <w:szCs w:val="18"/>
              </w:rPr>
              <w:fldChar w:fldCharType="separate"/>
            </w:r>
            <w:r w:rsidR="00847C65" w:rsidRPr="00DF6C69">
              <w:rPr>
                <w:rFonts w:ascii="Times New Roman" w:hAnsi="Times New Roman" w:cs="Times New Roman"/>
                <w:sz w:val="18"/>
                <w:szCs w:val="18"/>
              </w:rPr>
              <w:t>[40], [43], [77]</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5013D3D0" w14:textId="234A2619"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847C65"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trial","type":"article-journal","volume":"115"},"uris":["http://www.mendeley.com/documents/?uuid=0b2adbe1-b9fd-3235-80ee-e2dbb0d36336"]},{"id":"ITEM-2","itemData":{"DOI":"10.1016/j.urolonc.2011.08.002","ISSN":"10781439","abstract":"The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Investigations","id":"ITEM-2","issue":"5","issued":{"date-parts":[["2011","9"]]},"page":"572-581","title":"Application of metabolomics to prostate cancer","type":"article","volume":"29"},"uris":["http://www.mendeley.com/documents/?uuid=6a876c81-9ad9-34e5-8e82-3cd108f0058e"]},{"id":"ITEM-3","itemData":{"DOI":"10.1158/1055-9965.EPI-15-1223","ISSN":"10559965","abstract":"Metabolite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Prevention","id":"ITEM-3","issue":"6","issued":{"date-parts":[["2016","6","1"]]},"page":"887-906","publisher":"American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recurrence","type":"article-journal","volume":"25"},"uris":["http://www.mendeley.com/documents/?uuid=1e8e070d-6cee-47e1-9bdd-fcc792ce1489"]},{"id":"ITEM-4","itemData":{"DOI":"10.1158/1078-0432.CCR-12-1308","ISSN":"10780432","abstract":"Purpose: During glutaminolysis, glutamine is catabolized to glutamate and incorporated into citric acid cycle and lipogenesis. Serum glutamate levels were measured in patients with primary prostate cancer or metastatic castrate-resistant prostate cancer (mCRPCa) to establish clinical relevance. The effect of glutamate deprivation or blockade by metabotropic glutamate receptor 1 (GRM1) antagonists was investigated on prostate cancer cells' growth, migration, and invasion to establish biologic relevance. Experimental Design: Serum glutamate levels were measured in normal men (n = 60) and patients with primary prostate cancer (n = 197) or mCRPCa (n = 109). GRM1 expression in prostatic tissues was examined using immunohistochemistry (IHC). Cell growth, migration, and invasion were determined using cell cytotoxicity and modified Boyden chamber assays, respectively. Apoptosis was detected using immunoblotting against cleaved caspases, PARP, and γ-H2AX. Results: Univariate and multivariate analyses showed significantly higher serum glutamate levels in Gleason score ≥ 8 than in the Gleason score ≤ 7 and in African Americans than in the Caucasian Americans. African Americans with mCRPCa had significantly higher serum glutamate levels than those with primary prostate cancer or benign prostate. However, in Caucasian Americans, serum glutamate levels were similar in normal research subjects and patients with mCRPC. IHC showed weak or no expression of GRM1 in luminal acinar epithelial cells of normal or hyperplastic glands but high expression in primary or metastatic prostate cancer tissues. Glutamate deprivation or blockade decreased prostate cancer cells' proliferation, migration, and invasion and led to apoptotic cell death. Conclusions: Glutamate expression is mechanistically associated with and may provide a biomarker of prostate cancer aggressiveness. ©2012 AACR.","author":[{"dropping-particle":"","family":"Koochekpour","given":"Shahriar","non-dropping-particle":"","parse-names":false,"suffix":""},{"dropping-particle":"","family":"Majumdar","given":"Sunipa","non-dropping-particle":"","parse-names":false,"suffix":""},{"dropping-particle":"","family":"Azabdaftari","given":"Gissou","non-dropping-particle":"","parse-names":false,"suffix":""},{"dropping-particle":"","family":"Attwood","given":"Kristopher","non-dropping-particle":"","parse-names":false,"suffix":""},{"dropping-particle":"","family":"Scioneaux","given":"Ray","non-dropping-particle":"","parse-names":false,"suffix":""},{"dropping-particle":"","family":"Subramani","given":"Dhatchayini","non-dropping-particle":"","parse-names":false,"suffix":""},{"dropping-particle":"","family":"Manhardt","given":"Charles","non-dropping-particle":"","parse-names":false,"suffix":""},{"dropping-particle":"","family":"Lorusso","given":"Giovanni D.","non-dropping-particle":"","parse-names":false,"suffix":""},{"dropping-particle":"","family":"Willard","given":"Stacey S.","non-dropping-particle":"","parse-names":false,"suffix":""},{"dropping-particle":"","family":"Thompson","given":"Hillary","non-dropping-particle":"","parse-names":false,"suffix":""},{"dropping-particle":"","family":"Shourideh","given":"Mojgan","non-dropping-particle":"","parse-names":false,"suffix":""},{"dropping-particle":"","family":"Rezaei","given":"Katayoon","non-dropping-particle":"","parse-names":false,"suffix":""},{"dropping-particle":"","family":"Sartor","given":"Oliver","non-dropping-particle":"","parse-names":false,"suffix":""},{"dropping-particle":"","family":"Mohler","given":"James L.","non-dropping-particle":"","parse-names":false,"suffix":""},{"dropping-particle":"","family":"Vessella","given":"Robert L.","non-dropping-particle":"","parse-names":false,"suffix":""}],"container-title":"Clinical Cancer Research","id":"ITEM-4","issue":"21","issued":{"date-parts":[["2012","11","1"]]},"page":"5888-5901","title":"Serum glutamate levels correlate with gleason score and glutamate blockade decreases proliferation, migration, and invasion and induces apoptosis in prostate cancer cells","type":"article-journal","volume":"18"},"uris":["http://www.mendeley.com/documents/?uuid=f55f99e1-d869-4822-8e1d-55c161648ef6"]}],"mendeley":{"formattedCitation":"[40], [42], [50], [77]","plainTextFormattedCitation":"[40], [42], [50], [77]","previouslyFormattedCitation":"[40], [42], [50], [73]"},"properties":{"noteIndex":0},"schema":"https://github.com/citation-style-language/schema/raw/master/csl-citation.json"}</w:instrText>
            </w:r>
            <w:r w:rsidRPr="00DF6C69">
              <w:rPr>
                <w:rFonts w:ascii="Times New Roman" w:hAnsi="Times New Roman" w:cs="Times New Roman"/>
                <w:sz w:val="18"/>
                <w:szCs w:val="18"/>
              </w:rPr>
              <w:fldChar w:fldCharType="separate"/>
            </w:r>
            <w:r w:rsidR="00847C65" w:rsidRPr="00DF6C69">
              <w:rPr>
                <w:rFonts w:ascii="Times New Roman" w:hAnsi="Times New Roman" w:cs="Times New Roman"/>
                <w:sz w:val="18"/>
                <w:szCs w:val="18"/>
              </w:rPr>
              <w:t>[40], [42], [50], [77]</w:t>
            </w:r>
            <w:r w:rsidRPr="00DF6C69">
              <w:rPr>
                <w:rFonts w:ascii="Times New Roman" w:hAnsi="Times New Roman" w:cs="Times New Roman"/>
                <w:sz w:val="18"/>
                <w:szCs w:val="18"/>
              </w:rPr>
              <w:fldChar w:fldCharType="end"/>
            </w:r>
          </w:p>
        </w:tc>
      </w:tr>
      <w:tr w:rsidR="00FA0D4C" w:rsidRPr="00DF6C69" w14:paraId="0F7CEC46" w14:textId="77777777" w:rsidTr="00313218">
        <w:trPr>
          <w:trHeight w:val="20"/>
        </w:trPr>
        <w:tc>
          <w:tcPr>
            <w:tcW w:w="472" w:type="dxa"/>
            <w:vMerge/>
            <w:shd w:val="clear" w:color="auto" w:fill="FFF2CC" w:themeFill="accent4" w:themeFillTint="33"/>
            <w:noWrap/>
            <w:vAlign w:val="center"/>
          </w:tcPr>
          <w:p w14:paraId="715546EA"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3C8C9742"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6F8E850D" w14:textId="60306B2D"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49934247"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E2EFD9" w:themeFill="accent6" w:themeFillTint="33"/>
            <w:vAlign w:val="center"/>
          </w:tcPr>
          <w:p w14:paraId="31626FB1" w14:textId="17F58D2C"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E2EFD9" w:themeFill="accent6" w:themeFillTint="33"/>
            <w:noWrap/>
            <w:vAlign w:val="center"/>
          </w:tcPr>
          <w:p w14:paraId="2863A13C" w14:textId="423580F0"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112D3CA9" w14:textId="19A05A9F"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r>
      <w:tr w:rsidR="00FA0D4C" w:rsidRPr="00DF6C69" w14:paraId="30852781" w14:textId="77777777" w:rsidTr="00313218">
        <w:trPr>
          <w:trHeight w:val="20"/>
        </w:trPr>
        <w:tc>
          <w:tcPr>
            <w:tcW w:w="472" w:type="dxa"/>
            <w:vMerge/>
            <w:shd w:val="clear" w:color="auto" w:fill="FFF2CC" w:themeFill="accent4" w:themeFillTint="33"/>
            <w:noWrap/>
            <w:vAlign w:val="center"/>
          </w:tcPr>
          <w:p w14:paraId="4680FAD8"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7ABDD8BB"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5D23F9E6" w14:textId="5F1D1BBC"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4836C6B1"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787161D8"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30C38ABD"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58AE4475" w14:textId="77777777" w:rsidR="00FA0D4C" w:rsidRPr="00DF6C69" w:rsidRDefault="00FA0D4C" w:rsidP="00E95C4A">
            <w:pPr>
              <w:jc w:val="center"/>
              <w:rPr>
                <w:rFonts w:ascii="Times New Roman" w:hAnsi="Times New Roman" w:cs="Times New Roman"/>
                <w:sz w:val="18"/>
                <w:szCs w:val="18"/>
              </w:rPr>
            </w:pPr>
          </w:p>
        </w:tc>
      </w:tr>
      <w:tr w:rsidR="00FA0D4C" w:rsidRPr="00DF6C69" w14:paraId="5D0A689F" w14:textId="77777777" w:rsidTr="00313218">
        <w:trPr>
          <w:trHeight w:val="20"/>
        </w:trPr>
        <w:tc>
          <w:tcPr>
            <w:tcW w:w="472" w:type="dxa"/>
            <w:vMerge/>
            <w:shd w:val="clear" w:color="auto" w:fill="FFF2CC" w:themeFill="accent4" w:themeFillTint="33"/>
            <w:noWrap/>
            <w:vAlign w:val="center"/>
          </w:tcPr>
          <w:p w14:paraId="7F494205" w14:textId="4C385300"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13C62A60" w14:textId="25BC849D"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Glutamine</w:t>
            </w:r>
          </w:p>
        </w:tc>
        <w:tc>
          <w:tcPr>
            <w:tcW w:w="974" w:type="dxa"/>
            <w:shd w:val="clear" w:color="auto" w:fill="FFF2CC" w:themeFill="accent4" w:themeFillTint="33"/>
            <w:vAlign w:val="center"/>
          </w:tcPr>
          <w:p w14:paraId="3876C8EE" w14:textId="3605B38E"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400729E7"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6DDF5BC8"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2CD0F1D5"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66DA3AB0" w14:textId="77777777" w:rsidR="00FA0D4C" w:rsidRPr="00DF6C69" w:rsidRDefault="00FA0D4C" w:rsidP="00E95C4A">
            <w:pPr>
              <w:jc w:val="center"/>
              <w:rPr>
                <w:rFonts w:ascii="Times New Roman" w:hAnsi="Times New Roman" w:cs="Times New Roman"/>
                <w:sz w:val="18"/>
                <w:szCs w:val="18"/>
              </w:rPr>
            </w:pPr>
          </w:p>
        </w:tc>
      </w:tr>
      <w:tr w:rsidR="00FA0D4C" w:rsidRPr="00DF6C69" w14:paraId="380C5FA5" w14:textId="77777777" w:rsidTr="00313218">
        <w:trPr>
          <w:trHeight w:val="20"/>
        </w:trPr>
        <w:tc>
          <w:tcPr>
            <w:tcW w:w="472" w:type="dxa"/>
            <w:vMerge/>
            <w:shd w:val="clear" w:color="auto" w:fill="FFF2CC" w:themeFill="accent4" w:themeFillTint="33"/>
            <w:noWrap/>
            <w:vAlign w:val="center"/>
          </w:tcPr>
          <w:p w14:paraId="735C912C"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5E106529"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413A3707" w14:textId="34F2B4D7"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E2EFD9" w:themeFill="accent6" w:themeFillTint="33"/>
            <w:noWrap/>
            <w:vAlign w:val="center"/>
          </w:tcPr>
          <w:p w14:paraId="715DCCB3" w14:textId="0233BEDC"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E2EFD9" w:themeFill="accent6" w:themeFillTint="33"/>
            <w:vAlign w:val="center"/>
          </w:tcPr>
          <w:p w14:paraId="3682E1F8" w14:textId="162DACFB"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auto"/>
            <w:noWrap/>
            <w:vAlign w:val="center"/>
          </w:tcPr>
          <w:p w14:paraId="5623B325"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329C7A4B" w14:textId="77777777" w:rsidR="00FA0D4C" w:rsidRPr="00DF6C69" w:rsidRDefault="00FA0D4C" w:rsidP="00E95C4A">
            <w:pPr>
              <w:jc w:val="center"/>
              <w:rPr>
                <w:rFonts w:ascii="Times New Roman" w:hAnsi="Times New Roman" w:cs="Times New Roman"/>
                <w:sz w:val="18"/>
                <w:szCs w:val="18"/>
              </w:rPr>
            </w:pPr>
          </w:p>
        </w:tc>
      </w:tr>
      <w:tr w:rsidR="00FA0D4C" w:rsidRPr="00DF6C69" w14:paraId="66AB79E6" w14:textId="77777777" w:rsidTr="00313218">
        <w:trPr>
          <w:trHeight w:val="20"/>
        </w:trPr>
        <w:tc>
          <w:tcPr>
            <w:tcW w:w="472" w:type="dxa"/>
            <w:vMerge/>
            <w:shd w:val="clear" w:color="auto" w:fill="FFF2CC" w:themeFill="accent4" w:themeFillTint="33"/>
            <w:noWrap/>
            <w:vAlign w:val="center"/>
          </w:tcPr>
          <w:p w14:paraId="4DBE12F5"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66325BA5"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0FEA2EED" w14:textId="3F5976E1"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2616FF7C"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5B53F32A"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3EA47829"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46A297EF" w14:textId="77777777" w:rsidR="00FA0D4C" w:rsidRPr="00DF6C69" w:rsidRDefault="00FA0D4C" w:rsidP="00E95C4A">
            <w:pPr>
              <w:jc w:val="center"/>
              <w:rPr>
                <w:rFonts w:ascii="Times New Roman" w:hAnsi="Times New Roman" w:cs="Times New Roman"/>
                <w:sz w:val="18"/>
                <w:szCs w:val="18"/>
              </w:rPr>
            </w:pPr>
          </w:p>
        </w:tc>
      </w:tr>
      <w:tr w:rsidR="00FA0D4C" w:rsidRPr="00DF6C69" w14:paraId="2C3747AB" w14:textId="77777777" w:rsidTr="00313218">
        <w:trPr>
          <w:trHeight w:val="20"/>
        </w:trPr>
        <w:tc>
          <w:tcPr>
            <w:tcW w:w="472" w:type="dxa"/>
            <w:vMerge/>
            <w:shd w:val="clear" w:color="auto" w:fill="FFF2CC" w:themeFill="accent4" w:themeFillTint="33"/>
            <w:noWrap/>
            <w:vAlign w:val="center"/>
          </w:tcPr>
          <w:p w14:paraId="5B7050BC" w14:textId="2B41146E"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5830574E" w14:textId="701330B9"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Glycine</w:t>
            </w:r>
          </w:p>
        </w:tc>
        <w:tc>
          <w:tcPr>
            <w:tcW w:w="974" w:type="dxa"/>
            <w:shd w:val="clear" w:color="auto" w:fill="FFF2CC" w:themeFill="accent4" w:themeFillTint="33"/>
            <w:vAlign w:val="center"/>
          </w:tcPr>
          <w:p w14:paraId="7ED61083" w14:textId="485DF943"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75447815"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E2EFD9" w:themeFill="accent6" w:themeFillTint="33"/>
            <w:vAlign w:val="center"/>
          </w:tcPr>
          <w:p w14:paraId="5EBFBFA1" w14:textId="2FF5A397"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auto"/>
            <w:noWrap/>
            <w:vAlign w:val="center"/>
          </w:tcPr>
          <w:p w14:paraId="7D276305"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6B0EA75B" w14:textId="77777777" w:rsidR="00FA0D4C" w:rsidRPr="00DF6C69" w:rsidRDefault="00FA0D4C" w:rsidP="00E95C4A">
            <w:pPr>
              <w:jc w:val="center"/>
              <w:rPr>
                <w:rFonts w:ascii="Times New Roman" w:hAnsi="Times New Roman" w:cs="Times New Roman"/>
                <w:sz w:val="18"/>
                <w:szCs w:val="18"/>
              </w:rPr>
            </w:pPr>
          </w:p>
        </w:tc>
      </w:tr>
      <w:tr w:rsidR="00FA0D4C" w:rsidRPr="00DF6C69" w14:paraId="15D194D4" w14:textId="77777777" w:rsidTr="00313218">
        <w:trPr>
          <w:trHeight w:val="20"/>
        </w:trPr>
        <w:tc>
          <w:tcPr>
            <w:tcW w:w="472" w:type="dxa"/>
            <w:vMerge/>
            <w:shd w:val="clear" w:color="auto" w:fill="FFF2CC" w:themeFill="accent4" w:themeFillTint="33"/>
            <w:noWrap/>
            <w:vAlign w:val="center"/>
          </w:tcPr>
          <w:p w14:paraId="5FC53D77"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12725CC7"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2CD3EFF9" w14:textId="2C7B54D6"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59A9F2F4"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67DA7020"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420C74A2" w14:textId="57D99CAA"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72E3521A" w14:textId="525C0E48"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{"citationItems":[{"id":"ITEM-1","itemData":{"DOI":"10.1038/nrc3557","ISSN":"1474175X","abstract":"One-carbon metabolism involving the folate and methionine cycles integrates nutritional status from amino acids, glucose and vitamins, and generates diverse outputs, such as the biosynthesis of lipids, nucleotides and proteins, the maintenance of redox status and the substrates for methylation reactions. Long considered a 'housekeeping' process, this pathway has recently been shown to have additional complexity. Genetic and functional evidence suggests that hyperactivation of this pathway is a driver of oncogenesis and establishes a link to cellular epigenetic status. Given the wealth of clinically available agents that target one-carbon metabolism, these new findings could present opportunities for translation into precision cancer medicine. © 2013 Macmillan Publishers Limited.","author":[{"dropping-particle":"","family":"Locasale","given":"Jason W.","non-dropping-particle":"","parse-names":false,"suffix":""}],"container-title":"Nature Reviews Cancer","id":"ITEM-1","issue":"8","issued":{"date-parts":[["2013","8"]]},"page":"572-583","title":"Serine, glycine and one-carbon units: Cancer metabolism in full circle","type":"article","volume":"13"},"uris":["http://www.mendeley.com/documents/?uuid=10818148-f2a2-3141-9fae-9905c6640d71"]}],"mendeley":{"formattedCitation":"[53]","plainTextFormattedCitation":"[53]","previouslyFormattedCitation":"[53]"},"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[53]</w:t>
            </w:r>
            <w:r w:rsidRPr="00DF6C69">
              <w:rPr>
                <w:rFonts w:ascii="Times New Roman" w:hAnsi="Times New Roman" w:cs="Times New Roman"/>
                <w:sz w:val="18"/>
                <w:szCs w:val="18"/>
              </w:rPr>
              <w:fldChar w:fldCharType="end"/>
            </w:r>
          </w:p>
        </w:tc>
      </w:tr>
      <w:tr w:rsidR="00FA0D4C" w:rsidRPr="00DF6C69" w14:paraId="220D917D" w14:textId="77777777" w:rsidTr="00313218">
        <w:trPr>
          <w:trHeight w:val="20"/>
        </w:trPr>
        <w:tc>
          <w:tcPr>
            <w:tcW w:w="472" w:type="dxa"/>
            <w:vMerge/>
            <w:shd w:val="clear" w:color="auto" w:fill="FFF2CC" w:themeFill="accent4" w:themeFillTint="33"/>
            <w:noWrap/>
            <w:vAlign w:val="center"/>
          </w:tcPr>
          <w:p w14:paraId="2447335A"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54C5347C"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5A89CF39" w14:textId="75A84DFF"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73DF9B24"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644FA152"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5DECC0B2"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5EA95ACF" w14:textId="77777777" w:rsidR="00FA0D4C" w:rsidRPr="00DF6C69" w:rsidRDefault="00FA0D4C" w:rsidP="00E95C4A">
            <w:pPr>
              <w:jc w:val="center"/>
              <w:rPr>
                <w:rFonts w:ascii="Times New Roman" w:hAnsi="Times New Roman" w:cs="Times New Roman"/>
                <w:sz w:val="18"/>
                <w:szCs w:val="18"/>
              </w:rPr>
            </w:pPr>
          </w:p>
        </w:tc>
      </w:tr>
      <w:tr w:rsidR="00FA0D4C" w:rsidRPr="00DF6C69" w14:paraId="3CCE0E22" w14:textId="77777777" w:rsidTr="00313218">
        <w:trPr>
          <w:trHeight w:val="20"/>
        </w:trPr>
        <w:tc>
          <w:tcPr>
            <w:tcW w:w="472" w:type="dxa"/>
            <w:vMerge/>
            <w:shd w:val="clear" w:color="auto" w:fill="FFF2CC" w:themeFill="accent4" w:themeFillTint="33"/>
            <w:noWrap/>
            <w:vAlign w:val="center"/>
          </w:tcPr>
          <w:p w14:paraId="7D933D86" w14:textId="36196D64"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60269E79" w14:textId="71B7E001"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Leucine</w:t>
            </w:r>
          </w:p>
        </w:tc>
        <w:tc>
          <w:tcPr>
            <w:tcW w:w="974" w:type="dxa"/>
            <w:shd w:val="clear" w:color="auto" w:fill="FFF2CC" w:themeFill="accent4" w:themeFillTint="33"/>
            <w:vAlign w:val="center"/>
          </w:tcPr>
          <w:p w14:paraId="14AC4B13" w14:textId="04A24466"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30C8C217"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20CAA9F3"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19E68E98"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E2EFD9" w:themeFill="accent6" w:themeFillTint="33"/>
            <w:noWrap/>
            <w:vAlign w:val="center"/>
          </w:tcPr>
          <w:p w14:paraId="3CF9235A" w14:textId="524FE665"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r>
      <w:tr w:rsidR="00FA0D4C" w:rsidRPr="00DF6C69" w14:paraId="7B01F807" w14:textId="77777777" w:rsidTr="00313218">
        <w:trPr>
          <w:trHeight w:val="20"/>
        </w:trPr>
        <w:tc>
          <w:tcPr>
            <w:tcW w:w="472" w:type="dxa"/>
            <w:vMerge/>
            <w:shd w:val="clear" w:color="auto" w:fill="FFF2CC" w:themeFill="accent4" w:themeFillTint="33"/>
            <w:noWrap/>
            <w:vAlign w:val="center"/>
          </w:tcPr>
          <w:p w14:paraId="48011168"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182954AE"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6C05A190" w14:textId="7650E335"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2F1408E6"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2EA63580"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395F3017" w14:textId="5290DCD6"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13C4ABDD" w14:textId="1A74E838" w:rsidR="00FA0D4C" w:rsidRPr="00DF6C69" w:rsidRDefault="00FA0D4C" w:rsidP="00E95C4A">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r>
      <w:tr w:rsidR="00FA0D4C" w:rsidRPr="00DF6C69" w14:paraId="603BE2D9" w14:textId="77777777" w:rsidTr="00313218">
        <w:trPr>
          <w:trHeight w:val="20"/>
        </w:trPr>
        <w:tc>
          <w:tcPr>
            <w:tcW w:w="472" w:type="dxa"/>
            <w:vMerge/>
            <w:shd w:val="clear" w:color="auto" w:fill="FFF2CC" w:themeFill="accent4" w:themeFillTint="33"/>
            <w:noWrap/>
            <w:vAlign w:val="center"/>
          </w:tcPr>
          <w:p w14:paraId="15950DF8"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534E1A39"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1245AC74" w14:textId="36B4DB4E" w:rsidR="00FA0D4C" w:rsidRPr="00DF6C69" w:rsidRDefault="00FA0D4C" w:rsidP="00E95C4A">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15F58AF3"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vAlign w:val="center"/>
          </w:tcPr>
          <w:p w14:paraId="07E05796" w14:textId="77777777" w:rsidR="00FA0D4C" w:rsidRPr="00DF6C69" w:rsidRDefault="00FA0D4C" w:rsidP="00E95C4A">
            <w:pPr>
              <w:jc w:val="center"/>
              <w:rPr>
                <w:rFonts w:ascii="Times New Roman" w:hAnsi="Times New Roman" w:cs="Times New Roman"/>
                <w:sz w:val="18"/>
                <w:szCs w:val="18"/>
              </w:rPr>
            </w:pPr>
          </w:p>
        </w:tc>
        <w:tc>
          <w:tcPr>
            <w:tcW w:w="1549" w:type="dxa"/>
            <w:shd w:val="clear" w:color="auto" w:fill="auto"/>
            <w:noWrap/>
            <w:vAlign w:val="center"/>
          </w:tcPr>
          <w:p w14:paraId="448CB7A9" w14:textId="77777777" w:rsidR="00FA0D4C" w:rsidRPr="00DF6C69" w:rsidRDefault="00FA0D4C" w:rsidP="00E95C4A">
            <w:pPr>
              <w:jc w:val="center"/>
              <w:rPr>
                <w:rFonts w:ascii="Times New Roman" w:hAnsi="Times New Roman" w:cs="Times New Roman"/>
                <w:sz w:val="18"/>
                <w:szCs w:val="18"/>
              </w:rPr>
            </w:pPr>
          </w:p>
        </w:tc>
        <w:tc>
          <w:tcPr>
            <w:tcW w:w="1840" w:type="dxa"/>
            <w:shd w:val="clear" w:color="auto" w:fill="auto"/>
            <w:noWrap/>
            <w:vAlign w:val="center"/>
          </w:tcPr>
          <w:p w14:paraId="656EA1A3" w14:textId="77777777" w:rsidR="00FA0D4C" w:rsidRPr="00DF6C69" w:rsidRDefault="00FA0D4C" w:rsidP="00E95C4A">
            <w:pPr>
              <w:jc w:val="center"/>
              <w:rPr>
                <w:rFonts w:ascii="Times New Roman" w:hAnsi="Times New Roman" w:cs="Times New Roman"/>
                <w:sz w:val="18"/>
                <w:szCs w:val="18"/>
              </w:rPr>
            </w:pPr>
          </w:p>
        </w:tc>
      </w:tr>
      <w:tr w:rsidR="00FA0D4C" w:rsidRPr="00DF6C69" w14:paraId="688AE580" w14:textId="77777777" w:rsidTr="00313218">
        <w:trPr>
          <w:trHeight w:val="20"/>
        </w:trPr>
        <w:tc>
          <w:tcPr>
            <w:tcW w:w="472" w:type="dxa"/>
            <w:vMerge/>
            <w:shd w:val="clear" w:color="auto" w:fill="FFF2CC" w:themeFill="accent4" w:themeFillTint="33"/>
            <w:noWrap/>
            <w:vAlign w:val="center"/>
          </w:tcPr>
          <w:p w14:paraId="5C9F7AAE" w14:textId="3749F17A"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46374673" w14:textId="16EDAE71"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Lysine</w:t>
            </w:r>
          </w:p>
        </w:tc>
        <w:tc>
          <w:tcPr>
            <w:tcW w:w="974" w:type="dxa"/>
            <w:shd w:val="clear" w:color="auto" w:fill="FFF2CC" w:themeFill="accent4" w:themeFillTint="33"/>
            <w:vAlign w:val="center"/>
          </w:tcPr>
          <w:p w14:paraId="6D324917" w14:textId="0BFEBA21"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3D2AD611"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2F63146E" w14:textId="2081DD07"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E2EFD9" w:themeFill="accent6" w:themeFillTint="33"/>
            <w:noWrap/>
            <w:vAlign w:val="center"/>
          </w:tcPr>
          <w:p w14:paraId="07139A07" w14:textId="31092857"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{"citationItems":[{"id":"ITEM-1","itemData":{"DOI":"10.1038/bjc.2015.411","ISSN":"15321827","abstract":"An individualised risk-stratified screening for prostate cancer (PCa) would select the patients who will benefit from further investigations as well as therapy. Current detection methods suffer from low sensitivity and specificity, especially for separating PCa from benign prostatic conditions. We have investigated the use of metabolomics analyses of blood samples for separating PCa patients and controls with benign prostatic hyperplasia (BPH).Methods:Blood plasma and serum samples from 29 PCa patient and 21 controls with BPH were analysed by metabolomics analysis using magnetic resonance spectroscopy, mass spectrometry and gas chromatography. Differences in blood metabolic patterns were examined by multivariate and univariate statistics.Results:By combining results from different methodological platforms, PCa patients and controls were separated with a sensitivity and specificity of 81.5% and 75.2%, respectively.Conclusions:The combined analysis of serum and plasma samples by different metabolomics measurement techniques gave successful discrimination of PCa and controls, and provided metabolic markers and insight into the processes characteristic of PCa. Our results suggest changes in fatty acid (acylcarnitines), choline (glycerophospholipids) and amino acid metabolism (arginine) as markers for PCa compared with BPH.","author":[{"dropping-particle":"","family":"Giskeødegård","given":"Guro F.","non-dropping-particle":"","parse-names":false,"suffix":""},{"dropping-particle":"","family":"Hansen","given":"Ailin Falkmo","non-dropping-particle":"","parse-names":false,"suffix":""},{"dropping-particle":"","family":"Bertilsson","given":"Helena","non-dropping-particle":"","parse-names":false,"suffix":""},{"dropping-particle":"","family":"Gonzalez","given":"Susana Villa","non-dropping-particle":"","parse-names":false,"suffix":""},{"dropping-particle":"","family":"Kristiansen","given":"Kåre Andre","non-dropping-particle":"","parse-names":false,"suffix":""},{"dropping-particle":"","family":"Bruheim","given":"Per","non-dropping-particle":"","parse-names":false,"suffix":""},{"dropping-particle":"","family":"Mjøs","given":"Svein A.","non-dropping-particle":"","parse-names":false,"suffix":""},{"dropping-particle":"","family":"Angelsen","given":"Anders","non-dropping-particle":"","parse-names":false,"suffix":""},{"dropping-particle":"","family":"Bathen","given":"Tone Frost","non-dropping-particle":"","parse-names":false,"suffix":""},{"dropping-particle":"","family":"Tessem","given":"May Britt","non-dropping-particle":"","parse-names":false,"suffix":""}],"container-title":"British Journal of Cancer","id":"ITEM-1","issue":"12","issued":{"date-parts":[["2015","12","22"]]},"page":"1712-1719","publisher":"Nature Publishing Group","title":"Metabolic markers in blood can separate prostate cancer from benign prostatic hyperplasia","type":"article-journal","volume":"113"},"uris":["http://www.mendeley.com/documents/?uuid=4e1706c9-2508-3ddb-b9e9-196a5c942929"]}],"mendeley":{"formattedCitation":"[43]","plainTextFormattedCitation":"[43]","previouslyFormattedCitation":"[43]"},"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[43]</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1608BEC2" w14:textId="475D606E"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r>
      <w:tr w:rsidR="00FA0D4C" w:rsidRPr="00DF6C69" w14:paraId="4C276B12" w14:textId="77777777" w:rsidTr="00313218">
        <w:trPr>
          <w:trHeight w:val="20"/>
        </w:trPr>
        <w:tc>
          <w:tcPr>
            <w:tcW w:w="472" w:type="dxa"/>
            <w:vMerge/>
            <w:shd w:val="clear" w:color="auto" w:fill="FFF2CC" w:themeFill="accent4" w:themeFillTint="33"/>
            <w:noWrap/>
            <w:vAlign w:val="center"/>
          </w:tcPr>
          <w:p w14:paraId="33935537"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22E37B52"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3638E02B" w14:textId="26338E36"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3EFCAC82"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7E72DDBA"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17B114FF"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7F7F27D1" w14:textId="77777777" w:rsidR="00FA0D4C" w:rsidRPr="00DF6C69" w:rsidRDefault="00FA0D4C" w:rsidP="00FA0D4C">
            <w:pPr>
              <w:jc w:val="center"/>
              <w:rPr>
                <w:rFonts w:ascii="Times New Roman" w:hAnsi="Times New Roman" w:cs="Times New Roman"/>
                <w:sz w:val="18"/>
                <w:szCs w:val="18"/>
              </w:rPr>
            </w:pPr>
          </w:p>
        </w:tc>
      </w:tr>
      <w:tr w:rsidR="00FA0D4C" w:rsidRPr="00DF6C69" w14:paraId="71FEA627" w14:textId="77777777" w:rsidTr="00313218">
        <w:trPr>
          <w:trHeight w:val="20"/>
        </w:trPr>
        <w:tc>
          <w:tcPr>
            <w:tcW w:w="472" w:type="dxa"/>
            <w:vMerge/>
            <w:shd w:val="clear" w:color="auto" w:fill="FFF2CC" w:themeFill="accent4" w:themeFillTint="33"/>
            <w:noWrap/>
            <w:vAlign w:val="center"/>
          </w:tcPr>
          <w:p w14:paraId="1F436BFB"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2290C072"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789238DF" w14:textId="64260B6A"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1C9CC829"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45B79E31"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303C9AB7"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20081AF3" w14:textId="77777777" w:rsidR="00FA0D4C" w:rsidRPr="00DF6C69" w:rsidRDefault="00FA0D4C" w:rsidP="00FA0D4C">
            <w:pPr>
              <w:jc w:val="center"/>
              <w:rPr>
                <w:rFonts w:ascii="Times New Roman" w:hAnsi="Times New Roman" w:cs="Times New Roman"/>
                <w:sz w:val="18"/>
                <w:szCs w:val="18"/>
              </w:rPr>
            </w:pPr>
          </w:p>
        </w:tc>
      </w:tr>
      <w:tr w:rsidR="00FA0D4C" w:rsidRPr="00DF6C69" w14:paraId="7F63C226" w14:textId="77777777" w:rsidTr="00313218">
        <w:trPr>
          <w:trHeight w:val="20"/>
        </w:trPr>
        <w:tc>
          <w:tcPr>
            <w:tcW w:w="472" w:type="dxa"/>
            <w:vMerge/>
            <w:shd w:val="clear" w:color="auto" w:fill="FFF2CC" w:themeFill="accent4" w:themeFillTint="33"/>
            <w:noWrap/>
            <w:vAlign w:val="center"/>
          </w:tcPr>
          <w:p w14:paraId="51392A1E" w14:textId="5DFC5968"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7EC4BAA9" w14:textId="320AA8D9"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Phenylalanine</w:t>
            </w:r>
          </w:p>
        </w:tc>
        <w:tc>
          <w:tcPr>
            <w:tcW w:w="974" w:type="dxa"/>
            <w:shd w:val="clear" w:color="auto" w:fill="FFF2CC" w:themeFill="accent4" w:themeFillTint="33"/>
            <w:vAlign w:val="center"/>
          </w:tcPr>
          <w:p w14:paraId="191195CB" w14:textId="31680641"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52AC5EDE"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39C0477C"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20833BE9" w14:textId="2631317D"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{"citationItems":[{"id":"ITEM-1","itemData":{"DOI":"10.1038/bjc.2015.411","ISSN":"15321827","abstract":"An individualised risk-stratified screening for prostate cancer (PCa) would select the patients who will benefit from further investigations as well as therapy. Current detection methods suffer from low sensitivity and specificity, especially for separating PCa from benign prostatic conditions. We have investigated the use of metabolomics analyses of blood samples for separating PCa patients and controls with benign prostatic hyperplasia (BPH).Methods:Blood plasma and serum samples from 29 PCa patient and 21 controls with BPH were analysed by metabolomics analysis using magnetic resonance spectroscopy, mass spectrometry and gas chromatography. Differences in blood metabolic patterns were examined by multivariate and univariate statistics.Results:By combining results from different methodological platforms, PCa patients and controls were separated with a sensitivity and specificity of 81.5% and 75.2%, respectively.Conclusions:The combined analysis of serum and plasma samples by different metabolomics measurement techniques gave successful discrimination of PCa and controls, and provided metabolic markers and insight into the processes characteristic of PCa. Our results suggest changes in fatty acid (acylcarnitines), choline (glycerophospholipids) and amino acid metabolism (arginine) as markers for PCa compared with BPH.","author":[{"dropping-particle":"","family":"Giskeødegård","given":"Guro F.","non-dropping-particle":"","parse-names":false,"suffix":""},{"dropping-particle":"","family":"Hansen","given":"Ailin Falkmo","non-dropping-particle":"","parse-names":false,"suffix":""},{"dropping-particle":"","family":"Bertilsson","given":"Helena","non-dropping-particle":"","parse-names":false,"suffix":""},{"dropping-particle":"","family":"Gonzalez","given":"Susana Villa","non-dropping-particle":"","parse-names":false,"suffix":""},{"dropping-particle":"","family":"Kristiansen","given":"Kåre Andre","non-dropping-particle":"","parse-names":false,"suffix":""},{"dropping-particle":"","family":"Bruheim","given":"Per","non-dropping-particle":"","parse-names":false,"suffix":""},{"dropping-particle":"","family":"Mjøs","given":"Svein A.","non-dropping-particle":"","parse-names":false,"suffix":""},{"dropping-particle":"","family":"Angelsen","given":"Anders","non-dropping-particle":"","parse-names":false,"suffix":""},{"dropping-particle":"","family":"Bathen","given":"Tone Frost","non-dropping-particle":"","parse-names":false,"suffix":""},{"dropping-particle":"","family":"Tessem","given":"May Britt","non-dropping-particle":"","parse-names":false,"suffix":""}],"container-title":"British Journal of Cancer","id":"ITEM-1","issue":"12","issued":{"date-parts":[["2015","12","22"]]},"page":"1712-1719","publisher":"Nature Publishing Group","title":"Metabolic markers in blood can separate prostate cancer from benign prostatic hyperplasia","type":"article-journal","volume":"113"},"uris":["http://www.mendeley.com/documents/?uuid=4e1706c9-2508-3ddb-b9e9-196a5c942929"]}],"mendeley":{"formattedCitation":"[43]","plainTextFormattedCitation":"[43]","previouslyFormattedCitation":"[43]"},"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[43]</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659E27A5" w14:textId="48445B21"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r>
      <w:tr w:rsidR="00FA0D4C" w:rsidRPr="00DF6C69" w14:paraId="696C9E26" w14:textId="77777777" w:rsidTr="00313218">
        <w:trPr>
          <w:trHeight w:val="20"/>
        </w:trPr>
        <w:tc>
          <w:tcPr>
            <w:tcW w:w="472" w:type="dxa"/>
            <w:vMerge/>
            <w:shd w:val="clear" w:color="auto" w:fill="FFF2CC" w:themeFill="accent4" w:themeFillTint="33"/>
            <w:noWrap/>
            <w:vAlign w:val="center"/>
          </w:tcPr>
          <w:p w14:paraId="311C2A82"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6CB330E7"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20979D10" w14:textId="52F3C401"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73712E80"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5811CD79"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3E04873B"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E2EFD9" w:themeFill="accent6" w:themeFillTint="33"/>
            <w:noWrap/>
            <w:vAlign w:val="center"/>
          </w:tcPr>
          <w:p w14:paraId="4EC4A7F7" w14:textId="31ADA583"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r>
      <w:tr w:rsidR="00FA0D4C" w:rsidRPr="00DF6C69" w14:paraId="1A9EF93D" w14:textId="77777777" w:rsidTr="00313218">
        <w:trPr>
          <w:trHeight w:val="20"/>
        </w:trPr>
        <w:tc>
          <w:tcPr>
            <w:tcW w:w="472" w:type="dxa"/>
            <w:vMerge/>
            <w:shd w:val="clear" w:color="auto" w:fill="FFF2CC" w:themeFill="accent4" w:themeFillTint="33"/>
            <w:noWrap/>
            <w:vAlign w:val="center"/>
          </w:tcPr>
          <w:p w14:paraId="06FBF578"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32B488E0"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0B04B205" w14:textId="3E17D0DD"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4E2E30D9"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5D14D62A"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0368E13A"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69952AFC" w14:textId="77777777" w:rsidR="00FA0D4C" w:rsidRPr="00DF6C69" w:rsidRDefault="00FA0D4C" w:rsidP="00FA0D4C">
            <w:pPr>
              <w:jc w:val="center"/>
              <w:rPr>
                <w:rFonts w:ascii="Times New Roman" w:hAnsi="Times New Roman" w:cs="Times New Roman"/>
                <w:sz w:val="18"/>
                <w:szCs w:val="18"/>
              </w:rPr>
            </w:pPr>
          </w:p>
        </w:tc>
      </w:tr>
      <w:tr w:rsidR="00FA0D4C" w:rsidRPr="00DF6C69" w14:paraId="448817FF" w14:textId="77777777" w:rsidTr="00313218">
        <w:trPr>
          <w:trHeight w:val="20"/>
        </w:trPr>
        <w:tc>
          <w:tcPr>
            <w:tcW w:w="472" w:type="dxa"/>
            <w:vMerge/>
            <w:shd w:val="clear" w:color="auto" w:fill="FFF2CC" w:themeFill="accent4" w:themeFillTint="33"/>
            <w:noWrap/>
            <w:vAlign w:val="center"/>
          </w:tcPr>
          <w:p w14:paraId="5FCC5E05" w14:textId="7AC72F22"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1D1D08D6" w14:textId="667A3EC6"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Proline</w:t>
            </w:r>
          </w:p>
        </w:tc>
        <w:tc>
          <w:tcPr>
            <w:tcW w:w="974" w:type="dxa"/>
            <w:shd w:val="clear" w:color="auto" w:fill="FFF2CC" w:themeFill="accent4" w:themeFillTint="33"/>
            <w:vAlign w:val="center"/>
          </w:tcPr>
          <w:p w14:paraId="3E3FBCE2" w14:textId="4E43E10A"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2E3E067D"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1C8BC1D4"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3897A261" w14:textId="63AF6638"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2C3D3E34" w14:textId="5AF169EE"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r>
      <w:tr w:rsidR="00FA0D4C" w:rsidRPr="00DF6C69" w14:paraId="017C84F9" w14:textId="77777777" w:rsidTr="00313218">
        <w:trPr>
          <w:trHeight w:val="20"/>
        </w:trPr>
        <w:tc>
          <w:tcPr>
            <w:tcW w:w="472" w:type="dxa"/>
            <w:vMerge/>
            <w:shd w:val="clear" w:color="auto" w:fill="FFF2CC" w:themeFill="accent4" w:themeFillTint="33"/>
            <w:noWrap/>
            <w:vAlign w:val="center"/>
          </w:tcPr>
          <w:p w14:paraId="340D79F0"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5ABE36A9"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040BC009" w14:textId="2DF99462"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51D2D68F"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207E1C1E" w14:textId="27CB475F"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auto"/>
            <w:noWrap/>
            <w:vAlign w:val="center"/>
          </w:tcPr>
          <w:p w14:paraId="21098185"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E2EFD9" w:themeFill="accent6" w:themeFillTint="33"/>
            <w:noWrap/>
            <w:vAlign w:val="center"/>
          </w:tcPr>
          <w:p w14:paraId="04BA7DE6" w14:textId="3C7DD12B"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r>
      <w:tr w:rsidR="00FA0D4C" w:rsidRPr="00DF6C69" w14:paraId="743209DA" w14:textId="77777777" w:rsidTr="00313218">
        <w:trPr>
          <w:trHeight w:val="20"/>
        </w:trPr>
        <w:tc>
          <w:tcPr>
            <w:tcW w:w="472" w:type="dxa"/>
            <w:vMerge/>
            <w:shd w:val="clear" w:color="auto" w:fill="FFF2CC" w:themeFill="accent4" w:themeFillTint="33"/>
            <w:noWrap/>
            <w:vAlign w:val="center"/>
          </w:tcPr>
          <w:p w14:paraId="21060293"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6F7D1E20"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7E9D8B21" w14:textId="3AE7F3B4"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7CEF7280"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09088453"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26C92651"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0DCFB3D1" w14:textId="77777777" w:rsidR="00FA0D4C" w:rsidRPr="00DF6C69" w:rsidRDefault="00FA0D4C" w:rsidP="00FA0D4C">
            <w:pPr>
              <w:jc w:val="center"/>
              <w:rPr>
                <w:rFonts w:ascii="Times New Roman" w:hAnsi="Times New Roman" w:cs="Times New Roman"/>
                <w:sz w:val="18"/>
                <w:szCs w:val="18"/>
              </w:rPr>
            </w:pPr>
          </w:p>
        </w:tc>
      </w:tr>
      <w:tr w:rsidR="00FA0D4C" w:rsidRPr="00DF6C69" w14:paraId="0E4A0379" w14:textId="77777777" w:rsidTr="00313218">
        <w:trPr>
          <w:trHeight w:val="20"/>
        </w:trPr>
        <w:tc>
          <w:tcPr>
            <w:tcW w:w="472" w:type="dxa"/>
            <w:vMerge/>
            <w:shd w:val="clear" w:color="auto" w:fill="FFF2CC" w:themeFill="accent4" w:themeFillTint="33"/>
            <w:noWrap/>
            <w:vAlign w:val="center"/>
          </w:tcPr>
          <w:p w14:paraId="3EB0E17D" w14:textId="09574773"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4736BCAC" w14:textId="4A67C0AB"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Serine</w:t>
            </w:r>
          </w:p>
        </w:tc>
        <w:tc>
          <w:tcPr>
            <w:tcW w:w="974" w:type="dxa"/>
            <w:shd w:val="clear" w:color="auto" w:fill="FFF2CC" w:themeFill="accent4" w:themeFillTint="33"/>
            <w:vAlign w:val="center"/>
          </w:tcPr>
          <w:p w14:paraId="22C74477" w14:textId="4C5DD810"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519A4AB8" w14:textId="34DEEDC1"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2731453E"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283A318B" w14:textId="753BE442"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5B8B690D" w14:textId="27A07E9D" w:rsidR="00FA0D4C" w:rsidRPr="00DF6C69" w:rsidRDefault="00FA0D4C" w:rsidP="00FA0D4C">
            <w:pPr>
              <w:jc w:val="center"/>
              <w:rPr>
                <w:rFonts w:ascii="Times New Roman" w:hAnsi="Times New Roman" w:cs="Times New Roman"/>
                <w:sz w:val="18"/>
                <w:szCs w:val="18"/>
              </w:rPr>
            </w:pPr>
          </w:p>
        </w:tc>
      </w:tr>
      <w:tr w:rsidR="00FA0D4C" w:rsidRPr="00DF6C69" w14:paraId="432EDED7" w14:textId="77777777" w:rsidTr="00313218">
        <w:trPr>
          <w:trHeight w:val="20"/>
        </w:trPr>
        <w:tc>
          <w:tcPr>
            <w:tcW w:w="472" w:type="dxa"/>
            <w:vMerge/>
            <w:shd w:val="clear" w:color="auto" w:fill="FFF2CC" w:themeFill="accent4" w:themeFillTint="33"/>
            <w:noWrap/>
            <w:vAlign w:val="center"/>
          </w:tcPr>
          <w:p w14:paraId="4873F413"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35E925D9"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236762CF" w14:textId="6B15945A"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504653E0"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350C8674"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3C8ECDF5"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E2EFD9" w:themeFill="accent6" w:themeFillTint="33"/>
            <w:noWrap/>
            <w:vAlign w:val="center"/>
          </w:tcPr>
          <w:p w14:paraId="4D800439" w14:textId="28011C70"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M.","non-dropping-particle":"","parse-names":false,"suffix":""}],"container-title":"Nature","id":"ITEM-1","issue":"7231","issued":{"date-parts":[["2009","2","12"]]},"page":"910-914","publisher":"Nature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[51]","plainTextFormattedCitation":"[51]","previouslyFormattedCitation":"[51]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[51]</w:t>
            </w:r>
            <w:r w:rsidRPr="00DF6C69">
              <w:rPr>
                <w:rFonts w:ascii="Times New Roman" w:hAnsi="Times New Roman" w:cs="Times New Roman"/>
                <w:sz w:val="18"/>
                <w:szCs w:val="18"/>
              </w:rPr>
              <w:fldChar w:fldCharType="end"/>
            </w:r>
          </w:p>
        </w:tc>
      </w:tr>
      <w:tr w:rsidR="00FA0D4C" w:rsidRPr="00DF6C69" w14:paraId="2B6399AC" w14:textId="77777777" w:rsidTr="00313218">
        <w:trPr>
          <w:trHeight w:val="20"/>
        </w:trPr>
        <w:tc>
          <w:tcPr>
            <w:tcW w:w="472" w:type="dxa"/>
            <w:vMerge/>
            <w:shd w:val="clear" w:color="auto" w:fill="FFF2CC" w:themeFill="accent4" w:themeFillTint="33"/>
            <w:noWrap/>
            <w:vAlign w:val="center"/>
          </w:tcPr>
          <w:p w14:paraId="7827B9AA"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3E194916"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270AAD9D" w14:textId="77B0361F"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5FB32771"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76FCF7DC"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61BD9CA5"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422F4B2B" w14:textId="77777777" w:rsidR="00FA0D4C" w:rsidRPr="00DF6C69" w:rsidRDefault="00FA0D4C" w:rsidP="00FA0D4C">
            <w:pPr>
              <w:jc w:val="center"/>
              <w:rPr>
                <w:rFonts w:ascii="Times New Roman" w:hAnsi="Times New Roman" w:cs="Times New Roman"/>
                <w:sz w:val="18"/>
                <w:szCs w:val="18"/>
              </w:rPr>
            </w:pPr>
          </w:p>
        </w:tc>
      </w:tr>
      <w:tr w:rsidR="00FA0D4C" w:rsidRPr="00DF6C69" w14:paraId="17D0A4D4" w14:textId="77777777" w:rsidTr="00313218">
        <w:trPr>
          <w:trHeight w:val="20"/>
        </w:trPr>
        <w:tc>
          <w:tcPr>
            <w:tcW w:w="472" w:type="dxa"/>
            <w:vMerge/>
            <w:shd w:val="clear" w:color="auto" w:fill="FFF2CC" w:themeFill="accent4" w:themeFillTint="33"/>
            <w:noWrap/>
            <w:vAlign w:val="center"/>
          </w:tcPr>
          <w:p w14:paraId="465ACD17" w14:textId="41DF0E79"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13F728F7" w14:textId="5B82BED0"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Tryptophan</w:t>
            </w:r>
          </w:p>
        </w:tc>
        <w:tc>
          <w:tcPr>
            <w:tcW w:w="974" w:type="dxa"/>
            <w:shd w:val="clear" w:color="auto" w:fill="FFF2CC" w:themeFill="accent4" w:themeFillTint="33"/>
            <w:vAlign w:val="center"/>
          </w:tcPr>
          <w:p w14:paraId="247AC712" w14:textId="1CA8D4C4"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E2EFD9" w:themeFill="accent6" w:themeFillTint="33"/>
            <w:noWrap/>
            <w:vAlign w:val="center"/>
          </w:tcPr>
          <w:p w14:paraId="1533BD9B" w14:textId="01F49117"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c>
          <w:tcPr>
            <w:tcW w:w="1549" w:type="dxa"/>
            <w:shd w:val="clear" w:color="auto" w:fill="auto"/>
            <w:vAlign w:val="center"/>
          </w:tcPr>
          <w:p w14:paraId="7CFDA265"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294BFAA6" w14:textId="1E6EE138"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62DB72D1" w14:textId="1EC2EE3A"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r>
      <w:tr w:rsidR="00FA0D4C" w:rsidRPr="00DF6C69" w14:paraId="6192B82D" w14:textId="77777777" w:rsidTr="00313218">
        <w:trPr>
          <w:trHeight w:val="20"/>
        </w:trPr>
        <w:tc>
          <w:tcPr>
            <w:tcW w:w="472" w:type="dxa"/>
            <w:vMerge/>
            <w:shd w:val="clear" w:color="auto" w:fill="FFF2CC" w:themeFill="accent4" w:themeFillTint="33"/>
            <w:noWrap/>
            <w:vAlign w:val="center"/>
          </w:tcPr>
          <w:p w14:paraId="3A5017E2"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75D23785"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2DB0FBCA" w14:textId="410B9EA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79B8412E"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2CA988E2"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7EF513A6"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1AFFC76F" w14:textId="6E22E28D" w:rsidR="00FA0D4C" w:rsidRPr="00DF6C69" w:rsidRDefault="00FA0D4C" w:rsidP="00FA0D4C">
            <w:pPr>
              <w:jc w:val="center"/>
              <w:rPr>
                <w:rFonts w:ascii="Times New Roman" w:hAnsi="Times New Roman" w:cs="Times New Roman"/>
                <w:sz w:val="18"/>
                <w:szCs w:val="18"/>
              </w:rPr>
            </w:pPr>
          </w:p>
        </w:tc>
      </w:tr>
      <w:tr w:rsidR="00FA0D4C" w:rsidRPr="00DF6C69" w14:paraId="3F77CB45" w14:textId="77777777" w:rsidTr="00313218">
        <w:trPr>
          <w:trHeight w:val="20"/>
        </w:trPr>
        <w:tc>
          <w:tcPr>
            <w:tcW w:w="472" w:type="dxa"/>
            <w:vMerge/>
            <w:shd w:val="clear" w:color="auto" w:fill="FFF2CC" w:themeFill="accent4" w:themeFillTint="33"/>
            <w:noWrap/>
            <w:vAlign w:val="center"/>
          </w:tcPr>
          <w:p w14:paraId="54B081CB"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37A1461D"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127034B9" w14:textId="2720FD4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75A346DD"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13E28C31"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7528E9AC"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3D995C54" w14:textId="77777777" w:rsidR="00FA0D4C" w:rsidRPr="00DF6C69" w:rsidRDefault="00FA0D4C" w:rsidP="00FA0D4C">
            <w:pPr>
              <w:jc w:val="center"/>
              <w:rPr>
                <w:rFonts w:ascii="Times New Roman" w:hAnsi="Times New Roman" w:cs="Times New Roman"/>
                <w:sz w:val="18"/>
                <w:szCs w:val="18"/>
              </w:rPr>
            </w:pPr>
          </w:p>
        </w:tc>
      </w:tr>
      <w:tr w:rsidR="00FA0D4C" w:rsidRPr="00DF6C69" w14:paraId="78F02AEB" w14:textId="77777777" w:rsidTr="00313218">
        <w:trPr>
          <w:trHeight w:val="20"/>
        </w:trPr>
        <w:tc>
          <w:tcPr>
            <w:tcW w:w="472" w:type="dxa"/>
            <w:vMerge/>
            <w:shd w:val="clear" w:color="auto" w:fill="FFF2CC" w:themeFill="accent4" w:themeFillTint="33"/>
            <w:noWrap/>
            <w:vAlign w:val="center"/>
          </w:tcPr>
          <w:p w14:paraId="71BDFE37" w14:textId="25708D19"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415A3728" w14:textId="2D68B83B"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Tyrosine</w:t>
            </w:r>
          </w:p>
        </w:tc>
        <w:tc>
          <w:tcPr>
            <w:tcW w:w="974" w:type="dxa"/>
            <w:shd w:val="clear" w:color="auto" w:fill="FFF2CC" w:themeFill="accent4" w:themeFillTint="33"/>
            <w:vAlign w:val="center"/>
          </w:tcPr>
          <w:p w14:paraId="20CE7041" w14:textId="4CF3D5B4"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2AB53339"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047AE1BC"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79329C78" w14:textId="3B5D5C4F" w:rsidR="00FA0D4C" w:rsidRPr="00DF6C69" w:rsidRDefault="00FA0D4C" w:rsidP="00FA0D4C">
            <w:pPr>
              <w:jc w:val="center"/>
              <w:rPr>
                <w:rFonts w:ascii="Times New Roman" w:hAnsi="Times New Roman" w:cs="Times New Roman"/>
                <w:sz w:val="18"/>
                <w:szCs w:val="18"/>
              </w:rPr>
            </w:pPr>
          </w:p>
        </w:tc>
        <w:tc>
          <w:tcPr>
            <w:tcW w:w="1840" w:type="dxa"/>
            <w:shd w:val="clear" w:color="auto" w:fill="E2EFD9" w:themeFill="accent6" w:themeFillTint="33"/>
            <w:noWrap/>
            <w:vAlign w:val="center"/>
          </w:tcPr>
          <w:p w14:paraId="25A9AA1F" w14:textId="66EA15B8"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r>
      <w:tr w:rsidR="00FA0D4C" w:rsidRPr="00DF6C69" w14:paraId="55AF8901" w14:textId="77777777" w:rsidTr="00313218">
        <w:trPr>
          <w:trHeight w:val="20"/>
        </w:trPr>
        <w:tc>
          <w:tcPr>
            <w:tcW w:w="472" w:type="dxa"/>
            <w:vMerge/>
            <w:shd w:val="clear" w:color="auto" w:fill="FFF2CC" w:themeFill="accent4" w:themeFillTint="33"/>
            <w:noWrap/>
            <w:vAlign w:val="center"/>
          </w:tcPr>
          <w:p w14:paraId="30AB7A66"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01F91DAB"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3D836CCD" w14:textId="51E60FCD"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75F1D4D4"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597EB97B" w14:textId="5D539D8A"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6D9E963F"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77F6E4AC" w14:textId="77777777" w:rsidR="00FA0D4C" w:rsidRPr="00DF6C69" w:rsidRDefault="00FA0D4C" w:rsidP="00FA0D4C">
            <w:pPr>
              <w:jc w:val="center"/>
              <w:rPr>
                <w:rFonts w:ascii="Times New Roman" w:hAnsi="Times New Roman" w:cs="Times New Roman"/>
                <w:sz w:val="18"/>
                <w:szCs w:val="18"/>
              </w:rPr>
            </w:pPr>
          </w:p>
        </w:tc>
      </w:tr>
      <w:tr w:rsidR="00FA0D4C" w:rsidRPr="00DF6C69" w14:paraId="6601D459" w14:textId="77777777" w:rsidTr="00313218">
        <w:trPr>
          <w:trHeight w:val="20"/>
        </w:trPr>
        <w:tc>
          <w:tcPr>
            <w:tcW w:w="472" w:type="dxa"/>
            <w:vMerge/>
            <w:shd w:val="clear" w:color="auto" w:fill="FFF2CC" w:themeFill="accent4" w:themeFillTint="33"/>
            <w:noWrap/>
            <w:vAlign w:val="center"/>
          </w:tcPr>
          <w:p w14:paraId="4A27C234"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4DC67793"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725232BC" w14:textId="0AB49BB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56713B13"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50F42D94"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42857343"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14A3ABC8" w14:textId="77777777" w:rsidR="00FA0D4C" w:rsidRPr="00DF6C69" w:rsidRDefault="00FA0D4C" w:rsidP="00FA0D4C">
            <w:pPr>
              <w:jc w:val="center"/>
              <w:rPr>
                <w:rFonts w:ascii="Times New Roman" w:hAnsi="Times New Roman" w:cs="Times New Roman"/>
                <w:sz w:val="18"/>
                <w:szCs w:val="18"/>
              </w:rPr>
            </w:pPr>
          </w:p>
        </w:tc>
      </w:tr>
      <w:tr w:rsidR="00FA0D4C" w:rsidRPr="00DF6C69" w14:paraId="51649A77" w14:textId="77777777" w:rsidTr="00313218">
        <w:trPr>
          <w:trHeight w:val="20"/>
        </w:trPr>
        <w:tc>
          <w:tcPr>
            <w:tcW w:w="472" w:type="dxa"/>
            <w:vMerge/>
            <w:shd w:val="clear" w:color="auto" w:fill="FFF2CC" w:themeFill="accent4" w:themeFillTint="33"/>
            <w:noWrap/>
            <w:vAlign w:val="center"/>
          </w:tcPr>
          <w:p w14:paraId="37CC8D2D" w14:textId="2298A157" w:rsidR="00FA0D4C" w:rsidRPr="00DF6C69" w:rsidRDefault="00FA0D4C" w:rsidP="00005120">
            <w:pPr>
              <w:jc w:val="center"/>
              <w:rPr>
                <w:rFonts w:ascii="Times New Roman" w:hAnsi="Times New Roman" w:cs="Times New Roman"/>
                <w:sz w:val="18"/>
                <w:szCs w:val="18"/>
              </w:rPr>
            </w:pPr>
          </w:p>
        </w:tc>
        <w:tc>
          <w:tcPr>
            <w:tcW w:w="1532" w:type="dxa"/>
            <w:vMerge w:val="restart"/>
            <w:shd w:val="clear" w:color="auto" w:fill="D9E2F3" w:themeFill="accent1" w:themeFillTint="33"/>
            <w:vAlign w:val="center"/>
          </w:tcPr>
          <w:p w14:paraId="6DBA234C" w14:textId="41603330"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Valine</w:t>
            </w:r>
          </w:p>
        </w:tc>
        <w:tc>
          <w:tcPr>
            <w:tcW w:w="974" w:type="dxa"/>
            <w:shd w:val="clear" w:color="auto" w:fill="FFF2CC" w:themeFill="accent4" w:themeFillTint="33"/>
            <w:vAlign w:val="center"/>
          </w:tcPr>
          <w:p w14:paraId="3D50D5AF" w14:textId="64E985AD"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tcPr>
          <w:p w14:paraId="61226859"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000A0D01"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1CA19DB5" w14:textId="105ACC22"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{"citationItems":[{"id":"ITEM-1","itemData":{"DOI":"10.1038/bjc.2015.411","ISSN":"15321827","abstract":"An individualised risk-stratified screening for prostate cancer (PCa) would select the patients who will benefit from further investigations as well as therapy. Current detection methods suffer from low sensitivity and specificity, especially for separating PCa from benign prostatic conditions. We have investigated the use of metabolomics analyses of blood samples for separating PCa patients and controls with benign prostatic hyperplasia (BPH).Methods:Blood plasma and serum samples from 29 PCa patient and 21 controls with BPH were analysed by metabolomics analysis using magnetic resonance spectroscopy, mass spectrometry and gas chromatography. Differences in blood metabolic patterns were examined by multivariate and univariate statistics.Results:By combining results from different methodological platforms, PCa patients and controls were separated with a sensitivity and specificity of 81.5% and 75.2%, respectively.Conclusions:The combined analysis of serum and plasma samples by different metabolomics measurement techniques gave successful discrimination of PCa and controls, and provided metabolic markers and insight into the processes characteristic of PCa. Our results suggest changes in fatty acid (acylcarnitines), choline (glycerophospholipids) and amino acid metabolism (arginine) as markers for PCa compared with BPH.","author":[{"dropping-particle":"","family":"Giskeødegård","given":"Guro F.","non-dropping-particle":"","parse-names":false,"suffix":""},{"dropping-particle":"","family":"Hansen","given":"Ailin Falkmo","non-dropping-particle":"","parse-names":false,"suffix":""},{"dropping-particle":"","family":"Bertilsson","given":"Helena","non-dropping-particle":"","parse-names":false,"suffix":""},{"dropping-particle":"","family":"Gonzalez","given":"Susana Villa","non-dropping-particle":"","parse-names":false,"suffix":""},{"dropping-particle":"","family":"Kristiansen","given":"Kåre Andre","non-dropping-particle":"","parse-names":false,"suffix":""},{"dropping-particle":"","family":"Bruheim","given":"Per","non-dropping-particle":"","parse-names":false,"suffix":""},{"dropping-particle":"","family":"Mjøs","given":"Svein A.","non-dropping-particle":"","parse-names":false,"suffix":""},{"dropping-particle":"","family":"Angelsen","given":"Anders","non-dropping-particle":"","parse-names":false,"suffix":""},{"dropping-particle":"","family":"Bathen","given":"Tone Frost","non-dropping-particle":"","parse-names":false,"suffix":""},{"dropping-particle":"","family":"Tessem","given":"May Britt","non-dropping-particle":"","parse-names":false,"suffix":""}],"container-title":"British Journal of Cancer","id":"ITEM-1","issue":"12","issued":{"date-parts":[["2015","12","22"]]},"page":"1712-1719","publisher":"Nature Publishing Group","title":"Metabolic markers in blood can separate prostate cancer from benign prostatic hyperplasia","type":"article-journal","volume":"113"},"uris":["http://www.mendeley.com/documents/?uuid=4e1706c9-2508-3ddb-b9e9-196a5c942929"]}],"mendeley":{"formattedCitation":"[43]","plainTextFormattedCitation":"[43]","previouslyFormattedCitation":"[43]"},"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[43]</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7F2BE106" w14:textId="0655DD91"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r>
      <w:tr w:rsidR="00FA0D4C" w:rsidRPr="00DF6C69" w14:paraId="14537099" w14:textId="77777777" w:rsidTr="00313218">
        <w:trPr>
          <w:trHeight w:val="20"/>
        </w:trPr>
        <w:tc>
          <w:tcPr>
            <w:tcW w:w="472" w:type="dxa"/>
            <w:vMerge/>
            <w:shd w:val="clear" w:color="auto" w:fill="FFF2CC" w:themeFill="accent4" w:themeFillTint="33"/>
            <w:noWrap/>
            <w:vAlign w:val="center"/>
          </w:tcPr>
          <w:p w14:paraId="1B86A7AA"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5CDEA840"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17DAF5D5" w14:textId="7B7BF122"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4615B463"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49B602CB" w14:textId="52EC6B4E"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549" w:type="dxa"/>
            <w:shd w:val="clear" w:color="auto" w:fill="auto"/>
            <w:noWrap/>
            <w:vAlign w:val="center"/>
          </w:tcPr>
          <w:p w14:paraId="669614DD"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26AB4A70" w14:textId="77777777" w:rsidR="00FA0D4C" w:rsidRPr="00DF6C69" w:rsidRDefault="00FA0D4C" w:rsidP="00FA0D4C">
            <w:pPr>
              <w:jc w:val="center"/>
              <w:rPr>
                <w:rFonts w:ascii="Times New Roman" w:hAnsi="Times New Roman" w:cs="Times New Roman"/>
                <w:sz w:val="18"/>
                <w:szCs w:val="18"/>
              </w:rPr>
            </w:pPr>
          </w:p>
        </w:tc>
      </w:tr>
      <w:tr w:rsidR="00FA0D4C" w:rsidRPr="00DF6C69" w14:paraId="2EE607F0" w14:textId="77777777" w:rsidTr="00313218">
        <w:trPr>
          <w:trHeight w:val="20"/>
        </w:trPr>
        <w:tc>
          <w:tcPr>
            <w:tcW w:w="472" w:type="dxa"/>
            <w:vMerge/>
            <w:shd w:val="clear" w:color="auto" w:fill="FFF2CC" w:themeFill="accent4" w:themeFillTint="33"/>
            <w:noWrap/>
            <w:vAlign w:val="center"/>
          </w:tcPr>
          <w:p w14:paraId="6013631D" w14:textId="77777777" w:rsidR="00FA0D4C" w:rsidRPr="00DF6C69" w:rsidRDefault="00FA0D4C" w:rsidP="00005120">
            <w:pPr>
              <w:jc w:val="center"/>
              <w:rPr>
                <w:rFonts w:ascii="Times New Roman" w:hAnsi="Times New Roman" w:cs="Times New Roman"/>
                <w:sz w:val="18"/>
                <w:szCs w:val="18"/>
              </w:rPr>
            </w:pPr>
          </w:p>
        </w:tc>
        <w:tc>
          <w:tcPr>
            <w:tcW w:w="1532" w:type="dxa"/>
            <w:vMerge/>
            <w:shd w:val="clear" w:color="auto" w:fill="D9E2F3" w:themeFill="accent1" w:themeFillTint="33"/>
            <w:vAlign w:val="center"/>
          </w:tcPr>
          <w:p w14:paraId="73A77D39"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62CE3EF4" w14:textId="61D997F5"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1D51F44E"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vAlign w:val="center"/>
          </w:tcPr>
          <w:p w14:paraId="6C1609C2"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248144E0"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0E3C0059" w14:textId="77777777" w:rsidR="00FA0D4C" w:rsidRPr="00DF6C69" w:rsidRDefault="00FA0D4C" w:rsidP="00FA0D4C">
            <w:pPr>
              <w:jc w:val="center"/>
              <w:rPr>
                <w:rFonts w:ascii="Times New Roman" w:hAnsi="Times New Roman" w:cs="Times New Roman"/>
                <w:sz w:val="18"/>
                <w:szCs w:val="18"/>
              </w:rPr>
            </w:pPr>
          </w:p>
        </w:tc>
      </w:tr>
      <w:tr w:rsidR="00FA0D4C" w:rsidRPr="00DF6C69" w14:paraId="4CBAD2A0" w14:textId="77777777" w:rsidTr="00313218">
        <w:trPr>
          <w:trHeight w:val="20"/>
        </w:trPr>
        <w:tc>
          <w:tcPr>
            <w:tcW w:w="2004" w:type="dxa"/>
            <w:gridSpan w:val="2"/>
            <w:vMerge w:val="restart"/>
            <w:shd w:val="clear" w:color="auto" w:fill="FFF2CC" w:themeFill="accent4" w:themeFillTint="33"/>
            <w:noWrap/>
            <w:vAlign w:val="center"/>
            <w:hideMark/>
          </w:tcPr>
          <w:p w14:paraId="19F3C418" w14:textId="77777777" w:rsidR="00FA0D4C" w:rsidRPr="00DF6C69" w:rsidRDefault="00FA0D4C" w:rsidP="00306C65">
            <w:pPr>
              <w:jc w:val="center"/>
              <w:rPr>
                <w:rFonts w:ascii="Times New Roman" w:hAnsi="Times New Roman" w:cs="Times New Roman"/>
                <w:sz w:val="18"/>
                <w:szCs w:val="18"/>
              </w:rPr>
            </w:pPr>
            <w:r w:rsidRPr="00DF6C69">
              <w:rPr>
                <w:rFonts w:ascii="Times New Roman" w:hAnsi="Times New Roman" w:cs="Times New Roman"/>
                <w:sz w:val="18"/>
                <w:szCs w:val="18"/>
              </w:rPr>
              <w:t>Lactate</w:t>
            </w:r>
          </w:p>
        </w:tc>
        <w:tc>
          <w:tcPr>
            <w:tcW w:w="974" w:type="dxa"/>
            <w:shd w:val="clear" w:color="auto" w:fill="FFF2CC" w:themeFill="accent4" w:themeFillTint="33"/>
            <w:vAlign w:val="center"/>
          </w:tcPr>
          <w:p w14:paraId="37B69BC5"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auto"/>
            <w:noWrap/>
            <w:vAlign w:val="center"/>
            <w:hideMark/>
          </w:tcPr>
          <w:p w14:paraId="7382A03E"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754A55E5" w14:textId="0E57F83A"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{"citationItems":[{"id":"ITEM-1","itemData":{"DOI":"10.1159/000485242","abstract":"Lactic acidosis is a commonly observed clinical condition that is associated with a poor prognosis, especially in malignancies. We describe a case of an 81-year-old patient who presented with symptoms of tachypnea and general discomfort. Arterial blood gas analysis showed a high anion gap acidosis with a lactate level of 9.5 mmol/L with respiratory compensation. CT scanning showed no signs of pulmonary embolism or other causes of impaired tissue oxygenation. Despite treatment with sodium bicarbonate, the patient developed an adrenalin-resistant cardiac arrest, most likely caused by the acidosis. Autopsy revealed Gleason score 5 + 5 metastatic prostate cancer as the most probable cause of the lactic aci-dosis. Next-generation sequencing indicated a nonsense mutation in the TP53 gene (887delA) and an activating mutation in the PIK3CA gene (1634A&gt;G) as candidate molec","author":[{"dropping-particle":"","family":"Ogilvie","given":"Aernout C","non-dropping-particle":"","parse-names":false,"suffix":""},{"dropping-particle":"","family":"Mijn","given":"Johannes C","non-dropping-particle":"Van Der","parse-names":false,"suffix":""},{"dropping-particle":"","family":"Kuiper","given":"Mathijs J","non-dropping-particle":"","parse-names":false,"suffix":""},{"dropping-particle":"","family":"Siegert","given":"Carl E H","non-dropping-particle":"","parse-names":false,"suffix":""},{"dropping-particle":"","family":"Wassenaar","given":"Annabeth E","non-dropping-particle":"","parse-names":false,"suffix":""},{"dropping-particle":"","family":"Noesel","given":"Carel J M","non-dropping-particle":"Van","parse-names":false,"suffix":""}],"container-title":"Case Rep Oncol","id":"ITEM-1","issued":{"date-parts":[["2017"]]},"page":"1085-1091","title":"Lactic Acidosis in Prostate Cancer: Consider the Warburg Effect Keywords Mutation · p53 mutations · PIK3CA mutations · PTEN mutations · IDH1 mutations · Prostate cancer · Lactic acidosis · Warburg effect · Metabolic reprogramming · Case report","type":"article-journal","volume":"10"},"uris":["http://www.mendeley.com/documents/?uuid=c6f05c1c-91de-3d33-ae46-0c28cf098897"]},{"id":"ITEM-2","itemData":{"DOI":"10.1016/j.chest.2019.08.2050","ISSN":"00123692","author":[{"dropping-particle":"","family":"Fabyan","given":"Kimberly","non-dropping-particle":"","parse-names":false,"suffix":""},{"dropping-particle":"","family":"Holtzclaw","given":"Arthur","non-dropping-particle":"","parse-names":false,"suffix":""},{"dropping-particle":"","family":"Sherner","given":"John","non-dropping-particle":"","parse-names":false,"suffix":""}],"container-title":"Chest","id":"ITEM-2","issue":"4","issued":{"date-parts":[["2019","10","1"]]},"page":"A2105","publisher":"Elsevier BV","title":"PROSTATE LACTATE: A CASE OF SEVERE LACTIC ACIDOSIS WITH AN INTERESTING MECHANISM OF ACTION","type":"article-journal","volume":"156"},"uris":["http://www.mendeley.com/documents/?uuid=4ae92790-9a8b-38b4-94f5-6b5e840cd03a"]}],"mendeley":{"formattedCitation":"[48], [49]","plainTextFormattedCitation":"[48], [49]","previouslyFormattedCitation":"[48], [49]"},"properties":{"noteIndex":0},"schema":"https://github.com/citation-style-language/schema/raw/master/csl-citation.json"}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[48], [49]</w:t>
            </w:r>
            <w:r w:rsidRPr="00DF6C69">
              <w:rPr>
                <w:rFonts w:ascii="Times New Roman" w:hAnsi="Times New Roman" w:cs="Times New Roman"/>
                <w:sz w:val="18"/>
                <w:szCs w:val="18"/>
              </w:rPr>
              <w:fldChar w:fldCharType="end"/>
            </w:r>
          </w:p>
        </w:tc>
        <w:tc>
          <w:tcPr>
            <w:tcW w:w="1549" w:type="dxa"/>
            <w:shd w:val="clear" w:color="auto" w:fill="auto"/>
            <w:noWrap/>
            <w:vAlign w:val="center"/>
            <w:hideMark/>
          </w:tcPr>
          <w:p w14:paraId="3FCE1745"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hideMark/>
          </w:tcPr>
          <w:p w14:paraId="605F8D41" w14:textId="77777777" w:rsidR="00FA0D4C" w:rsidRPr="00DF6C69" w:rsidRDefault="00FA0D4C" w:rsidP="00FA0D4C">
            <w:pPr>
              <w:jc w:val="center"/>
              <w:rPr>
                <w:rFonts w:ascii="Times New Roman" w:hAnsi="Times New Roman" w:cs="Times New Roman"/>
                <w:sz w:val="18"/>
                <w:szCs w:val="18"/>
              </w:rPr>
            </w:pPr>
          </w:p>
        </w:tc>
      </w:tr>
      <w:tr w:rsidR="00FA0D4C" w:rsidRPr="00DF6C69" w14:paraId="1A5DA9D8" w14:textId="77777777" w:rsidTr="00313218">
        <w:trPr>
          <w:trHeight w:val="20"/>
        </w:trPr>
        <w:tc>
          <w:tcPr>
            <w:tcW w:w="2004" w:type="dxa"/>
            <w:gridSpan w:val="2"/>
            <w:vMerge/>
            <w:shd w:val="clear" w:color="auto" w:fill="FFF2CC" w:themeFill="accent4" w:themeFillTint="33"/>
            <w:noWrap/>
            <w:vAlign w:val="center"/>
          </w:tcPr>
          <w:p w14:paraId="362F2010" w14:textId="77777777" w:rsidR="00FA0D4C" w:rsidRPr="00DF6C69" w:rsidRDefault="00FA0D4C" w:rsidP="00306C65">
            <w:pPr>
              <w:jc w:val="center"/>
              <w:rPr>
                <w:rFonts w:ascii="Times New Roman" w:hAnsi="Times New Roman" w:cs="Times New Roman"/>
                <w:sz w:val="18"/>
                <w:szCs w:val="18"/>
              </w:rPr>
            </w:pPr>
          </w:p>
        </w:tc>
        <w:tc>
          <w:tcPr>
            <w:tcW w:w="974" w:type="dxa"/>
            <w:shd w:val="clear" w:color="auto" w:fill="FFF2CC" w:themeFill="accent4" w:themeFillTint="33"/>
            <w:vAlign w:val="center"/>
          </w:tcPr>
          <w:p w14:paraId="48EDDAC8"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auto"/>
            <w:noWrap/>
            <w:vAlign w:val="center"/>
          </w:tcPr>
          <w:p w14:paraId="67EF03BE"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576F8F1A" w14:textId="4E6F6713"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 [50]","plainTextFormattedCitation":"[42], [50]","previouslyFormattedCitation":"[42], [50]"},"properties":{"noteIndex":0},"schema":"https://github.com/citation-style-language/schema/raw/master/csl-citation.json"}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 [50]</w:t>
            </w:r>
            <w:r w:rsidRPr="00DF6C69">
              <w:rPr>
                <w:rFonts w:ascii="Times New Roman" w:hAnsi="Times New Roman" w:cs="Times New Roman"/>
                <w:sz w:val="18"/>
                <w:szCs w:val="18"/>
              </w:rPr>
              <w:fldChar w:fldCharType="end"/>
            </w:r>
          </w:p>
        </w:tc>
        <w:tc>
          <w:tcPr>
            <w:tcW w:w="1549" w:type="dxa"/>
            <w:shd w:val="clear" w:color="auto" w:fill="E2EFD9" w:themeFill="accent6" w:themeFillTint="33"/>
            <w:noWrap/>
            <w:vAlign w:val="center"/>
          </w:tcPr>
          <w:p w14:paraId="6DD1B4AE" w14:textId="15230CD1"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840" w:type="dxa"/>
            <w:noWrap/>
            <w:vAlign w:val="center"/>
          </w:tcPr>
          <w:p w14:paraId="210D680E" w14:textId="77777777" w:rsidR="00FA0D4C" w:rsidRPr="00DF6C69" w:rsidRDefault="00FA0D4C" w:rsidP="00FA0D4C">
            <w:pPr>
              <w:jc w:val="center"/>
              <w:rPr>
                <w:rFonts w:ascii="Times New Roman" w:hAnsi="Times New Roman" w:cs="Times New Roman"/>
                <w:sz w:val="18"/>
                <w:szCs w:val="18"/>
              </w:rPr>
            </w:pPr>
          </w:p>
        </w:tc>
      </w:tr>
      <w:tr w:rsidR="00FA0D4C" w:rsidRPr="00DF6C69" w14:paraId="01D9BA63" w14:textId="77777777" w:rsidTr="00313218">
        <w:trPr>
          <w:trHeight w:val="20"/>
        </w:trPr>
        <w:tc>
          <w:tcPr>
            <w:tcW w:w="2004" w:type="dxa"/>
            <w:gridSpan w:val="2"/>
            <w:vMerge/>
            <w:shd w:val="clear" w:color="auto" w:fill="FFF2CC" w:themeFill="accent4" w:themeFillTint="33"/>
            <w:noWrap/>
            <w:vAlign w:val="center"/>
          </w:tcPr>
          <w:p w14:paraId="16498542"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1D89FAE3"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516A9BFF"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01EF750F" w14:textId="6B6B19AB"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549" w:type="dxa"/>
            <w:shd w:val="clear" w:color="auto" w:fill="E2EFD9" w:themeFill="accent6" w:themeFillTint="33"/>
            <w:noWrap/>
            <w:vAlign w:val="center"/>
          </w:tcPr>
          <w:p w14:paraId="5A6A77BF" w14:textId="52E0C85E"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840" w:type="dxa"/>
            <w:noWrap/>
            <w:vAlign w:val="center"/>
          </w:tcPr>
          <w:p w14:paraId="4180B62D" w14:textId="77777777" w:rsidR="00FA0D4C" w:rsidRPr="00DF6C69" w:rsidRDefault="00FA0D4C" w:rsidP="00FA0D4C">
            <w:pPr>
              <w:jc w:val="center"/>
              <w:rPr>
                <w:rFonts w:ascii="Times New Roman" w:hAnsi="Times New Roman" w:cs="Times New Roman"/>
                <w:sz w:val="18"/>
                <w:szCs w:val="18"/>
              </w:rPr>
            </w:pPr>
          </w:p>
        </w:tc>
      </w:tr>
      <w:tr w:rsidR="00FA0D4C" w:rsidRPr="00DF6C69" w14:paraId="6D72758C" w14:textId="77777777" w:rsidTr="00313218">
        <w:trPr>
          <w:trHeight w:val="20"/>
        </w:trPr>
        <w:tc>
          <w:tcPr>
            <w:tcW w:w="2004" w:type="dxa"/>
            <w:gridSpan w:val="2"/>
            <w:vMerge w:val="restart"/>
            <w:shd w:val="clear" w:color="auto" w:fill="FFF2CC" w:themeFill="accent4" w:themeFillTint="33"/>
            <w:noWrap/>
            <w:vAlign w:val="center"/>
            <w:hideMark/>
          </w:tcPr>
          <w:p w14:paraId="171D660D" w14:textId="77777777" w:rsidR="00FA0D4C" w:rsidRPr="00DF6C69" w:rsidRDefault="00FA0D4C" w:rsidP="005C4821">
            <w:pPr>
              <w:jc w:val="center"/>
              <w:rPr>
                <w:rFonts w:ascii="Times New Roman" w:hAnsi="Times New Roman" w:cs="Times New Roman"/>
                <w:sz w:val="18"/>
                <w:szCs w:val="18"/>
              </w:rPr>
            </w:pPr>
            <w:r w:rsidRPr="00DF6C69">
              <w:rPr>
                <w:rFonts w:ascii="Times New Roman" w:hAnsi="Times New Roman" w:cs="Times New Roman"/>
                <w:sz w:val="18"/>
                <w:szCs w:val="18"/>
              </w:rPr>
              <w:t>Myoinositol</w:t>
            </w:r>
          </w:p>
        </w:tc>
        <w:tc>
          <w:tcPr>
            <w:tcW w:w="974" w:type="dxa"/>
            <w:shd w:val="clear" w:color="auto" w:fill="FFF2CC" w:themeFill="accent4" w:themeFillTint="33"/>
            <w:vAlign w:val="center"/>
          </w:tcPr>
          <w:p w14:paraId="5DE0C8A7"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hideMark/>
          </w:tcPr>
          <w:p w14:paraId="137E96E5"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hideMark/>
          </w:tcPr>
          <w:p w14:paraId="7A6F9C11"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26C31FF4" w14:textId="77777777" w:rsidR="00FA0D4C" w:rsidRPr="00DF6C69" w:rsidRDefault="00FA0D4C" w:rsidP="00FA0D4C">
            <w:pPr>
              <w:jc w:val="center"/>
              <w:rPr>
                <w:rFonts w:ascii="Times New Roman" w:hAnsi="Times New Roman" w:cs="Times New Roman"/>
                <w:sz w:val="18"/>
                <w:szCs w:val="18"/>
              </w:rPr>
            </w:pPr>
          </w:p>
        </w:tc>
        <w:tc>
          <w:tcPr>
            <w:tcW w:w="1840" w:type="dxa"/>
            <w:vAlign w:val="center"/>
          </w:tcPr>
          <w:p w14:paraId="26AD9D26" w14:textId="77777777" w:rsidR="00FA0D4C" w:rsidRPr="00DF6C69" w:rsidRDefault="00FA0D4C" w:rsidP="00FA0D4C">
            <w:pPr>
              <w:jc w:val="center"/>
              <w:rPr>
                <w:rFonts w:ascii="Times New Roman" w:hAnsi="Times New Roman" w:cs="Times New Roman"/>
                <w:sz w:val="18"/>
                <w:szCs w:val="18"/>
              </w:rPr>
            </w:pPr>
          </w:p>
        </w:tc>
      </w:tr>
      <w:tr w:rsidR="00FA0D4C" w:rsidRPr="00DF6C69" w14:paraId="09B239C3" w14:textId="77777777" w:rsidTr="00313218">
        <w:trPr>
          <w:trHeight w:val="20"/>
        </w:trPr>
        <w:tc>
          <w:tcPr>
            <w:tcW w:w="2004" w:type="dxa"/>
            <w:gridSpan w:val="2"/>
            <w:vMerge/>
            <w:shd w:val="clear" w:color="auto" w:fill="FFF2CC" w:themeFill="accent4" w:themeFillTint="33"/>
            <w:noWrap/>
            <w:vAlign w:val="center"/>
          </w:tcPr>
          <w:p w14:paraId="5B146548"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387E6AE0"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64D6E68B"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2357542A"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684497C9" w14:textId="17696179"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M.","non-dropping-particle":"","parse-names":false,"suffix":""}],"container-title":"Nature","id":"ITEM-1","issue":"7231","issued":{"date-parts":[["2009","2","12"]]},"page":"910-914","publisher":"Nature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[51]","plainTextFormattedCitation":"[51]","previouslyFormattedCitation":"[51]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[51]</w:t>
            </w:r>
            <w:r w:rsidRPr="00DF6C69">
              <w:rPr>
                <w:rFonts w:ascii="Times New Roman" w:hAnsi="Times New Roman" w:cs="Times New Roman"/>
                <w:sz w:val="18"/>
                <w:szCs w:val="18"/>
              </w:rPr>
              <w:fldChar w:fldCharType="end"/>
            </w:r>
          </w:p>
        </w:tc>
        <w:tc>
          <w:tcPr>
            <w:tcW w:w="1840" w:type="dxa"/>
            <w:shd w:val="clear" w:color="auto" w:fill="E2EFD9" w:themeFill="accent6" w:themeFillTint="33"/>
            <w:vAlign w:val="center"/>
          </w:tcPr>
          <w:p w14:paraId="2A7FF3A1" w14:textId="1FD626B0"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 [50]","plainTextFormattedCitation":"[42], [50]","previouslyFormattedCitation":"[42], [50]"},"properties":{"noteIndex":0},"schema":"https://github.com/citation-style-language/schema/raw/master/csl-citation.json"}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 [50]</w:t>
            </w:r>
            <w:r w:rsidRPr="00DF6C69">
              <w:rPr>
                <w:rFonts w:ascii="Times New Roman" w:hAnsi="Times New Roman" w:cs="Times New Roman"/>
                <w:sz w:val="18"/>
                <w:szCs w:val="18"/>
              </w:rPr>
              <w:fldChar w:fldCharType="end"/>
            </w:r>
          </w:p>
        </w:tc>
      </w:tr>
      <w:tr w:rsidR="00FA0D4C" w:rsidRPr="00DF6C69" w14:paraId="2BD58C44" w14:textId="77777777" w:rsidTr="00313218">
        <w:trPr>
          <w:trHeight w:val="20"/>
        </w:trPr>
        <w:tc>
          <w:tcPr>
            <w:tcW w:w="2004" w:type="dxa"/>
            <w:gridSpan w:val="2"/>
            <w:vMerge/>
            <w:shd w:val="clear" w:color="auto" w:fill="FFF2CC" w:themeFill="accent4" w:themeFillTint="33"/>
            <w:noWrap/>
            <w:vAlign w:val="center"/>
          </w:tcPr>
          <w:p w14:paraId="155EB241"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6CE914DE"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44D27DC3"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5A2F7815"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6A1E9A17"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vAlign w:val="center"/>
          </w:tcPr>
          <w:p w14:paraId="330A43BE" w14:textId="77777777" w:rsidR="00FA0D4C" w:rsidRPr="00DF6C69" w:rsidRDefault="00FA0D4C" w:rsidP="00FA0D4C">
            <w:pPr>
              <w:jc w:val="center"/>
              <w:rPr>
                <w:rFonts w:ascii="Times New Roman" w:hAnsi="Times New Roman" w:cs="Times New Roman"/>
                <w:sz w:val="18"/>
                <w:szCs w:val="18"/>
              </w:rPr>
            </w:pPr>
          </w:p>
        </w:tc>
      </w:tr>
      <w:tr w:rsidR="00FA0D4C" w:rsidRPr="00DF6C69" w14:paraId="46B96D4E" w14:textId="77777777" w:rsidTr="00313218">
        <w:trPr>
          <w:trHeight w:val="20"/>
        </w:trPr>
        <w:tc>
          <w:tcPr>
            <w:tcW w:w="2004" w:type="dxa"/>
            <w:gridSpan w:val="2"/>
            <w:vMerge w:val="restart"/>
            <w:shd w:val="clear" w:color="auto" w:fill="FFF2CC" w:themeFill="accent4" w:themeFillTint="33"/>
            <w:noWrap/>
            <w:vAlign w:val="center"/>
            <w:hideMark/>
          </w:tcPr>
          <w:p w14:paraId="0C635A24" w14:textId="77777777" w:rsidR="00FA0D4C" w:rsidRPr="00DF6C69" w:rsidRDefault="00FA0D4C" w:rsidP="005C4821">
            <w:pPr>
              <w:jc w:val="center"/>
              <w:rPr>
                <w:rFonts w:ascii="Times New Roman" w:hAnsi="Times New Roman" w:cs="Times New Roman"/>
                <w:sz w:val="18"/>
                <w:szCs w:val="18"/>
              </w:rPr>
            </w:pPr>
            <w:r w:rsidRPr="00DF6C69">
              <w:rPr>
                <w:rFonts w:ascii="Times New Roman" w:hAnsi="Times New Roman" w:cs="Times New Roman"/>
                <w:sz w:val="18"/>
                <w:szCs w:val="18"/>
              </w:rPr>
              <w:t>Phosphocholine</w:t>
            </w:r>
          </w:p>
        </w:tc>
        <w:tc>
          <w:tcPr>
            <w:tcW w:w="974" w:type="dxa"/>
            <w:shd w:val="clear" w:color="auto" w:fill="FFF2CC" w:themeFill="accent4" w:themeFillTint="33"/>
            <w:vAlign w:val="center"/>
          </w:tcPr>
          <w:p w14:paraId="5A85E11B"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hideMark/>
          </w:tcPr>
          <w:p w14:paraId="5D19B454"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hideMark/>
          </w:tcPr>
          <w:p w14:paraId="3E27ED75" w14:textId="4AB10935"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auto"/>
            <w:noWrap/>
            <w:vAlign w:val="center"/>
          </w:tcPr>
          <w:p w14:paraId="1CCD6D69"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noWrap/>
            <w:vAlign w:val="center"/>
          </w:tcPr>
          <w:p w14:paraId="0FEB08B3" w14:textId="77777777" w:rsidR="00FA0D4C" w:rsidRPr="00DF6C69" w:rsidRDefault="00FA0D4C" w:rsidP="00FA0D4C">
            <w:pPr>
              <w:jc w:val="center"/>
              <w:rPr>
                <w:rFonts w:ascii="Times New Roman" w:hAnsi="Times New Roman" w:cs="Times New Roman"/>
                <w:sz w:val="18"/>
                <w:szCs w:val="18"/>
              </w:rPr>
            </w:pPr>
          </w:p>
        </w:tc>
      </w:tr>
      <w:tr w:rsidR="00FA0D4C" w:rsidRPr="00DF6C69" w14:paraId="1C37B685" w14:textId="77777777" w:rsidTr="00313218">
        <w:trPr>
          <w:trHeight w:val="20"/>
        </w:trPr>
        <w:tc>
          <w:tcPr>
            <w:tcW w:w="2004" w:type="dxa"/>
            <w:gridSpan w:val="2"/>
            <w:vMerge/>
            <w:shd w:val="clear" w:color="auto" w:fill="FFF2CC" w:themeFill="accent4" w:themeFillTint="33"/>
            <w:noWrap/>
            <w:vAlign w:val="center"/>
          </w:tcPr>
          <w:p w14:paraId="52A31E9B"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56D9EEE8"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01AF28E1"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37BFF71C" w14:textId="7BD5B764"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 [50]","plainTextFormattedCitation":"[42], [50]","previouslyFormattedCitation":"[42], [50]"},"properties":{"noteIndex":0},"schema":"https://github.com/citation-style-language/schema/raw/master/csl-citation.json"}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 [50]</w:t>
            </w:r>
            <w:r w:rsidRPr="00DF6C69">
              <w:rPr>
                <w:rFonts w:ascii="Times New Roman" w:hAnsi="Times New Roman" w:cs="Times New Roman"/>
                <w:sz w:val="18"/>
                <w:szCs w:val="18"/>
              </w:rPr>
              <w:fldChar w:fldCharType="end"/>
            </w:r>
          </w:p>
        </w:tc>
        <w:tc>
          <w:tcPr>
            <w:tcW w:w="1549" w:type="dxa"/>
            <w:shd w:val="clear" w:color="auto" w:fill="E2EFD9" w:themeFill="accent6" w:themeFillTint="33"/>
            <w:noWrap/>
            <w:vAlign w:val="center"/>
          </w:tcPr>
          <w:p w14:paraId="5A77CFEE" w14:textId="135D9A1F"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4170B760" w14:textId="3332360A"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r>
      <w:tr w:rsidR="00FA0D4C" w:rsidRPr="00DF6C69" w14:paraId="55B8E9A6" w14:textId="77777777" w:rsidTr="00313218">
        <w:trPr>
          <w:trHeight w:val="20"/>
        </w:trPr>
        <w:tc>
          <w:tcPr>
            <w:tcW w:w="2004" w:type="dxa"/>
            <w:gridSpan w:val="2"/>
            <w:vMerge/>
            <w:shd w:val="clear" w:color="auto" w:fill="FFF2CC" w:themeFill="accent4" w:themeFillTint="33"/>
            <w:noWrap/>
            <w:vAlign w:val="center"/>
          </w:tcPr>
          <w:p w14:paraId="2061BB39"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6058484E"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35DAC6EE"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250E7633" w14:textId="3786061E"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549" w:type="dxa"/>
            <w:noWrap/>
            <w:vAlign w:val="center"/>
          </w:tcPr>
          <w:p w14:paraId="36D93EEC"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tcPr>
          <w:p w14:paraId="474FA6A5" w14:textId="77777777" w:rsidR="00FA0D4C" w:rsidRPr="00DF6C69" w:rsidRDefault="00FA0D4C" w:rsidP="00FA0D4C">
            <w:pPr>
              <w:jc w:val="center"/>
              <w:rPr>
                <w:rFonts w:ascii="Times New Roman" w:hAnsi="Times New Roman" w:cs="Times New Roman"/>
                <w:sz w:val="18"/>
                <w:szCs w:val="18"/>
              </w:rPr>
            </w:pPr>
          </w:p>
        </w:tc>
      </w:tr>
      <w:tr w:rsidR="00FA0D4C" w:rsidRPr="00DF6C69" w14:paraId="5B593658" w14:textId="77777777" w:rsidTr="00313218">
        <w:trPr>
          <w:trHeight w:val="20"/>
        </w:trPr>
        <w:tc>
          <w:tcPr>
            <w:tcW w:w="2004" w:type="dxa"/>
            <w:gridSpan w:val="2"/>
            <w:vMerge w:val="restart"/>
            <w:shd w:val="clear" w:color="auto" w:fill="FFF2CC" w:themeFill="accent4" w:themeFillTint="33"/>
            <w:noWrap/>
            <w:vAlign w:val="center"/>
            <w:hideMark/>
          </w:tcPr>
          <w:p w14:paraId="1719460B" w14:textId="77777777" w:rsidR="00FA0D4C" w:rsidRPr="00DF6C69" w:rsidRDefault="00FA0D4C" w:rsidP="005C4821">
            <w:pPr>
              <w:jc w:val="center"/>
              <w:rPr>
                <w:rFonts w:ascii="Times New Roman" w:hAnsi="Times New Roman" w:cs="Times New Roman"/>
                <w:sz w:val="18"/>
                <w:szCs w:val="18"/>
              </w:rPr>
            </w:pPr>
            <w:r w:rsidRPr="00DF6C69">
              <w:rPr>
                <w:rFonts w:ascii="Times New Roman" w:hAnsi="Times New Roman" w:cs="Times New Roman"/>
                <w:sz w:val="18"/>
                <w:szCs w:val="18"/>
              </w:rPr>
              <w:t>Pyrimidine</w:t>
            </w:r>
          </w:p>
        </w:tc>
        <w:tc>
          <w:tcPr>
            <w:tcW w:w="974" w:type="dxa"/>
            <w:shd w:val="clear" w:color="auto" w:fill="FFF2CC" w:themeFill="accent4" w:themeFillTint="33"/>
            <w:vAlign w:val="center"/>
          </w:tcPr>
          <w:p w14:paraId="3FA0C5AD"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hideMark/>
          </w:tcPr>
          <w:p w14:paraId="15CC41BC" w14:textId="77777777" w:rsidR="00FA0D4C" w:rsidRPr="00DF6C69" w:rsidRDefault="00FA0D4C" w:rsidP="00FA0D4C">
            <w:pPr>
              <w:jc w:val="center"/>
              <w:rPr>
                <w:rFonts w:ascii="Times New Roman" w:hAnsi="Times New Roman" w:cs="Times New Roman"/>
                <w:sz w:val="18"/>
                <w:szCs w:val="18"/>
              </w:rPr>
            </w:pPr>
          </w:p>
        </w:tc>
        <w:tc>
          <w:tcPr>
            <w:tcW w:w="1549" w:type="dxa"/>
            <w:vAlign w:val="center"/>
            <w:hideMark/>
          </w:tcPr>
          <w:p w14:paraId="58029280"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hideMark/>
          </w:tcPr>
          <w:p w14:paraId="75BB2418"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hideMark/>
          </w:tcPr>
          <w:p w14:paraId="2764A6A1" w14:textId="77777777" w:rsidR="00FA0D4C" w:rsidRPr="00DF6C69" w:rsidRDefault="00FA0D4C" w:rsidP="00FA0D4C">
            <w:pPr>
              <w:jc w:val="center"/>
              <w:rPr>
                <w:rFonts w:ascii="Times New Roman" w:hAnsi="Times New Roman" w:cs="Times New Roman"/>
                <w:sz w:val="18"/>
                <w:szCs w:val="18"/>
              </w:rPr>
            </w:pPr>
          </w:p>
        </w:tc>
      </w:tr>
      <w:tr w:rsidR="00FA0D4C" w:rsidRPr="00DF6C69" w14:paraId="24E8AA7F" w14:textId="77777777" w:rsidTr="00313218">
        <w:trPr>
          <w:trHeight w:val="20"/>
        </w:trPr>
        <w:tc>
          <w:tcPr>
            <w:tcW w:w="2004" w:type="dxa"/>
            <w:gridSpan w:val="2"/>
            <w:vMerge/>
            <w:shd w:val="clear" w:color="auto" w:fill="FFF2CC" w:themeFill="accent4" w:themeFillTint="33"/>
            <w:noWrap/>
            <w:vAlign w:val="center"/>
          </w:tcPr>
          <w:p w14:paraId="0886AF3B"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31FD1512"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551E1493"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7E083EB7" w14:textId="07DA243F"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549" w:type="dxa"/>
            <w:noWrap/>
            <w:vAlign w:val="center"/>
          </w:tcPr>
          <w:p w14:paraId="1D5AE13A"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tcPr>
          <w:p w14:paraId="427F3387" w14:textId="77777777" w:rsidR="00FA0D4C" w:rsidRPr="00DF6C69" w:rsidRDefault="00FA0D4C" w:rsidP="00FA0D4C">
            <w:pPr>
              <w:jc w:val="center"/>
              <w:rPr>
                <w:rFonts w:ascii="Times New Roman" w:hAnsi="Times New Roman" w:cs="Times New Roman"/>
                <w:sz w:val="18"/>
                <w:szCs w:val="18"/>
              </w:rPr>
            </w:pPr>
          </w:p>
        </w:tc>
      </w:tr>
      <w:tr w:rsidR="00FA0D4C" w:rsidRPr="00DF6C69" w14:paraId="791083F3" w14:textId="77777777" w:rsidTr="00313218">
        <w:trPr>
          <w:trHeight w:val="20"/>
        </w:trPr>
        <w:tc>
          <w:tcPr>
            <w:tcW w:w="2004" w:type="dxa"/>
            <w:gridSpan w:val="2"/>
            <w:vMerge/>
            <w:shd w:val="clear" w:color="auto" w:fill="FFF2CC" w:themeFill="accent4" w:themeFillTint="33"/>
            <w:noWrap/>
            <w:vAlign w:val="center"/>
          </w:tcPr>
          <w:p w14:paraId="0CE1858F"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42CD7400"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5EE7EE8D"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02B78D2A" w14:textId="4ABE81DE"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 [50]","plainTextFormattedCitation":"[42], [50]","previouslyFormattedCitation":"[42], [50]"},"properties":{"noteIndex":0},"schema":"https://github.com/citation-style-language/schema/raw/master/csl-citation.json"}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 [50]</w:t>
            </w:r>
            <w:r w:rsidRPr="00DF6C69">
              <w:rPr>
                <w:rFonts w:ascii="Times New Roman" w:hAnsi="Times New Roman" w:cs="Times New Roman"/>
                <w:sz w:val="18"/>
                <w:szCs w:val="18"/>
              </w:rPr>
              <w:fldChar w:fldCharType="end"/>
            </w:r>
          </w:p>
        </w:tc>
        <w:tc>
          <w:tcPr>
            <w:tcW w:w="1549" w:type="dxa"/>
            <w:noWrap/>
            <w:vAlign w:val="center"/>
          </w:tcPr>
          <w:p w14:paraId="56AF33FC"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tcPr>
          <w:p w14:paraId="1A6A3F71" w14:textId="77777777" w:rsidR="00FA0D4C" w:rsidRPr="00DF6C69" w:rsidRDefault="00FA0D4C" w:rsidP="00FA0D4C">
            <w:pPr>
              <w:jc w:val="center"/>
              <w:rPr>
                <w:rFonts w:ascii="Times New Roman" w:hAnsi="Times New Roman" w:cs="Times New Roman"/>
                <w:sz w:val="18"/>
                <w:szCs w:val="18"/>
              </w:rPr>
            </w:pPr>
          </w:p>
        </w:tc>
      </w:tr>
      <w:tr w:rsidR="00FA0D4C" w:rsidRPr="00DF6C69" w14:paraId="641CDE00" w14:textId="77777777" w:rsidTr="00313218">
        <w:trPr>
          <w:trHeight w:val="20"/>
        </w:trPr>
        <w:tc>
          <w:tcPr>
            <w:tcW w:w="2004" w:type="dxa"/>
            <w:gridSpan w:val="2"/>
            <w:vMerge w:val="restart"/>
            <w:shd w:val="clear" w:color="auto" w:fill="FFF2CC" w:themeFill="accent4" w:themeFillTint="33"/>
            <w:noWrap/>
            <w:vAlign w:val="center"/>
            <w:hideMark/>
          </w:tcPr>
          <w:p w14:paraId="09A3006F" w14:textId="77777777" w:rsidR="00FA0D4C" w:rsidRPr="00DF6C69" w:rsidRDefault="00FA0D4C" w:rsidP="005C4821">
            <w:pPr>
              <w:jc w:val="center"/>
              <w:rPr>
                <w:rFonts w:ascii="Times New Roman" w:hAnsi="Times New Roman" w:cs="Times New Roman"/>
                <w:sz w:val="18"/>
                <w:szCs w:val="18"/>
              </w:rPr>
            </w:pPr>
            <w:r w:rsidRPr="00DF6C69">
              <w:rPr>
                <w:rFonts w:ascii="Times New Roman" w:hAnsi="Times New Roman" w:cs="Times New Roman"/>
                <w:sz w:val="18"/>
                <w:szCs w:val="18"/>
              </w:rPr>
              <w:t>Sarcosine</w:t>
            </w:r>
          </w:p>
        </w:tc>
        <w:tc>
          <w:tcPr>
            <w:tcW w:w="974" w:type="dxa"/>
            <w:shd w:val="clear" w:color="auto" w:fill="FFF2CC" w:themeFill="accent4" w:themeFillTint="33"/>
            <w:vAlign w:val="center"/>
          </w:tcPr>
          <w:p w14:paraId="4D545F3E"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hideMark/>
          </w:tcPr>
          <w:p w14:paraId="38D69ADA"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hideMark/>
          </w:tcPr>
          <w:p w14:paraId="1BFF620F" w14:textId="3D16BB4E"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{"citationItems":[{"id":"ITEM-1","itemData":{"DOI":"10.3390/diagnostics9010021","ISSN":"20754418","abstract":"Prostate cancer (PCa) diagnosis with current biomarkers is difficult and often results in unnecessary invasive procedures as well as over-diagnosis and over-treatment, highlighting the need for novel biomarkers. The aim of this review is to provide a summary of available metabolomics PCa biomarkers, particularly for clinically significant disease. A systematic search was conducted on PubMed for publications from July 2008 to July 2018 in accordance with PRISMA guidelines to report biomarkers with respect to their application in PCa diagnosis, progression, aggressiveness, recurrence, and treatment response. The vast majority of studies report biomarkers with the ability to distinguish malignant from benign prostate tissue with a few studies investigating biomarkers associated with disease progression, treatment response or tumour recurrence. In general, these studies report high dimensional datasets and the number of analysed metabolites often significantly exceeded the number of available samples. Hence, observed multivariate differences between case and control samples in the datasets might potentially also be associated with pre-analytical, technical, statistical and confounding factors. Giving the technical and methodological hurdles, there are nevertheless a number of metabolites and pathways repeatedly reported across various technical approaches, cohorts and sample types that appear to play a predominant role in PCa tumour biology, progression and recurrence.","author":[{"dropping-particle":"","family":"Kdadra","given":"Marouane","non-dropping-particle":"","parse-names":false,"suffix":""},{"dropping-particle":"","family":"Höckner","given":"Sebastian","non-dropping-particle":"","parse-names":false,"suffix":""},{"dropping-particle":"","family":"Leung","given":"Hing","non-dropping-particle":"","parse-names":false,"suffix":""},{"dropping-particle":"","family":"Kremer","given":"Werner","non-dropping-particle":"","parse-names":false,"suffix":""},{"dropping-particle":"","family":"Schiffer","given":"Eric","non-dropping-particle":"","parse-names":false,"suffix":""}],"container-title":"Diagnostics","id":"ITEM-1","issue":"1","issued":{"date-parts":[["2019","2","19"]]},"page":"1-44","title":"Metabolomics biomarkers of prostate cancer: A systematic review","type":"article-journal","volume":"9"},"uris":["http://www.mendeley.com/documents/?uuid=af4b2e7e-5479-41b2-9215-23a7e0c14039"]}],"mendeley":{"formattedCitation":"[41]","plainTextFormattedCitation":"[41]","previouslyFormattedCitation":"[41]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[41]</w:t>
            </w:r>
            <w:r w:rsidRPr="00DF6C69">
              <w:rPr>
                <w:rFonts w:ascii="Times New Roman" w:hAnsi="Times New Roman" w:cs="Times New Roman"/>
                <w:sz w:val="18"/>
                <w:szCs w:val="18"/>
              </w:rPr>
              <w:fldChar w:fldCharType="end"/>
            </w:r>
          </w:p>
        </w:tc>
        <w:tc>
          <w:tcPr>
            <w:tcW w:w="1549" w:type="dxa"/>
            <w:vAlign w:val="center"/>
          </w:tcPr>
          <w:p w14:paraId="2F618A27" w14:textId="77777777" w:rsidR="00FA0D4C" w:rsidRPr="00DF6C69" w:rsidRDefault="00FA0D4C" w:rsidP="00FA0D4C">
            <w:pPr>
              <w:jc w:val="center"/>
              <w:rPr>
                <w:rFonts w:ascii="Times New Roman" w:hAnsi="Times New Roman" w:cs="Times New Roman"/>
                <w:sz w:val="18"/>
                <w:szCs w:val="18"/>
              </w:rPr>
            </w:pPr>
          </w:p>
        </w:tc>
        <w:tc>
          <w:tcPr>
            <w:tcW w:w="1840" w:type="dxa"/>
            <w:vAlign w:val="center"/>
          </w:tcPr>
          <w:p w14:paraId="4BFDD68E" w14:textId="77777777" w:rsidR="00FA0D4C" w:rsidRPr="00DF6C69" w:rsidRDefault="00FA0D4C" w:rsidP="00FA0D4C">
            <w:pPr>
              <w:jc w:val="center"/>
              <w:rPr>
                <w:rFonts w:ascii="Times New Roman" w:hAnsi="Times New Roman" w:cs="Times New Roman"/>
                <w:sz w:val="18"/>
                <w:szCs w:val="18"/>
              </w:rPr>
            </w:pPr>
          </w:p>
        </w:tc>
      </w:tr>
      <w:tr w:rsidR="00FA0D4C" w:rsidRPr="00DF6C69" w14:paraId="12974ED0" w14:textId="77777777" w:rsidTr="00313218">
        <w:trPr>
          <w:trHeight w:val="20"/>
        </w:trPr>
        <w:tc>
          <w:tcPr>
            <w:tcW w:w="2004" w:type="dxa"/>
            <w:gridSpan w:val="2"/>
            <w:vMerge/>
            <w:shd w:val="clear" w:color="auto" w:fill="FFF2CC" w:themeFill="accent4" w:themeFillTint="33"/>
            <w:noWrap/>
            <w:vAlign w:val="center"/>
          </w:tcPr>
          <w:p w14:paraId="427D8CBA"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658C9688"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5D77CCE0"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57FB95AD" w14:textId="0C7F2564"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E2EFD9" w:themeFill="accent6" w:themeFillTint="33"/>
            <w:vAlign w:val="center"/>
          </w:tcPr>
          <w:p w14:paraId="69A9E1B1" w14:textId="62463076"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recurrence","type":"article-journal","volume":"25"},"uris":["http://www.mendeley.com/documents/?uuid=1e8e070d-6cee-47e1-9bdd-fcc792ce1489"]},{"id":"ITEM-3","itemData":{"DOI":"10.1038/nature07762","ISSN":"14764687","abstract":"Multiple,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M.","non-dropping-particle":"","parse-names":false,"suffix":""}],"container-title":"Nature","id":"ITEM-3","issue":"7231","issued":{"date-parts":[["2009","2","12"]]},"page":"910-914","publisher":"Nature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progression","type":"article-journal","volume":"457"},"uris":["http://www.mendeley.com/documents/?uuid=313bedd1-f343-42b3-b288-9c3e9a45bc9f"]}],"mendeley":{"formattedCitation":"[42], [50], [51]","plainTextFormattedCitation":"[42], [50], [51]","previouslyFormattedCitation":"[42], [50], [51]"},"properties":{"noteIndex":0},"schema":"https://github.com/citation-style-language/schema/raw/master/csl-citation.json"}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 [50], [51]</w:t>
            </w:r>
            <w:r w:rsidRPr="00DF6C69">
              <w:rPr>
                <w:rFonts w:ascii="Times New Roman" w:hAnsi="Times New Roman" w:cs="Times New Roman"/>
                <w:sz w:val="18"/>
                <w:szCs w:val="18"/>
              </w:rPr>
              <w:fldChar w:fldCharType="end"/>
            </w:r>
          </w:p>
        </w:tc>
        <w:tc>
          <w:tcPr>
            <w:tcW w:w="1840" w:type="dxa"/>
            <w:shd w:val="clear" w:color="auto" w:fill="E2EFD9" w:themeFill="accent6" w:themeFillTint="33"/>
            <w:vAlign w:val="center"/>
          </w:tcPr>
          <w:p w14:paraId="354426F5" w14:textId="51A68317"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847C65"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recurrence","type":"article-journal","volume":"25"},"uris":["http://www.mendeley.com/documents/?uuid=1e8e070d-6cee-47e1-9bdd-fcc792ce1489"]},{"id":"ITEM-3","itemData":{"DOI":"10.1038/nrc3557","ISSN":"1474175X","abstract":"One-carbon metabolism involving the folate and methionine cycles integrates nutritional status from amino acids, glucose and vitamins, and generates diverse outputs, such as the biosynthesis of lipids, nucleotides and proteins, the maintenance of redox status and the substrates for methylation reactions. Long considered a 'housekeeping' process, this pathway has recently been shown to have additional complexity. Genetic and functional evidence suggests that hyperactivation of this pathway is a driver of oncogenesis and establishes a link to cellular epigenetic status. Given the wealth of clinically available agents that target one-carbon metabolism, these new findings could present opportunities for translation into precision cancer medicine. © 2013 Macmillan Publishers Limited.","author":[{"dropping-particle":"","family":"Locasale","given":"Jason W.","non-dropping-particle":"","parse-names":false,"suffix":""}],"container-title":"Nature Reviews Cancer","id":"ITEM-3","issue":"8","issued":{"date-parts":[["2013","8"]]},"page":"572-583","title":"Serine, glycine and one-carbon units: Cancer metabolism in full circle","type":"article","volume":"13"},"uris":["http://www.mendeley.com/documents/?uuid=10818148-f2a2-3141-9fae-9905c6640d71"]},{"id":"ITEM-4","itemData":{"DOI":"10.1016/j.chroma.2012.07.021","ISSN":"00219673","abstract":"Current prostate cancer (PCa) diagnosis based on prostate-specific antigen (PSA) has been gradually losing its credibility over the last decade due to contradictory results in published literature and clinical practice. Recently, a group of potential PCa biomarkers in urine, particularly sarcosine, was found to increase significantly as the cancer progressed to metastasis. We report a simple, robust, and reproducible CE-ESI-MS/MS method for the determination of sarcosine and other representative potential biomarkers in pooled urine. The pooled urine was obtained from 20 healthy adult volunteers between the ages of 23-30 years old. A solid phase extraction (SPE) technique was optimized for maximum recovery of sarcosine. With no derivatization step, excellent resolution between sarcosine and its isomers (α-alanine and β-alanine) was achieved. A separate non-SPE method was also developed for quantitative determination of highly concentrated urinary metabolites. CE separation was performed on a positively-charged, polyethyleneimine (PEI)-coated capillary using 0.4-2% formic acid in 50% methanol. Precision for intra- and inter-day standard addition calibration of sarcosine were found to be within 15%, whereas intra-day precisions for the rest of the metabolites varied from 0.03 to 13.4%. Acceptable intra-day and inter-day accuracies, ranging from 80 to 124%, were obtained for sarcosine and the other metabolites. © 2012 Elsevier B.V.","author":[{"dropping-particle":"","family":"Soliman","given":"Laiel C.","non-dropping-particle":"","parse-names":false,"suffix":""},{"dropping-particle":"","family":"Hui","given":"Yu","non-dropping-particle":"","parse-names":false,"suffix":""},{"dropping-particle":"","family":"Hewavitharana","given":"Amitha K.","non-dropping-particle":"","parse-names":false,"suffix":""},{"dropping-particle":"","family":"Chen","given":"David D.Y.","non-dropping-particle":"","parse-names":false,"suffix":""}],"container-title":"Journal of Chromatography A","id":"ITEM-4","issued":{"date-parts":[["2012","12","7"]]},"page":"162-169","title":"Monitoring potential prostate cancer biomarkers in urine by capillary electrophoresis-tandem mass spectrometry","type":"article-journal","volume":"1267"},"uris":["http://www.mendeley.com/documents/?uuid=a7486c7c-adaa-3e9e-82f3-fd53938894d9"]}],"mendeley":{"formattedCitation":"[42], [50], [53], [78]","plainTextFormattedCitation":"[42], [50], [53], [78]","previouslyFormattedCitation":"[42], [50], [53], [74]"},"properties":{"noteIndex":0},"schema":"https://github.com/citation-style-language/schema/raw/master/csl-citation.json"}</w:instrText>
            </w:r>
            <w:r w:rsidRPr="00DF6C69">
              <w:rPr>
                <w:rFonts w:ascii="Times New Roman" w:hAnsi="Times New Roman" w:cs="Times New Roman"/>
                <w:sz w:val="18"/>
                <w:szCs w:val="18"/>
              </w:rPr>
              <w:fldChar w:fldCharType="separate"/>
            </w:r>
            <w:r w:rsidR="00847C65" w:rsidRPr="00DF6C69">
              <w:rPr>
                <w:rFonts w:ascii="Times New Roman" w:hAnsi="Times New Roman" w:cs="Times New Roman"/>
                <w:sz w:val="18"/>
                <w:szCs w:val="18"/>
              </w:rPr>
              <w:t>[42], [50], [53], [78]</w:t>
            </w:r>
            <w:r w:rsidRPr="00DF6C69">
              <w:rPr>
                <w:rFonts w:ascii="Times New Roman" w:hAnsi="Times New Roman" w:cs="Times New Roman"/>
                <w:sz w:val="18"/>
                <w:szCs w:val="18"/>
              </w:rPr>
              <w:fldChar w:fldCharType="end"/>
            </w:r>
          </w:p>
        </w:tc>
      </w:tr>
      <w:tr w:rsidR="00FA0D4C" w:rsidRPr="00DF6C69" w14:paraId="506419E0" w14:textId="77777777" w:rsidTr="00313218">
        <w:trPr>
          <w:trHeight w:val="20"/>
        </w:trPr>
        <w:tc>
          <w:tcPr>
            <w:tcW w:w="2004" w:type="dxa"/>
            <w:gridSpan w:val="2"/>
            <w:vMerge/>
            <w:shd w:val="clear" w:color="auto" w:fill="FFF2CC" w:themeFill="accent4" w:themeFillTint="33"/>
            <w:noWrap/>
            <w:vAlign w:val="center"/>
          </w:tcPr>
          <w:p w14:paraId="51B731D1"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7BFEF7DD"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7F77CA6C" w14:textId="77777777" w:rsidR="00FA0D4C" w:rsidRPr="00DF6C69" w:rsidRDefault="00FA0D4C" w:rsidP="00FA0D4C">
            <w:pPr>
              <w:jc w:val="center"/>
              <w:rPr>
                <w:rFonts w:ascii="Times New Roman" w:hAnsi="Times New Roman" w:cs="Times New Roman"/>
                <w:sz w:val="18"/>
                <w:szCs w:val="18"/>
              </w:rPr>
            </w:pPr>
          </w:p>
        </w:tc>
        <w:tc>
          <w:tcPr>
            <w:tcW w:w="1549" w:type="dxa"/>
            <w:vAlign w:val="center"/>
          </w:tcPr>
          <w:p w14:paraId="319D9C3A"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vAlign w:val="center"/>
          </w:tcPr>
          <w:p w14:paraId="067F34D1" w14:textId="5B409FB9"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recurrence","type":"article-journal","volume":"25"},"uris":["http://www.mendeley.com/documents/?uuid=1e8e070d-6cee-47e1-9bdd-fcc792ce1489"]},{"id":"ITEM-3","itemData":{"DOI":"10.1038/nature07762","ISSN":"14764687","abstract":"Multiple,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M.","non-dropping-particle":"","parse-names":false,"suffix":""}],"container-title":"Nature","id":"ITEM-3","issue":"7231","issued":{"date-parts":[["2009","2","12"]]},"page":"910-914","publisher":"Nature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progression","type":"article-journal","volume":"457"},"uris":["http://www.mendeley.com/documents/?uuid=313bedd1-f343-42b3-b288-9c3e9a45bc9f"]}],"mendeley":{"formattedCitation":"[42], [50], [51]","plainTextFormattedCitation":"[42], [50], [51]","previouslyFormattedCitation":"[42], [50], [51]"},"properties":{"noteIndex":0},"schema":"https://github.com/citation-style-language/schema/raw/master/csl-citation.json"}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 [50], [51]</w:t>
            </w:r>
            <w:r w:rsidRPr="00DF6C69">
              <w:rPr>
                <w:rFonts w:ascii="Times New Roman" w:hAnsi="Times New Roman" w:cs="Times New Roman"/>
                <w:sz w:val="18"/>
                <w:szCs w:val="18"/>
              </w:rPr>
              <w:fldChar w:fldCharType="end"/>
            </w:r>
          </w:p>
        </w:tc>
        <w:tc>
          <w:tcPr>
            <w:tcW w:w="1840" w:type="dxa"/>
            <w:shd w:val="clear" w:color="auto" w:fill="E2EFD9" w:themeFill="accent6" w:themeFillTint="33"/>
            <w:vAlign w:val="center"/>
          </w:tcPr>
          <w:p w14:paraId="5919DDF0" w14:textId="13610E90"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00847C65"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cancer","type":"article","volume":"29"},"uris":["http://www.mendeley.com/documents/?uuid=6a876c81-9ad9-34e5-8e82-3cd108f0058e"]},{"id":"ITEM-2","itemData":{"DOI":"10.1038/nature07762","ISSN":"14764687","abstract":"Multiple,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M.","non-dropping-particle":"","parse-names":false,"suffix":""}],"container-title":"Nature","id":"ITEM-2","issue":"7231","issued":{"date-parts":[["2009","2","12"]]},"page":"910-914","publisher":"Nature Publishing Group","title":"Metabolomic profiles delineate potential role for sarcosine in prostate cancer progression","type":"article-journal","volume":"457"},"uris":["http://www.mendeley.com/documents/?uuid=313bedd1-f343-42b3-b288-9c3e9a45bc9f"]},{"id":"ITEM-3","itemData":{"DOI":"10.1038/nrc3557","ISSN":"1474175X","abstract":"One-carbon metabolism involving the folate and methionine cycles integrates nutritional status from amino acids, glucose and vitamins, and generates diverse outputs, such as the biosynthesis of lipids, nucleotides and proteins, the maintenance of redox status and the substrates for methylation reactions. Long considered a 'housekeeping' process, this pathway has recently been shown to have additional complexity. Genetic and functional evidence suggests that hyperactivation of this pathway is a driver of oncogenesis and establishes a link to cellular epigenetic status. Given the wealth of clinically available agents that target one-carbon metabolism, these new findings could present opportunities for translation into precision cancer medicine. © 2013 Macmillan Publishers Limited.","author":[{"dropping-particle":"","family":"Locasale","given":"Jason W.","non-dropping-particle":"","parse-names":false,"suffix":""}],"container-title":"Nature Reviews Cancer","id":"ITEM-3","issue":"8","issued":{"date-parts":[["2013","8"]]},"page":"572-583","title":"Serine, glycine and one-carbon units: Cancer metabolism in full circle","type":"article","volume":"13"},"uris":["http://www.mendeley.com/documents/?uuid=10818148-f2a2-3141-9fae-9905c6640d71"]},{"id":"ITEM-4","itemData":{"DOI":"10.1016/j.chroma.2012.07.021","ISSN":"00219673","abstract":"Current prostate cancer (PCa) diagnosis based on prostate-specific antigen (PSA) has been gradually losing its credibility over the last decade due to contradictory results in published literature and clinical practice. Recently, a group of potential PCa biomarkers in urine, particularly sarcosine, was found to increase significantly as the cancer progressed to metastasis. We report a simple, robust, and reproducible CE-ESI-MS/MS method for the determination of sarcosine and other representative potential biomarkers in pooled urine. The pooled urine was obtained from 20 healthy adult volunteers between the ages of 23-30 years old. A solid phase extraction (SPE) technique was optimized for maximum recovery of sarcosine. With no derivatization step, excellent resolution between sarcosine and its isomers (α-alanine and β-alanine) was achieved. A separate non-SPE method was also developed for quantitative determination of highly concentrated urinary metabolites. CE separation was performed on a positively-charged, polyethyleneimine (PEI)-coated capillary using 0.4-2% formic acid in 50% methanol. Precision for intra- and inter-day standard addition calibration of sarcosine were found to be within 15%, whereas intra-day precisions for the rest of the metabolites varied from 0.03 to 13.4%. Acceptable intra-day and inter-day accuracies, ranging from 80 to 124%, were obtained for sarcosine and the other metabolites. © 2012 Elsevier B.V.","author":[{"dropping-particle":"","family":"Soliman","given":"Laiel C.","non-dropping-particle":"","parse-names":false,"suffix":""},{"dropping-particle":"","family":"Hui","given":"Yu","non-dropping-particle":"","parse-names":false,"suffix":""},{"dropping-particle":"","family":"Hewavitharana","given":"Amitha K.","non-dropping-particle":"","parse-names":false,"suffix":""},{"dropping-particle":"","family":"Chen","given":"David D.Y.","non-dropping-particle":"","parse-names":false,"suffix":""}],"container-title":"Journal of Chromatography A","id":"ITEM-4","issued":{"date-parts":[["2012","12","7"]]},"page":"162-169","title":"Monitoring potential prostate cancer biomarkers in urine by capillary electrophoresis-tandem mass spectrometry","type":"article-journal","volume":"1267"},"uris":["http://www.mendeley.com/documents/?uuid=a7486c7c-adaa-3e9e-82f3-fd53938894d9"]}],"mendeley":{"formattedCitation":"[50], [51], [53], [78]","plainTextFormattedCitation":"[50], [51], [53], [78]","previouslyFormattedCitation":"[50], [51], [53], [74]"},"properties":{"noteIndex":0},"schema":"https://github.com/citation-style-language/schema/raw/master/csl-citation.json"}</w:instrText>
            </w:r>
            <w:r w:rsidRPr="00DF6C69">
              <w:rPr>
                <w:rFonts w:ascii="Times New Roman" w:hAnsi="Times New Roman" w:cs="Times New Roman"/>
                <w:sz w:val="18"/>
                <w:szCs w:val="18"/>
              </w:rPr>
              <w:fldChar w:fldCharType="separate"/>
            </w:r>
            <w:r w:rsidR="00847C65" w:rsidRPr="00DF6C69">
              <w:rPr>
                <w:rFonts w:ascii="Times New Roman" w:hAnsi="Times New Roman" w:cs="Times New Roman"/>
                <w:sz w:val="18"/>
                <w:szCs w:val="18"/>
              </w:rPr>
              <w:t>[50], [51], [53], [78]</w:t>
            </w:r>
            <w:r w:rsidRPr="00DF6C69">
              <w:rPr>
                <w:rFonts w:ascii="Times New Roman" w:hAnsi="Times New Roman" w:cs="Times New Roman"/>
                <w:sz w:val="18"/>
                <w:szCs w:val="18"/>
              </w:rPr>
              <w:fldChar w:fldCharType="end"/>
            </w:r>
          </w:p>
        </w:tc>
      </w:tr>
      <w:tr w:rsidR="00FA0D4C" w:rsidRPr="00DF6C69" w14:paraId="6FFCC727" w14:textId="77777777" w:rsidTr="00313218">
        <w:trPr>
          <w:trHeight w:val="20"/>
        </w:trPr>
        <w:tc>
          <w:tcPr>
            <w:tcW w:w="2004" w:type="dxa"/>
            <w:gridSpan w:val="2"/>
            <w:vMerge w:val="restart"/>
            <w:shd w:val="clear" w:color="auto" w:fill="FFF2CC" w:themeFill="accent4" w:themeFillTint="33"/>
            <w:noWrap/>
            <w:vAlign w:val="center"/>
            <w:hideMark/>
          </w:tcPr>
          <w:p w14:paraId="330349E1" w14:textId="77777777" w:rsidR="00FA0D4C" w:rsidRPr="00DF6C69" w:rsidRDefault="00FA0D4C" w:rsidP="005C4821">
            <w:pPr>
              <w:jc w:val="center"/>
              <w:rPr>
                <w:rFonts w:ascii="Times New Roman" w:hAnsi="Times New Roman" w:cs="Times New Roman"/>
                <w:sz w:val="18"/>
                <w:szCs w:val="18"/>
              </w:rPr>
            </w:pPr>
            <w:r w:rsidRPr="00DF6C69">
              <w:rPr>
                <w:rFonts w:ascii="Times New Roman" w:hAnsi="Times New Roman" w:cs="Times New Roman"/>
                <w:sz w:val="18"/>
                <w:szCs w:val="18"/>
              </w:rPr>
              <w:t>Spermine</w:t>
            </w:r>
          </w:p>
        </w:tc>
        <w:tc>
          <w:tcPr>
            <w:tcW w:w="974" w:type="dxa"/>
            <w:shd w:val="clear" w:color="auto" w:fill="FFF2CC" w:themeFill="accent4" w:themeFillTint="33"/>
            <w:vAlign w:val="center"/>
          </w:tcPr>
          <w:p w14:paraId="2035FDB4"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hideMark/>
          </w:tcPr>
          <w:p w14:paraId="5252A85F"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48123760"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7DE3492B"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E2EFD9" w:themeFill="accent6" w:themeFillTint="33"/>
            <w:noWrap/>
            <w:vAlign w:val="center"/>
            <w:hideMark/>
          </w:tcPr>
          <w:p w14:paraId="137AFB06" w14:textId="24CC8996"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{"citationItems":[{"id":"ITEM-1","itemData":{"DOI":"10.1016/j.clinbiochem.2011.10.011","ISSN":"00099120","abstract":"Objectives: The aim was to investigate the free fatty acid (FFA) metabolic profiles and to identify biomarkers that can be used to distinguish patients with breast cancer (BC) from benign (BE) patients or healthy controls. Design and methods: A total of 114 subjects were divided into the following three groups: BC patients, BE patients and controls. The FFA profiles in three groups were studied by gas chromatography-mass spectrometry coupled with multivariate statistical analysis. Results: Three saturated fatty acids (C14:0, C16:0 and C18:0) and three unsaturated fatty acids (C18:2, C18:3 and C20:5) in BC were significantly different than controls. Palmitic acid, stearic acid, linoleic acid and total FFA were identified as potential biomarkers distinguished BC from the other groups. Conclusion: The alterations of FFA could reflect underlying metabolic changes in BC patients, and this study has demonstrated that FFA biomarkers might be helpful for prevention and characterization of BC patients. © 2011 The Canadian Society of Clinical Chemists.","author":[{"dropping-particle":"","family":"Lv","given":"Wuwen","non-dropping-particle":"","parse-names":false,"suffix":""},{"dropping-particle":"","family":"Yang","given":"Tongshu","non-dropping-particle":"","parse-names":false,"suffix":""}],"container-title":"Clinical Biochemistry","id":"ITEM-1","issue":"1-2","issued":{"date-parts":[["2012","1"]]},"page":"127-133","title":"Identification of possible biomarkers for breast cancer from free fatty acid profiles determined by GC-MS and multivariate statistical analysis","type":"article-journal","volume":"45"},"uris":["http://www.mendeley.com/documents/?uuid=27b74e7c-6792-38da-93c3-9c9fbc82c743"]},{"id":"ITEM-2","itemData":{"DOI":"10.1158/1055-9965.EPI-15-1223","ISSN":"10559965","abstract":"Metabolite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recurrence","type":"article-journal","volume":"25"},"uris":["http://www.mendeley.com/documents/?uuid=1e8e070d-6cee-47e1-9bdd-fcc792ce1489"]},{"id":"ITEM-3","itemData":{"DOI":"10.1038/nature07762","ISSN":"14764687","abstract":"Multiple,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M.","non-dropping-particle":"","parse-names":false,"suffix":""}],"container-title":"Nature","id":"ITEM-3","issue":"7231","issued":{"date-parts":[["2009","2","12"]]},"page":"910-914","publisher":"Nature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progression","type":"article-journal","volume":"457"},"uris":["http://www.mendeley.com/documents/?uuid=313bedd1-f343-42b3-b288-9c3e9a45bc9f"]}],"mendeley":{"formattedCitation":"[8], [42], [51]","plainTextFormattedCitation":"[8], [42], [51]","previouslyFormattedCitation":"[8], [42], [51]"},"properties":{"noteIndex":0},"schema":"https://github.com/citation-style-language/schema/raw/master/csl-citation.json"}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[8], [42], [51]</w:t>
            </w:r>
            <w:r w:rsidRPr="00DF6C69">
              <w:rPr>
                <w:rFonts w:ascii="Times New Roman" w:hAnsi="Times New Roman" w:cs="Times New Roman"/>
                <w:sz w:val="18"/>
                <w:szCs w:val="18"/>
              </w:rPr>
              <w:fldChar w:fldCharType="end"/>
            </w:r>
          </w:p>
        </w:tc>
      </w:tr>
      <w:tr w:rsidR="00FA0D4C" w:rsidRPr="00DF6C69" w14:paraId="7B2B7E89" w14:textId="77777777" w:rsidTr="00313218">
        <w:trPr>
          <w:trHeight w:val="20"/>
        </w:trPr>
        <w:tc>
          <w:tcPr>
            <w:tcW w:w="2004" w:type="dxa"/>
            <w:gridSpan w:val="2"/>
            <w:vMerge/>
            <w:shd w:val="clear" w:color="auto" w:fill="FFF2CC" w:themeFill="accent4" w:themeFillTint="33"/>
            <w:noWrap/>
            <w:vAlign w:val="center"/>
          </w:tcPr>
          <w:p w14:paraId="4F71294A"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4349DB1E"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shd w:val="clear" w:color="auto" w:fill="E2EFD9" w:themeFill="accent6" w:themeFillTint="33"/>
            <w:noWrap/>
            <w:vAlign w:val="center"/>
          </w:tcPr>
          <w:p w14:paraId="0367E292" w14:textId="42B5B350"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shd w:val="clear" w:color="auto" w:fill="E2EFD9" w:themeFill="accent6" w:themeFillTint="33"/>
            <w:noWrap/>
            <w:vAlign w:val="center"/>
          </w:tcPr>
          <w:p w14:paraId="436BB841" w14:textId="52954EFA"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549" w:type="dxa"/>
            <w:shd w:val="clear" w:color="auto" w:fill="E2EFD9" w:themeFill="accent6" w:themeFillTint="33"/>
            <w:noWrap/>
            <w:vAlign w:val="center"/>
          </w:tcPr>
          <w:p w14:paraId="16887ED1" w14:textId="48A376F7"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tcPr>
          <w:p w14:paraId="0D75CC4E" w14:textId="7FC997B2"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{"citationItems":[{"id":"ITEM-1","itemData":{"DOI":"10.1016/j.clinbiochem.2011.10.011","ISSN":"00099120","abstract":"Objectives: The aim was to investigate the free fatty acid (FFA) metabolic profiles and to identify biomarkers that can be used to distinguish patients with breast cancer (BC) from benign (BE) patients or healthy controls. Design and methods: A total of 114 subjects were divided into the following three groups: BC patients, BE patients and controls. The FFA profiles in three groups were studied by gas chromatography-mass spectrometry coupled with multivariate statistical analysis. Results: Three saturated fatty acids (C14:0, C16:0 and C18:0) and three unsaturated fatty acids (C18:2, C18:3 and C20:5) in BC were significantly different than controls. Palmitic acid, stearic acid, linoleic acid and total FFA were identified as potential biomarkers distinguished BC from the other groups. Conclusion: The alterations of FFA could reflect underlying metabolic changes in BC patients, and this study has demonstrated that FFA biomarkers might be helpful for prevention and characterization of BC patients. © 2011 The Canadian Society of Clinical Chemists.","author":[{"dropping-particle":"","family":"Lv","given":"Wuwen","non-dropping-particle":"","parse-names":false,"suffix":""},{"dropping-particle":"","family":"Yang","given":"Tongshu","non-dropping-particle":"","parse-names":false,"suffix":""}],"container-title":"Clinical Biochemistry","id":"ITEM-1","issue":"1-2","issued":{"date-parts":[["2012","1"]]},"page":"127-133","title":"Identification of possible biomarkers for breast cancer from free fatty acid profiles determined by GC-MS and multivariate statistical analysis","type":"article-journal","volume":"45"},"uris":["http://www.mendeley.com/documents/?uuid=27b74e7c-6792-38da-93c3-9c9fbc82c743"]},{"id":"ITEM-2","itemData":{"DOI":"10.1158/1055-9965.EPI-15-1223","ISSN":"10559965","abstract":"Metabolite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Prevention","id":"ITEM-2","issue":"6","issued":{"date-parts":[["2016","6","1"]]},"page":"887-906","publisher":"American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recurrence","type":"article-journal","volume":"25"},"uris":["http://www.mendeley.com/documents/?uuid=1e8e070d-6cee-47e1-9bdd-fcc792ce1489"]},{"id":"ITEM-3","itemData":{"DOI":"10.1038/nature07762","ISSN":"14764687","abstract":"Multiple,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M.","non-dropping-particle":"","parse-names":false,"suffix":""}],"container-title":"Nature","id":"ITEM-3","issue":"7231","issued":{"date-parts":[["2009","2","12"]]},"page":"910-914","publisher":"Nature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progression","type":"article-journal","volume":"457"},"uris":["http://www.mendeley.com/documents/?uuid=313bedd1-f343-42b3-b288-9c3e9a45bc9f"]}],"mendeley":{"formattedCitation":"[8], [42], [51]","plainTextFormattedCitation":"[8], [42], [51]","previouslyFormattedCitation":"[8], [42], [51]"},"properties":{"noteIndex":0},"schema":"https://github.com/citation-style-language/schema/raw/master/csl-citation.json"}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[8], [42], [51]</w:t>
            </w:r>
            <w:r w:rsidRPr="00DF6C69">
              <w:rPr>
                <w:rFonts w:ascii="Times New Roman" w:hAnsi="Times New Roman" w:cs="Times New Roman"/>
                <w:sz w:val="18"/>
                <w:szCs w:val="18"/>
              </w:rPr>
              <w:fldChar w:fldCharType="end"/>
            </w:r>
          </w:p>
        </w:tc>
      </w:tr>
      <w:tr w:rsidR="00FA0D4C" w:rsidRPr="00DF6C69" w14:paraId="654EA0AE" w14:textId="77777777" w:rsidTr="00313218">
        <w:trPr>
          <w:trHeight w:val="20"/>
        </w:trPr>
        <w:tc>
          <w:tcPr>
            <w:tcW w:w="2004" w:type="dxa"/>
            <w:gridSpan w:val="2"/>
            <w:vMerge/>
            <w:shd w:val="clear" w:color="auto" w:fill="FFF2CC" w:themeFill="accent4" w:themeFillTint="33"/>
            <w:noWrap/>
            <w:vAlign w:val="center"/>
          </w:tcPr>
          <w:p w14:paraId="4EA2426F"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41DB6F1F"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shd w:val="clear" w:color="auto" w:fill="auto"/>
            <w:noWrap/>
            <w:vAlign w:val="center"/>
          </w:tcPr>
          <w:p w14:paraId="1A42C717"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0EDC7422" w14:textId="1A6B4CAB"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549" w:type="dxa"/>
            <w:shd w:val="clear" w:color="auto" w:fill="E2EFD9" w:themeFill="accent6" w:themeFillTint="33"/>
            <w:noWrap/>
            <w:vAlign w:val="center"/>
          </w:tcPr>
          <w:p w14:paraId="3A5FE75C" w14:textId="7AF3EFAE"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c>
          <w:tcPr>
            <w:tcW w:w="1840" w:type="dxa"/>
            <w:noWrap/>
            <w:vAlign w:val="center"/>
          </w:tcPr>
          <w:p w14:paraId="0C3B984E" w14:textId="77777777" w:rsidR="00FA0D4C" w:rsidRPr="00DF6C69" w:rsidRDefault="00FA0D4C" w:rsidP="00FA0D4C">
            <w:pPr>
              <w:jc w:val="center"/>
              <w:rPr>
                <w:rFonts w:ascii="Times New Roman" w:hAnsi="Times New Roman" w:cs="Times New Roman"/>
                <w:sz w:val="18"/>
                <w:szCs w:val="18"/>
              </w:rPr>
            </w:pPr>
          </w:p>
        </w:tc>
      </w:tr>
      <w:tr w:rsidR="00FA0D4C" w:rsidRPr="00DF6C69" w14:paraId="32730D9F" w14:textId="77777777" w:rsidTr="00313218">
        <w:trPr>
          <w:trHeight w:val="20"/>
        </w:trPr>
        <w:tc>
          <w:tcPr>
            <w:tcW w:w="2004" w:type="dxa"/>
            <w:gridSpan w:val="2"/>
            <w:vMerge w:val="restart"/>
            <w:shd w:val="clear" w:color="auto" w:fill="FFF2CC" w:themeFill="accent4" w:themeFillTint="33"/>
            <w:noWrap/>
            <w:vAlign w:val="center"/>
            <w:hideMark/>
          </w:tcPr>
          <w:p w14:paraId="147723D5" w14:textId="540F7836" w:rsidR="00FA0D4C" w:rsidRPr="00DF6C69" w:rsidRDefault="00FA0D4C" w:rsidP="005C4821">
            <w:pPr>
              <w:jc w:val="center"/>
              <w:rPr>
                <w:rFonts w:ascii="Times New Roman" w:hAnsi="Times New Roman" w:cs="Times New Roman"/>
                <w:sz w:val="18"/>
                <w:szCs w:val="18"/>
              </w:rPr>
            </w:pPr>
            <w:r w:rsidRPr="00DF6C69">
              <w:rPr>
                <w:rFonts w:ascii="Times New Roman" w:hAnsi="Times New Roman" w:cs="Times New Roman"/>
                <w:sz w:val="18"/>
                <w:szCs w:val="18"/>
              </w:rPr>
              <w:t>Taurine</w:t>
            </w:r>
          </w:p>
        </w:tc>
        <w:tc>
          <w:tcPr>
            <w:tcW w:w="974" w:type="dxa"/>
            <w:shd w:val="clear" w:color="auto" w:fill="FFF2CC" w:themeFill="accent4" w:themeFillTint="33"/>
            <w:vAlign w:val="center"/>
          </w:tcPr>
          <w:p w14:paraId="39A65615"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hideMark/>
          </w:tcPr>
          <w:p w14:paraId="3D4123D8"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hideMark/>
          </w:tcPr>
          <w:p w14:paraId="0708E280"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7AE5F17C"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E2EFD9" w:themeFill="accent6" w:themeFillTint="33"/>
            <w:vAlign w:val="center"/>
            <w:hideMark/>
          </w:tcPr>
          <w:p w14:paraId="626E0999" w14:textId="1B481F32"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{"citationItems":[{"id":"ITEM-1","itemData":{"DOI":"10.1016/j.urolonc.2011.08.002","ISSN":"10781439","abstract":"The prostate has long been known to exhibit unique metabolite profiles. In the last decade, advances in nuclear magnetic resonance spectroscopy and mass spectrometry have been applied toward identifying metabolic alterations in prostate cancer that may provide clinically useful biomarkers. As with genomics and proteomics, advances in technology and bioinformatics have led to the application of metabolomic profiling to prostate cancer-the high throughput evaluation of a large complement of metabolites in the prostate and how they are altered by disease perturbations. Recently, high profile publications have drawn attention to the potential of metabolomic analysis to identify biomarkers for early detection or disease progression from readily accessible body fluids as well as tissue specimens from biopsy and surgery. This review will examine applications of metabolomics to prostate cancer and highlight clinical associations and potential challenges. © 2011 Elsevier Inc.","author":[{"dropping-particle":"","family":"Trock","given":"Bruce J.","non-dropping-particle":"","parse-names":false,"suffix":""}],"container-title":"Urologic Oncology: Seminars and Original Investigations","id":"ITEM-1","issue":"5","issued":{"date-parts":[["2011","9"]]},"page":"572-581","title":"Application of metabolomics to prostate cancer","type":"article","volume":"29"},"uris":["http://www.mendeley.com/documents/?uuid=6a876c81-9ad9-34e5-8e82-3cd108f0058e"]}],"mendeley":{"formattedCitation":"[50]","plainTextFormattedCitation":"[50]","previouslyFormattedCitation":"[50]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[50]</w:t>
            </w:r>
            <w:r w:rsidRPr="00DF6C69">
              <w:rPr>
                <w:rFonts w:ascii="Times New Roman" w:hAnsi="Times New Roman" w:cs="Times New Roman"/>
                <w:sz w:val="18"/>
                <w:szCs w:val="18"/>
              </w:rPr>
              <w:fldChar w:fldCharType="end"/>
            </w:r>
          </w:p>
        </w:tc>
      </w:tr>
      <w:tr w:rsidR="00FA0D4C" w:rsidRPr="00DF6C69" w14:paraId="25B48349" w14:textId="77777777" w:rsidTr="00313218">
        <w:trPr>
          <w:trHeight w:val="20"/>
        </w:trPr>
        <w:tc>
          <w:tcPr>
            <w:tcW w:w="2004" w:type="dxa"/>
            <w:gridSpan w:val="2"/>
            <w:vMerge/>
            <w:shd w:val="clear" w:color="auto" w:fill="FFF2CC" w:themeFill="accent4" w:themeFillTint="33"/>
            <w:noWrap/>
            <w:vAlign w:val="center"/>
          </w:tcPr>
          <w:p w14:paraId="02DE5AD7"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274FA7EC"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35E9DCF5"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67CE73C6"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763C6BC9" w14:textId="2CDBAFE2"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840" w:type="dxa"/>
            <w:shd w:val="clear" w:color="auto" w:fill="E2EFD9" w:themeFill="accent6" w:themeFillTint="33"/>
            <w:vAlign w:val="center"/>
          </w:tcPr>
          <w:p w14:paraId="06FFFDB3" w14:textId="23CB1781"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r>
      <w:tr w:rsidR="00FA0D4C" w:rsidRPr="00DF6C69" w14:paraId="71D075C2" w14:textId="77777777" w:rsidTr="00313218">
        <w:trPr>
          <w:trHeight w:val="20"/>
        </w:trPr>
        <w:tc>
          <w:tcPr>
            <w:tcW w:w="2004" w:type="dxa"/>
            <w:gridSpan w:val="2"/>
            <w:vMerge/>
            <w:shd w:val="clear" w:color="auto" w:fill="FFF2CC" w:themeFill="accent4" w:themeFillTint="33"/>
            <w:noWrap/>
            <w:vAlign w:val="center"/>
          </w:tcPr>
          <w:p w14:paraId="191D5765"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15AE894C"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63D5E6A6"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1FFE576E"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auto"/>
            <w:noWrap/>
            <w:vAlign w:val="center"/>
          </w:tcPr>
          <w:p w14:paraId="7B6CEABA" w14:textId="77777777" w:rsidR="00FA0D4C" w:rsidRPr="00DF6C69" w:rsidRDefault="00FA0D4C" w:rsidP="00FA0D4C">
            <w:pPr>
              <w:jc w:val="center"/>
              <w:rPr>
                <w:rFonts w:ascii="Times New Roman" w:hAnsi="Times New Roman" w:cs="Times New Roman"/>
                <w:sz w:val="18"/>
                <w:szCs w:val="18"/>
              </w:rPr>
            </w:pPr>
          </w:p>
        </w:tc>
        <w:tc>
          <w:tcPr>
            <w:tcW w:w="1840" w:type="dxa"/>
            <w:shd w:val="clear" w:color="auto" w:fill="auto"/>
            <w:vAlign w:val="center"/>
          </w:tcPr>
          <w:p w14:paraId="1C75E49F" w14:textId="77777777" w:rsidR="00FA0D4C" w:rsidRPr="00DF6C69" w:rsidRDefault="00FA0D4C" w:rsidP="00FA0D4C">
            <w:pPr>
              <w:jc w:val="center"/>
              <w:rPr>
                <w:rFonts w:ascii="Times New Roman" w:hAnsi="Times New Roman" w:cs="Times New Roman"/>
                <w:sz w:val="18"/>
                <w:szCs w:val="18"/>
              </w:rPr>
            </w:pPr>
          </w:p>
        </w:tc>
      </w:tr>
      <w:tr w:rsidR="00FA0D4C" w:rsidRPr="00DF6C69" w14:paraId="4C9D1B4E" w14:textId="77777777" w:rsidTr="00313218">
        <w:trPr>
          <w:trHeight w:val="20"/>
        </w:trPr>
        <w:tc>
          <w:tcPr>
            <w:tcW w:w="2004" w:type="dxa"/>
            <w:gridSpan w:val="2"/>
            <w:vMerge w:val="restart"/>
            <w:shd w:val="clear" w:color="auto" w:fill="FFF2CC" w:themeFill="accent4" w:themeFillTint="33"/>
            <w:noWrap/>
            <w:vAlign w:val="center"/>
            <w:hideMark/>
          </w:tcPr>
          <w:p w14:paraId="22975880" w14:textId="77777777" w:rsidR="00FA0D4C" w:rsidRPr="00DF6C69" w:rsidRDefault="00FA0D4C" w:rsidP="005C4821">
            <w:pPr>
              <w:jc w:val="center"/>
              <w:rPr>
                <w:rFonts w:ascii="Times New Roman" w:hAnsi="Times New Roman" w:cs="Times New Roman"/>
                <w:sz w:val="18"/>
                <w:szCs w:val="18"/>
              </w:rPr>
            </w:pPr>
            <w:r w:rsidRPr="00DF6C69">
              <w:rPr>
                <w:rFonts w:ascii="Times New Roman" w:hAnsi="Times New Roman" w:cs="Times New Roman"/>
                <w:sz w:val="18"/>
                <w:szCs w:val="18"/>
              </w:rPr>
              <w:t>Urea</w:t>
            </w:r>
          </w:p>
        </w:tc>
        <w:tc>
          <w:tcPr>
            <w:tcW w:w="974" w:type="dxa"/>
            <w:shd w:val="clear" w:color="auto" w:fill="FFF2CC" w:themeFill="accent4" w:themeFillTint="33"/>
            <w:vAlign w:val="center"/>
          </w:tcPr>
          <w:p w14:paraId="232AF7B9"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shd w:val="clear" w:color="auto" w:fill="E2EFD9" w:themeFill="accent6" w:themeFillTint="33"/>
            <w:noWrap/>
            <w:vAlign w:val="center"/>
            <w:hideMark/>
          </w:tcPr>
          <w:p w14:paraId="426E4A26" w14:textId="2D7353F8"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c>
          <w:tcPr>
            <w:tcW w:w="1549" w:type="dxa"/>
            <w:shd w:val="clear" w:color="auto" w:fill="auto"/>
            <w:noWrap/>
            <w:vAlign w:val="center"/>
            <w:hideMark/>
          </w:tcPr>
          <w:p w14:paraId="1C1F7AC2"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noWrap/>
            <w:vAlign w:val="center"/>
            <w:hideMark/>
          </w:tcPr>
          <w:p w14:paraId="7EB52DFA" w14:textId="162413B1"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hideMark/>
          </w:tcPr>
          <w:p w14:paraId="07B1D74B" w14:textId="41CA15EA"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trial","type":"article-journal","volume":"115"},"uris":["http://www.mendeley.com/documents/?uuid=0b2adbe1-b9fd-3235-80ee-e2dbb0d36336"]},{"id":"ITEM-2","itemData":{"DOI":"10.1016/0167-8140(94)90411-1","ISSN":"01678140","abstract":"From 1988 to 1991, 284 patients with prostatic cancer and painful bone metastases were treated with either radiotherapy or strontium-89 (200 MBq). Patients were first stratified according to suitability for local or hemibody radiotherapy, then randomly allocated that form of treatment or strontium-89 (i.v. injection). After 4, 8 and 12 weeks pain sites were mapped, toxicity monitored, and all additional palliative treatments recorded. There was no significant difference in median survival (after &gt; 80% had died); 33 weeks following strontium-89 and 28 weeks following radiotherapy (p = 0.1). All treatments provided effective pain relief; improvement was sustained to 3 months in 63.6% after hemibody radiotherapy compared with 66.1%, after strontium-89, and in 61% after local radiotherapy compared with 65.9% in the comparable strontium-89 group. Fewer patients reported new pain sites after strontium-89 than after local or hemibody radiotherapy (p &lt; 0.05). Radiotherapy to a new site was required by 12 patients in the local radiotherapy group compared with 2 after strontium-89 (p &lt; 0.01), although there was no significant difference between hemibody radiotherapy (6 patients) and strontium-89 (9 patients) in this respect. Platelets and leukocytes fell by an average 30-40% after strontium-89 but sequelae were uncommon, and other symptoms rare. © 1994.","author":[{"dropping-particle":"","family":"Quilty","given":"P. M.","non-dropping-particle":"","parse-names":false,"suffix":""},{"dropping-particle":"","family":"Kirk","given":"D.","non-dropping-particle":"","parse-names":false,"suffix":""},{"dropping-particle":"","family":"Bolger","given":"J. J.","non-dropping-particle":"","parse-names":false,"suffix":""},{"dropping-particle":"","family":"Dearnaley","given":"D. P.","non-dropping-particle":"","parse-names":false,"suffix":""},{"dropping-particle":"","family":"Lewington","given":"V. J.","non-dropping-particle":"","parse-names":false,"suffix":""},{"dropping-particle":"","family":"Masone","given":"M. D.","non-dropping-particle":"","parse-names":false,"suffix":""},{"dropping-particle":"","family":"Reed","given":"N. S.E.","non-dropping-particle":"","parse-names":false,"suffix":""},{"dropping-particle":"","family":"Russell","given":"J. M.","non-dropping-particle":"","parse-names":false,"suffix":""},{"dropping-particle":"","family":"Yardley","given":"J.","non-dropping-particle":"","parse-names":false,"suffix":""}],"container-title":"Radiotherapy and Oncology","id":"ITEM-2","issue":"1","issued":{"date-parts":[["1994"]]},"page":"33-40","title":"A comparison of the palliative effects of strontium-89 and external beam radiotherapy in metastatic prostate cancer","type":"article-journal","volume":"31"},"uris":["http://www.mendeley.com/documents/?uuid=812c22a0-a72a-40b6-9ef1-d5e9943374e7"]},{"id":"ITEM-3","itemData":{"DOI":"10.1200/JCO.1992.10.6.881","ISSN":"0732183X","abstract":"Purpose: Suramin is known to inhibit the growth of malignant prostate carcinoma cells in vitro. This led us to evaluate the effectiveness of suramin in the treatment of 38 patients with prostate carcinoma refractory to hormone therapy. Patients and Methods: Suramin was administered by continuous infusion at a rate designed to reach a peak of 300 μg/mL at the end of 14 days. Patients were given 8 weeks to recover from any toxicity before beginning the second cycle. Subsequent cycles were administered in the same manner except the starting dose rate was 280 mg/m2. Results: In 17 patients with measurable soft tissue disease, three had complete disappearance of soft tissue disease for 4, 5, and 11 months, whereas three patients had a ≥ 50% decrease in the sum of the products of the diameters of all measurable disease for ≥ 1 month. Of these 17 patients, pretreatment prostate-specific antigen (PSA) decreased by 75% or more in five (29%) and normalized in one (6%). The remaining 21 patients had disease limited to bone, and only one of these experienced resolution of more than 50% of all lesions on bone scan. Of these 21 patients, pretreatment PSA decreased by 75% or more in eight (38%) and normalized in five (25%). Median time to progression for all patients was 26.3 weeks, and median survival was 42.3 weeks. Patients with bone involvement alone exhibited a better survival than patients with soft tissue involvement (P2 = .02). Survival was strongly correlated (P2 = .0001) with a decline in the pretreatment PSA of ≥ 75% by the eighth week on therapy, with nearly an 85% survival at 1 year compared with a 20% survival for those whose pretreatment PSA did not decline by that amount. Conclusion: We conclude that suramin is an active agent in hormone-refractory prostate carcinoma.","author":[{"dropping-particle":"","family":"Myers","given":"C.","non-dropping-particle":"","parse-names":false,"suffix":""},{"dropping-particle":"","family":"Cooper","given":"M.","non-dropping-particle":"","parse-names":false,"suffix":""},{"dropping-particle":"","family":"Stein","given":"C.","non-dropping-particle":"","parse-names":false,"suffix":""},{"dropping-particle":"","family":"LaRocca","given":"R.","non-dropping-particle":"","parse-names":false,"suffix":""},{"dropping-particle":"","family":"Walther","given":"M. M.","non-dropping-particle":"","parse-names":false,"suffix":""},{"dropping-particle":"","family":"Weiss","given":"G.","non-dropping-particle":"","parse-names":false,"suffix":""},{"dropping-particle":"","family":"Choyke","given":"P.","non-dropping-particle":"","parse-names":false,"suffix":""},{"dropping-particle":"","family":"Dawson","given":"N.","non-dropping-particle":"","parse-names":false,"suffix":""},{"dropping-particle":"","family":"Steinberg","given":"S.","non-dropping-particle":"","parse-names":false,"suffix":""},{"dropping-particle":"","family":"Uhrich","given":"M. M.","non-dropping-particle":"","parse-names":false,"suffix":""},{"dropping-particle":"","family":"Cassidy","given":"J.","non-dropping-particle":"","parse-names":false,"suffix":""},{"dropping-particle":"","family":"Kohler","given":"D. R.","non-dropping-particle":"","parse-names":false,"suffix":""},{"dropping-particle":"","family":"Trepel","given":"J.","non-dropping-particle":"","parse-names":false,"suffix":""},{"dropping-particle":"","family":"Linehan","given":"W. M.","non-dropping-particle":"","parse-names":false,"suffix":""}],"container-title":"Journal of Clinical Oncology","id":"ITEM-3","issue":"6","issued":{"date-parts":[["1992"]]},"page":"881-889","title":"Suramin: A novel growth factor antagonist with activity in hormone- refractory metastatic prostate cancer","type":"article-journal","volume":"10"},"uris":["http://www.mendeley.com/documents/?uuid=c245d1d0-2357-4710-a321-68e4766543e1"]}],"mendeley":{"formattedCitation":"[40], [45], [47]","plainTextFormattedCitation":"[40], [45], [47]","previouslyFormattedCitation":"[40], [45], [47]"},"properties":{"noteIndex":0},"schema":"https://github.com/citation-style-language/schema/raw/master/csl-citation.json"}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 [45], [47]</w:t>
            </w:r>
            <w:r w:rsidRPr="00DF6C69">
              <w:rPr>
                <w:rFonts w:ascii="Times New Roman" w:hAnsi="Times New Roman" w:cs="Times New Roman"/>
                <w:sz w:val="18"/>
                <w:szCs w:val="18"/>
              </w:rPr>
              <w:fldChar w:fldCharType="end"/>
            </w:r>
          </w:p>
        </w:tc>
      </w:tr>
      <w:tr w:rsidR="00FA0D4C" w:rsidRPr="00DF6C69" w14:paraId="13ACBA97" w14:textId="77777777" w:rsidTr="00313218">
        <w:trPr>
          <w:trHeight w:val="20"/>
        </w:trPr>
        <w:tc>
          <w:tcPr>
            <w:tcW w:w="2004" w:type="dxa"/>
            <w:gridSpan w:val="2"/>
            <w:vMerge/>
            <w:shd w:val="clear" w:color="auto" w:fill="FFF2CC" w:themeFill="accent4" w:themeFillTint="33"/>
            <w:noWrap/>
            <w:vAlign w:val="center"/>
          </w:tcPr>
          <w:p w14:paraId="422D6EFB"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64075F62"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09E32864"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6A914C7B"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633007D0"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tcPr>
          <w:p w14:paraId="44A89D70" w14:textId="77777777" w:rsidR="00FA0D4C" w:rsidRPr="00DF6C69" w:rsidRDefault="00FA0D4C" w:rsidP="00FA0D4C">
            <w:pPr>
              <w:jc w:val="center"/>
              <w:rPr>
                <w:rFonts w:ascii="Times New Roman" w:hAnsi="Times New Roman" w:cs="Times New Roman"/>
                <w:sz w:val="18"/>
                <w:szCs w:val="18"/>
              </w:rPr>
            </w:pPr>
          </w:p>
        </w:tc>
      </w:tr>
      <w:tr w:rsidR="00FA0D4C" w:rsidRPr="00DF6C69" w14:paraId="1523FE3B" w14:textId="77777777" w:rsidTr="00313218">
        <w:trPr>
          <w:trHeight w:val="20"/>
        </w:trPr>
        <w:tc>
          <w:tcPr>
            <w:tcW w:w="2004" w:type="dxa"/>
            <w:gridSpan w:val="2"/>
            <w:vMerge/>
            <w:shd w:val="clear" w:color="auto" w:fill="FFF2CC" w:themeFill="accent4" w:themeFillTint="33"/>
            <w:noWrap/>
            <w:vAlign w:val="center"/>
          </w:tcPr>
          <w:p w14:paraId="647EF1B8"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750C08E4"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69BE05FE"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39F8C228"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173D4D0E"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tcPr>
          <w:p w14:paraId="25C1C15E" w14:textId="77777777" w:rsidR="00FA0D4C" w:rsidRPr="00DF6C69" w:rsidRDefault="00FA0D4C" w:rsidP="00FA0D4C">
            <w:pPr>
              <w:jc w:val="center"/>
              <w:rPr>
                <w:rFonts w:ascii="Times New Roman" w:hAnsi="Times New Roman" w:cs="Times New Roman"/>
                <w:sz w:val="18"/>
                <w:szCs w:val="18"/>
              </w:rPr>
            </w:pPr>
          </w:p>
        </w:tc>
      </w:tr>
      <w:tr w:rsidR="00FA0D4C" w:rsidRPr="00DF6C69" w14:paraId="073B586C" w14:textId="77777777" w:rsidTr="00313218">
        <w:trPr>
          <w:trHeight w:val="20"/>
        </w:trPr>
        <w:tc>
          <w:tcPr>
            <w:tcW w:w="2004" w:type="dxa"/>
            <w:gridSpan w:val="2"/>
            <w:vMerge w:val="restart"/>
            <w:shd w:val="clear" w:color="auto" w:fill="FFF2CC" w:themeFill="accent4" w:themeFillTint="33"/>
            <w:noWrap/>
            <w:vAlign w:val="center"/>
            <w:hideMark/>
          </w:tcPr>
          <w:p w14:paraId="6C71A5F2" w14:textId="77777777" w:rsidR="00FA0D4C" w:rsidRPr="00DF6C69" w:rsidRDefault="00FA0D4C" w:rsidP="005C4821">
            <w:pPr>
              <w:jc w:val="center"/>
              <w:rPr>
                <w:rFonts w:ascii="Times New Roman" w:hAnsi="Times New Roman" w:cs="Times New Roman"/>
                <w:sz w:val="18"/>
                <w:szCs w:val="18"/>
              </w:rPr>
            </w:pPr>
            <w:r w:rsidRPr="00DF6C69">
              <w:rPr>
                <w:rFonts w:ascii="Times New Roman" w:hAnsi="Times New Roman" w:cs="Times New Roman"/>
                <w:sz w:val="18"/>
                <w:szCs w:val="18"/>
              </w:rPr>
              <w:t>xanthine</w:t>
            </w:r>
          </w:p>
        </w:tc>
        <w:tc>
          <w:tcPr>
            <w:tcW w:w="974" w:type="dxa"/>
            <w:shd w:val="clear" w:color="auto" w:fill="FFF2CC" w:themeFill="accent4" w:themeFillTint="33"/>
            <w:vAlign w:val="center"/>
          </w:tcPr>
          <w:p w14:paraId="5EF82202"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hideMark/>
          </w:tcPr>
          <w:p w14:paraId="703D928C"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hideMark/>
          </w:tcPr>
          <w:p w14:paraId="052BED50"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noWrap/>
            <w:vAlign w:val="center"/>
            <w:hideMark/>
          </w:tcPr>
          <w:p w14:paraId="013BD1A2" w14:textId="4540891D"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mendeley":{"formattedCitation":"[40]","plainTextFormattedCitation":"[40]","previouslyFormattedCitation":"[40]"},"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w:t>
            </w:r>
            <w:r w:rsidRPr="00DF6C69">
              <w:rPr>
                <w:rFonts w:ascii="Times New Roman" w:hAnsi="Times New Roman" w:cs="Times New Roman"/>
                <w:sz w:val="18"/>
                <w:szCs w:val="18"/>
              </w:rPr>
              <w:fldChar w:fldCharType="end"/>
            </w:r>
          </w:p>
        </w:tc>
        <w:tc>
          <w:tcPr>
            <w:tcW w:w="1840" w:type="dxa"/>
            <w:shd w:val="clear" w:color="auto" w:fill="E2EFD9" w:themeFill="accent6" w:themeFillTint="33"/>
            <w:noWrap/>
            <w:vAlign w:val="center"/>
            <w:hideMark/>
          </w:tcPr>
          <w:p w14:paraId="6EE5F6D6" w14:textId="42A24597"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{"citationItems":[{"id":"ITEM-1","itemData":{"DOI":"10.1038/bjc.2016.305","ISSN":"15321827","abstract":"Background: Two recent metabolomic analyses found serum lipid, energy, and other metabolites related to aggressive prostate cancer risk up to 20 years prior to diagnosis. Methods: We conducted a serum metabolomic investigation of prostate cancer risk in the Prostate, Lung, Colorectal, and Ovarian Cancer Screening Trial that included annual serum total prostate-specific antigen measurement and digital rectal examination. This nested study included 380 cases diagnosed post-screening and 380 controls individually matched to cases on age, race, study centre, and blood-collection date (median time to diagnosis, 10 years (range 4.4-17 years)). Sera were analysed on a high-resolution accurate mass platform of ultrahigh-performance liquid and gas chromatography/mass spectroscopy that identified 695 known metabolites. Logistic regression conditioned on the matching factors estimated odds ratios (OR) and 95% confidence intervals of risk associated with an 80th percentile increase in the log-metabolite signal. Results: Twenty-seven metabolites were associated with prostate cancer at P&lt;0.05. Pyroglutamine, gamma-glutamylphenylalanine, phenylpyruvate, N-acetylcitrulline, and stearoylcarnitine showed the strongest metabolite-risk signals (ORs=0.53, 0.51, 0.46, 0.58, and 1.74, respectively; 0.001≤P≤0.006). Findings were similar for aggressive disease (peptide chemical class, P=0.03). None of the P-values were below the threshold of Bonferroni correction, however. Conclusions: A unique metabolomic profile associated with post-screening prostate cancer is identified that differs from that in a previously studied, unscreened population.","author":[{"dropping-particle":"","family":"Huang","given":"Jiaqi","non-dropping-particle":"","parse-names":false,"suffix":""},{"dropping-particle":"","family":"Mondul","given":"Alison M.","non-dropping-particle":"","parse-names":false,"suffix":""},{"dropping-particle":"","family":"Weinstein","given":"Stephanie J.","non-dropping-particle":"","parse-names":false,"suffix":""},{"dropping-particle":"","family":"Koutros","given":"Stella","non-dropping-particle":"","parse-names":false,"suffix":""},{"dropping-particle":"","family":"Derkach","given":"Andriy","non-dropping-particle":"","parse-names":false,"suffix":""},{"dropping-particle":"","family":"Karoly","given":"Edward","non-dropping-particle":"","parse-names":false,"suffix":""},{"dropping-particle":"","family":"Sampson","given":"Joshua N.","non-dropping-particle":"","parse-names":false,"suffix":""},{"dropping-particle":"","family":"Moore","given":"Steven C.","non-dropping-particle":"","parse-names":false,"suffix":""},{"dropping-particle":"","family":"Berndt","given":"Sonja I.","non-dropping-particle":"","parse-names":false,"suffix":""},{"dropping-particle":"","family":"Albanes","given":"Demetrius","non-dropping-particle":"","parse-names":false,"suffix":""}],"container-title":"British Journal of Cancer","id":"ITEM-1","issue":"9","issued":{"date-parts":[["2016","10","25"]]},"page":"1087-1095","publisher":"Nature Publishing Group","title":"Serum metabolomic profiling of prostate cancer risk in the prostate, lung, colorectal, and ovarian cancer screening trial","type":"article-journal","volume":"115"},"uris":["http://www.mendeley.com/documents/?uuid=0b2adbe1-b9fd-3235-80ee-e2dbb0d36336"]},{"id":"ITEM-2","itemData":{"DOI":"10.1038/nature07762","ISSN":"14764687","abstract":"Multiple, complex molecular events characterize cancer development and progression. Deciphering the molecular networks that distinguish organ-confined disease from metastatic disease may lead to the identification of critical biomarkers for cancer invasion and disease aggressiveness. Although gene and protein expression have been extensively profiled in human tumours, little is known about the global metabolomic alterations that characterize neoplastic progression. Using a combination of high-throughput liquid-and-gas- chromatography-based mass spectrometry, we profiled more than 1,126 metabolites across 262 clinical samples related to prostate cancer (42 tissues and 110 each of urine and plasma). These unbiased metabolomic profiles were able to distinguish benign prostate, clinically localized prostate cancer and metastatic disease. Sarcosine, an N-methyl derivative of the amino acid glycine, was identified as a differential metabolite that was highly increased during prostate cancer progression to metastasis and can be detected non-invasively in urine. Sarcosine levels were also increased in invasive prostate cancer cell lines relative to benign prostate epithelial cells. Knockdown of glycine-N-methyl transferase, the enzyme that generates sarcosine from glycine, attenuated prostate cancer invasion. Addition of exogenous sarcosine or knockdown of the enzyme that leads to sarcosine degradation, sarcosine dehydrogenase, induced an invasive phenotype in benign prostate epithelial cells. Androgen receptor and the ERG gene fusion product coordinately regulate components of the sarcosine pathway. Here, by profiling the metabolomic alterations of prostate cancer progression, we reveal sarcosine as a potentially important metabolic intermediary of cancer cell invasion and aggressivity. ©2009 Macmillan Publishers Limited. All rights reserved.","author":[{"dropping-particle":"","family":"Sreekumar","given":"Arun","non-dropping-particle":"","parse-names":false,"suffix":""},{"dropping-particle":"","family":"Poisson","given":"Laila M.","non-dropping-particle":"","parse-names":false,"suffix":""},{"dropping-particle":"","family":"Rajendiran","given":"Thekkelnaycke M.","non-dropping-particle":"","parse-names":false,"suffix":""},{"dropping-particle":"","family":"Khan","given":"Amjad P.","non-dropping-particle":"","parse-names":false,"suffix":""},{"dropping-particle":"","family":"Cao","given":"Qi","non-dropping-particle":"","parse-names":false,"suffix":""},{"dropping-particle":"","family":"Yu","given":"Jindan","non-dropping-particle":"","parse-names":false,"suffix":""},{"dropping-particle":"","family":"Laxman","given":"Bharathi","non-dropping-particle":"","parse-names":false,"suffix":""},{"dropping-particle":"","family":"Mehra","given":"Rohit","non-dropping-particle":"","parse-names":false,"suffix":""},{"dropping-particle":"","family":"Lonigro","given":"Robert J.","non-dropping-particle":"","parse-names":false,"suffix":""},{"dropping-particle":"","family":"Li","given":"Yong","non-dropping-particle":"","parse-names":false,"suffix":""},{"dropping-particle":"","family":"Nyati","given":"Mukesh K.","non-dropping-particle":"","parse-names":false,"suffix":""},{"dropping-particle":"","family":"Ahsan","given":"Aarif","non-dropping-particle":"","parse-names":false,"suffix":""},{"dropping-particle":"","family":"Kalyana-Sundaram","given":"Shanker","non-dropping-particle":"","parse-names":false,"suffix":""},{"dropping-particle":"","family":"Han","given":"Bo","non-dropping-particle":"","parse-names":false,"suffix":""},{"dropping-particle":"","family":"Cao","given":"Xuhong","non-dropping-particle":"","parse-names":false,"suffix":""},{"dropping-particle":"","family":"Byun","given":"Jaeman","non-dropping-particle":"","parse-names":false,"suffix":""},{"dropping-particle":"","family":"Omenn","given":"Gilbert S.","non-dropping-particle":"","parse-names":false,"suffix":""},{"dropping-particle":"","family":"Ghosh","given":"Debashis","non-dropping-particle":"","parse-names":false,"suffix":""},{"dropping-particle":"","family":"Pennathur","given":"Subramaniam","non-dropping-particle":"","parse-names":false,"suffix":""},{"dropping-particle":"","family":"Alexander","given":"Danny C.","non-dropping-particle":"","parse-names":false,"suffix":""},{"dropping-particle":"","family":"Berger","given":"Alvin","non-dropping-particle":"","parse-names":false,"suffix":""},{"dropping-particle":"","family":"Shuster","given":"Jeffrey R.","non-dropping-particle":"","parse-names":false,"suffix":""},{"dropping-particle":"","family":"Wei","given":"John T.","non-dropping-particle":"","parse-names":false,"suffix":""},{"dropping-particle":"","family":"Varambally","given":"Sooryanarayana","non-dropping-particle":"","parse-names":false,"suffix":""},{"dropping-particle":"","family":"Beecher","given":"Christopher","non-dropping-particle":"","parse-names":false,"suffix":""},{"dropping-particle":"","family":"Chinnaiyan","given":"Arul M.","non-dropping-particle":"","parse-names":false,"suffix":""}],"container-title":"Nature","id":"ITEM-2","issue":"7231","issued":{"date-parts":[["2009","2","12"]]},"page":"910-914","publisher":"Nature Publishing Group","title":"Metabolomic profiles delineate potential role for sarcosine in prostate cancer progression","type":"article-journal","volume":"457"},"uris":["http://www.mendeley.com/documents/?uuid=313bedd1-f343-42b3-b288-9c3e9a45bc9f"]}],"mendeley":{"formattedCitation":"[40], [51]","plainTextFormattedCitation":"[40], [51]","previouslyFormattedCitation":"[40], [51]"},"properties":{"noteIndex":0},"schema":"https://github.com/citation-style-language/schema/raw/master/csl-citation.json"}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[40], [51]</w:t>
            </w:r>
            <w:r w:rsidRPr="00DF6C69">
              <w:rPr>
                <w:rFonts w:ascii="Times New Roman" w:hAnsi="Times New Roman" w:cs="Times New Roman"/>
                <w:sz w:val="18"/>
                <w:szCs w:val="18"/>
              </w:rPr>
              <w:fldChar w:fldCharType="end"/>
            </w:r>
          </w:p>
        </w:tc>
      </w:tr>
      <w:tr w:rsidR="00FA0D4C" w:rsidRPr="00DF6C69" w14:paraId="78B52849" w14:textId="77777777" w:rsidTr="00313218">
        <w:trPr>
          <w:trHeight w:val="20"/>
        </w:trPr>
        <w:tc>
          <w:tcPr>
            <w:tcW w:w="2004" w:type="dxa"/>
            <w:gridSpan w:val="2"/>
            <w:vMerge/>
            <w:shd w:val="clear" w:color="auto" w:fill="FFF2CC" w:themeFill="accent4" w:themeFillTint="33"/>
            <w:noWrap/>
            <w:vAlign w:val="center"/>
          </w:tcPr>
          <w:p w14:paraId="0ABBDCD0" w14:textId="77777777" w:rsidR="00FA0D4C" w:rsidRPr="00DF6C69" w:rsidRDefault="00FA0D4C" w:rsidP="005C4821">
            <w:pPr>
              <w:jc w:val="center"/>
              <w:rPr>
                <w:rFonts w:ascii="Times New Roman" w:hAnsi="Times New Roman" w:cs="Times New Roman"/>
                <w:sz w:val="18"/>
                <w:szCs w:val="18"/>
              </w:rPr>
            </w:pPr>
          </w:p>
        </w:tc>
        <w:tc>
          <w:tcPr>
            <w:tcW w:w="974" w:type="dxa"/>
            <w:shd w:val="clear" w:color="auto" w:fill="FFF2CC" w:themeFill="accent4" w:themeFillTint="33"/>
            <w:vAlign w:val="center"/>
          </w:tcPr>
          <w:p w14:paraId="6412C62B"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3F4938B6"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771176D4"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7408A59D"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tcPr>
          <w:p w14:paraId="0AC668F5" w14:textId="77777777" w:rsidR="00FA0D4C" w:rsidRPr="00DF6C69" w:rsidRDefault="00FA0D4C" w:rsidP="00FA0D4C">
            <w:pPr>
              <w:jc w:val="center"/>
              <w:rPr>
                <w:rFonts w:ascii="Times New Roman" w:hAnsi="Times New Roman" w:cs="Times New Roman"/>
                <w:sz w:val="18"/>
                <w:szCs w:val="18"/>
              </w:rPr>
            </w:pPr>
          </w:p>
        </w:tc>
      </w:tr>
      <w:tr w:rsidR="00FA0D4C" w:rsidRPr="00DF6C69" w14:paraId="4C59EEC4" w14:textId="77777777" w:rsidTr="00313218">
        <w:trPr>
          <w:trHeight w:val="20"/>
        </w:trPr>
        <w:tc>
          <w:tcPr>
            <w:tcW w:w="2004" w:type="dxa"/>
            <w:gridSpan w:val="2"/>
            <w:vMerge/>
            <w:shd w:val="clear" w:color="auto" w:fill="FFF2CC" w:themeFill="accent4" w:themeFillTint="33"/>
            <w:noWrap/>
            <w:vAlign w:val="center"/>
          </w:tcPr>
          <w:p w14:paraId="58D77BF1" w14:textId="77777777" w:rsidR="00FA0D4C" w:rsidRPr="00DF6C69" w:rsidRDefault="00FA0D4C" w:rsidP="00005120">
            <w:pPr>
              <w:jc w:val="center"/>
              <w:rPr>
                <w:rFonts w:ascii="Times New Roman" w:hAnsi="Times New Roman" w:cs="Times New Roman"/>
                <w:sz w:val="18"/>
                <w:szCs w:val="18"/>
              </w:rPr>
            </w:pPr>
          </w:p>
        </w:tc>
        <w:tc>
          <w:tcPr>
            <w:tcW w:w="974" w:type="dxa"/>
            <w:shd w:val="clear" w:color="auto" w:fill="FFF2CC" w:themeFill="accent4" w:themeFillTint="33"/>
            <w:vAlign w:val="center"/>
          </w:tcPr>
          <w:p w14:paraId="5DBABD77"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6003742A"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7F8C6BB6"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490D1A01"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tcPr>
          <w:p w14:paraId="16AB7FFE" w14:textId="77777777" w:rsidR="00FA0D4C" w:rsidRPr="00DF6C69" w:rsidRDefault="00FA0D4C" w:rsidP="00FA0D4C">
            <w:pPr>
              <w:jc w:val="center"/>
              <w:rPr>
                <w:rFonts w:ascii="Times New Roman" w:hAnsi="Times New Roman" w:cs="Times New Roman"/>
                <w:sz w:val="18"/>
                <w:szCs w:val="18"/>
              </w:rPr>
            </w:pPr>
          </w:p>
        </w:tc>
      </w:tr>
      <w:tr w:rsidR="00FA0D4C" w:rsidRPr="00DF6C69" w14:paraId="5B12A1ED" w14:textId="77777777" w:rsidTr="00313218">
        <w:trPr>
          <w:trHeight w:val="20"/>
        </w:trPr>
        <w:tc>
          <w:tcPr>
            <w:tcW w:w="2004" w:type="dxa"/>
            <w:gridSpan w:val="2"/>
            <w:vMerge w:val="restart"/>
            <w:shd w:val="clear" w:color="auto" w:fill="FFF2CC" w:themeFill="accent4" w:themeFillTint="33"/>
            <w:noWrap/>
            <w:vAlign w:val="center"/>
          </w:tcPr>
          <w:p w14:paraId="3129B796" w14:textId="77777777" w:rsidR="00FA0D4C" w:rsidRPr="00DF6C69" w:rsidRDefault="00FA0D4C" w:rsidP="005C4821">
            <w:pPr>
              <w:jc w:val="center"/>
              <w:rPr>
                <w:rFonts w:ascii="Times New Roman" w:hAnsi="Times New Roman" w:cs="Times New Roman"/>
                <w:sz w:val="18"/>
                <w:szCs w:val="18"/>
              </w:rPr>
            </w:pPr>
            <w:r w:rsidRPr="00DF6C69">
              <w:rPr>
                <w:rFonts w:ascii="Times New Roman" w:hAnsi="Times New Roman" w:cs="Times New Roman"/>
                <w:sz w:val="18"/>
                <w:szCs w:val="18"/>
              </w:rPr>
              <w:t xml:space="preserve">Testosterone </w:t>
            </w:r>
            <w:proofErr w:type="spellStart"/>
            <w:r w:rsidRPr="00DF6C69">
              <w:rPr>
                <w:rFonts w:ascii="Times New Roman" w:hAnsi="Times New Roman" w:cs="Times New Roman"/>
                <w:sz w:val="18"/>
                <w:szCs w:val="18"/>
              </w:rPr>
              <w:t>sulfate</w:t>
            </w:r>
            <w:proofErr w:type="spellEnd"/>
          </w:p>
        </w:tc>
        <w:tc>
          <w:tcPr>
            <w:tcW w:w="974" w:type="dxa"/>
            <w:shd w:val="clear" w:color="auto" w:fill="FFF2CC" w:themeFill="accent4" w:themeFillTint="33"/>
            <w:vAlign w:val="center"/>
          </w:tcPr>
          <w:p w14:paraId="2874BBED"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Serum*</w:t>
            </w:r>
          </w:p>
        </w:tc>
        <w:tc>
          <w:tcPr>
            <w:tcW w:w="1440" w:type="dxa"/>
            <w:noWrap/>
            <w:vAlign w:val="center"/>
          </w:tcPr>
          <w:p w14:paraId="215A430C" w14:textId="77777777" w:rsidR="00FA0D4C" w:rsidRPr="00DF6C69" w:rsidRDefault="00FA0D4C" w:rsidP="00FA0D4C">
            <w:pPr>
              <w:jc w:val="center"/>
              <w:rPr>
                <w:rFonts w:ascii="Times New Roman" w:hAnsi="Times New Roman" w:cs="Times New Roman"/>
                <w:sz w:val="18"/>
                <w:szCs w:val="18"/>
              </w:rPr>
            </w:pPr>
          </w:p>
        </w:tc>
        <w:tc>
          <w:tcPr>
            <w:tcW w:w="1549" w:type="dxa"/>
            <w:shd w:val="clear" w:color="auto" w:fill="E2EFD9" w:themeFill="accent6" w:themeFillTint="33"/>
            <w:noWrap/>
            <w:vAlign w:val="center"/>
          </w:tcPr>
          <w:p w14:paraId="1ECAF5EF" w14:textId="71E86F2B" w:rsidR="00FA0D4C" w:rsidRPr="00DF6C69" w:rsidRDefault="00FA0D4C" w:rsidP="00FA0D4C">
            <w:pPr>
              <w:jc w:val="center"/>
              <w:rPr>
                <w:rFonts w:ascii="Times New Roman" w:hAnsi="Times New Roman" w:cs="Times New Roman"/>
                <w:sz w:val="18"/>
                <w:szCs w:val="18"/>
              </w:rPr>
            </w:pPr>
            <w:r w:rsidRPr="00DF6C69">
              <w:rPr>
                <w:rFonts w:ascii="Times New Roman" w:hAnsi="Times New Roman" w:cs="Times New Roman"/>
                <w:sz w:val="18"/>
                <w:szCs w:val="18"/>
              </w:rPr>
              <w:t xml:space="preserve">↓ </w:t>
            </w:r>
            <w:r w:rsidRPr="00DF6C69">
              <w:rPr>
                <w:rFonts w:ascii="Times New Roman" w:hAnsi="Times New Roman" w:cs="Times New Roman"/>
                <w:sz w:val="18"/>
                <w:szCs w:val="18"/>
              </w:rPr>
              <w:fldChar w:fldCharType="begin" w:fldLock="1"/>
            </w:r>
            <w:r w:rsidRPr="00DF6C69">
              <w:rPr>
                <w:rFonts w:ascii="Times New Roman" w:hAnsi="Times New Roman" w:cs="Times New Roman"/>
                <w:sz w:val="18"/>
                <w:szCs w:val="18"/>
              </w:rPr>
              <w:instrText>ADDIN CSL_CITATION {"citationItems":[{"id":"ITEM-1","itemData":{"DOI":"10.1158/1055-9965.EPI-15-1223","ISSN":"10559965","abstract":"Metabolite profiling is being increasing employed in the study of prostate cancer as a means of identifying predictive, diagnostic, and prognostic biomarkers. This review provides a summary and critique of the current literature. Thirty-three human case-control studies of prostate cancer exploring disease prediction, diagnosis, progression, or treatment response were identified. All but one demonstrated the ability of metabolite profiling to distinguish cancer from benign, tumor aggressiveness, cases who recurred, and those who responded well to therapy. In the subset of studies where biomarker discriminatory ability was quantified, high AUCs were reported that would potentially outperform the current gold standards in diagnosis, prognosis, and disease recurrence, including PSA testing. There were substantial similarities between the metabolites and the associated pathways reported as significant by independent studies, and important roles for abnormal cell growth, intensive cell proliferation, and dysregulation of lipid metabolism were highlighted. The weight of the evidence therefore suggests metabolic alterations specific to prostate carcinogenesis and progression that may represent potential metabolic biomarkers. However, replication and validation of the most promising biomarkers is currently lacking and a number of outstanding methodologic issues remain to be addressed to maximize the utility of metabolomics in the study of prostate cancer.","author":[{"dropping-particle":"","family":"Kelly","given":"Rachel S.","non-dropping-particle":"","parse-names":false,"suffix":""},{"dropping-particle":"","family":"Heiden","given":"Matthew G.Vander","non-dropping-particle":"","parse-names":false,"suffix":""},{"dropping-particle":"","family":"Giovannucci","given":"Edward","non-dropping-particle":"","parse-names":false,"suffix":""},{"dropping-particle":"","family":"Mucci","given":"Lorelei A.","non-dropping-particle":"","parse-names":false,"suffix":""}],"container-title":"Cancer Epidemiology Biomarkers and Prevention","id":"ITEM-1","issue":"6","issued":{"date-parts":[["2016","6","1"]]},"page":"887-906","publisher":"American Association for Cancer Research Inc.","title":"Metabolomic biomarkers of prostate cancer: Prediction, diagnosis, progression, prognosis, and recurrence","type":"article-journal","volume":"25"},"uris":["http://www.mendeley.com/documents/?uuid=1e8e070d-6cee-47e1-9bdd-fcc792ce1489"]}],"mendeley":{"formattedCitation":"[42]","plainTextFormattedCitation":"[42]","previouslyFormattedCitation":"[42]"},"properties":{"noteIndex":0},"schema":"https://github.com/citation-style-language/schema/raw/master/csl-citation.json"}</w:instrText>
            </w:r>
            <w:r w:rsidRPr="00DF6C69">
              <w:rPr>
                <w:rFonts w:ascii="Times New Roman" w:hAnsi="Times New Roman" w:cs="Times New Roman"/>
                <w:sz w:val="18"/>
                <w:szCs w:val="18"/>
              </w:rPr>
              <w:fldChar w:fldCharType="separate"/>
            </w:r>
            <w:r w:rsidRPr="00DF6C69">
              <w:rPr>
                <w:rFonts w:ascii="Times New Roman" w:hAnsi="Times New Roman" w:cs="Times New Roman"/>
                <w:sz w:val="18"/>
                <w:szCs w:val="18"/>
              </w:rPr>
              <w:t>[42]</w:t>
            </w:r>
            <w:r w:rsidRPr="00DF6C69">
              <w:rPr>
                <w:rFonts w:ascii="Times New Roman" w:hAnsi="Times New Roman" w:cs="Times New Roman"/>
                <w:sz w:val="18"/>
                <w:szCs w:val="18"/>
              </w:rPr>
              <w:fldChar w:fldCharType="end"/>
            </w:r>
          </w:p>
        </w:tc>
        <w:tc>
          <w:tcPr>
            <w:tcW w:w="1549" w:type="dxa"/>
            <w:noWrap/>
            <w:vAlign w:val="center"/>
          </w:tcPr>
          <w:p w14:paraId="6B498BBE"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tcPr>
          <w:p w14:paraId="7F82E185" w14:textId="77777777" w:rsidR="00FA0D4C" w:rsidRPr="00DF6C69" w:rsidRDefault="00FA0D4C" w:rsidP="00FA0D4C">
            <w:pPr>
              <w:jc w:val="center"/>
              <w:rPr>
                <w:rFonts w:ascii="Times New Roman" w:hAnsi="Times New Roman" w:cs="Times New Roman"/>
                <w:sz w:val="18"/>
                <w:szCs w:val="18"/>
              </w:rPr>
            </w:pPr>
          </w:p>
        </w:tc>
      </w:tr>
      <w:tr w:rsidR="00FA0D4C" w:rsidRPr="00DF6C69" w14:paraId="2566430E" w14:textId="77777777" w:rsidTr="00313218">
        <w:trPr>
          <w:trHeight w:val="20"/>
        </w:trPr>
        <w:tc>
          <w:tcPr>
            <w:tcW w:w="2004" w:type="dxa"/>
            <w:gridSpan w:val="2"/>
            <w:vMerge/>
            <w:shd w:val="clear" w:color="auto" w:fill="FFF2CC" w:themeFill="accent4" w:themeFillTint="33"/>
            <w:noWrap/>
            <w:vAlign w:val="center"/>
          </w:tcPr>
          <w:p w14:paraId="74DAEF9D"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0E27572B"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Tissue**</w:t>
            </w:r>
          </w:p>
        </w:tc>
        <w:tc>
          <w:tcPr>
            <w:tcW w:w="1440" w:type="dxa"/>
            <w:noWrap/>
            <w:vAlign w:val="center"/>
          </w:tcPr>
          <w:p w14:paraId="1647CD49"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5B9B39FE"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6D0CA242"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tcPr>
          <w:p w14:paraId="18B9A7C7" w14:textId="77777777" w:rsidR="00FA0D4C" w:rsidRPr="00DF6C69" w:rsidRDefault="00FA0D4C" w:rsidP="00FA0D4C">
            <w:pPr>
              <w:jc w:val="center"/>
              <w:rPr>
                <w:rFonts w:ascii="Times New Roman" w:hAnsi="Times New Roman" w:cs="Times New Roman"/>
                <w:sz w:val="18"/>
                <w:szCs w:val="18"/>
              </w:rPr>
            </w:pPr>
          </w:p>
        </w:tc>
      </w:tr>
      <w:tr w:rsidR="00FA0D4C" w:rsidRPr="00DF6C69" w14:paraId="5D1633B1" w14:textId="77777777" w:rsidTr="00313218">
        <w:trPr>
          <w:trHeight w:val="20"/>
        </w:trPr>
        <w:tc>
          <w:tcPr>
            <w:tcW w:w="2004" w:type="dxa"/>
            <w:gridSpan w:val="2"/>
            <w:vMerge/>
            <w:shd w:val="clear" w:color="auto" w:fill="FFF2CC" w:themeFill="accent4" w:themeFillTint="33"/>
            <w:noWrap/>
            <w:vAlign w:val="center"/>
          </w:tcPr>
          <w:p w14:paraId="5F2727AE" w14:textId="77777777" w:rsidR="00FA0D4C" w:rsidRPr="00DF6C69" w:rsidRDefault="00FA0D4C" w:rsidP="00FA0D4C">
            <w:pPr>
              <w:jc w:val="center"/>
              <w:rPr>
                <w:rFonts w:ascii="Times New Roman" w:hAnsi="Times New Roman" w:cs="Times New Roman"/>
                <w:sz w:val="18"/>
                <w:szCs w:val="18"/>
              </w:rPr>
            </w:pPr>
          </w:p>
        </w:tc>
        <w:tc>
          <w:tcPr>
            <w:tcW w:w="974" w:type="dxa"/>
            <w:shd w:val="clear" w:color="auto" w:fill="FFF2CC" w:themeFill="accent4" w:themeFillTint="33"/>
            <w:vAlign w:val="center"/>
          </w:tcPr>
          <w:p w14:paraId="7C2A35DE"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Urine</w:t>
            </w:r>
          </w:p>
        </w:tc>
        <w:tc>
          <w:tcPr>
            <w:tcW w:w="1440" w:type="dxa"/>
            <w:noWrap/>
            <w:vAlign w:val="center"/>
          </w:tcPr>
          <w:p w14:paraId="7A6188EB"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0ACEA892" w14:textId="77777777" w:rsidR="00FA0D4C" w:rsidRPr="00DF6C69" w:rsidRDefault="00FA0D4C" w:rsidP="00FA0D4C">
            <w:pPr>
              <w:jc w:val="center"/>
              <w:rPr>
                <w:rFonts w:ascii="Times New Roman" w:hAnsi="Times New Roman" w:cs="Times New Roman"/>
                <w:sz w:val="18"/>
                <w:szCs w:val="18"/>
              </w:rPr>
            </w:pPr>
          </w:p>
        </w:tc>
        <w:tc>
          <w:tcPr>
            <w:tcW w:w="1549" w:type="dxa"/>
            <w:noWrap/>
            <w:vAlign w:val="center"/>
          </w:tcPr>
          <w:p w14:paraId="35258CA2" w14:textId="77777777" w:rsidR="00FA0D4C" w:rsidRPr="00DF6C69" w:rsidRDefault="00FA0D4C" w:rsidP="00FA0D4C">
            <w:pPr>
              <w:jc w:val="center"/>
              <w:rPr>
                <w:rFonts w:ascii="Times New Roman" w:hAnsi="Times New Roman" w:cs="Times New Roman"/>
                <w:sz w:val="18"/>
                <w:szCs w:val="18"/>
              </w:rPr>
            </w:pPr>
          </w:p>
        </w:tc>
        <w:tc>
          <w:tcPr>
            <w:tcW w:w="1840" w:type="dxa"/>
            <w:noWrap/>
            <w:vAlign w:val="center"/>
          </w:tcPr>
          <w:p w14:paraId="7C90E10A" w14:textId="77777777" w:rsidR="00FA0D4C" w:rsidRPr="00DF6C69" w:rsidRDefault="00FA0D4C" w:rsidP="00FA0D4C">
            <w:pPr>
              <w:jc w:val="center"/>
              <w:rPr>
                <w:rFonts w:ascii="Times New Roman" w:hAnsi="Times New Roman" w:cs="Times New Roman"/>
                <w:sz w:val="18"/>
                <w:szCs w:val="18"/>
              </w:rPr>
            </w:pPr>
          </w:p>
        </w:tc>
      </w:tr>
      <w:tr w:rsidR="00FA0D4C" w:rsidRPr="00DF6C69" w14:paraId="79D98965" w14:textId="77777777" w:rsidTr="00313218">
        <w:trPr>
          <w:trHeight w:val="1178"/>
        </w:trPr>
        <w:tc>
          <w:tcPr>
            <w:tcW w:w="9356" w:type="dxa"/>
            <w:gridSpan w:val="7"/>
            <w:shd w:val="clear" w:color="auto" w:fill="FFFFFF" w:themeFill="background1"/>
          </w:tcPr>
          <w:p w14:paraId="0F6DCCF0" w14:textId="4FD591C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 increased concentration level</w:t>
            </w:r>
          </w:p>
          <w:p w14:paraId="025BC099"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 decreased concentration level</w:t>
            </w:r>
          </w:p>
          <w:p w14:paraId="14F863E8" w14:textId="77777777"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 altered concentration level but the trend is not specified or not easily reportable</w:t>
            </w:r>
          </w:p>
          <w:p w14:paraId="181D8936" w14:textId="3CFD12F8"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 This group includes blood, serum</w:t>
            </w:r>
            <w:r w:rsidR="00815CCA" w:rsidRPr="00DF6C69">
              <w:rPr>
                <w:rFonts w:ascii="Times New Roman" w:hAnsi="Times New Roman" w:cs="Times New Roman"/>
                <w:sz w:val="18"/>
                <w:szCs w:val="18"/>
              </w:rPr>
              <w:t>,</w:t>
            </w:r>
            <w:r w:rsidRPr="00DF6C69">
              <w:rPr>
                <w:rFonts w:ascii="Times New Roman" w:hAnsi="Times New Roman" w:cs="Times New Roman"/>
                <w:sz w:val="18"/>
                <w:szCs w:val="18"/>
              </w:rPr>
              <w:t xml:space="preserve"> or plasma</w:t>
            </w:r>
          </w:p>
          <w:p w14:paraId="7EFE38E4" w14:textId="10F46A23" w:rsidR="00FA0D4C" w:rsidRPr="00DF6C69" w:rsidRDefault="00FA0D4C" w:rsidP="00FA0D4C">
            <w:pPr>
              <w:rPr>
                <w:rFonts w:ascii="Times New Roman" w:hAnsi="Times New Roman" w:cs="Times New Roman"/>
                <w:sz w:val="18"/>
                <w:szCs w:val="18"/>
              </w:rPr>
            </w:pPr>
            <w:r w:rsidRPr="00DF6C69">
              <w:rPr>
                <w:rFonts w:ascii="Times New Roman" w:hAnsi="Times New Roman" w:cs="Times New Roman"/>
                <w:sz w:val="18"/>
                <w:szCs w:val="18"/>
              </w:rPr>
              <w:t>** This group includes tissue, cells or locally collected biological fluid (e.g. secretions)</w:t>
            </w:r>
          </w:p>
        </w:tc>
      </w:tr>
      <w:bookmarkEnd w:id="8"/>
    </w:tbl>
    <w:p w14:paraId="705AF531" w14:textId="72FBB8B6" w:rsidR="00126E1F" w:rsidRPr="00DF6C69" w:rsidRDefault="00126E1F" w:rsidP="0057716A">
      <w:pPr>
        <w:spacing w:line="259" w:lineRule="auto"/>
      </w:pPr>
    </w:p>
    <w:p w14:paraId="3DEA04B2" w14:textId="77777777" w:rsidR="00511FB3" w:rsidRPr="00DF6C69" w:rsidRDefault="00511FB3" w:rsidP="0057716A">
      <w:pPr>
        <w:spacing w:line="259" w:lineRule="auto"/>
      </w:pPr>
    </w:p>
    <w:p w14:paraId="54EA9CAE" w14:textId="2BB7F106" w:rsidR="007A64F2" w:rsidRPr="00DF6C69" w:rsidRDefault="007A64F2" w:rsidP="007A64F2">
      <w:pPr>
        <w:pStyle w:val="Caption"/>
      </w:pPr>
      <w:bookmarkStart w:id="10" w:name="_Ref42700261"/>
      <w:r w:rsidRPr="00DF6C69">
        <w:lastRenderedPageBreak/>
        <w:t xml:space="preserve">Table </w:t>
      </w:r>
      <w:fldSimple w:instr=" SEQ Table \* ARABIC ">
        <w:r w:rsidR="00645E46" w:rsidRPr="00DF6C69">
          <w:rPr>
            <w:noProof/>
          </w:rPr>
          <w:t>3</w:t>
        </w:r>
      </w:fldSimple>
      <w:bookmarkEnd w:id="10"/>
      <w:r w:rsidRPr="00DF6C69">
        <w:t xml:space="preserve"> Determination of the proposed PCa-specific </w:t>
      </w:r>
      <w:r w:rsidR="000A67C8" w:rsidRPr="00DF6C69">
        <w:t xml:space="preserve">blood </w:t>
      </w:r>
      <w:r w:rsidRPr="00DF6C69">
        <w:t>metabolites panel.</w:t>
      </w:r>
    </w:p>
    <w:tbl>
      <w:tblPr>
        <w:tblStyle w:val="TableGrid"/>
        <w:tblpPr w:leftFromText="180" w:rightFromText="180" w:vertAnchor="page" w:horzAnchor="margin" w:tblpY="1962"/>
        <w:tblW w:w="9634" w:type="dxa"/>
        <w:tblLayout w:type="fixed"/>
        <w:tblLook w:val="04A0" w:firstRow="1" w:lastRow="0" w:firstColumn="1" w:lastColumn="0" w:noHBand="0" w:noVBand="1"/>
      </w:tblPr>
      <w:tblGrid>
        <w:gridCol w:w="704"/>
        <w:gridCol w:w="1703"/>
        <w:gridCol w:w="990"/>
        <w:gridCol w:w="693"/>
        <w:gridCol w:w="693"/>
        <w:gridCol w:w="693"/>
        <w:gridCol w:w="693"/>
        <w:gridCol w:w="63"/>
        <w:gridCol w:w="630"/>
        <w:gridCol w:w="693"/>
        <w:gridCol w:w="693"/>
        <w:gridCol w:w="536"/>
        <w:gridCol w:w="850"/>
      </w:tblGrid>
      <w:tr w:rsidR="005B2AEB" w:rsidRPr="00DF6C69" w14:paraId="378860A1" w14:textId="2A4BB9F5" w:rsidTr="00576A52">
        <w:trPr>
          <w:cantSplit/>
          <w:trHeight w:val="300"/>
        </w:trPr>
        <w:tc>
          <w:tcPr>
            <w:tcW w:w="2407" w:type="dxa"/>
            <w:gridSpan w:val="2"/>
            <w:vMerge w:val="restart"/>
            <w:shd w:val="clear" w:color="auto" w:fill="D9E2F3" w:themeFill="accent1" w:themeFillTint="33"/>
            <w:noWrap/>
            <w:textDirection w:val="btLr"/>
            <w:vAlign w:val="center"/>
            <w:hideMark/>
          </w:tcPr>
          <w:p w14:paraId="67C0F0C0" w14:textId="77777777" w:rsidR="005B2AEB" w:rsidRPr="00DF6C69" w:rsidRDefault="005B2AEB" w:rsidP="005B2AEB">
            <w:pPr>
              <w:ind w:left="113" w:right="113"/>
              <w:jc w:val="center"/>
              <w:rPr>
                <w:rFonts w:cs="Times New Roman"/>
                <w:b/>
                <w:color w:val="000000"/>
                <w:sz w:val="18"/>
                <w:szCs w:val="18"/>
              </w:rPr>
            </w:pPr>
            <w:r w:rsidRPr="00DF6C69">
              <w:rPr>
                <w:rFonts w:cs="Times New Roman"/>
                <w:b/>
                <w:color w:val="000000"/>
                <w:sz w:val="18"/>
                <w:szCs w:val="18"/>
              </w:rPr>
              <w:t>PCa-related blood metabolites</w:t>
            </w:r>
          </w:p>
        </w:tc>
        <w:tc>
          <w:tcPr>
            <w:tcW w:w="990" w:type="dxa"/>
            <w:vMerge w:val="restart"/>
            <w:shd w:val="clear" w:color="auto" w:fill="D9E2F3" w:themeFill="accent1" w:themeFillTint="33"/>
            <w:textDirection w:val="btLr"/>
            <w:vAlign w:val="center"/>
          </w:tcPr>
          <w:p w14:paraId="6FE0ECCF" w14:textId="77777777" w:rsidR="005B2AEB" w:rsidRPr="00DF6C69" w:rsidRDefault="005B2AEB" w:rsidP="005B2AEB">
            <w:pPr>
              <w:ind w:left="113" w:right="113"/>
              <w:jc w:val="center"/>
              <w:rPr>
                <w:rFonts w:cs="Times New Roman"/>
                <w:b/>
                <w:bCs/>
                <w:color w:val="000000"/>
                <w:sz w:val="18"/>
                <w:szCs w:val="18"/>
              </w:rPr>
            </w:pPr>
            <w:r w:rsidRPr="00DF6C69">
              <w:rPr>
                <w:rFonts w:cs="Times New Roman"/>
                <w:b/>
                <w:bCs/>
                <w:color w:val="000000"/>
                <w:sz w:val="18"/>
                <w:szCs w:val="18"/>
              </w:rPr>
              <w:t xml:space="preserve">On-chip detection feasibility </w:t>
            </w:r>
            <w:r w:rsidRPr="00DF6C69">
              <w:rPr>
                <w:rFonts w:cs="Times New Roman"/>
                <w:b/>
                <w:bCs/>
                <w:color w:val="000000"/>
                <w:sz w:val="18"/>
                <w:szCs w:val="18"/>
                <w:vertAlign w:val="superscript"/>
              </w:rPr>
              <w:t>1</w:t>
            </w:r>
          </w:p>
        </w:tc>
        <w:tc>
          <w:tcPr>
            <w:tcW w:w="5387" w:type="dxa"/>
            <w:gridSpan w:val="9"/>
            <w:shd w:val="clear" w:color="auto" w:fill="D9E2F3" w:themeFill="accent1" w:themeFillTint="33"/>
            <w:noWrap/>
            <w:vAlign w:val="center"/>
            <w:hideMark/>
          </w:tcPr>
          <w:p w14:paraId="3C44E30F" w14:textId="6C20E53A" w:rsidR="005B2AEB" w:rsidRPr="00DF6C69" w:rsidRDefault="005B2AEB" w:rsidP="005B2AEB">
            <w:pPr>
              <w:spacing w:line="259" w:lineRule="auto"/>
              <w:jc w:val="center"/>
              <w:rPr>
                <w:rFonts w:cs="Times New Roman"/>
                <w:b/>
                <w:bCs/>
                <w:color w:val="000000"/>
                <w:sz w:val="18"/>
                <w:szCs w:val="18"/>
              </w:rPr>
            </w:pPr>
            <w:r w:rsidRPr="00DF6C69">
              <w:rPr>
                <w:rFonts w:cs="Times New Roman"/>
                <w:b/>
                <w:bCs/>
                <w:color w:val="000000"/>
                <w:sz w:val="18"/>
                <w:szCs w:val="18"/>
              </w:rPr>
              <w:t>Metabolite has also been linked to:</w:t>
            </w:r>
          </w:p>
        </w:tc>
        <w:tc>
          <w:tcPr>
            <w:tcW w:w="850" w:type="dxa"/>
            <w:vMerge w:val="restart"/>
            <w:shd w:val="clear" w:color="auto" w:fill="D9E2F3" w:themeFill="accent1" w:themeFillTint="33"/>
            <w:textDirection w:val="btLr"/>
            <w:vAlign w:val="center"/>
          </w:tcPr>
          <w:p w14:paraId="3629BB81" w14:textId="460B122B" w:rsidR="005B2AEB" w:rsidRPr="00DF6C69" w:rsidRDefault="005B2AEB" w:rsidP="005B2AEB">
            <w:pPr>
              <w:ind w:left="113" w:right="113"/>
              <w:jc w:val="center"/>
              <w:rPr>
                <w:rFonts w:cs="Times New Roman"/>
                <w:b/>
                <w:bCs/>
                <w:color w:val="000000"/>
                <w:sz w:val="18"/>
                <w:szCs w:val="18"/>
              </w:rPr>
            </w:pPr>
            <w:r w:rsidRPr="00DF6C69">
              <w:rPr>
                <w:rFonts w:cs="Times New Roman"/>
                <w:b/>
                <w:bCs/>
                <w:color w:val="000000"/>
                <w:sz w:val="18"/>
                <w:szCs w:val="18"/>
              </w:rPr>
              <w:t>Specificity to PCa</w:t>
            </w:r>
            <w:r w:rsidR="00D61BA7" w:rsidRPr="00DF6C69">
              <w:rPr>
                <w:rFonts w:cs="Times New Roman"/>
                <w:b/>
                <w:bCs/>
                <w:color w:val="000000"/>
                <w:sz w:val="18"/>
                <w:szCs w:val="18"/>
                <w:vertAlign w:val="superscript"/>
              </w:rPr>
              <w:t xml:space="preserve">4 </w:t>
            </w:r>
            <w:r w:rsidRPr="00DF6C69">
              <w:rPr>
                <w:rFonts w:cs="Times New Roman"/>
                <w:b/>
                <w:bCs/>
                <w:color w:val="000000"/>
                <w:sz w:val="18"/>
                <w:szCs w:val="18"/>
              </w:rPr>
              <w:t xml:space="preserve"> </w:t>
            </w:r>
          </w:p>
        </w:tc>
      </w:tr>
      <w:tr w:rsidR="00576A52" w:rsidRPr="00DF6C69" w14:paraId="64F76796" w14:textId="39C7922A" w:rsidTr="00576A52">
        <w:trPr>
          <w:cantSplit/>
          <w:trHeight w:val="1384"/>
        </w:trPr>
        <w:tc>
          <w:tcPr>
            <w:tcW w:w="2407" w:type="dxa"/>
            <w:gridSpan w:val="2"/>
            <w:vMerge/>
            <w:shd w:val="clear" w:color="auto" w:fill="D9E2F3" w:themeFill="accent1" w:themeFillTint="33"/>
            <w:noWrap/>
            <w:textDirection w:val="btLr"/>
            <w:vAlign w:val="center"/>
          </w:tcPr>
          <w:p w14:paraId="75045A16" w14:textId="77777777" w:rsidR="005B2AEB" w:rsidRPr="00DF6C69" w:rsidRDefault="005B2AEB" w:rsidP="005B2AEB">
            <w:pPr>
              <w:ind w:left="113" w:right="113"/>
              <w:jc w:val="center"/>
              <w:rPr>
                <w:rFonts w:cs="Times New Roman"/>
                <w:b/>
                <w:color w:val="000000"/>
                <w:sz w:val="18"/>
                <w:szCs w:val="18"/>
              </w:rPr>
            </w:pPr>
          </w:p>
        </w:tc>
        <w:tc>
          <w:tcPr>
            <w:tcW w:w="990" w:type="dxa"/>
            <w:vMerge/>
            <w:shd w:val="clear" w:color="auto" w:fill="D9E2F3" w:themeFill="accent1" w:themeFillTint="33"/>
            <w:textDirection w:val="btLr"/>
            <w:vAlign w:val="center"/>
          </w:tcPr>
          <w:p w14:paraId="4300F9EC" w14:textId="77777777" w:rsidR="005B2AEB" w:rsidRPr="00DF6C69" w:rsidRDefault="005B2AEB" w:rsidP="005B2AEB">
            <w:pPr>
              <w:ind w:left="113" w:right="113"/>
              <w:jc w:val="center"/>
              <w:rPr>
                <w:rFonts w:cs="Times New Roman"/>
                <w:b/>
                <w:bCs/>
                <w:color w:val="000000"/>
                <w:sz w:val="18"/>
                <w:szCs w:val="18"/>
              </w:rPr>
            </w:pPr>
          </w:p>
        </w:tc>
        <w:tc>
          <w:tcPr>
            <w:tcW w:w="693" w:type="dxa"/>
            <w:shd w:val="clear" w:color="auto" w:fill="D9E2F3" w:themeFill="accent1" w:themeFillTint="33"/>
            <w:noWrap/>
            <w:textDirection w:val="btLr"/>
            <w:vAlign w:val="center"/>
          </w:tcPr>
          <w:p w14:paraId="1780BD5C" w14:textId="6B44FC5A" w:rsidR="005B2AEB" w:rsidRPr="00DF6C69" w:rsidRDefault="005B2AEB" w:rsidP="005B2AEB">
            <w:pPr>
              <w:ind w:left="113" w:right="113"/>
              <w:jc w:val="center"/>
              <w:rPr>
                <w:rFonts w:cs="Times New Roman"/>
                <w:b/>
                <w:bCs/>
                <w:color w:val="000000"/>
                <w:sz w:val="18"/>
                <w:szCs w:val="18"/>
              </w:rPr>
            </w:pPr>
            <w:r w:rsidRPr="00DF6C69">
              <w:rPr>
                <w:rFonts w:cs="Times New Roman"/>
                <w:b/>
                <w:bCs/>
                <w:color w:val="000000"/>
                <w:sz w:val="18"/>
                <w:szCs w:val="18"/>
              </w:rPr>
              <w:t>Breast Cancer</w:t>
            </w:r>
          </w:p>
        </w:tc>
        <w:tc>
          <w:tcPr>
            <w:tcW w:w="693" w:type="dxa"/>
            <w:shd w:val="clear" w:color="auto" w:fill="D9E2F3" w:themeFill="accent1" w:themeFillTint="33"/>
            <w:noWrap/>
            <w:textDirection w:val="btLr"/>
            <w:vAlign w:val="center"/>
          </w:tcPr>
          <w:p w14:paraId="40ED381B" w14:textId="6A6E67CC" w:rsidR="005B2AEB" w:rsidRPr="00DF6C69" w:rsidRDefault="005B2AEB" w:rsidP="005B2AEB">
            <w:pPr>
              <w:ind w:left="113" w:right="113"/>
              <w:jc w:val="center"/>
              <w:rPr>
                <w:rFonts w:cs="Times New Roman"/>
                <w:b/>
                <w:bCs/>
                <w:color w:val="000000"/>
                <w:sz w:val="18"/>
                <w:szCs w:val="18"/>
              </w:rPr>
            </w:pPr>
            <w:r w:rsidRPr="00DF6C69">
              <w:rPr>
                <w:rFonts w:cs="Times New Roman"/>
                <w:b/>
                <w:bCs/>
                <w:color w:val="000000"/>
                <w:sz w:val="18"/>
                <w:szCs w:val="18"/>
              </w:rPr>
              <w:t xml:space="preserve">Colorectal Cancer </w:t>
            </w:r>
          </w:p>
        </w:tc>
        <w:tc>
          <w:tcPr>
            <w:tcW w:w="693" w:type="dxa"/>
            <w:shd w:val="clear" w:color="auto" w:fill="D9E2F3" w:themeFill="accent1" w:themeFillTint="33"/>
            <w:noWrap/>
            <w:textDirection w:val="btLr"/>
            <w:vAlign w:val="center"/>
          </w:tcPr>
          <w:p w14:paraId="678E3ACC" w14:textId="7A0A3C07" w:rsidR="005B2AEB" w:rsidRPr="00DF6C69" w:rsidRDefault="005B2AEB" w:rsidP="005B2AEB">
            <w:pPr>
              <w:ind w:left="113" w:right="113"/>
              <w:jc w:val="center"/>
              <w:rPr>
                <w:rFonts w:cs="Times New Roman"/>
                <w:b/>
                <w:bCs/>
                <w:color w:val="000000"/>
                <w:sz w:val="18"/>
                <w:szCs w:val="18"/>
              </w:rPr>
            </w:pPr>
            <w:r w:rsidRPr="00DF6C69">
              <w:rPr>
                <w:rFonts w:cs="Times New Roman"/>
                <w:b/>
                <w:bCs/>
                <w:color w:val="000000"/>
                <w:sz w:val="18"/>
                <w:szCs w:val="18"/>
              </w:rPr>
              <w:t xml:space="preserve">Pancreas Cancer </w:t>
            </w:r>
          </w:p>
        </w:tc>
        <w:tc>
          <w:tcPr>
            <w:tcW w:w="756" w:type="dxa"/>
            <w:gridSpan w:val="2"/>
            <w:shd w:val="clear" w:color="auto" w:fill="D9E2F3" w:themeFill="accent1" w:themeFillTint="33"/>
            <w:textDirection w:val="btLr"/>
            <w:vAlign w:val="center"/>
          </w:tcPr>
          <w:p w14:paraId="56729FE4" w14:textId="71281506" w:rsidR="005B2AEB" w:rsidRPr="00DF6C69" w:rsidRDefault="005B2AEB" w:rsidP="005B2AEB">
            <w:pPr>
              <w:ind w:left="113" w:right="113"/>
              <w:jc w:val="center"/>
              <w:rPr>
                <w:rFonts w:cs="Times New Roman"/>
                <w:b/>
                <w:bCs/>
                <w:color w:val="000000"/>
                <w:sz w:val="18"/>
                <w:szCs w:val="18"/>
              </w:rPr>
            </w:pPr>
            <w:r w:rsidRPr="00DF6C69">
              <w:rPr>
                <w:rFonts w:cs="Times New Roman"/>
                <w:b/>
                <w:bCs/>
                <w:color w:val="000000"/>
                <w:sz w:val="18"/>
                <w:szCs w:val="18"/>
              </w:rPr>
              <w:t xml:space="preserve">Ovarian, </w:t>
            </w:r>
            <w:r w:rsidRPr="00DF6C69">
              <w:rPr>
                <w:rFonts w:cs="Times New Roman"/>
                <w:b/>
                <w:bCs/>
                <w:color w:val="000000"/>
                <w:sz w:val="18"/>
                <w:szCs w:val="18"/>
              </w:rPr>
              <w:br/>
              <w:t xml:space="preserve">Uterus Cervix cancer </w:t>
            </w:r>
          </w:p>
        </w:tc>
        <w:tc>
          <w:tcPr>
            <w:tcW w:w="630" w:type="dxa"/>
            <w:shd w:val="clear" w:color="auto" w:fill="D9E2F3" w:themeFill="accent1" w:themeFillTint="33"/>
            <w:noWrap/>
            <w:textDirection w:val="btLr"/>
            <w:vAlign w:val="center"/>
          </w:tcPr>
          <w:p w14:paraId="066CCA5E" w14:textId="1939CE97" w:rsidR="005B2AEB" w:rsidRPr="00DF6C69" w:rsidRDefault="005B2AEB" w:rsidP="005B2AEB">
            <w:pPr>
              <w:ind w:left="113" w:right="113"/>
              <w:jc w:val="center"/>
              <w:rPr>
                <w:rFonts w:cs="Times New Roman"/>
                <w:b/>
                <w:bCs/>
                <w:color w:val="000000"/>
                <w:sz w:val="18"/>
                <w:szCs w:val="18"/>
              </w:rPr>
            </w:pPr>
            <w:r w:rsidRPr="00DF6C69">
              <w:rPr>
                <w:rFonts w:cs="Times New Roman"/>
                <w:b/>
                <w:bCs/>
                <w:color w:val="000000"/>
                <w:sz w:val="18"/>
                <w:szCs w:val="18"/>
              </w:rPr>
              <w:t xml:space="preserve">Oesophageal Cancer </w:t>
            </w:r>
          </w:p>
        </w:tc>
        <w:tc>
          <w:tcPr>
            <w:tcW w:w="693" w:type="dxa"/>
            <w:tcBorders>
              <w:right w:val="single" w:sz="4" w:space="0" w:color="auto"/>
            </w:tcBorders>
            <w:shd w:val="clear" w:color="auto" w:fill="D9E2F3" w:themeFill="accent1" w:themeFillTint="33"/>
            <w:noWrap/>
            <w:textDirection w:val="btLr"/>
            <w:vAlign w:val="center"/>
          </w:tcPr>
          <w:p w14:paraId="169C3824" w14:textId="62160388" w:rsidR="005B2AEB" w:rsidRPr="00DF6C69" w:rsidRDefault="005B2AEB" w:rsidP="005B2AEB">
            <w:pPr>
              <w:ind w:left="113" w:right="113"/>
              <w:jc w:val="center"/>
              <w:rPr>
                <w:rFonts w:cs="Times New Roman"/>
                <w:b/>
                <w:bCs/>
                <w:color w:val="000000"/>
                <w:sz w:val="18"/>
                <w:szCs w:val="18"/>
              </w:rPr>
            </w:pPr>
            <w:r w:rsidRPr="00DF6C69">
              <w:rPr>
                <w:rFonts w:cs="Times New Roman"/>
                <w:b/>
                <w:bCs/>
                <w:color w:val="000000"/>
                <w:sz w:val="18"/>
                <w:szCs w:val="18"/>
              </w:rPr>
              <w:t xml:space="preserve">Lung Cancer </w:t>
            </w:r>
          </w:p>
        </w:tc>
        <w:tc>
          <w:tcPr>
            <w:tcW w:w="693" w:type="dxa"/>
            <w:tcBorders>
              <w:left w:val="single" w:sz="4" w:space="0" w:color="auto"/>
            </w:tcBorders>
            <w:shd w:val="clear" w:color="auto" w:fill="D9E2F3" w:themeFill="accent1" w:themeFillTint="33"/>
            <w:noWrap/>
            <w:textDirection w:val="btLr"/>
            <w:vAlign w:val="center"/>
          </w:tcPr>
          <w:p w14:paraId="02227534" w14:textId="01926B0D" w:rsidR="005B2AEB" w:rsidRPr="00DF6C69" w:rsidRDefault="005B2AEB" w:rsidP="005B2AEB">
            <w:pPr>
              <w:ind w:left="113" w:right="113"/>
              <w:jc w:val="center"/>
              <w:rPr>
                <w:rFonts w:cs="Times New Roman"/>
                <w:b/>
                <w:bCs/>
                <w:color w:val="000000"/>
                <w:sz w:val="18"/>
                <w:szCs w:val="18"/>
              </w:rPr>
            </w:pPr>
            <w:r w:rsidRPr="00DF6C69">
              <w:rPr>
                <w:rFonts w:cs="Times New Roman"/>
                <w:b/>
                <w:bCs/>
                <w:color w:val="000000"/>
                <w:sz w:val="18"/>
                <w:szCs w:val="18"/>
              </w:rPr>
              <w:t xml:space="preserve">Leukaemia </w:t>
            </w:r>
          </w:p>
        </w:tc>
        <w:tc>
          <w:tcPr>
            <w:tcW w:w="536" w:type="dxa"/>
            <w:tcBorders>
              <w:left w:val="single" w:sz="4" w:space="0" w:color="auto"/>
            </w:tcBorders>
            <w:shd w:val="clear" w:color="auto" w:fill="D9E2F3" w:themeFill="accent1" w:themeFillTint="33"/>
            <w:textDirection w:val="btLr"/>
            <w:vAlign w:val="center"/>
          </w:tcPr>
          <w:p w14:paraId="7EF7013C" w14:textId="5E97C1D0" w:rsidR="005B2AEB" w:rsidRPr="00DF6C69" w:rsidRDefault="005B2AEB" w:rsidP="005B2AEB">
            <w:pPr>
              <w:ind w:left="113" w:right="113"/>
              <w:jc w:val="center"/>
              <w:rPr>
                <w:rFonts w:cs="Times New Roman"/>
                <w:b/>
                <w:bCs/>
                <w:color w:val="000000"/>
                <w:sz w:val="18"/>
                <w:szCs w:val="18"/>
              </w:rPr>
            </w:pPr>
            <w:r w:rsidRPr="00DF6C69">
              <w:rPr>
                <w:rFonts w:cs="Times New Roman"/>
                <w:b/>
                <w:bCs/>
                <w:color w:val="000000"/>
                <w:sz w:val="18"/>
                <w:szCs w:val="18"/>
              </w:rPr>
              <w:t xml:space="preserve">Brain Cancer </w:t>
            </w:r>
          </w:p>
        </w:tc>
        <w:tc>
          <w:tcPr>
            <w:tcW w:w="850" w:type="dxa"/>
            <w:vMerge/>
            <w:shd w:val="clear" w:color="auto" w:fill="D9E2F3" w:themeFill="accent1" w:themeFillTint="33"/>
            <w:textDirection w:val="btLr"/>
          </w:tcPr>
          <w:p w14:paraId="383F1553" w14:textId="382D5B78" w:rsidR="005B2AEB" w:rsidRPr="00DF6C69" w:rsidRDefault="005B2AEB" w:rsidP="005B2AEB">
            <w:pPr>
              <w:ind w:left="113" w:right="113"/>
              <w:jc w:val="center"/>
              <w:rPr>
                <w:rFonts w:cs="Times New Roman"/>
                <w:b/>
                <w:bCs/>
                <w:color w:val="000000"/>
                <w:sz w:val="18"/>
                <w:szCs w:val="18"/>
              </w:rPr>
            </w:pPr>
          </w:p>
        </w:tc>
      </w:tr>
      <w:tr w:rsidR="005B2AEB" w:rsidRPr="00DF6C69" w14:paraId="148E2D8D" w14:textId="6721D03D" w:rsidTr="00576A52">
        <w:trPr>
          <w:trHeight w:val="113"/>
        </w:trPr>
        <w:tc>
          <w:tcPr>
            <w:tcW w:w="2407" w:type="dxa"/>
            <w:gridSpan w:val="2"/>
            <w:shd w:val="clear" w:color="auto" w:fill="FFF2CC" w:themeFill="accent4" w:themeFillTint="33"/>
            <w:vAlign w:val="center"/>
          </w:tcPr>
          <w:p w14:paraId="05EFDD7A"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Choline</w:t>
            </w:r>
          </w:p>
        </w:tc>
        <w:tc>
          <w:tcPr>
            <w:tcW w:w="990" w:type="dxa"/>
            <w:vAlign w:val="center"/>
          </w:tcPr>
          <w:p w14:paraId="5E1054C1"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vAlign w:val="center"/>
          </w:tcPr>
          <w:p w14:paraId="33905C3C"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442F47C2"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64E0AEC6"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1A9DBED8" w14:textId="77777777" w:rsidR="005B2AEB" w:rsidRPr="00DF6C69" w:rsidRDefault="005B2AEB" w:rsidP="005B2AEB">
            <w:pPr>
              <w:jc w:val="center"/>
              <w:rPr>
                <w:rFonts w:cs="Times New Roman"/>
                <w:color w:val="000000"/>
                <w:sz w:val="18"/>
                <w:szCs w:val="18"/>
              </w:rPr>
            </w:pPr>
          </w:p>
        </w:tc>
        <w:tc>
          <w:tcPr>
            <w:tcW w:w="630" w:type="dxa"/>
            <w:noWrap/>
            <w:vAlign w:val="center"/>
          </w:tcPr>
          <w:p w14:paraId="30AF20F0" w14:textId="77777777" w:rsidR="005B2AEB" w:rsidRPr="00DF6C69" w:rsidRDefault="005B2AEB" w:rsidP="005B2AEB">
            <w:pPr>
              <w:jc w:val="center"/>
              <w:rPr>
                <w:rFonts w:cs="Times New Roman"/>
                <w:color w:val="000000"/>
                <w:sz w:val="18"/>
                <w:szCs w:val="18"/>
              </w:rPr>
            </w:pPr>
          </w:p>
        </w:tc>
        <w:tc>
          <w:tcPr>
            <w:tcW w:w="693" w:type="dxa"/>
            <w:vAlign w:val="center"/>
          </w:tcPr>
          <w:p w14:paraId="498F6111"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1C8BA6C4"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34895BA9" w14:textId="77777777" w:rsidR="005B2AEB" w:rsidRPr="00DF6C69" w:rsidRDefault="005B2AEB" w:rsidP="005B2AEB">
            <w:pPr>
              <w:jc w:val="center"/>
              <w:rPr>
                <w:rFonts w:cs="Times New Roman"/>
                <w:color w:val="000000"/>
                <w:sz w:val="18"/>
                <w:szCs w:val="18"/>
              </w:rPr>
            </w:pPr>
          </w:p>
        </w:tc>
        <w:tc>
          <w:tcPr>
            <w:tcW w:w="850" w:type="dxa"/>
          </w:tcPr>
          <w:p w14:paraId="173EB21E" w14:textId="723C9F4D" w:rsidR="005B2AEB" w:rsidRPr="00DF6C69" w:rsidRDefault="005B2AEB" w:rsidP="005B2AEB">
            <w:pPr>
              <w:jc w:val="center"/>
              <w:rPr>
                <w:rFonts w:cs="Times New Roman"/>
                <w:color w:val="000000"/>
                <w:sz w:val="18"/>
                <w:szCs w:val="18"/>
              </w:rPr>
            </w:pPr>
            <w:r w:rsidRPr="00DF6C69">
              <w:rPr>
                <w:rFonts w:cs="Times New Roman"/>
                <w:color w:val="000000"/>
                <w:sz w:val="18"/>
                <w:szCs w:val="18"/>
              </w:rPr>
              <w:t>Low</w:t>
            </w:r>
          </w:p>
        </w:tc>
      </w:tr>
      <w:tr w:rsidR="005B2AEB" w:rsidRPr="00DF6C69" w14:paraId="52D8B994" w14:textId="5B43E956" w:rsidTr="00576A52">
        <w:trPr>
          <w:trHeight w:val="113"/>
        </w:trPr>
        <w:tc>
          <w:tcPr>
            <w:tcW w:w="2407" w:type="dxa"/>
            <w:gridSpan w:val="2"/>
            <w:shd w:val="clear" w:color="auto" w:fill="FFF2CC" w:themeFill="accent4" w:themeFillTint="33"/>
            <w:vAlign w:val="center"/>
          </w:tcPr>
          <w:p w14:paraId="2D7634D1" w14:textId="77777777" w:rsidR="005B2AEB" w:rsidRPr="00DF6C69" w:rsidRDefault="005B2AEB" w:rsidP="005B2AEB">
            <w:pPr>
              <w:jc w:val="center"/>
              <w:rPr>
                <w:rFonts w:ascii="Times New Roman" w:hAnsi="Times New Roman" w:cs="Times New Roman"/>
                <w:sz w:val="18"/>
                <w:szCs w:val="18"/>
              </w:rPr>
            </w:pPr>
            <w:proofErr w:type="spellStart"/>
            <w:r w:rsidRPr="00DF6C69">
              <w:rPr>
                <w:rFonts w:ascii="Times New Roman" w:hAnsi="Times New Roman" w:cs="Times New Roman"/>
                <w:sz w:val="18"/>
                <w:szCs w:val="18"/>
              </w:rPr>
              <w:t>Formate</w:t>
            </w:r>
            <w:proofErr w:type="spellEnd"/>
          </w:p>
        </w:tc>
        <w:tc>
          <w:tcPr>
            <w:tcW w:w="990" w:type="dxa"/>
            <w:vAlign w:val="center"/>
          </w:tcPr>
          <w:p w14:paraId="2AD5116A"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vAlign w:val="center"/>
          </w:tcPr>
          <w:p w14:paraId="4B09E108" w14:textId="77777777" w:rsidR="005B2AEB" w:rsidRPr="00DF6C69" w:rsidRDefault="005B2AEB" w:rsidP="005B2AEB">
            <w:pPr>
              <w:jc w:val="center"/>
              <w:rPr>
                <w:rFonts w:cs="Times New Roman"/>
                <w:color w:val="000000"/>
                <w:sz w:val="18"/>
                <w:szCs w:val="18"/>
              </w:rPr>
            </w:pPr>
          </w:p>
        </w:tc>
        <w:tc>
          <w:tcPr>
            <w:tcW w:w="693" w:type="dxa"/>
            <w:vAlign w:val="center"/>
          </w:tcPr>
          <w:p w14:paraId="550ABB5C" w14:textId="77777777" w:rsidR="005B2AEB" w:rsidRPr="00DF6C69" w:rsidRDefault="005B2AEB" w:rsidP="005B2AEB">
            <w:pPr>
              <w:jc w:val="center"/>
              <w:rPr>
                <w:rFonts w:cs="Times New Roman"/>
                <w:color w:val="000000"/>
                <w:sz w:val="18"/>
                <w:szCs w:val="18"/>
              </w:rPr>
            </w:pPr>
          </w:p>
        </w:tc>
        <w:tc>
          <w:tcPr>
            <w:tcW w:w="693" w:type="dxa"/>
            <w:vAlign w:val="center"/>
          </w:tcPr>
          <w:p w14:paraId="17C28EE4"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1DF08BD5" w14:textId="77777777" w:rsidR="005B2AEB" w:rsidRPr="00DF6C69" w:rsidRDefault="005B2AEB" w:rsidP="005B2AEB">
            <w:pPr>
              <w:jc w:val="center"/>
              <w:rPr>
                <w:rFonts w:cs="Times New Roman"/>
                <w:color w:val="000000"/>
                <w:sz w:val="18"/>
                <w:szCs w:val="18"/>
              </w:rPr>
            </w:pPr>
          </w:p>
        </w:tc>
        <w:tc>
          <w:tcPr>
            <w:tcW w:w="630" w:type="dxa"/>
            <w:noWrap/>
            <w:vAlign w:val="center"/>
          </w:tcPr>
          <w:p w14:paraId="30313D67" w14:textId="77777777" w:rsidR="005B2AEB" w:rsidRPr="00DF6C69" w:rsidRDefault="005B2AEB" w:rsidP="005B2AEB">
            <w:pPr>
              <w:jc w:val="center"/>
              <w:rPr>
                <w:rFonts w:cs="Times New Roman"/>
                <w:color w:val="000000"/>
                <w:sz w:val="18"/>
                <w:szCs w:val="18"/>
              </w:rPr>
            </w:pPr>
          </w:p>
        </w:tc>
        <w:tc>
          <w:tcPr>
            <w:tcW w:w="693" w:type="dxa"/>
            <w:vAlign w:val="center"/>
          </w:tcPr>
          <w:p w14:paraId="6C0D55C8" w14:textId="77777777" w:rsidR="005B2AEB" w:rsidRPr="00DF6C69" w:rsidRDefault="005B2AEB" w:rsidP="005B2AEB">
            <w:pPr>
              <w:jc w:val="center"/>
              <w:rPr>
                <w:rFonts w:cs="Times New Roman"/>
                <w:color w:val="000000"/>
                <w:sz w:val="18"/>
                <w:szCs w:val="18"/>
              </w:rPr>
            </w:pPr>
          </w:p>
        </w:tc>
        <w:tc>
          <w:tcPr>
            <w:tcW w:w="693" w:type="dxa"/>
            <w:vAlign w:val="center"/>
          </w:tcPr>
          <w:p w14:paraId="56A0D0CB"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7276CE64" w14:textId="77777777" w:rsidR="005B2AEB" w:rsidRPr="00DF6C69" w:rsidRDefault="005B2AEB" w:rsidP="005B2AEB">
            <w:pPr>
              <w:jc w:val="center"/>
              <w:rPr>
                <w:rFonts w:cs="Times New Roman"/>
                <w:color w:val="000000"/>
                <w:sz w:val="18"/>
                <w:szCs w:val="18"/>
              </w:rPr>
            </w:pPr>
          </w:p>
        </w:tc>
        <w:tc>
          <w:tcPr>
            <w:tcW w:w="850" w:type="dxa"/>
          </w:tcPr>
          <w:p w14:paraId="575B6A2C" w14:textId="244CE6C2"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1809845F" w14:textId="69050355" w:rsidTr="00576A52">
        <w:trPr>
          <w:trHeight w:val="113"/>
        </w:trPr>
        <w:tc>
          <w:tcPr>
            <w:tcW w:w="2407" w:type="dxa"/>
            <w:gridSpan w:val="2"/>
            <w:shd w:val="clear" w:color="auto" w:fill="FFF2CC" w:themeFill="accent4" w:themeFillTint="33"/>
            <w:vAlign w:val="center"/>
          </w:tcPr>
          <w:p w14:paraId="5F54484B"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Glucose</w:t>
            </w:r>
          </w:p>
        </w:tc>
        <w:tc>
          <w:tcPr>
            <w:tcW w:w="990" w:type="dxa"/>
            <w:vAlign w:val="center"/>
          </w:tcPr>
          <w:p w14:paraId="3F6643CE"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vAlign w:val="center"/>
          </w:tcPr>
          <w:p w14:paraId="51441884"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3C6D6242"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4B5F63CE"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2584A9E8" w14:textId="77777777" w:rsidR="005B2AEB" w:rsidRPr="00DF6C69" w:rsidRDefault="005B2AEB" w:rsidP="005B2AEB">
            <w:pPr>
              <w:jc w:val="center"/>
              <w:rPr>
                <w:rFonts w:cs="Times New Roman"/>
                <w:color w:val="000000"/>
                <w:sz w:val="18"/>
                <w:szCs w:val="18"/>
              </w:rPr>
            </w:pPr>
          </w:p>
        </w:tc>
        <w:tc>
          <w:tcPr>
            <w:tcW w:w="630" w:type="dxa"/>
            <w:noWrap/>
            <w:vAlign w:val="center"/>
          </w:tcPr>
          <w:p w14:paraId="6D76FB7A"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089A5B21" w14:textId="77777777" w:rsidR="005B2AEB" w:rsidRPr="00DF6C69" w:rsidRDefault="005B2AEB" w:rsidP="005B2AEB">
            <w:pPr>
              <w:jc w:val="center"/>
              <w:rPr>
                <w:rFonts w:cs="Times New Roman"/>
                <w:color w:val="000000"/>
                <w:sz w:val="18"/>
                <w:szCs w:val="18"/>
              </w:rPr>
            </w:pPr>
          </w:p>
        </w:tc>
        <w:tc>
          <w:tcPr>
            <w:tcW w:w="693" w:type="dxa"/>
            <w:vAlign w:val="center"/>
          </w:tcPr>
          <w:p w14:paraId="24A6B25E"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2A158E86" w14:textId="77777777" w:rsidR="005B2AEB" w:rsidRPr="00DF6C69" w:rsidRDefault="005B2AEB" w:rsidP="005B2AEB">
            <w:pPr>
              <w:jc w:val="center"/>
              <w:rPr>
                <w:rFonts w:cs="Times New Roman"/>
                <w:color w:val="000000"/>
                <w:sz w:val="18"/>
                <w:szCs w:val="18"/>
              </w:rPr>
            </w:pPr>
          </w:p>
        </w:tc>
        <w:tc>
          <w:tcPr>
            <w:tcW w:w="850" w:type="dxa"/>
          </w:tcPr>
          <w:p w14:paraId="005DBC8F" w14:textId="7B493749" w:rsidR="005B2AEB" w:rsidRPr="00DF6C69" w:rsidRDefault="005B2AEB" w:rsidP="005B2AEB">
            <w:pPr>
              <w:jc w:val="center"/>
              <w:rPr>
                <w:rFonts w:cs="Times New Roman"/>
                <w:color w:val="000000"/>
                <w:sz w:val="18"/>
                <w:szCs w:val="18"/>
              </w:rPr>
            </w:pPr>
            <w:r w:rsidRPr="00DF6C69">
              <w:rPr>
                <w:rFonts w:cs="Times New Roman"/>
                <w:color w:val="000000"/>
                <w:sz w:val="18"/>
                <w:szCs w:val="18"/>
              </w:rPr>
              <w:t>Low</w:t>
            </w:r>
          </w:p>
        </w:tc>
      </w:tr>
      <w:tr w:rsidR="005B2AEB" w:rsidRPr="00DF6C69" w14:paraId="7E276703" w14:textId="271763E9" w:rsidTr="00576A52">
        <w:trPr>
          <w:trHeight w:val="113"/>
        </w:trPr>
        <w:tc>
          <w:tcPr>
            <w:tcW w:w="2407" w:type="dxa"/>
            <w:gridSpan w:val="2"/>
            <w:shd w:val="clear" w:color="auto" w:fill="FFF2CC" w:themeFill="accent4" w:themeFillTint="33"/>
            <w:vAlign w:val="center"/>
          </w:tcPr>
          <w:p w14:paraId="4027F43F"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Lactate</w:t>
            </w:r>
          </w:p>
        </w:tc>
        <w:tc>
          <w:tcPr>
            <w:tcW w:w="990" w:type="dxa"/>
            <w:vAlign w:val="center"/>
          </w:tcPr>
          <w:p w14:paraId="57D1F684"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vAlign w:val="center"/>
          </w:tcPr>
          <w:p w14:paraId="2CEB19CB" w14:textId="77777777" w:rsidR="005B2AEB" w:rsidRPr="00DF6C69" w:rsidRDefault="005B2AEB" w:rsidP="005B2AEB">
            <w:pPr>
              <w:jc w:val="center"/>
              <w:rPr>
                <w:rFonts w:cs="Times New Roman"/>
                <w:color w:val="000000"/>
                <w:sz w:val="18"/>
                <w:szCs w:val="18"/>
              </w:rPr>
            </w:pPr>
          </w:p>
        </w:tc>
        <w:tc>
          <w:tcPr>
            <w:tcW w:w="693" w:type="dxa"/>
            <w:vAlign w:val="center"/>
          </w:tcPr>
          <w:p w14:paraId="5249538B"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6216CA52"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1F5C88ED" w14:textId="77777777" w:rsidR="005B2AEB" w:rsidRPr="00DF6C69" w:rsidRDefault="005B2AEB" w:rsidP="005B2AEB">
            <w:pPr>
              <w:jc w:val="center"/>
              <w:rPr>
                <w:rFonts w:cs="Times New Roman"/>
                <w:color w:val="000000"/>
                <w:sz w:val="18"/>
                <w:szCs w:val="18"/>
              </w:rPr>
            </w:pPr>
          </w:p>
        </w:tc>
        <w:tc>
          <w:tcPr>
            <w:tcW w:w="630" w:type="dxa"/>
            <w:noWrap/>
            <w:vAlign w:val="center"/>
          </w:tcPr>
          <w:p w14:paraId="3BFDBD78"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105A887A" w14:textId="77777777" w:rsidR="005B2AEB" w:rsidRPr="00DF6C69" w:rsidRDefault="005B2AEB" w:rsidP="005B2AEB">
            <w:pPr>
              <w:jc w:val="center"/>
              <w:rPr>
                <w:rFonts w:cs="Times New Roman"/>
                <w:color w:val="000000"/>
                <w:sz w:val="18"/>
                <w:szCs w:val="18"/>
              </w:rPr>
            </w:pPr>
          </w:p>
        </w:tc>
        <w:tc>
          <w:tcPr>
            <w:tcW w:w="693" w:type="dxa"/>
            <w:vAlign w:val="center"/>
          </w:tcPr>
          <w:p w14:paraId="7C3268AA"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34E63260"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850" w:type="dxa"/>
          </w:tcPr>
          <w:p w14:paraId="4760B0B2" w14:textId="65833381" w:rsidR="005B2AEB" w:rsidRPr="00DF6C69" w:rsidRDefault="005B2AEB" w:rsidP="005B2AEB">
            <w:pPr>
              <w:jc w:val="center"/>
              <w:rPr>
                <w:rFonts w:cs="Times New Roman"/>
                <w:color w:val="000000"/>
                <w:sz w:val="18"/>
                <w:szCs w:val="18"/>
              </w:rPr>
            </w:pPr>
            <w:r w:rsidRPr="00DF6C69">
              <w:rPr>
                <w:rFonts w:cs="Times New Roman"/>
                <w:color w:val="000000"/>
                <w:sz w:val="18"/>
                <w:szCs w:val="18"/>
              </w:rPr>
              <w:t>Low</w:t>
            </w:r>
          </w:p>
        </w:tc>
      </w:tr>
      <w:tr w:rsidR="005B2AEB" w:rsidRPr="00DF6C69" w14:paraId="41CCAF05" w14:textId="636776BA" w:rsidTr="00576A52">
        <w:trPr>
          <w:trHeight w:val="113"/>
        </w:trPr>
        <w:tc>
          <w:tcPr>
            <w:tcW w:w="2407" w:type="dxa"/>
            <w:gridSpan w:val="2"/>
            <w:shd w:val="clear" w:color="auto" w:fill="FFF2CC" w:themeFill="accent4" w:themeFillTint="33"/>
            <w:vAlign w:val="center"/>
          </w:tcPr>
          <w:p w14:paraId="48A7CBA3"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Sarcosine</w:t>
            </w:r>
          </w:p>
        </w:tc>
        <w:tc>
          <w:tcPr>
            <w:tcW w:w="990" w:type="dxa"/>
            <w:vAlign w:val="center"/>
          </w:tcPr>
          <w:p w14:paraId="683BF545"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vAlign w:val="center"/>
          </w:tcPr>
          <w:p w14:paraId="5F3D35BA" w14:textId="77777777" w:rsidR="005B2AEB" w:rsidRPr="00DF6C69" w:rsidRDefault="005B2AEB" w:rsidP="005B2AEB">
            <w:pPr>
              <w:jc w:val="center"/>
              <w:rPr>
                <w:rFonts w:cs="Times New Roman"/>
                <w:color w:val="000000"/>
                <w:sz w:val="18"/>
                <w:szCs w:val="18"/>
              </w:rPr>
            </w:pPr>
          </w:p>
        </w:tc>
        <w:tc>
          <w:tcPr>
            <w:tcW w:w="693" w:type="dxa"/>
            <w:vAlign w:val="center"/>
          </w:tcPr>
          <w:p w14:paraId="4A42FC5B"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06D81C75"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2BC86F79" w14:textId="77777777" w:rsidR="005B2AEB" w:rsidRPr="00DF6C69" w:rsidRDefault="005B2AEB" w:rsidP="005B2AEB">
            <w:pPr>
              <w:jc w:val="center"/>
              <w:rPr>
                <w:rFonts w:cs="Times New Roman"/>
                <w:color w:val="000000"/>
                <w:sz w:val="18"/>
                <w:szCs w:val="18"/>
              </w:rPr>
            </w:pPr>
          </w:p>
        </w:tc>
        <w:tc>
          <w:tcPr>
            <w:tcW w:w="630" w:type="dxa"/>
            <w:noWrap/>
            <w:vAlign w:val="center"/>
          </w:tcPr>
          <w:p w14:paraId="43694CEC" w14:textId="77777777" w:rsidR="005B2AEB" w:rsidRPr="00DF6C69" w:rsidRDefault="005B2AEB" w:rsidP="005B2AEB">
            <w:pPr>
              <w:jc w:val="center"/>
              <w:rPr>
                <w:rFonts w:cs="Times New Roman"/>
                <w:color w:val="000000"/>
                <w:sz w:val="18"/>
                <w:szCs w:val="18"/>
              </w:rPr>
            </w:pPr>
          </w:p>
        </w:tc>
        <w:tc>
          <w:tcPr>
            <w:tcW w:w="693" w:type="dxa"/>
            <w:vAlign w:val="center"/>
          </w:tcPr>
          <w:p w14:paraId="39B8DD04" w14:textId="77777777" w:rsidR="005B2AEB" w:rsidRPr="00DF6C69" w:rsidRDefault="005B2AEB" w:rsidP="005B2AEB">
            <w:pPr>
              <w:jc w:val="center"/>
              <w:rPr>
                <w:rFonts w:cs="Times New Roman"/>
                <w:color w:val="000000"/>
                <w:sz w:val="18"/>
                <w:szCs w:val="18"/>
              </w:rPr>
            </w:pPr>
          </w:p>
        </w:tc>
        <w:tc>
          <w:tcPr>
            <w:tcW w:w="693" w:type="dxa"/>
            <w:vAlign w:val="center"/>
          </w:tcPr>
          <w:p w14:paraId="0403AFC8" w14:textId="77777777" w:rsidR="005B2AEB" w:rsidRPr="00DF6C69" w:rsidRDefault="005B2AEB" w:rsidP="005B2AEB">
            <w:pPr>
              <w:jc w:val="center"/>
              <w:rPr>
                <w:rFonts w:cs="Times New Roman"/>
                <w:color w:val="000000"/>
                <w:sz w:val="18"/>
                <w:szCs w:val="18"/>
              </w:rPr>
            </w:pPr>
          </w:p>
        </w:tc>
        <w:tc>
          <w:tcPr>
            <w:tcW w:w="536" w:type="dxa"/>
          </w:tcPr>
          <w:p w14:paraId="1C7B5085" w14:textId="77777777" w:rsidR="005B2AEB" w:rsidRPr="00DF6C69" w:rsidRDefault="005B2AEB" w:rsidP="005B2AEB">
            <w:pPr>
              <w:jc w:val="center"/>
              <w:rPr>
                <w:rFonts w:cs="Times New Roman"/>
                <w:color w:val="000000"/>
                <w:sz w:val="18"/>
                <w:szCs w:val="18"/>
              </w:rPr>
            </w:pPr>
          </w:p>
        </w:tc>
        <w:tc>
          <w:tcPr>
            <w:tcW w:w="850" w:type="dxa"/>
          </w:tcPr>
          <w:p w14:paraId="1342A426" w14:textId="1123A1ED"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59D2B9BB" w14:textId="7EA012D4" w:rsidTr="00576A52">
        <w:trPr>
          <w:trHeight w:val="113"/>
        </w:trPr>
        <w:tc>
          <w:tcPr>
            <w:tcW w:w="2407" w:type="dxa"/>
            <w:gridSpan w:val="2"/>
            <w:shd w:val="clear" w:color="auto" w:fill="FFF2CC" w:themeFill="accent4" w:themeFillTint="33"/>
            <w:vAlign w:val="center"/>
          </w:tcPr>
          <w:p w14:paraId="64632F33"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Total LAA</w:t>
            </w:r>
            <w:r w:rsidRPr="00DF6C69">
              <w:rPr>
                <w:rFonts w:ascii="Times New Roman" w:hAnsi="Times New Roman" w:cs="Times New Roman"/>
                <w:sz w:val="18"/>
                <w:szCs w:val="18"/>
                <w:vertAlign w:val="superscript"/>
              </w:rPr>
              <w:t>2</w:t>
            </w:r>
          </w:p>
        </w:tc>
        <w:tc>
          <w:tcPr>
            <w:tcW w:w="990" w:type="dxa"/>
            <w:vAlign w:val="center"/>
          </w:tcPr>
          <w:p w14:paraId="4C16B64E"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vAlign w:val="center"/>
          </w:tcPr>
          <w:p w14:paraId="1E5CB511" w14:textId="77777777" w:rsidR="005B2AEB" w:rsidRPr="00DF6C69" w:rsidRDefault="005B2AEB" w:rsidP="005B2AEB">
            <w:pPr>
              <w:jc w:val="center"/>
              <w:rPr>
                <w:rFonts w:cs="Times New Roman"/>
                <w:color w:val="000000"/>
                <w:sz w:val="18"/>
                <w:szCs w:val="18"/>
              </w:rPr>
            </w:pPr>
          </w:p>
        </w:tc>
        <w:tc>
          <w:tcPr>
            <w:tcW w:w="693" w:type="dxa"/>
            <w:vAlign w:val="center"/>
          </w:tcPr>
          <w:p w14:paraId="659B01C6"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069FF667"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41BC8F5B" w14:textId="77777777" w:rsidR="005B2AEB" w:rsidRPr="00DF6C69" w:rsidRDefault="005B2AEB" w:rsidP="005B2AEB">
            <w:pPr>
              <w:jc w:val="center"/>
              <w:rPr>
                <w:rFonts w:cs="Times New Roman"/>
                <w:color w:val="000000"/>
                <w:sz w:val="18"/>
                <w:szCs w:val="18"/>
              </w:rPr>
            </w:pPr>
          </w:p>
        </w:tc>
        <w:tc>
          <w:tcPr>
            <w:tcW w:w="630" w:type="dxa"/>
            <w:noWrap/>
            <w:vAlign w:val="center"/>
          </w:tcPr>
          <w:p w14:paraId="79D469E6"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64EFA692" w14:textId="77777777" w:rsidR="005B2AEB" w:rsidRPr="00DF6C69" w:rsidRDefault="005B2AEB" w:rsidP="005B2AEB">
            <w:pPr>
              <w:jc w:val="center"/>
              <w:rPr>
                <w:rFonts w:cs="Times New Roman"/>
                <w:color w:val="000000"/>
                <w:sz w:val="18"/>
                <w:szCs w:val="18"/>
              </w:rPr>
            </w:pPr>
          </w:p>
        </w:tc>
        <w:tc>
          <w:tcPr>
            <w:tcW w:w="693" w:type="dxa"/>
            <w:vAlign w:val="center"/>
          </w:tcPr>
          <w:p w14:paraId="58D61F5B" w14:textId="77777777" w:rsidR="005B2AEB" w:rsidRPr="00DF6C69" w:rsidRDefault="005B2AEB" w:rsidP="005B2AEB">
            <w:pPr>
              <w:jc w:val="center"/>
              <w:rPr>
                <w:rFonts w:cs="Times New Roman"/>
                <w:color w:val="000000"/>
                <w:sz w:val="18"/>
                <w:szCs w:val="18"/>
              </w:rPr>
            </w:pPr>
          </w:p>
        </w:tc>
        <w:tc>
          <w:tcPr>
            <w:tcW w:w="536" w:type="dxa"/>
          </w:tcPr>
          <w:p w14:paraId="297DCA9D" w14:textId="77777777" w:rsidR="005B2AEB" w:rsidRPr="00DF6C69" w:rsidRDefault="005B2AEB" w:rsidP="005B2AEB">
            <w:pPr>
              <w:jc w:val="center"/>
              <w:rPr>
                <w:rFonts w:cs="Times New Roman"/>
                <w:color w:val="000000"/>
                <w:sz w:val="18"/>
                <w:szCs w:val="18"/>
              </w:rPr>
            </w:pPr>
          </w:p>
        </w:tc>
        <w:tc>
          <w:tcPr>
            <w:tcW w:w="850" w:type="dxa"/>
          </w:tcPr>
          <w:p w14:paraId="5DFF44BA" w14:textId="1643F0FC"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659A3CAE" w14:textId="24FC7B33" w:rsidTr="00576A52">
        <w:trPr>
          <w:trHeight w:val="113"/>
        </w:trPr>
        <w:tc>
          <w:tcPr>
            <w:tcW w:w="704" w:type="dxa"/>
            <w:vMerge w:val="restart"/>
            <w:shd w:val="clear" w:color="auto" w:fill="FFF2CC" w:themeFill="accent4" w:themeFillTint="33"/>
            <w:textDirection w:val="btLr"/>
            <w:vAlign w:val="center"/>
          </w:tcPr>
          <w:p w14:paraId="042C2CD4" w14:textId="77777777" w:rsidR="005B2AEB" w:rsidRPr="00DF6C69" w:rsidRDefault="005B2AEB" w:rsidP="005B2AEB">
            <w:pPr>
              <w:jc w:val="center"/>
              <w:rPr>
                <w:rFonts w:ascii="Times New Roman" w:hAnsi="Times New Roman" w:cs="Times New Roman"/>
                <w:sz w:val="18"/>
                <w:szCs w:val="18"/>
              </w:rPr>
            </w:pPr>
            <w:r w:rsidRPr="00DF6C69">
              <w:rPr>
                <w:rFonts w:cs="Times New Roman"/>
                <w:b/>
                <w:bCs/>
                <w:color w:val="000000"/>
                <w:sz w:val="18"/>
                <w:szCs w:val="18"/>
              </w:rPr>
              <w:t>L-amino acids (LAA)</w:t>
            </w:r>
          </w:p>
        </w:tc>
        <w:tc>
          <w:tcPr>
            <w:tcW w:w="1703" w:type="dxa"/>
            <w:shd w:val="clear" w:color="auto" w:fill="D9E2F3" w:themeFill="accent1" w:themeFillTint="33"/>
            <w:vAlign w:val="center"/>
          </w:tcPr>
          <w:p w14:paraId="2DC07817"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Alanine</w:t>
            </w:r>
          </w:p>
        </w:tc>
        <w:tc>
          <w:tcPr>
            <w:tcW w:w="990" w:type="dxa"/>
            <w:vAlign w:val="center"/>
          </w:tcPr>
          <w:p w14:paraId="4BCBD13D"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noWrap/>
            <w:vAlign w:val="center"/>
          </w:tcPr>
          <w:p w14:paraId="6526E48E"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201AFBCC"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463A7D47"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4CE4E129" w14:textId="77777777" w:rsidR="005B2AEB" w:rsidRPr="00DF6C69" w:rsidRDefault="005B2AEB" w:rsidP="005B2AEB">
            <w:pPr>
              <w:jc w:val="center"/>
              <w:rPr>
                <w:rFonts w:cs="Times New Roman"/>
                <w:color w:val="000000"/>
                <w:sz w:val="18"/>
                <w:szCs w:val="18"/>
              </w:rPr>
            </w:pPr>
          </w:p>
        </w:tc>
        <w:tc>
          <w:tcPr>
            <w:tcW w:w="630" w:type="dxa"/>
            <w:vAlign w:val="center"/>
          </w:tcPr>
          <w:p w14:paraId="039ECFF8" w14:textId="77777777" w:rsidR="005B2AEB" w:rsidRPr="00DF6C69" w:rsidRDefault="005B2AEB" w:rsidP="005B2AEB">
            <w:pPr>
              <w:jc w:val="center"/>
              <w:rPr>
                <w:rFonts w:cs="Times New Roman"/>
                <w:color w:val="000000"/>
                <w:sz w:val="18"/>
                <w:szCs w:val="18"/>
              </w:rPr>
            </w:pPr>
          </w:p>
        </w:tc>
        <w:tc>
          <w:tcPr>
            <w:tcW w:w="693" w:type="dxa"/>
            <w:noWrap/>
            <w:vAlign w:val="center"/>
          </w:tcPr>
          <w:p w14:paraId="7E9D0A0C" w14:textId="77777777" w:rsidR="005B2AEB" w:rsidRPr="00DF6C69" w:rsidRDefault="005B2AEB" w:rsidP="005B2AEB">
            <w:pPr>
              <w:jc w:val="center"/>
              <w:rPr>
                <w:rFonts w:cs="Times New Roman"/>
                <w:color w:val="000000"/>
                <w:sz w:val="18"/>
                <w:szCs w:val="18"/>
              </w:rPr>
            </w:pPr>
          </w:p>
        </w:tc>
        <w:tc>
          <w:tcPr>
            <w:tcW w:w="693" w:type="dxa"/>
            <w:vAlign w:val="center"/>
          </w:tcPr>
          <w:p w14:paraId="69976DF6"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71625D17" w14:textId="77777777" w:rsidR="005B2AEB" w:rsidRPr="00DF6C69" w:rsidRDefault="005B2AEB" w:rsidP="005B2AEB">
            <w:pPr>
              <w:jc w:val="center"/>
              <w:rPr>
                <w:rFonts w:cs="Times New Roman"/>
                <w:color w:val="000000"/>
                <w:sz w:val="18"/>
                <w:szCs w:val="18"/>
              </w:rPr>
            </w:pPr>
          </w:p>
        </w:tc>
        <w:tc>
          <w:tcPr>
            <w:tcW w:w="850" w:type="dxa"/>
          </w:tcPr>
          <w:p w14:paraId="050F0F06" w14:textId="0B476762"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7FBCFEE0" w14:textId="2DC01533" w:rsidTr="00576A52">
        <w:trPr>
          <w:trHeight w:val="113"/>
        </w:trPr>
        <w:tc>
          <w:tcPr>
            <w:tcW w:w="704" w:type="dxa"/>
            <w:vMerge/>
            <w:shd w:val="clear" w:color="auto" w:fill="FFF2CC" w:themeFill="accent4" w:themeFillTint="33"/>
            <w:vAlign w:val="center"/>
          </w:tcPr>
          <w:p w14:paraId="6916CCD4"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2ABCD741"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Glutamate</w:t>
            </w:r>
          </w:p>
        </w:tc>
        <w:tc>
          <w:tcPr>
            <w:tcW w:w="990" w:type="dxa"/>
            <w:vAlign w:val="center"/>
          </w:tcPr>
          <w:p w14:paraId="299AA438"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noWrap/>
            <w:vAlign w:val="center"/>
          </w:tcPr>
          <w:p w14:paraId="2C9AB663"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4653B6BA" w14:textId="77777777" w:rsidR="005B2AEB" w:rsidRPr="00DF6C69" w:rsidRDefault="005B2AEB" w:rsidP="005B2AEB">
            <w:pPr>
              <w:jc w:val="center"/>
              <w:rPr>
                <w:rFonts w:cs="Times New Roman"/>
                <w:color w:val="000000"/>
                <w:sz w:val="18"/>
                <w:szCs w:val="18"/>
              </w:rPr>
            </w:pPr>
          </w:p>
        </w:tc>
        <w:tc>
          <w:tcPr>
            <w:tcW w:w="693" w:type="dxa"/>
            <w:vAlign w:val="center"/>
          </w:tcPr>
          <w:p w14:paraId="1495D158"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528CD34A" w14:textId="77777777" w:rsidR="005B2AEB" w:rsidRPr="00DF6C69" w:rsidRDefault="005B2AEB" w:rsidP="005B2AEB">
            <w:pPr>
              <w:jc w:val="center"/>
              <w:rPr>
                <w:rFonts w:cs="Times New Roman"/>
                <w:color w:val="000000"/>
                <w:sz w:val="18"/>
                <w:szCs w:val="18"/>
              </w:rPr>
            </w:pPr>
          </w:p>
        </w:tc>
        <w:tc>
          <w:tcPr>
            <w:tcW w:w="630" w:type="dxa"/>
            <w:vAlign w:val="center"/>
          </w:tcPr>
          <w:p w14:paraId="7F92B22B"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39CA183A" w14:textId="77777777" w:rsidR="005B2AEB" w:rsidRPr="00DF6C69" w:rsidRDefault="005B2AEB" w:rsidP="005B2AEB">
            <w:pPr>
              <w:jc w:val="center"/>
              <w:rPr>
                <w:rFonts w:cs="Times New Roman"/>
                <w:color w:val="000000"/>
                <w:sz w:val="18"/>
                <w:szCs w:val="18"/>
              </w:rPr>
            </w:pPr>
          </w:p>
        </w:tc>
        <w:tc>
          <w:tcPr>
            <w:tcW w:w="693" w:type="dxa"/>
            <w:vAlign w:val="center"/>
          </w:tcPr>
          <w:p w14:paraId="1910459C"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204B31AA" w14:textId="77777777" w:rsidR="005B2AEB" w:rsidRPr="00DF6C69" w:rsidRDefault="005B2AEB" w:rsidP="005B2AEB">
            <w:pPr>
              <w:jc w:val="center"/>
              <w:rPr>
                <w:rFonts w:cs="Times New Roman"/>
                <w:color w:val="000000"/>
                <w:sz w:val="18"/>
                <w:szCs w:val="18"/>
              </w:rPr>
            </w:pPr>
          </w:p>
        </w:tc>
        <w:tc>
          <w:tcPr>
            <w:tcW w:w="850" w:type="dxa"/>
          </w:tcPr>
          <w:p w14:paraId="3CFA0BF6" w14:textId="6E83B411"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729DE8AC" w14:textId="5FA9AC50" w:rsidTr="00576A52">
        <w:trPr>
          <w:trHeight w:val="113"/>
        </w:trPr>
        <w:tc>
          <w:tcPr>
            <w:tcW w:w="704" w:type="dxa"/>
            <w:vMerge/>
            <w:shd w:val="clear" w:color="auto" w:fill="FFF2CC" w:themeFill="accent4" w:themeFillTint="33"/>
            <w:vAlign w:val="center"/>
          </w:tcPr>
          <w:p w14:paraId="108AD974"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39C4F734"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Glutamine</w:t>
            </w:r>
            <w:r w:rsidRPr="00DF6C69">
              <w:rPr>
                <w:rFonts w:ascii="Times New Roman" w:hAnsi="Times New Roman" w:cs="Times New Roman"/>
                <w:sz w:val="18"/>
                <w:szCs w:val="18"/>
                <w:vertAlign w:val="superscript"/>
              </w:rPr>
              <w:t>3</w:t>
            </w:r>
          </w:p>
        </w:tc>
        <w:tc>
          <w:tcPr>
            <w:tcW w:w="990" w:type="dxa"/>
            <w:vAlign w:val="center"/>
          </w:tcPr>
          <w:p w14:paraId="544C6B58"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noWrap/>
            <w:vAlign w:val="center"/>
          </w:tcPr>
          <w:p w14:paraId="12BEE690"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409FE2C0" w14:textId="77777777" w:rsidR="005B2AEB" w:rsidRPr="00DF6C69" w:rsidRDefault="005B2AEB" w:rsidP="005B2AEB">
            <w:pPr>
              <w:jc w:val="center"/>
              <w:rPr>
                <w:rFonts w:cs="Times New Roman"/>
                <w:color w:val="000000"/>
                <w:sz w:val="18"/>
                <w:szCs w:val="18"/>
              </w:rPr>
            </w:pPr>
          </w:p>
        </w:tc>
        <w:tc>
          <w:tcPr>
            <w:tcW w:w="693" w:type="dxa"/>
            <w:vAlign w:val="center"/>
          </w:tcPr>
          <w:p w14:paraId="50CAC1AE"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0D751990" w14:textId="77777777" w:rsidR="005B2AEB" w:rsidRPr="00DF6C69" w:rsidRDefault="005B2AEB" w:rsidP="005B2AEB">
            <w:pPr>
              <w:jc w:val="center"/>
              <w:rPr>
                <w:rFonts w:cs="Times New Roman"/>
                <w:color w:val="000000"/>
                <w:sz w:val="18"/>
                <w:szCs w:val="18"/>
              </w:rPr>
            </w:pPr>
          </w:p>
        </w:tc>
        <w:tc>
          <w:tcPr>
            <w:tcW w:w="630" w:type="dxa"/>
            <w:vAlign w:val="center"/>
          </w:tcPr>
          <w:p w14:paraId="60626B9F"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3AC7A973"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18BC6FD4" w14:textId="77777777" w:rsidR="005B2AEB" w:rsidRPr="00DF6C69" w:rsidRDefault="005B2AEB" w:rsidP="005B2AEB">
            <w:pPr>
              <w:jc w:val="center"/>
              <w:rPr>
                <w:rFonts w:cs="Times New Roman"/>
                <w:color w:val="000000"/>
                <w:sz w:val="18"/>
                <w:szCs w:val="18"/>
              </w:rPr>
            </w:pPr>
          </w:p>
        </w:tc>
        <w:tc>
          <w:tcPr>
            <w:tcW w:w="536" w:type="dxa"/>
          </w:tcPr>
          <w:p w14:paraId="101AE3B2" w14:textId="77777777" w:rsidR="005B2AEB" w:rsidRPr="00DF6C69" w:rsidRDefault="005B2AEB" w:rsidP="005B2AEB">
            <w:pPr>
              <w:jc w:val="center"/>
              <w:rPr>
                <w:rFonts w:cs="Times New Roman"/>
                <w:color w:val="000000"/>
                <w:sz w:val="18"/>
                <w:szCs w:val="18"/>
              </w:rPr>
            </w:pPr>
          </w:p>
        </w:tc>
        <w:tc>
          <w:tcPr>
            <w:tcW w:w="850" w:type="dxa"/>
          </w:tcPr>
          <w:p w14:paraId="0B447200" w14:textId="625AD71A" w:rsidR="005B2AEB" w:rsidRPr="00DF6C69" w:rsidRDefault="005B2AEB" w:rsidP="005B2AEB">
            <w:pPr>
              <w:jc w:val="center"/>
              <w:rPr>
                <w:rFonts w:cs="Times New Roman"/>
                <w:color w:val="000000"/>
                <w:sz w:val="18"/>
                <w:szCs w:val="18"/>
              </w:rPr>
            </w:pPr>
            <w:r w:rsidRPr="00DF6C69">
              <w:rPr>
                <w:rFonts w:cs="Times New Roman"/>
                <w:color w:val="000000"/>
                <w:sz w:val="18"/>
                <w:szCs w:val="18"/>
              </w:rPr>
              <w:t>n.d.</w:t>
            </w:r>
            <w:r w:rsidRPr="00DF6C69">
              <w:rPr>
                <w:rFonts w:ascii="Times New Roman" w:hAnsi="Times New Roman" w:cs="Times New Roman"/>
                <w:sz w:val="18"/>
                <w:szCs w:val="18"/>
                <w:vertAlign w:val="superscript"/>
              </w:rPr>
              <w:t>3</w:t>
            </w:r>
          </w:p>
        </w:tc>
      </w:tr>
      <w:tr w:rsidR="005B2AEB" w:rsidRPr="00DF6C69" w14:paraId="15863787" w14:textId="5BD623EB" w:rsidTr="00576A52">
        <w:trPr>
          <w:trHeight w:val="113"/>
        </w:trPr>
        <w:tc>
          <w:tcPr>
            <w:tcW w:w="704" w:type="dxa"/>
            <w:vMerge/>
            <w:shd w:val="clear" w:color="auto" w:fill="FFF2CC" w:themeFill="accent4" w:themeFillTint="33"/>
            <w:vAlign w:val="center"/>
          </w:tcPr>
          <w:p w14:paraId="2EF3F37D"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5FD0D68E"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Leucine</w:t>
            </w:r>
          </w:p>
        </w:tc>
        <w:tc>
          <w:tcPr>
            <w:tcW w:w="990" w:type="dxa"/>
            <w:vAlign w:val="center"/>
          </w:tcPr>
          <w:p w14:paraId="69C3DEC0"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noWrap/>
            <w:vAlign w:val="center"/>
          </w:tcPr>
          <w:p w14:paraId="1A454B70" w14:textId="77777777" w:rsidR="005B2AEB" w:rsidRPr="00DF6C69" w:rsidRDefault="005B2AEB" w:rsidP="005B2AEB">
            <w:pPr>
              <w:jc w:val="center"/>
              <w:rPr>
                <w:rFonts w:cs="Times New Roman"/>
                <w:color w:val="000000"/>
                <w:sz w:val="18"/>
                <w:szCs w:val="18"/>
              </w:rPr>
            </w:pPr>
          </w:p>
        </w:tc>
        <w:tc>
          <w:tcPr>
            <w:tcW w:w="693" w:type="dxa"/>
            <w:vAlign w:val="center"/>
          </w:tcPr>
          <w:p w14:paraId="6F6BB970"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12B5EEE8"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689AFF70" w14:textId="77777777" w:rsidR="005B2AEB" w:rsidRPr="00DF6C69" w:rsidRDefault="005B2AEB" w:rsidP="005B2AEB">
            <w:pPr>
              <w:jc w:val="center"/>
              <w:rPr>
                <w:rFonts w:cs="Times New Roman"/>
                <w:color w:val="000000"/>
                <w:sz w:val="18"/>
                <w:szCs w:val="18"/>
              </w:rPr>
            </w:pPr>
          </w:p>
        </w:tc>
        <w:tc>
          <w:tcPr>
            <w:tcW w:w="630" w:type="dxa"/>
            <w:vAlign w:val="center"/>
          </w:tcPr>
          <w:p w14:paraId="1D465EA1"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2FA91264" w14:textId="77777777" w:rsidR="005B2AEB" w:rsidRPr="00DF6C69" w:rsidRDefault="005B2AEB" w:rsidP="005B2AEB">
            <w:pPr>
              <w:jc w:val="center"/>
              <w:rPr>
                <w:rFonts w:cs="Times New Roman"/>
                <w:color w:val="000000"/>
                <w:sz w:val="18"/>
                <w:szCs w:val="18"/>
              </w:rPr>
            </w:pPr>
          </w:p>
        </w:tc>
        <w:tc>
          <w:tcPr>
            <w:tcW w:w="693" w:type="dxa"/>
            <w:vAlign w:val="center"/>
          </w:tcPr>
          <w:p w14:paraId="0433603F"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4200032A" w14:textId="77777777" w:rsidR="005B2AEB" w:rsidRPr="00DF6C69" w:rsidRDefault="005B2AEB" w:rsidP="005B2AEB">
            <w:pPr>
              <w:jc w:val="center"/>
              <w:rPr>
                <w:rFonts w:cs="Times New Roman"/>
                <w:color w:val="000000"/>
                <w:sz w:val="18"/>
                <w:szCs w:val="18"/>
              </w:rPr>
            </w:pPr>
          </w:p>
        </w:tc>
        <w:tc>
          <w:tcPr>
            <w:tcW w:w="850" w:type="dxa"/>
          </w:tcPr>
          <w:p w14:paraId="412CD7DF" w14:textId="1C54E89F"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32DE9F6D" w14:textId="70625642" w:rsidTr="00576A52">
        <w:trPr>
          <w:trHeight w:val="160"/>
        </w:trPr>
        <w:tc>
          <w:tcPr>
            <w:tcW w:w="704" w:type="dxa"/>
            <w:vMerge/>
            <w:shd w:val="clear" w:color="auto" w:fill="FFF2CC" w:themeFill="accent4" w:themeFillTint="33"/>
            <w:vAlign w:val="center"/>
          </w:tcPr>
          <w:p w14:paraId="590D04A4"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6377F62C"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Lysine</w:t>
            </w:r>
          </w:p>
        </w:tc>
        <w:tc>
          <w:tcPr>
            <w:tcW w:w="990" w:type="dxa"/>
            <w:vAlign w:val="center"/>
          </w:tcPr>
          <w:p w14:paraId="0C2BD3B9"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noWrap/>
            <w:vAlign w:val="center"/>
          </w:tcPr>
          <w:p w14:paraId="08661C9A" w14:textId="77777777" w:rsidR="005B2AEB" w:rsidRPr="00DF6C69" w:rsidRDefault="005B2AEB" w:rsidP="005B2AEB">
            <w:pPr>
              <w:jc w:val="center"/>
              <w:rPr>
                <w:rFonts w:cs="Times New Roman"/>
                <w:color w:val="000000"/>
                <w:sz w:val="18"/>
                <w:szCs w:val="18"/>
              </w:rPr>
            </w:pPr>
          </w:p>
        </w:tc>
        <w:tc>
          <w:tcPr>
            <w:tcW w:w="693" w:type="dxa"/>
            <w:vAlign w:val="center"/>
          </w:tcPr>
          <w:p w14:paraId="506402DB"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27CE6D44"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35429E26" w14:textId="77777777" w:rsidR="005B2AEB" w:rsidRPr="00DF6C69" w:rsidRDefault="005B2AEB" w:rsidP="005B2AEB">
            <w:pPr>
              <w:jc w:val="center"/>
              <w:rPr>
                <w:rFonts w:cs="Times New Roman"/>
                <w:color w:val="000000"/>
                <w:sz w:val="18"/>
                <w:szCs w:val="18"/>
              </w:rPr>
            </w:pPr>
          </w:p>
        </w:tc>
        <w:tc>
          <w:tcPr>
            <w:tcW w:w="630" w:type="dxa"/>
            <w:vAlign w:val="center"/>
          </w:tcPr>
          <w:p w14:paraId="57B9E67A"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11CBCBE3" w14:textId="77777777" w:rsidR="005B2AEB" w:rsidRPr="00DF6C69" w:rsidRDefault="005B2AEB" w:rsidP="005B2AEB">
            <w:pPr>
              <w:jc w:val="center"/>
              <w:rPr>
                <w:rFonts w:cs="Times New Roman"/>
                <w:color w:val="000000"/>
                <w:sz w:val="18"/>
                <w:szCs w:val="18"/>
              </w:rPr>
            </w:pPr>
          </w:p>
        </w:tc>
        <w:tc>
          <w:tcPr>
            <w:tcW w:w="693" w:type="dxa"/>
            <w:vAlign w:val="center"/>
          </w:tcPr>
          <w:p w14:paraId="525976B7"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4D2C2D9C" w14:textId="77777777" w:rsidR="005B2AEB" w:rsidRPr="00DF6C69" w:rsidRDefault="005B2AEB" w:rsidP="005B2AEB">
            <w:pPr>
              <w:jc w:val="center"/>
              <w:rPr>
                <w:rFonts w:cs="Times New Roman"/>
                <w:color w:val="000000"/>
                <w:sz w:val="18"/>
                <w:szCs w:val="18"/>
              </w:rPr>
            </w:pPr>
          </w:p>
        </w:tc>
        <w:tc>
          <w:tcPr>
            <w:tcW w:w="850" w:type="dxa"/>
          </w:tcPr>
          <w:p w14:paraId="0794106D" w14:textId="6D38EFC1"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45ED2F05" w14:textId="5646CF2F" w:rsidTr="00576A52">
        <w:trPr>
          <w:trHeight w:val="113"/>
        </w:trPr>
        <w:tc>
          <w:tcPr>
            <w:tcW w:w="704" w:type="dxa"/>
            <w:vMerge/>
            <w:shd w:val="clear" w:color="auto" w:fill="FFF2CC" w:themeFill="accent4" w:themeFillTint="33"/>
            <w:vAlign w:val="center"/>
          </w:tcPr>
          <w:p w14:paraId="2196E5B3"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34F6DA59"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Phenylalanine</w:t>
            </w:r>
          </w:p>
        </w:tc>
        <w:tc>
          <w:tcPr>
            <w:tcW w:w="990" w:type="dxa"/>
            <w:vAlign w:val="center"/>
          </w:tcPr>
          <w:p w14:paraId="7D234565"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noWrap/>
            <w:vAlign w:val="center"/>
          </w:tcPr>
          <w:p w14:paraId="4D2A3551"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674C478E"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7461F856"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6D80EEB4" w14:textId="77777777" w:rsidR="005B2AEB" w:rsidRPr="00DF6C69" w:rsidRDefault="005B2AEB" w:rsidP="005B2AEB">
            <w:pPr>
              <w:jc w:val="center"/>
              <w:rPr>
                <w:rFonts w:cs="Times New Roman"/>
                <w:color w:val="000000"/>
                <w:sz w:val="18"/>
                <w:szCs w:val="18"/>
              </w:rPr>
            </w:pPr>
          </w:p>
        </w:tc>
        <w:tc>
          <w:tcPr>
            <w:tcW w:w="630" w:type="dxa"/>
            <w:vAlign w:val="center"/>
          </w:tcPr>
          <w:p w14:paraId="06526C26"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230BB1EB" w14:textId="77777777" w:rsidR="005B2AEB" w:rsidRPr="00DF6C69" w:rsidRDefault="005B2AEB" w:rsidP="005B2AEB">
            <w:pPr>
              <w:jc w:val="center"/>
              <w:rPr>
                <w:rFonts w:cs="Times New Roman"/>
                <w:color w:val="000000"/>
                <w:sz w:val="18"/>
                <w:szCs w:val="18"/>
              </w:rPr>
            </w:pPr>
          </w:p>
        </w:tc>
        <w:tc>
          <w:tcPr>
            <w:tcW w:w="693" w:type="dxa"/>
            <w:vAlign w:val="center"/>
          </w:tcPr>
          <w:p w14:paraId="12B53C1F"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4DD02A22" w14:textId="77777777" w:rsidR="005B2AEB" w:rsidRPr="00DF6C69" w:rsidRDefault="005B2AEB" w:rsidP="005B2AEB">
            <w:pPr>
              <w:jc w:val="center"/>
              <w:rPr>
                <w:rFonts w:cs="Times New Roman"/>
                <w:color w:val="000000"/>
                <w:sz w:val="18"/>
                <w:szCs w:val="18"/>
              </w:rPr>
            </w:pPr>
          </w:p>
        </w:tc>
        <w:tc>
          <w:tcPr>
            <w:tcW w:w="850" w:type="dxa"/>
          </w:tcPr>
          <w:p w14:paraId="758710A4" w14:textId="7D308C9B" w:rsidR="005B2AEB" w:rsidRPr="00DF6C69" w:rsidRDefault="005B2AEB" w:rsidP="005B2AEB">
            <w:pPr>
              <w:jc w:val="center"/>
              <w:rPr>
                <w:rFonts w:cs="Times New Roman"/>
                <w:color w:val="000000"/>
                <w:sz w:val="18"/>
                <w:szCs w:val="18"/>
              </w:rPr>
            </w:pPr>
            <w:r w:rsidRPr="00DF6C69">
              <w:rPr>
                <w:rFonts w:cs="Times New Roman"/>
                <w:color w:val="000000"/>
                <w:sz w:val="18"/>
                <w:szCs w:val="18"/>
              </w:rPr>
              <w:t>Low</w:t>
            </w:r>
          </w:p>
        </w:tc>
      </w:tr>
      <w:tr w:rsidR="005B2AEB" w:rsidRPr="00DF6C69" w14:paraId="4A21E4B9" w14:textId="59966A39" w:rsidTr="00576A52">
        <w:trPr>
          <w:trHeight w:val="113"/>
        </w:trPr>
        <w:tc>
          <w:tcPr>
            <w:tcW w:w="704" w:type="dxa"/>
            <w:vMerge/>
            <w:shd w:val="clear" w:color="auto" w:fill="FFF2CC" w:themeFill="accent4" w:themeFillTint="33"/>
            <w:vAlign w:val="center"/>
          </w:tcPr>
          <w:p w14:paraId="3731B666"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092F29E5"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Tryptophan</w:t>
            </w:r>
          </w:p>
        </w:tc>
        <w:tc>
          <w:tcPr>
            <w:tcW w:w="990" w:type="dxa"/>
            <w:vAlign w:val="center"/>
          </w:tcPr>
          <w:p w14:paraId="7166EA90"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noWrap/>
            <w:vAlign w:val="center"/>
          </w:tcPr>
          <w:p w14:paraId="1441953E" w14:textId="77777777" w:rsidR="005B2AEB" w:rsidRPr="00DF6C69" w:rsidRDefault="005B2AEB" w:rsidP="005B2AEB">
            <w:pPr>
              <w:jc w:val="center"/>
              <w:rPr>
                <w:rFonts w:cs="Times New Roman"/>
                <w:color w:val="000000"/>
                <w:sz w:val="18"/>
                <w:szCs w:val="18"/>
              </w:rPr>
            </w:pPr>
          </w:p>
        </w:tc>
        <w:tc>
          <w:tcPr>
            <w:tcW w:w="693" w:type="dxa"/>
            <w:vAlign w:val="center"/>
          </w:tcPr>
          <w:p w14:paraId="330739F9"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3747E61E"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5C53CC83"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30" w:type="dxa"/>
            <w:vAlign w:val="center"/>
          </w:tcPr>
          <w:p w14:paraId="15D99F99"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58CC7A89" w14:textId="77777777" w:rsidR="005B2AEB" w:rsidRPr="00DF6C69" w:rsidRDefault="005B2AEB" w:rsidP="005B2AEB">
            <w:pPr>
              <w:jc w:val="center"/>
              <w:rPr>
                <w:rFonts w:cs="Times New Roman"/>
                <w:color w:val="000000"/>
                <w:sz w:val="18"/>
                <w:szCs w:val="18"/>
              </w:rPr>
            </w:pPr>
          </w:p>
        </w:tc>
        <w:tc>
          <w:tcPr>
            <w:tcW w:w="693" w:type="dxa"/>
            <w:vAlign w:val="center"/>
          </w:tcPr>
          <w:p w14:paraId="3785BE53" w14:textId="77777777" w:rsidR="005B2AEB" w:rsidRPr="00DF6C69" w:rsidRDefault="005B2AEB" w:rsidP="005B2AEB">
            <w:pPr>
              <w:jc w:val="center"/>
              <w:rPr>
                <w:rFonts w:cs="Times New Roman"/>
                <w:color w:val="000000"/>
                <w:sz w:val="18"/>
                <w:szCs w:val="18"/>
              </w:rPr>
            </w:pPr>
          </w:p>
        </w:tc>
        <w:tc>
          <w:tcPr>
            <w:tcW w:w="536" w:type="dxa"/>
          </w:tcPr>
          <w:p w14:paraId="20E346DA" w14:textId="77777777" w:rsidR="005B2AEB" w:rsidRPr="00DF6C69" w:rsidRDefault="005B2AEB" w:rsidP="005B2AEB">
            <w:pPr>
              <w:jc w:val="center"/>
              <w:rPr>
                <w:rFonts w:cs="Times New Roman"/>
                <w:color w:val="000000"/>
                <w:sz w:val="18"/>
                <w:szCs w:val="18"/>
              </w:rPr>
            </w:pPr>
          </w:p>
        </w:tc>
        <w:tc>
          <w:tcPr>
            <w:tcW w:w="850" w:type="dxa"/>
          </w:tcPr>
          <w:p w14:paraId="7A75F647" w14:textId="0C1A22CE"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493226ED" w14:textId="1A75FF60" w:rsidTr="00576A52">
        <w:trPr>
          <w:trHeight w:val="100"/>
        </w:trPr>
        <w:tc>
          <w:tcPr>
            <w:tcW w:w="704" w:type="dxa"/>
            <w:vMerge/>
            <w:shd w:val="clear" w:color="auto" w:fill="FFF2CC" w:themeFill="accent4" w:themeFillTint="33"/>
            <w:vAlign w:val="center"/>
          </w:tcPr>
          <w:p w14:paraId="11506AA5"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551802D3"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Tyrosine</w:t>
            </w:r>
          </w:p>
        </w:tc>
        <w:tc>
          <w:tcPr>
            <w:tcW w:w="990" w:type="dxa"/>
            <w:vAlign w:val="center"/>
          </w:tcPr>
          <w:p w14:paraId="15312C0D"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noWrap/>
            <w:vAlign w:val="center"/>
          </w:tcPr>
          <w:p w14:paraId="1A73A892" w14:textId="77777777" w:rsidR="005B2AEB" w:rsidRPr="00DF6C69" w:rsidRDefault="005B2AEB" w:rsidP="005B2AEB">
            <w:pPr>
              <w:jc w:val="center"/>
              <w:rPr>
                <w:rFonts w:cs="Times New Roman"/>
                <w:color w:val="000000"/>
                <w:sz w:val="18"/>
                <w:szCs w:val="18"/>
              </w:rPr>
            </w:pPr>
          </w:p>
        </w:tc>
        <w:tc>
          <w:tcPr>
            <w:tcW w:w="693" w:type="dxa"/>
            <w:vAlign w:val="center"/>
          </w:tcPr>
          <w:p w14:paraId="6216A534"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19CCB6A0"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5D86DFD4" w14:textId="77777777" w:rsidR="005B2AEB" w:rsidRPr="00DF6C69" w:rsidRDefault="005B2AEB" w:rsidP="005B2AEB">
            <w:pPr>
              <w:jc w:val="center"/>
              <w:rPr>
                <w:rFonts w:cs="Times New Roman"/>
                <w:color w:val="000000"/>
                <w:sz w:val="18"/>
                <w:szCs w:val="18"/>
              </w:rPr>
            </w:pPr>
          </w:p>
        </w:tc>
        <w:tc>
          <w:tcPr>
            <w:tcW w:w="630" w:type="dxa"/>
            <w:vAlign w:val="center"/>
          </w:tcPr>
          <w:p w14:paraId="1A45C1B4"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0124C945" w14:textId="77777777" w:rsidR="005B2AEB" w:rsidRPr="00DF6C69" w:rsidRDefault="005B2AEB" w:rsidP="005B2AEB">
            <w:pPr>
              <w:jc w:val="center"/>
              <w:rPr>
                <w:rFonts w:cs="Times New Roman"/>
                <w:color w:val="000000"/>
                <w:sz w:val="18"/>
                <w:szCs w:val="18"/>
              </w:rPr>
            </w:pPr>
          </w:p>
        </w:tc>
        <w:tc>
          <w:tcPr>
            <w:tcW w:w="693" w:type="dxa"/>
            <w:vAlign w:val="center"/>
          </w:tcPr>
          <w:p w14:paraId="7B4A1C5A"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652EA30D" w14:textId="77777777" w:rsidR="005B2AEB" w:rsidRPr="00DF6C69" w:rsidRDefault="005B2AEB" w:rsidP="005B2AEB">
            <w:pPr>
              <w:jc w:val="center"/>
              <w:rPr>
                <w:rFonts w:cs="Times New Roman"/>
                <w:color w:val="000000"/>
                <w:sz w:val="18"/>
                <w:szCs w:val="18"/>
              </w:rPr>
            </w:pPr>
          </w:p>
        </w:tc>
        <w:tc>
          <w:tcPr>
            <w:tcW w:w="850" w:type="dxa"/>
          </w:tcPr>
          <w:p w14:paraId="3BD2C9D6" w14:textId="1CBE7926"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6522BBCB" w14:textId="2095E6EB" w:rsidTr="00576A52">
        <w:trPr>
          <w:trHeight w:val="113"/>
        </w:trPr>
        <w:tc>
          <w:tcPr>
            <w:tcW w:w="704" w:type="dxa"/>
            <w:vMerge/>
            <w:shd w:val="clear" w:color="auto" w:fill="FFF2CC" w:themeFill="accent4" w:themeFillTint="33"/>
            <w:vAlign w:val="center"/>
          </w:tcPr>
          <w:p w14:paraId="240C3FF2"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04FDE555"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Arginine</w:t>
            </w:r>
          </w:p>
        </w:tc>
        <w:tc>
          <w:tcPr>
            <w:tcW w:w="990" w:type="dxa"/>
            <w:vAlign w:val="center"/>
          </w:tcPr>
          <w:p w14:paraId="1B53AD1F"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74253D6C" w14:textId="77777777" w:rsidR="005B2AEB" w:rsidRPr="00DF6C69" w:rsidRDefault="005B2AEB" w:rsidP="005B2AEB">
            <w:pPr>
              <w:jc w:val="center"/>
              <w:rPr>
                <w:rFonts w:cs="Times New Roman"/>
                <w:color w:val="000000"/>
                <w:sz w:val="18"/>
                <w:szCs w:val="18"/>
              </w:rPr>
            </w:pPr>
          </w:p>
        </w:tc>
        <w:tc>
          <w:tcPr>
            <w:tcW w:w="693" w:type="dxa"/>
            <w:vAlign w:val="center"/>
          </w:tcPr>
          <w:p w14:paraId="53B25D28"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7CACAA5C"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07107BAB" w14:textId="77777777" w:rsidR="005B2AEB" w:rsidRPr="00DF6C69" w:rsidRDefault="005B2AEB" w:rsidP="005B2AEB">
            <w:pPr>
              <w:jc w:val="center"/>
              <w:rPr>
                <w:rFonts w:cs="Times New Roman"/>
                <w:color w:val="000000"/>
                <w:sz w:val="18"/>
                <w:szCs w:val="18"/>
              </w:rPr>
            </w:pPr>
          </w:p>
        </w:tc>
        <w:tc>
          <w:tcPr>
            <w:tcW w:w="630" w:type="dxa"/>
            <w:vAlign w:val="center"/>
          </w:tcPr>
          <w:p w14:paraId="1E65067F" w14:textId="77777777" w:rsidR="005B2AEB" w:rsidRPr="00DF6C69" w:rsidRDefault="005B2AEB" w:rsidP="005B2AEB">
            <w:pPr>
              <w:jc w:val="center"/>
              <w:rPr>
                <w:rFonts w:cs="Times New Roman"/>
                <w:color w:val="000000"/>
                <w:sz w:val="18"/>
                <w:szCs w:val="18"/>
              </w:rPr>
            </w:pPr>
          </w:p>
        </w:tc>
        <w:tc>
          <w:tcPr>
            <w:tcW w:w="693" w:type="dxa"/>
            <w:noWrap/>
            <w:vAlign w:val="center"/>
          </w:tcPr>
          <w:p w14:paraId="24B6F288" w14:textId="77777777" w:rsidR="005B2AEB" w:rsidRPr="00DF6C69" w:rsidRDefault="005B2AEB" w:rsidP="005B2AEB">
            <w:pPr>
              <w:jc w:val="center"/>
              <w:rPr>
                <w:rFonts w:cs="Times New Roman"/>
                <w:color w:val="000000"/>
                <w:sz w:val="18"/>
                <w:szCs w:val="18"/>
              </w:rPr>
            </w:pPr>
          </w:p>
        </w:tc>
        <w:tc>
          <w:tcPr>
            <w:tcW w:w="693" w:type="dxa"/>
            <w:vAlign w:val="center"/>
          </w:tcPr>
          <w:p w14:paraId="19830E52"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53C91B22" w14:textId="77777777" w:rsidR="005B2AEB" w:rsidRPr="00DF6C69" w:rsidRDefault="005B2AEB" w:rsidP="005B2AEB">
            <w:pPr>
              <w:jc w:val="center"/>
              <w:rPr>
                <w:rFonts w:cs="Times New Roman"/>
                <w:color w:val="000000"/>
                <w:sz w:val="18"/>
                <w:szCs w:val="18"/>
              </w:rPr>
            </w:pPr>
          </w:p>
        </w:tc>
        <w:tc>
          <w:tcPr>
            <w:tcW w:w="850" w:type="dxa"/>
          </w:tcPr>
          <w:p w14:paraId="31C8867C" w14:textId="25D3F4BE"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6CD428CD" w14:textId="74DC16F7" w:rsidTr="00576A52">
        <w:trPr>
          <w:trHeight w:val="113"/>
        </w:trPr>
        <w:tc>
          <w:tcPr>
            <w:tcW w:w="704" w:type="dxa"/>
            <w:vMerge/>
            <w:shd w:val="clear" w:color="auto" w:fill="FFF2CC" w:themeFill="accent4" w:themeFillTint="33"/>
            <w:vAlign w:val="center"/>
          </w:tcPr>
          <w:p w14:paraId="008B4FCA"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7B80A137"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Asparagine</w:t>
            </w:r>
            <w:r w:rsidRPr="00DF6C69">
              <w:rPr>
                <w:rFonts w:ascii="Times New Roman" w:hAnsi="Times New Roman" w:cs="Times New Roman"/>
                <w:sz w:val="18"/>
                <w:szCs w:val="18"/>
                <w:vertAlign w:val="superscript"/>
              </w:rPr>
              <w:t>3</w:t>
            </w:r>
          </w:p>
        </w:tc>
        <w:tc>
          <w:tcPr>
            <w:tcW w:w="990" w:type="dxa"/>
            <w:vAlign w:val="center"/>
          </w:tcPr>
          <w:p w14:paraId="10B5BAF6"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26D237AD" w14:textId="77777777" w:rsidR="005B2AEB" w:rsidRPr="00DF6C69" w:rsidRDefault="005B2AEB" w:rsidP="005B2AEB">
            <w:pPr>
              <w:jc w:val="center"/>
              <w:rPr>
                <w:rFonts w:cs="Times New Roman"/>
                <w:color w:val="000000"/>
                <w:sz w:val="18"/>
                <w:szCs w:val="18"/>
              </w:rPr>
            </w:pPr>
          </w:p>
        </w:tc>
        <w:tc>
          <w:tcPr>
            <w:tcW w:w="693" w:type="dxa"/>
            <w:vAlign w:val="center"/>
          </w:tcPr>
          <w:p w14:paraId="69AEA630" w14:textId="77777777" w:rsidR="005B2AEB" w:rsidRPr="00DF6C69" w:rsidRDefault="005B2AEB" w:rsidP="005B2AEB">
            <w:pPr>
              <w:jc w:val="center"/>
              <w:rPr>
                <w:rFonts w:cs="Times New Roman"/>
                <w:color w:val="000000"/>
                <w:sz w:val="18"/>
                <w:szCs w:val="18"/>
              </w:rPr>
            </w:pPr>
          </w:p>
        </w:tc>
        <w:tc>
          <w:tcPr>
            <w:tcW w:w="693" w:type="dxa"/>
            <w:vAlign w:val="center"/>
          </w:tcPr>
          <w:p w14:paraId="6C2A5E12"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3067C230" w14:textId="77777777" w:rsidR="005B2AEB" w:rsidRPr="00DF6C69" w:rsidRDefault="005B2AEB" w:rsidP="005B2AEB">
            <w:pPr>
              <w:jc w:val="center"/>
              <w:rPr>
                <w:rFonts w:cs="Times New Roman"/>
                <w:color w:val="000000"/>
                <w:sz w:val="18"/>
                <w:szCs w:val="18"/>
              </w:rPr>
            </w:pPr>
          </w:p>
        </w:tc>
        <w:tc>
          <w:tcPr>
            <w:tcW w:w="630" w:type="dxa"/>
            <w:vAlign w:val="center"/>
          </w:tcPr>
          <w:p w14:paraId="179189C6"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455F3EB5" w14:textId="77777777" w:rsidR="005B2AEB" w:rsidRPr="00DF6C69" w:rsidRDefault="005B2AEB" w:rsidP="005B2AEB">
            <w:pPr>
              <w:jc w:val="center"/>
              <w:rPr>
                <w:rFonts w:cs="Times New Roman"/>
                <w:color w:val="000000"/>
                <w:sz w:val="18"/>
                <w:szCs w:val="18"/>
              </w:rPr>
            </w:pPr>
          </w:p>
        </w:tc>
        <w:tc>
          <w:tcPr>
            <w:tcW w:w="693" w:type="dxa"/>
            <w:vAlign w:val="center"/>
          </w:tcPr>
          <w:p w14:paraId="71F56E0F" w14:textId="77777777" w:rsidR="005B2AEB" w:rsidRPr="00DF6C69" w:rsidRDefault="005B2AEB" w:rsidP="005B2AEB">
            <w:pPr>
              <w:jc w:val="center"/>
              <w:rPr>
                <w:rFonts w:cs="Times New Roman"/>
                <w:color w:val="000000"/>
                <w:sz w:val="18"/>
                <w:szCs w:val="18"/>
              </w:rPr>
            </w:pPr>
          </w:p>
        </w:tc>
        <w:tc>
          <w:tcPr>
            <w:tcW w:w="536" w:type="dxa"/>
          </w:tcPr>
          <w:p w14:paraId="6F8C1A26" w14:textId="77777777" w:rsidR="005B2AEB" w:rsidRPr="00DF6C69" w:rsidRDefault="005B2AEB" w:rsidP="005B2AEB">
            <w:pPr>
              <w:jc w:val="center"/>
              <w:rPr>
                <w:rFonts w:cs="Times New Roman"/>
                <w:color w:val="000000"/>
                <w:sz w:val="18"/>
                <w:szCs w:val="18"/>
              </w:rPr>
            </w:pPr>
          </w:p>
        </w:tc>
        <w:tc>
          <w:tcPr>
            <w:tcW w:w="850" w:type="dxa"/>
          </w:tcPr>
          <w:p w14:paraId="3A69EC5B" w14:textId="4EFA6CB0" w:rsidR="005B2AEB" w:rsidRPr="00DF6C69" w:rsidRDefault="005B2AEB" w:rsidP="005B2AEB">
            <w:pPr>
              <w:jc w:val="center"/>
              <w:rPr>
                <w:rFonts w:cs="Times New Roman"/>
                <w:color w:val="000000"/>
                <w:sz w:val="18"/>
                <w:szCs w:val="18"/>
              </w:rPr>
            </w:pPr>
            <w:r w:rsidRPr="00DF6C69">
              <w:rPr>
                <w:rFonts w:cs="Times New Roman"/>
                <w:color w:val="000000"/>
                <w:sz w:val="18"/>
                <w:szCs w:val="18"/>
              </w:rPr>
              <w:t>n.d.</w:t>
            </w:r>
            <w:r w:rsidRPr="00DF6C69">
              <w:rPr>
                <w:rFonts w:ascii="Times New Roman" w:hAnsi="Times New Roman" w:cs="Times New Roman"/>
                <w:sz w:val="18"/>
                <w:szCs w:val="18"/>
                <w:vertAlign w:val="superscript"/>
              </w:rPr>
              <w:t>3</w:t>
            </w:r>
          </w:p>
        </w:tc>
      </w:tr>
      <w:tr w:rsidR="005B2AEB" w:rsidRPr="00DF6C69" w14:paraId="34C3412E" w14:textId="0C9D24D2" w:rsidTr="00576A52">
        <w:trPr>
          <w:trHeight w:val="113"/>
        </w:trPr>
        <w:tc>
          <w:tcPr>
            <w:tcW w:w="704" w:type="dxa"/>
            <w:vMerge/>
            <w:shd w:val="clear" w:color="auto" w:fill="FFF2CC" w:themeFill="accent4" w:themeFillTint="33"/>
            <w:vAlign w:val="center"/>
          </w:tcPr>
          <w:p w14:paraId="222E2A33"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6015A564"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Aspartic acid</w:t>
            </w:r>
            <w:r w:rsidRPr="00DF6C69">
              <w:rPr>
                <w:rFonts w:ascii="Times New Roman" w:hAnsi="Times New Roman" w:cs="Times New Roman"/>
                <w:sz w:val="18"/>
                <w:szCs w:val="18"/>
                <w:vertAlign w:val="superscript"/>
              </w:rPr>
              <w:t>3</w:t>
            </w:r>
          </w:p>
        </w:tc>
        <w:tc>
          <w:tcPr>
            <w:tcW w:w="990" w:type="dxa"/>
            <w:vAlign w:val="center"/>
          </w:tcPr>
          <w:p w14:paraId="3976D661"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1F0B140B" w14:textId="77777777" w:rsidR="005B2AEB" w:rsidRPr="00DF6C69" w:rsidRDefault="005B2AEB" w:rsidP="005B2AEB">
            <w:pPr>
              <w:jc w:val="center"/>
              <w:rPr>
                <w:rFonts w:cs="Times New Roman"/>
                <w:color w:val="000000"/>
                <w:sz w:val="18"/>
                <w:szCs w:val="18"/>
              </w:rPr>
            </w:pPr>
          </w:p>
        </w:tc>
        <w:tc>
          <w:tcPr>
            <w:tcW w:w="693" w:type="dxa"/>
            <w:vAlign w:val="center"/>
          </w:tcPr>
          <w:p w14:paraId="070CA472"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0B0D509B"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18D9FDB6" w14:textId="77777777" w:rsidR="005B2AEB" w:rsidRPr="00DF6C69" w:rsidRDefault="005B2AEB" w:rsidP="005B2AEB">
            <w:pPr>
              <w:jc w:val="center"/>
              <w:rPr>
                <w:rFonts w:cs="Times New Roman"/>
                <w:color w:val="000000"/>
                <w:sz w:val="18"/>
                <w:szCs w:val="18"/>
              </w:rPr>
            </w:pPr>
          </w:p>
        </w:tc>
        <w:tc>
          <w:tcPr>
            <w:tcW w:w="630" w:type="dxa"/>
            <w:vAlign w:val="center"/>
          </w:tcPr>
          <w:p w14:paraId="7DE6F9D1"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210ACACD" w14:textId="77777777" w:rsidR="005B2AEB" w:rsidRPr="00DF6C69" w:rsidRDefault="005B2AEB" w:rsidP="005B2AEB">
            <w:pPr>
              <w:jc w:val="center"/>
              <w:rPr>
                <w:rFonts w:cs="Times New Roman"/>
                <w:color w:val="000000"/>
                <w:sz w:val="18"/>
                <w:szCs w:val="18"/>
              </w:rPr>
            </w:pPr>
          </w:p>
        </w:tc>
        <w:tc>
          <w:tcPr>
            <w:tcW w:w="693" w:type="dxa"/>
            <w:vAlign w:val="center"/>
          </w:tcPr>
          <w:p w14:paraId="3612E853" w14:textId="77777777" w:rsidR="005B2AEB" w:rsidRPr="00DF6C69" w:rsidRDefault="005B2AEB" w:rsidP="005B2AEB">
            <w:pPr>
              <w:jc w:val="center"/>
              <w:rPr>
                <w:rFonts w:cs="Times New Roman"/>
                <w:color w:val="000000"/>
                <w:sz w:val="18"/>
                <w:szCs w:val="18"/>
              </w:rPr>
            </w:pPr>
          </w:p>
        </w:tc>
        <w:tc>
          <w:tcPr>
            <w:tcW w:w="536" w:type="dxa"/>
          </w:tcPr>
          <w:p w14:paraId="0E67876E" w14:textId="77777777" w:rsidR="005B2AEB" w:rsidRPr="00DF6C69" w:rsidRDefault="005B2AEB" w:rsidP="005B2AEB">
            <w:pPr>
              <w:jc w:val="center"/>
              <w:rPr>
                <w:rFonts w:cs="Times New Roman"/>
                <w:color w:val="000000"/>
                <w:sz w:val="18"/>
                <w:szCs w:val="18"/>
              </w:rPr>
            </w:pPr>
          </w:p>
        </w:tc>
        <w:tc>
          <w:tcPr>
            <w:tcW w:w="850" w:type="dxa"/>
          </w:tcPr>
          <w:p w14:paraId="039A43E4" w14:textId="62EB6324" w:rsidR="005B2AEB" w:rsidRPr="00DF6C69" w:rsidRDefault="005B2AEB" w:rsidP="005B2AEB">
            <w:pPr>
              <w:jc w:val="center"/>
              <w:rPr>
                <w:rFonts w:cs="Times New Roman"/>
                <w:color w:val="000000"/>
                <w:sz w:val="18"/>
                <w:szCs w:val="18"/>
              </w:rPr>
            </w:pPr>
            <w:r w:rsidRPr="00DF6C69">
              <w:rPr>
                <w:rFonts w:cs="Times New Roman"/>
                <w:color w:val="000000"/>
                <w:sz w:val="18"/>
                <w:szCs w:val="18"/>
              </w:rPr>
              <w:t>n.d.</w:t>
            </w:r>
            <w:r w:rsidRPr="00DF6C69">
              <w:rPr>
                <w:rFonts w:ascii="Times New Roman" w:hAnsi="Times New Roman" w:cs="Times New Roman"/>
                <w:sz w:val="18"/>
                <w:szCs w:val="18"/>
                <w:vertAlign w:val="superscript"/>
              </w:rPr>
              <w:t>3</w:t>
            </w:r>
          </w:p>
        </w:tc>
      </w:tr>
      <w:tr w:rsidR="005B2AEB" w:rsidRPr="00DF6C69" w14:paraId="4F6E5924" w14:textId="502B2CC3" w:rsidTr="00576A52">
        <w:trPr>
          <w:trHeight w:val="113"/>
        </w:trPr>
        <w:tc>
          <w:tcPr>
            <w:tcW w:w="704" w:type="dxa"/>
            <w:vMerge/>
            <w:shd w:val="clear" w:color="auto" w:fill="FFF2CC" w:themeFill="accent4" w:themeFillTint="33"/>
            <w:vAlign w:val="center"/>
          </w:tcPr>
          <w:p w14:paraId="41A860B8"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739358F8"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Cysteine</w:t>
            </w:r>
          </w:p>
        </w:tc>
        <w:tc>
          <w:tcPr>
            <w:tcW w:w="990" w:type="dxa"/>
            <w:vAlign w:val="center"/>
          </w:tcPr>
          <w:p w14:paraId="76C91209"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1AC5CB7F" w14:textId="77777777" w:rsidR="005B2AEB" w:rsidRPr="00DF6C69" w:rsidRDefault="005B2AEB" w:rsidP="005B2AEB">
            <w:pPr>
              <w:jc w:val="center"/>
              <w:rPr>
                <w:rFonts w:cs="Times New Roman"/>
                <w:color w:val="000000"/>
                <w:sz w:val="18"/>
                <w:szCs w:val="18"/>
              </w:rPr>
            </w:pPr>
          </w:p>
        </w:tc>
        <w:tc>
          <w:tcPr>
            <w:tcW w:w="693" w:type="dxa"/>
            <w:vAlign w:val="center"/>
          </w:tcPr>
          <w:p w14:paraId="311C9417"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3069FEBD"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6D5E5DF7" w14:textId="77777777" w:rsidR="005B2AEB" w:rsidRPr="00DF6C69" w:rsidRDefault="005B2AEB" w:rsidP="005B2AEB">
            <w:pPr>
              <w:jc w:val="center"/>
              <w:rPr>
                <w:rFonts w:cs="Times New Roman"/>
                <w:color w:val="000000"/>
                <w:sz w:val="18"/>
                <w:szCs w:val="18"/>
              </w:rPr>
            </w:pPr>
          </w:p>
        </w:tc>
        <w:tc>
          <w:tcPr>
            <w:tcW w:w="630" w:type="dxa"/>
            <w:vAlign w:val="center"/>
          </w:tcPr>
          <w:p w14:paraId="5847CD9B"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55A79D55" w14:textId="77777777" w:rsidR="005B2AEB" w:rsidRPr="00DF6C69" w:rsidRDefault="005B2AEB" w:rsidP="005B2AEB">
            <w:pPr>
              <w:jc w:val="center"/>
              <w:rPr>
                <w:rFonts w:cs="Times New Roman"/>
                <w:color w:val="000000"/>
                <w:sz w:val="18"/>
                <w:szCs w:val="18"/>
              </w:rPr>
            </w:pPr>
          </w:p>
        </w:tc>
        <w:tc>
          <w:tcPr>
            <w:tcW w:w="693" w:type="dxa"/>
            <w:vAlign w:val="center"/>
          </w:tcPr>
          <w:p w14:paraId="1A4BA08B" w14:textId="77777777" w:rsidR="005B2AEB" w:rsidRPr="00DF6C69" w:rsidRDefault="005B2AEB" w:rsidP="005B2AEB">
            <w:pPr>
              <w:jc w:val="center"/>
              <w:rPr>
                <w:rFonts w:cs="Times New Roman"/>
                <w:color w:val="000000"/>
                <w:sz w:val="18"/>
                <w:szCs w:val="18"/>
              </w:rPr>
            </w:pPr>
          </w:p>
        </w:tc>
        <w:tc>
          <w:tcPr>
            <w:tcW w:w="536" w:type="dxa"/>
          </w:tcPr>
          <w:p w14:paraId="625AC617" w14:textId="77777777" w:rsidR="005B2AEB" w:rsidRPr="00DF6C69" w:rsidRDefault="005B2AEB" w:rsidP="005B2AEB">
            <w:pPr>
              <w:jc w:val="center"/>
              <w:rPr>
                <w:rFonts w:cs="Times New Roman"/>
                <w:color w:val="000000"/>
                <w:sz w:val="18"/>
                <w:szCs w:val="18"/>
              </w:rPr>
            </w:pPr>
          </w:p>
        </w:tc>
        <w:tc>
          <w:tcPr>
            <w:tcW w:w="850" w:type="dxa"/>
          </w:tcPr>
          <w:p w14:paraId="236111C1" w14:textId="2906354C"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5F019B7A" w14:textId="5DF2D594" w:rsidTr="00576A52">
        <w:trPr>
          <w:trHeight w:val="198"/>
        </w:trPr>
        <w:tc>
          <w:tcPr>
            <w:tcW w:w="704" w:type="dxa"/>
            <w:vMerge/>
            <w:shd w:val="clear" w:color="auto" w:fill="FFF2CC" w:themeFill="accent4" w:themeFillTint="33"/>
            <w:vAlign w:val="center"/>
          </w:tcPr>
          <w:p w14:paraId="575E8C6C"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613DFCF9"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Glycine</w:t>
            </w:r>
          </w:p>
        </w:tc>
        <w:tc>
          <w:tcPr>
            <w:tcW w:w="990" w:type="dxa"/>
            <w:vAlign w:val="center"/>
          </w:tcPr>
          <w:p w14:paraId="221ED252"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137762EB" w14:textId="77777777" w:rsidR="005B2AEB" w:rsidRPr="00DF6C69" w:rsidRDefault="005B2AEB" w:rsidP="005B2AEB">
            <w:pPr>
              <w:jc w:val="center"/>
              <w:rPr>
                <w:rFonts w:cs="Times New Roman"/>
                <w:color w:val="000000"/>
                <w:sz w:val="18"/>
                <w:szCs w:val="18"/>
              </w:rPr>
            </w:pPr>
          </w:p>
        </w:tc>
        <w:tc>
          <w:tcPr>
            <w:tcW w:w="693" w:type="dxa"/>
            <w:vAlign w:val="center"/>
          </w:tcPr>
          <w:p w14:paraId="661A7DA7"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215356EC"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153A5AC1" w14:textId="77777777" w:rsidR="005B2AEB" w:rsidRPr="00DF6C69" w:rsidRDefault="005B2AEB" w:rsidP="005B2AEB">
            <w:pPr>
              <w:jc w:val="center"/>
              <w:rPr>
                <w:rFonts w:cs="Times New Roman"/>
                <w:color w:val="000000"/>
                <w:sz w:val="18"/>
                <w:szCs w:val="18"/>
              </w:rPr>
            </w:pPr>
          </w:p>
        </w:tc>
        <w:tc>
          <w:tcPr>
            <w:tcW w:w="630" w:type="dxa"/>
            <w:vAlign w:val="center"/>
          </w:tcPr>
          <w:p w14:paraId="7AB8485F" w14:textId="77777777" w:rsidR="005B2AEB" w:rsidRPr="00DF6C69" w:rsidRDefault="005B2AEB" w:rsidP="005B2AEB">
            <w:pPr>
              <w:jc w:val="center"/>
              <w:rPr>
                <w:rFonts w:cs="Times New Roman"/>
                <w:color w:val="000000"/>
                <w:sz w:val="18"/>
                <w:szCs w:val="18"/>
              </w:rPr>
            </w:pPr>
          </w:p>
        </w:tc>
        <w:tc>
          <w:tcPr>
            <w:tcW w:w="693" w:type="dxa"/>
            <w:noWrap/>
            <w:vAlign w:val="center"/>
          </w:tcPr>
          <w:p w14:paraId="0ABD4F70" w14:textId="77777777" w:rsidR="005B2AEB" w:rsidRPr="00DF6C69" w:rsidRDefault="005B2AEB" w:rsidP="005B2AEB">
            <w:pPr>
              <w:jc w:val="center"/>
              <w:rPr>
                <w:rFonts w:cs="Times New Roman"/>
                <w:color w:val="000000"/>
                <w:sz w:val="18"/>
                <w:szCs w:val="18"/>
              </w:rPr>
            </w:pPr>
          </w:p>
        </w:tc>
        <w:tc>
          <w:tcPr>
            <w:tcW w:w="693" w:type="dxa"/>
            <w:vAlign w:val="center"/>
          </w:tcPr>
          <w:p w14:paraId="1B9D36F5" w14:textId="77777777" w:rsidR="005B2AEB" w:rsidRPr="00DF6C69" w:rsidRDefault="005B2AEB" w:rsidP="005B2AEB">
            <w:pPr>
              <w:jc w:val="center"/>
              <w:rPr>
                <w:rFonts w:cs="Times New Roman"/>
                <w:color w:val="000000"/>
                <w:sz w:val="18"/>
                <w:szCs w:val="18"/>
              </w:rPr>
            </w:pPr>
          </w:p>
        </w:tc>
        <w:tc>
          <w:tcPr>
            <w:tcW w:w="536" w:type="dxa"/>
          </w:tcPr>
          <w:p w14:paraId="7952227A" w14:textId="77777777" w:rsidR="005B2AEB" w:rsidRPr="00DF6C69" w:rsidRDefault="005B2AEB" w:rsidP="005B2AEB">
            <w:pPr>
              <w:jc w:val="center"/>
              <w:rPr>
                <w:rFonts w:cs="Times New Roman"/>
                <w:color w:val="000000"/>
                <w:sz w:val="18"/>
                <w:szCs w:val="18"/>
              </w:rPr>
            </w:pPr>
          </w:p>
        </w:tc>
        <w:tc>
          <w:tcPr>
            <w:tcW w:w="850" w:type="dxa"/>
          </w:tcPr>
          <w:p w14:paraId="47F87F02" w14:textId="05C0383F"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54604B0E" w14:textId="232D4D50" w:rsidTr="00576A52">
        <w:trPr>
          <w:trHeight w:val="113"/>
        </w:trPr>
        <w:tc>
          <w:tcPr>
            <w:tcW w:w="704" w:type="dxa"/>
            <w:vMerge/>
            <w:shd w:val="clear" w:color="auto" w:fill="FFF2CC" w:themeFill="accent4" w:themeFillTint="33"/>
            <w:vAlign w:val="center"/>
          </w:tcPr>
          <w:p w14:paraId="5BB68C95"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053C143D"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Histidine</w:t>
            </w:r>
            <w:r w:rsidRPr="00DF6C69">
              <w:rPr>
                <w:rFonts w:ascii="Times New Roman" w:hAnsi="Times New Roman" w:cs="Times New Roman"/>
                <w:sz w:val="18"/>
                <w:szCs w:val="18"/>
                <w:vertAlign w:val="superscript"/>
              </w:rPr>
              <w:t>3</w:t>
            </w:r>
            <w:r w:rsidRPr="00DF6C69">
              <w:rPr>
                <w:rFonts w:ascii="Times New Roman" w:hAnsi="Times New Roman" w:cs="Times New Roman"/>
                <w:sz w:val="18"/>
                <w:szCs w:val="18"/>
              </w:rPr>
              <w:t xml:space="preserve"> </w:t>
            </w:r>
          </w:p>
        </w:tc>
        <w:tc>
          <w:tcPr>
            <w:tcW w:w="990" w:type="dxa"/>
            <w:vAlign w:val="center"/>
          </w:tcPr>
          <w:p w14:paraId="6CE10F0C"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110B239E"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7362195F"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15743B77"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2719F1B7" w14:textId="77777777" w:rsidR="005B2AEB" w:rsidRPr="00DF6C69" w:rsidRDefault="005B2AEB" w:rsidP="005B2AEB">
            <w:pPr>
              <w:jc w:val="center"/>
              <w:rPr>
                <w:rFonts w:cs="Times New Roman"/>
                <w:color w:val="000000"/>
                <w:sz w:val="18"/>
                <w:szCs w:val="18"/>
              </w:rPr>
            </w:pPr>
          </w:p>
        </w:tc>
        <w:tc>
          <w:tcPr>
            <w:tcW w:w="630" w:type="dxa"/>
            <w:vAlign w:val="center"/>
          </w:tcPr>
          <w:p w14:paraId="295AB6C6" w14:textId="77777777" w:rsidR="005B2AEB" w:rsidRPr="00DF6C69" w:rsidRDefault="005B2AEB" w:rsidP="005B2AEB">
            <w:pPr>
              <w:jc w:val="center"/>
              <w:rPr>
                <w:rFonts w:cs="Times New Roman"/>
                <w:color w:val="000000"/>
                <w:sz w:val="18"/>
                <w:szCs w:val="18"/>
              </w:rPr>
            </w:pPr>
          </w:p>
        </w:tc>
        <w:tc>
          <w:tcPr>
            <w:tcW w:w="693" w:type="dxa"/>
            <w:noWrap/>
            <w:vAlign w:val="center"/>
          </w:tcPr>
          <w:p w14:paraId="182293BD" w14:textId="77777777" w:rsidR="005B2AEB" w:rsidRPr="00DF6C69" w:rsidRDefault="005B2AEB" w:rsidP="005B2AEB">
            <w:pPr>
              <w:jc w:val="center"/>
              <w:rPr>
                <w:rFonts w:cs="Times New Roman"/>
                <w:color w:val="000000"/>
                <w:sz w:val="18"/>
                <w:szCs w:val="18"/>
              </w:rPr>
            </w:pPr>
          </w:p>
        </w:tc>
        <w:tc>
          <w:tcPr>
            <w:tcW w:w="693" w:type="dxa"/>
            <w:vAlign w:val="center"/>
          </w:tcPr>
          <w:p w14:paraId="018A69EB" w14:textId="77777777" w:rsidR="005B2AEB" w:rsidRPr="00DF6C69" w:rsidRDefault="005B2AEB" w:rsidP="005B2AEB">
            <w:pPr>
              <w:jc w:val="center"/>
              <w:rPr>
                <w:rFonts w:cs="Times New Roman"/>
                <w:color w:val="000000"/>
                <w:sz w:val="18"/>
                <w:szCs w:val="18"/>
              </w:rPr>
            </w:pPr>
          </w:p>
        </w:tc>
        <w:tc>
          <w:tcPr>
            <w:tcW w:w="536" w:type="dxa"/>
          </w:tcPr>
          <w:p w14:paraId="360E0EF3" w14:textId="77777777" w:rsidR="005B2AEB" w:rsidRPr="00DF6C69" w:rsidRDefault="005B2AEB" w:rsidP="005B2AEB">
            <w:pPr>
              <w:jc w:val="center"/>
              <w:rPr>
                <w:rFonts w:cs="Times New Roman"/>
                <w:color w:val="000000"/>
                <w:sz w:val="18"/>
                <w:szCs w:val="18"/>
              </w:rPr>
            </w:pPr>
          </w:p>
        </w:tc>
        <w:tc>
          <w:tcPr>
            <w:tcW w:w="850" w:type="dxa"/>
          </w:tcPr>
          <w:p w14:paraId="1BFBCAE2" w14:textId="12448D68"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0523004C" w14:textId="25A30B42" w:rsidTr="00576A52">
        <w:trPr>
          <w:trHeight w:val="113"/>
        </w:trPr>
        <w:tc>
          <w:tcPr>
            <w:tcW w:w="704" w:type="dxa"/>
            <w:vMerge/>
            <w:shd w:val="clear" w:color="auto" w:fill="BDD6EE" w:themeFill="accent5" w:themeFillTint="66"/>
            <w:vAlign w:val="center"/>
          </w:tcPr>
          <w:p w14:paraId="0D2C4808"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76D41C9E"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Isoleucine</w:t>
            </w:r>
            <w:r w:rsidRPr="00DF6C69">
              <w:rPr>
                <w:rFonts w:ascii="Times New Roman" w:hAnsi="Times New Roman" w:cs="Times New Roman"/>
                <w:sz w:val="18"/>
                <w:szCs w:val="18"/>
                <w:vertAlign w:val="superscript"/>
              </w:rPr>
              <w:t>3</w:t>
            </w:r>
          </w:p>
        </w:tc>
        <w:tc>
          <w:tcPr>
            <w:tcW w:w="990" w:type="dxa"/>
            <w:vAlign w:val="center"/>
          </w:tcPr>
          <w:p w14:paraId="425ABEB4"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2E52C90C" w14:textId="77777777" w:rsidR="005B2AEB" w:rsidRPr="00DF6C69" w:rsidRDefault="005B2AEB" w:rsidP="005B2AEB">
            <w:pPr>
              <w:jc w:val="center"/>
              <w:rPr>
                <w:rFonts w:cs="Times New Roman"/>
                <w:color w:val="000000"/>
                <w:sz w:val="18"/>
                <w:szCs w:val="18"/>
              </w:rPr>
            </w:pPr>
          </w:p>
        </w:tc>
        <w:tc>
          <w:tcPr>
            <w:tcW w:w="693" w:type="dxa"/>
            <w:vAlign w:val="center"/>
          </w:tcPr>
          <w:p w14:paraId="38F79A0A"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0DDD52D1"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7EBEE5F4" w14:textId="77777777" w:rsidR="005B2AEB" w:rsidRPr="00DF6C69" w:rsidRDefault="005B2AEB" w:rsidP="005B2AEB">
            <w:pPr>
              <w:jc w:val="center"/>
              <w:rPr>
                <w:rFonts w:cs="Times New Roman"/>
                <w:color w:val="000000"/>
                <w:sz w:val="18"/>
                <w:szCs w:val="18"/>
              </w:rPr>
            </w:pPr>
          </w:p>
        </w:tc>
        <w:tc>
          <w:tcPr>
            <w:tcW w:w="630" w:type="dxa"/>
            <w:vAlign w:val="center"/>
          </w:tcPr>
          <w:p w14:paraId="7C88AD29" w14:textId="77777777" w:rsidR="005B2AEB" w:rsidRPr="00DF6C69" w:rsidRDefault="005B2AEB" w:rsidP="005B2AEB">
            <w:pPr>
              <w:jc w:val="center"/>
              <w:rPr>
                <w:rFonts w:cs="Times New Roman"/>
                <w:color w:val="000000"/>
                <w:sz w:val="18"/>
                <w:szCs w:val="18"/>
              </w:rPr>
            </w:pPr>
          </w:p>
        </w:tc>
        <w:tc>
          <w:tcPr>
            <w:tcW w:w="693" w:type="dxa"/>
            <w:noWrap/>
            <w:vAlign w:val="center"/>
          </w:tcPr>
          <w:p w14:paraId="2267F0E9" w14:textId="77777777" w:rsidR="005B2AEB" w:rsidRPr="00DF6C69" w:rsidRDefault="005B2AEB" w:rsidP="005B2AEB">
            <w:pPr>
              <w:jc w:val="center"/>
              <w:rPr>
                <w:rFonts w:cs="Times New Roman"/>
                <w:color w:val="000000"/>
                <w:sz w:val="18"/>
                <w:szCs w:val="18"/>
              </w:rPr>
            </w:pPr>
          </w:p>
        </w:tc>
        <w:tc>
          <w:tcPr>
            <w:tcW w:w="693" w:type="dxa"/>
            <w:vAlign w:val="center"/>
          </w:tcPr>
          <w:p w14:paraId="0891ED98" w14:textId="77777777" w:rsidR="005B2AEB" w:rsidRPr="00DF6C69" w:rsidRDefault="005B2AEB" w:rsidP="005B2AEB">
            <w:pPr>
              <w:jc w:val="center"/>
              <w:rPr>
                <w:rFonts w:cs="Times New Roman"/>
                <w:color w:val="000000"/>
                <w:sz w:val="18"/>
                <w:szCs w:val="18"/>
              </w:rPr>
            </w:pPr>
          </w:p>
        </w:tc>
        <w:tc>
          <w:tcPr>
            <w:tcW w:w="536" w:type="dxa"/>
          </w:tcPr>
          <w:p w14:paraId="6154969D" w14:textId="77777777" w:rsidR="005B2AEB" w:rsidRPr="00DF6C69" w:rsidRDefault="005B2AEB" w:rsidP="005B2AEB">
            <w:pPr>
              <w:jc w:val="center"/>
              <w:rPr>
                <w:rFonts w:cs="Times New Roman"/>
                <w:color w:val="000000"/>
                <w:sz w:val="18"/>
                <w:szCs w:val="18"/>
              </w:rPr>
            </w:pPr>
          </w:p>
        </w:tc>
        <w:tc>
          <w:tcPr>
            <w:tcW w:w="850" w:type="dxa"/>
          </w:tcPr>
          <w:p w14:paraId="7AF39D91" w14:textId="4FF37A91"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10D7D3BA" w14:textId="6EF0C586" w:rsidTr="00576A52">
        <w:trPr>
          <w:trHeight w:val="113"/>
        </w:trPr>
        <w:tc>
          <w:tcPr>
            <w:tcW w:w="704" w:type="dxa"/>
            <w:vMerge/>
            <w:shd w:val="clear" w:color="auto" w:fill="BDD6EE" w:themeFill="accent5" w:themeFillTint="66"/>
            <w:vAlign w:val="center"/>
          </w:tcPr>
          <w:p w14:paraId="2ACF0F5E"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648D65FC"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Methionine</w:t>
            </w:r>
            <w:r w:rsidRPr="00DF6C69">
              <w:rPr>
                <w:rFonts w:ascii="Times New Roman" w:hAnsi="Times New Roman" w:cs="Times New Roman"/>
                <w:sz w:val="18"/>
                <w:szCs w:val="18"/>
                <w:vertAlign w:val="superscript"/>
              </w:rPr>
              <w:t>3</w:t>
            </w:r>
          </w:p>
        </w:tc>
        <w:tc>
          <w:tcPr>
            <w:tcW w:w="990" w:type="dxa"/>
            <w:vAlign w:val="center"/>
          </w:tcPr>
          <w:p w14:paraId="1F8E5069"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31AF9A25" w14:textId="77777777" w:rsidR="005B2AEB" w:rsidRPr="00DF6C69" w:rsidRDefault="005B2AEB" w:rsidP="005B2AEB">
            <w:pPr>
              <w:jc w:val="center"/>
              <w:rPr>
                <w:rFonts w:cs="Times New Roman"/>
                <w:color w:val="000000"/>
                <w:sz w:val="18"/>
                <w:szCs w:val="18"/>
              </w:rPr>
            </w:pPr>
          </w:p>
        </w:tc>
        <w:tc>
          <w:tcPr>
            <w:tcW w:w="693" w:type="dxa"/>
            <w:vAlign w:val="center"/>
          </w:tcPr>
          <w:p w14:paraId="38B95AA7"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39D79102"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1DE2D97D" w14:textId="77777777" w:rsidR="005B2AEB" w:rsidRPr="00DF6C69" w:rsidRDefault="005B2AEB" w:rsidP="005B2AEB">
            <w:pPr>
              <w:jc w:val="center"/>
              <w:rPr>
                <w:rFonts w:cs="Times New Roman"/>
                <w:color w:val="000000"/>
                <w:sz w:val="18"/>
                <w:szCs w:val="18"/>
              </w:rPr>
            </w:pPr>
          </w:p>
        </w:tc>
        <w:tc>
          <w:tcPr>
            <w:tcW w:w="630" w:type="dxa"/>
            <w:vAlign w:val="center"/>
          </w:tcPr>
          <w:p w14:paraId="22BE4922"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79086415" w14:textId="77777777" w:rsidR="005B2AEB" w:rsidRPr="00DF6C69" w:rsidRDefault="005B2AEB" w:rsidP="005B2AEB">
            <w:pPr>
              <w:jc w:val="center"/>
              <w:rPr>
                <w:rFonts w:cs="Times New Roman"/>
                <w:color w:val="000000"/>
                <w:sz w:val="18"/>
                <w:szCs w:val="18"/>
              </w:rPr>
            </w:pPr>
          </w:p>
        </w:tc>
        <w:tc>
          <w:tcPr>
            <w:tcW w:w="693" w:type="dxa"/>
            <w:vAlign w:val="center"/>
          </w:tcPr>
          <w:p w14:paraId="51F46573" w14:textId="77777777" w:rsidR="005B2AEB" w:rsidRPr="00DF6C69" w:rsidRDefault="005B2AEB" w:rsidP="005B2AEB">
            <w:pPr>
              <w:jc w:val="center"/>
              <w:rPr>
                <w:rFonts w:cs="Times New Roman"/>
                <w:color w:val="000000"/>
                <w:sz w:val="18"/>
                <w:szCs w:val="18"/>
              </w:rPr>
            </w:pPr>
          </w:p>
        </w:tc>
        <w:tc>
          <w:tcPr>
            <w:tcW w:w="536" w:type="dxa"/>
          </w:tcPr>
          <w:p w14:paraId="27E4D54E" w14:textId="77777777" w:rsidR="005B2AEB" w:rsidRPr="00DF6C69" w:rsidRDefault="005B2AEB" w:rsidP="005B2AEB">
            <w:pPr>
              <w:jc w:val="center"/>
              <w:rPr>
                <w:rFonts w:cs="Times New Roman"/>
                <w:color w:val="000000"/>
                <w:sz w:val="18"/>
                <w:szCs w:val="18"/>
              </w:rPr>
            </w:pPr>
          </w:p>
        </w:tc>
        <w:tc>
          <w:tcPr>
            <w:tcW w:w="850" w:type="dxa"/>
          </w:tcPr>
          <w:p w14:paraId="25D69DA4" w14:textId="28A847D0"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3822F419" w14:textId="356A6F13" w:rsidTr="00576A52">
        <w:trPr>
          <w:trHeight w:val="113"/>
        </w:trPr>
        <w:tc>
          <w:tcPr>
            <w:tcW w:w="704" w:type="dxa"/>
            <w:vMerge/>
            <w:shd w:val="clear" w:color="auto" w:fill="BDD6EE" w:themeFill="accent5" w:themeFillTint="66"/>
            <w:vAlign w:val="center"/>
          </w:tcPr>
          <w:p w14:paraId="42E23780"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7B77F46D"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Proline</w:t>
            </w:r>
          </w:p>
        </w:tc>
        <w:tc>
          <w:tcPr>
            <w:tcW w:w="990" w:type="dxa"/>
            <w:vAlign w:val="center"/>
          </w:tcPr>
          <w:p w14:paraId="43E8EC03"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59B31704" w14:textId="77777777" w:rsidR="005B2AEB" w:rsidRPr="00DF6C69" w:rsidRDefault="005B2AEB" w:rsidP="005B2AEB">
            <w:pPr>
              <w:jc w:val="center"/>
              <w:rPr>
                <w:rFonts w:cs="Times New Roman"/>
                <w:color w:val="000000"/>
                <w:sz w:val="18"/>
                <w:szCs w:val="18"/>
              </w:rPr>
            </w:pPr>
          </w:p>
        </w:tc>
        <w:tc>
          <w:tcPr>
            <w:tcW w:w="693" w:type="dxa"/>
            <w:vAlign w:val="center"/>
          </w:tcPr>
          <w:p w14:paraId="4686CBD2" w14:textId="77777777" w:rsidR="005B2AEB" w:rsidRPr="00DF6C69" w:rsidRDefault="005B2AEB" w:rsidP="005B2AEB">
            <w:pPr>
              <w:jc w:val="center"/>
              <w:rPr>
                <w:rFonts w:cs="Times New Roman"/>
                <w:color w:val="000000"/>
                <w:sz w:val="18"/>
                <w:szCs w:val="18"/>
              </w:rPr>
            </w:pPr>
          </w:p>
        </w:tc>
        <w:tc>
          <w:tcPr>
            <w:tcW w:w="693" w:type="dxa"/>
            <w:vAlign w:val="center"/>
          </w:tcPr>
          <w:p w14:paraId="3C460930"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65DB3E5E" w14:textId="77777777" w:rsidR="005B2AEB" w:rsidRPr="00DF6C69" w:rsidRDefault="005B2AEB" w:rsidP="005B2AEB">
            <w:pPr>
              <w:jc w:val="center"/>
              <w:rPr>
                <w:rFonts w:cs="Times New Roman"/>
                <w:color w:val="000000"/>
                <w:sz w:val="18"/>
                <w:szCs w:val="18"/>
              </w:rPr>
            </w:pPr>
          </w:p>
        </w:tc>
        <w:tc>
          <w:tcPr>
            <w:tcW w:w="630" w:type="dxa"/>
            <w:vAlign w:val="center"/>
          </w:tcPr>
          <w:p w14:paraId="26F48460" w14:textId="77777777" w:rsidR="005B2AEB" w:rsidRPr="00DF6C69" w:rsidRDefault="005B2AEB" w:rsidP="005B2AEB">
            <w:pPr>
              <w:jc w:val="center"/>
              <w:rPr>
                <w:rFonts w:cs="Times New Roman"/>
                <w:color w:val="000000"/>
                <w:sz w:val="18"/>
                <w:szCs w:val="18"/>
              </w:rPr>
            </w:pPr>
          </w:p>
        </w:tc>
        <w:tc>
          <w:tcPr>
            <w:tcW w:w="693" w:type="dxa"/>
            <w:noWrap/>
            <w:vAlign w:val="center"/>
          </w:tcPr>
          <w:p w14:paraId="0D8723C1" w14:textId="77777777" w:rsidR="005B2AEB" w:rsidRPr="00DF6C69" w:rsidRDefault="005B2AEB" w:rsidP="005B2AEB">
            <w:pPr>
              <w:jc w:val="center"/>
              <w:rPr>
                <w:rFonts w:cs="Times New Roman"/>
                <w:color w:val="000000"/>
                <w:sz w:val="18"/>
                <w:szCs w:val="18"/>
              </w:rPr>
            </w:pPr>
          </w:p>
        </w:tc>
        <w:tc>
          <w:tcPr>
            <w:tcW w:w="693" w:type="dxa"/>
            <w:vAlign w:val="center"/>
          </w:tcPr>
          <w:p w14:paraId="14736487"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29E45879" w14:textId="77777777" w:rsidR="005B2AEB" w:rsidRPr="00DF6C69" w:rsidRDefault="005B2AEB" w:rsidP="005B2AEB">
            <w:pPr>
              <w:jc w:val="center"/>
              <w:rPr>
                <w:rFonts w:cs="Times New Roman"/>
                <w:color w:val="000000"/>
                <w:sz w:val="18"/>
                <w:szCs w:val="18"/>
              </w:rPr>
            </w:pPr>
          </w:p>
        </w:tc>
        <w:tc>
          <w:tcPr>
            <w:tcW w:w="850" w:type="dxa"/>
          </w:tcPr>
          <w:p w14:paraId="4F340537" w14:textId="21DEEE10"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74635DA9" w14:textId="19B8FC9A" w:rsidTr="00576A52">
        <w:trPr>
          <w:trHeight w:val="113"/>
        </w:trPr>
        <w:tc>
          <w:tcPr>
            <w:tcW w:w="704" w:type="dxa"/>
            <w:vMerge/>
            <w:shd w:val="clear" w:color="auto" w:fill="BDD6EE" w:themeFill="accent5" w:themeFillTint="66"/>
            <w:vAlign w:val="center"/>
          </w:tcPr>
          <w:p w14:paraId="2FFB2A44" w14:textId="77777777" w:rsidR="005B2AEB" w:rsidRPr="00DF6C69" w:rsidRDefault="005B2AEB" w:rsidP="005B2AEB">
            <w:pPr>
              <w:spacing w:after="160" w:line="259" w:lineRule="auto"/>
              <w:jc w:val="left"/>
              <w:rPr>
                <w:rFonts w:ascii="Times New Roman" w:hAnsi="Times New Roman" w:cs="Times New Roman"/>
                <w:sz w:val="18"/>
                <w:szCs w:val="18"/>
              </w:rPr>
            </w:pPr>
          </w:p>
        </w:tc>
        <w:tc>
          <w:tcPr>
            <w:tcW w:w="1703" w:type="dxa"/>
            <w:shd w:val="clear" w:color="auto" w:fill="D9E2F3" w:themeFill="accent1" w:themeFillTint="33"/>
            <w:vAlign w:val="center"/>
          </w:tcPr>
          <w:p w14:paraId="51913B9C"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Serine</w:t>
            </w:r>
            <w:r w:rsidRPr="00DF6C69">
              <w:rPr>
                <w:rFonts w:ascii="Times New Roman" w:hAnsi="Times New Roman" w:cs="Times New Roman"/>
                <w:sz w:val="18"/>
                <w:szCs w:val="18"/>
                <w:vertAlign w:val="superscript"/>
              </w:rPr>
              <w:t>3</w:t>
            </w:r>
          </w:p>
        </w:tc>
        <w:tc>
          <w:tcPr>
            <w:tcW w:w="990" w:type="dxa"/>
            <w:vAlign w:val="center"/>
          </w:tcPr>
          <w:p w14:paraId="4BA89F65"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1EF7C9B9" w14:textId="77777777" w:rsidR="005B2AEB" w:rsidRPr="00DF6C69" w:rsidRDefault="005B2AEB" w:rsidP="005B2AEB">
            <w:pPr>
              <w:jc w:val="center"/>
              <w:rPr>
                <w:rFonts w:cs="Times New Roman"/>
                <w:color w:val="000000"/>
                <w:sz w:val="18"/>
                <w:szCs w:val="18"/>
              </w:rPr>
            </w:pPr>
          </w:p>
        </w:tc>
        <w:tc>
          <w:tcPr>
            <w:tcW w:w="693" w:type="dxa"/>
            <w:vAlign w:val="center"/>
          </w:tcPr>
          <w:p w14:paraId="2302847E" w14:textId="77777777" w:rsidR="005B2AEB" w:rsidRPr="00DF6C69" w:rsidRDefault="005B2AEB" w:rsidP="005B2AEB">
            <w:pPr>
              <w:jc w:val="center"/>
              <w:rPr>
                <w:rFonts w:cs="Times New Roman"/>
                <w:color w:val="000000"/>
                <w:sz w:val="18"/>
                <w:szCs w:val="18"/>
              </w:rPr>
            </w:pPr>
          </w:p>
        </w:tc>
        <w:tc>
          <w:tcPr>
            <w:tcW w:w="693" w:type="dxa"/>
            <w:vAlign w:val="center"/>
          </w:tcPr>
          <w:p w14:paraId="32A197C9"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7C48D4D4" w14:textId="77777777" w:rsidR="005B2AEB" w:rsidRPr="00DF6C69" w:rsidRDefault="005B2AEB" w:rsidP="005B2AEB">
            <w:pPr>
              <w:jc w:val="center"/>
              <w:rPr>
                <w:rFonts w:cs="Times New Roman"/>
                <w:color w:val="000000"/>
                <w:sz w:val="18"/>
                <w:szCs w:val="18"/>
              </w:rPr>
            </w:pPr>
          </w:p>
        </w:tc>
        <w:tc>
          <w:tcPr>
            <w:tcW w:w="630" w:type="dxa"/>
            <w:vAlign w:val="center"/>
          </w:tcPr>
          <w:p w14:paraId="1119CEEA" w14:textId="77777777" w:rsidR="005B2AEB" w:rsidRPr="00DF6C69" w:rsidRDefault="005B2AEB" w:rsidP="005B2AEB">
            <w:pPr>
              <w:jc w:val="center"/>
              <w:rPr>
                <w:rFonts w:cs="Times New Roman"/>
                <w:color w:val="000000"/>
                <w:sz w:val="18"/>
                <w:szCs w:val="18"/>
              </w:rPr>
            </w:pPr>
          </w:p>
        </w:tc>
        <w:tc>
          <w:tcPr>
            <w:tcW w:w="693" w:type="dxa"/>
            <w:noWrap/>
            <w:vAlign w:val="center"/>
          </w:tcPr>
          <w:p w14:paraId="2623B143" w14:textId="77777777" w:rsidR="005B2AEB" w:rsidRPr="00DF6C69" w:rsidRDefault="005B2AEB" w:rsidP="005B2AEB">
            <w:pPr>
              <w:jc w:val="center"/>
              <w:rPr>
                <w:rFonts w:cs="Times New Roman"/>
                <w:color w:val="000000"/>
                <w:sz w:val="18"/>
                <w:szCs w:val="18"/>
              </w:rPr>
            </w:pPr>
          </w:p>
        </w:tc>
        <w:tc>
          <w:tcPr>
            <w:tcW w:w="693" w:type="dxa"/>
            <w:vAlign w:val="center"/>
          </w:tcPr>
          <w:p w14:paraId="42543167" w14:textId="77777777" w:rsidR="005B2AEB" w:rsidRPr="00DF6C69" w:rsidRDefault="005B2AEB" w:rsidP="005B2AEB">
            <w:pPr>
              <w:jc w:val="center"/>
              <w:rPr>
                <w:rFonts w:cs="Times New Roman"/>
                <w:color w:val="000000"/>
                <w:sz w:val="18"/>
                <w:szCs w:val="18"/>
              </w:rPr>
            </w:pPr>
          </w:p>
        </w:tc>
        <w:tc>
          <w:tcPr>
            <w:tcW w:w="536" w:type="dxa"/>
          </w:tcPr>
          <w:p w14:paraId="32F822FF" w14:textId="77777777" w:rsidR="005B2AEB" w:rsidRPr="00DF6C69" w:rsidRDefault="005B2AEB" w:rsidP="005B2AEB">
            <w:pPr>
              <w:jc w:val="center"/>
              <w:rPr>
                <w:rFonts w:cs="Times New Roman"/>
                <w:color w:val="000000"/>
                <w:sz w:val="18"/>
                <w:szCs w:val="18"/>
              </w:rPr>
            </w:pPr>
          </w:p>
        </w:tc>
        <w:tc>
          <w:tcPr>
            <w:tcW w:w="850" w:type="dxa"/>
          </w:tcPr>
          <w:p w14:paraId="68BF6FD1" w14:textId="0B40CC0B" w:rsidR="005B2AEB" w:rsidRPr="00DF6C69" w:rsidRDefault="005B2AEB" w:rsidP="005B2AEB">
            <w:pPr>
              <w:jc w:val="center"/>
              <w:rPr>
                <w:rFonts w:cs="Times New Roman"/>
                <w:color w:val="000000"/>
                <w:sz w:val="18"/>
                <w:szCs w:val="18"/>
              </w:rPr>
            </w:pPr>
            <w:r w:rsidRPr="00DF6C69">
              <w:rPr>
                <w:rFonts w:cs="Times New Roman"/>
                <w:color w:val="000000"/>
                <w:sz w:val="18"/>
                <w:szCs w:val="18"/>
              </w:rPr>
              <w:t>n.d.</w:t>
            </w:r>
            <w:r w:rsidRPr="00DF6C69">
              <w:rPr>
                <w:rFonts w:ascii="Times New Roman" w:hAnsi="Times New Roman" w:cs="Times New Roman"/>
                <w:sz w:val="18"/>
                <w:szCs w:val="18"/>
                <w:vertAlign w:val="superscript"/>
              </w:rPr>
              <w:t>3</w:t>
            </w:r>
          </w:p>
        </w:tc>
      </w:tr>
      <w:tr w:rsidR="005B2AEB" w:rsidRPr="00DF6C69" w14:paraId="74E1496C" w14:textId="133196E5" w:rsidTr="00576A52">
        <w:trPr>
          <w:trHeight w:val="113"/>
        </w:trPr>
        <w:tc>
          <w:tcPr>
            <w:tcW w:w="704" w:type="dxa"/>
            <w:vMerge/>
            <w:shd w:val="clear" w:color="auto" w:fill="BDD6EE" w:themeFill="accent5" w:themeFillTint="66"/>
            <w:vAlign w:val="center"/>
          </w:tcPr>
          <w:p w14:paraId="230D121C"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477C7D6F"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Threonine</w:t>
            </w:r>
            <w:r w:rsidRPr="00DF6C69">
              <w:rPr>
                <w:rFonts w:ascii="Times New Roman" w:hAnsi="Times New Roman" w:cs="Times New Roman"/>
                <w:sz w:val="18"/>
                <w:szCs w:val="18"/>
                <w:vertAlign w:val="superscript"/>
              </w:rPr>
              <w:t>3</w:t>
            </w:r>
          </w:p>
        </w:tc>
        <w:tc>
          <w:tcPr>
            <w:tcW w:w="990" w:type="dxa"/>
            <w:vAlign w:val="center"/>
          </w:tcPr>
          <w:p w14:paraId="0DE4ED2F"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226BE018" w14:textId="77777777" w:rsidR="005B2AEB" w:rsidRPr="00DF6C69" w:rsidRDefault="005B2AEB" w:rsidP="005B2AEB">
            <w:pPr>
              <w:jc w:val="center"/>
              <w:rPr>
                <w:rFonts w:cs="Times New Roman"/>
                <w:color w:val="000000"/>
                <w:sz w:val="18"/>
                <w:szCs w:val="18"/>
              </w:rPr>
            </w:pPr>
          </w:p>
        </w:tc>
        <w:tc>
          <w:tcPr>
            <w:tcW w:w="693" w:type="dxa"/>
            <w:vAlign w:val="center"/>
          </w:tcPr>
          <w:p w14:paraId="1F80BF27"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29320B1E"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7FE15077" w14:textId="77777777" w:rsidR="005B2AEB" w:rsidRPr="00DF6C69" w:rsidRDefault="005B2AEB" w:rsidP="005B2AEB">
            <w:pPr>
              <w:jc w:val="center"/>
              <w:rPr>
                <w:rFonts w:cs="Times New Roman"/>
                <w:color w:val="000000"/>
                <w:sz w:val="18"/>
                <w:szCs w:val="18"/>
              </w:rPr>
            </w:pPr>
          </w:p>
        </w:tc>
        <w:tc>
          <w:tcPr>
            <w:tcW w:w="630" w:type="dxa"/>
            <w:vAlign w:val="center"/>
          </w:tcPr>
          <w:p w14:paraId="01D8EBE1" w14:textId="77777777" w:rsidR="005B2AEB" w:rsidRPr="00DF6C69" w:rsidRDefault="005B2AEB" w:rsidP="005B2AEB">
            <w:pPr>
              <w:jc w:val="center"/>
              <w:rPr>
                <w:rFonts w:cs="Times New Roman"/>
                <w:color w:val="000000"/>
                <w:sz w:val="18"/>
                <w:szCs w:val="18"/>
              </w:rPr>
            </w:pPr>
          </w:p>
        </w:tc>
        <w:tc>
          <w:tcPr>
            <w:tcW w:w="693" w:type="dxa"/>
            <w:noWrap/>
            <w:vAlign w:val="center"/>
          </w:tcPr>
          <w:p w14:paraId="79DDD9F2" w14:textId="77777777" w:rsidR="005B2AEB" w:rsidRPr="00DF6C69" w:rsidRDefault="005B2AEB" w:rsidP="005B2AEB">
            <w:pPr>
              <w:jc w:val="center"/>
              <w:rPr>
                <w:rFonts w:cs="Times New Roman"/>
                <w:color w:val="000000"/>
                <w:sz w:val="18"/>
                <w:szCs w:val="18"/>
              </w:rPr>
            </w:pPr>
          </w:p>
        </w:tc>
        <w:tc>
          <w:tcPr>
            <w:tcW w:w="693" w:type="dxa"/>
            <w:vAlign w:val="center"/>
          </w:tcPr>
          <w:p w14:paraId="4EFF167F" w14:textId="77777777" w:rsidR="005B2AEB" w:rsidRPr="00DF6C69" w:rsidRDefault="005B2AEB" w:rsidP="005B2AEB">
            <w:pPr>
              <w:jc w:val="center"/>
              <w:rPr>
                <w:rFonts w:cs="Times New Roman"/>
                <w:color w:val="000000"/>
                <w:sz w:val="18"/>
                <w:szCs w:val="18"/>
              </w:rPr>
            </w:pPr>
          </w:p>
        </w:tc>
        <w:tc>
          <w:tcPr>
            <w:tcW w:w="536" w:type="dxa"/>
          </w:tcPr>
          <w:p w14:paraId="2B0EE12D" w14:textId="77777777" w:rsidR="005B2AEB" w:rsidRPr="00DF6C69" w:rsidRDefault="005B2AEB" w:rsidP="005B2AEB">
            <w:pPr>
              <w:jc w:val="center"/>
              <w:rPr>
                <w:rFonts w:cs="Times New Roman"/>
                <w:color w:val="000000"/>
                <w:sz w:val="18"/>
                <w:szCs w:val="18"/>
              </w:rPr>
            </w:pPr>
          </w:p>
        </w:tc>
        <w:tc>
          <w:tcPr>
            <w:tcW w:w="850" w:type="dxa"/>
          </w:tcPr>
          <w:p w14:paraId="70768D3B" w14:textId="76CE8F4B" w:rsidR="005B2AEB" w:rsidRPr="00DF6C69" w:rsidRDefault="005B2AEB" w:rsidP="005B2AEB">
            <w:pPr>
              <w:jc w:val="center"/>
              <w:rPr>
                <w:rFonts w:cs="Times New Roman"/>
                <w:color w:val="000000"/>
                <w:sz w:val="18"/>
                <w:szCs w:val="18"/>
              </w:rPr>
            </w:pPr>
            <w:r w:rsidRPr="00DF6C69">
              <w:rPr>
                <w:rFonts w:cs="Times New Roman"/>
                <w:color w:val="000000"/>
                <w:sz w:val="18"/>
                <w:szCs w:val="18"/>
              </w:rPr>
              <w:t>n.d.</w:t>
            </w:r>
            <w:r w:rsidRPr="00DF6C69">
              <w:rPr>
                <w:rFonts w:ascii="Times New Roman" w:hAnsi="Times New Roman" w:cs="Times New Roman"/>
                <w:sz w:val="18"/>
                <w:szCs w:val="18"/>
                <w:vertAlign w:val="superscript"/>
              </w:rPr>
              <w:t>3</w:t>
            </w:r>
          </w:p>
        </w:tc>
      </w:tr>
      <w:tr w:rsidR="005B2AEB" w:rsidRPr="00DF6C69" w14:paraId="62E06948" w14:textId="0F14F990" w:rsidTr="00576A52">
        <w:trPr>
          <w:trHeight w:val="113"/>
        </w:trPr>
        <w:tc>
          <w:tcPr>
            <w:tcW w:w="704" w:type="dxa"/>
            <w:vMerge/>
            <w:shd w:val="clear" w:color="auto" w:fill="BDD6EE" w:themeFill="accent5" w:themeFillTint="66"/>
            <w:vAlign w:val="center"/>
          </w:tcPr>
          <w:p w14:paraId="01CA986B" w14:textId="77777777" w:rsidR="005B2AEB" w:rsidRPr="00DF6C69" w:rsidRDefault="005B2AEB" w:rsidP="005B2AEB">
            <w:pPr>
              <w:jc w:val="center"/>
              <w:rPr>
                <w:rFonts w:ascii="Times New Roman" w:hAnsi="Times New Roman" w:cs="Times New Roman"/>
                <w:sz w:val="18"/>
                <w:szCs w:val="18"/>
              </w:rPr>
            </w:pPr>
          </w:p>
        </w:tc>
        <w:tc>
          <w:tcPr>
            <w:tcW w:w="1703" w:type="dxa"/>
            <w:shd w:val="clear" w:color="auto" w:fill="D9E2F3" w:themeFill="accent1" w:themeFillTint="33"/>
            <w:vAlign w:val="center"/>
          </w:tcPr>
          <w:p w14:paraId="5445EECD"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Valine</w:t>
            </w:r>
          </w:p>
        </w:tc>
        <w:tc>
          <w:tcPr>
            <w:tcW w:w="990" w:type="dxa"/>
            <w:vAlign w:val="center"/>
          </w:tcPr>
          <w:p w14:paraId="19E71594"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513396D9" w14:textId="77777777" w:rsidR="005B2AEB" w:rsidRPr="00DF6C69" w:rsidRDefault="005B2AEB" w:rsidP="005B2AEB">
            <w:pPr>
              <w:jc w:val="center"/>
              <w:rPr>
                <w:rFonts w:cs="Times New Roman"/>
                <w:color w:val="000000"/>
                <w:sz w:val="18"/>
                <w:szCs w:val="18"/>
              </w:rPr>
            </w:pPr>
          </w:p>
        </w:tc>
        <w:tc>
          <w:tcPr>
            <w:tcW w:w="693" w:type="dxa"/>
            <w:vAlign w:val="center"/>
          </w:tcPr>
          <w:p w14:paraId="432ED2A1"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7653557C"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76035E92" w14:textId="77777777" w:rsidR="005B2AEB" w:rsidRPr="00DF6C69" w:rsidRDefault="005B2AEB" w:rsidP="005B2AEB">
            <w:pPr>
              <w:jc w:val="center"/>
              <w:rPr>
                <w:rFonts w:cs="Times New Roman"/>
                <w:color w:val="000000"/>
                <w:sz w:val="18"/>
                <w:szCs w:val="18"/>
              </w:rPr>
            </w:pPr>
          </w:p>
        </w:tc>
        <w:tc>
          <w:tcPr>
            <w:tcW w:w="630" w:type="dxa"/>
            <w:vAlign w:val="center"/>
          </w:tcPr>
          <w:p w14:paraId="7A4FEFDC"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67B1CF9E" w14:textId="77777777" w:rsidR="005B2AEB" w:rsidRPr="00DF6C69" w:rsidRDefault="005B2AEB" w:rsidP="005B2AEB">
            <w:pPr>
              <w:jc w:val="center"/>
              <w:rPr>
                <w:rFonts w:cs="Times New Roman"/>
                <w:color w:val="000000"/>
                <w:sz w:val="18"/>
                <w:szCs w:val="18"/>
              </w:rPr>
            </w:pPr>
          </w:p>
        </w:tc>
        <w:tc>
          <w:tcPr>
            <w:tcW w:w="693" w:type="dxa"/>
            <w:vAlign w:val="center"/>
          </w:tcPr>
          <w:p w14:paraId="2B76D49D"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08C75A50" w14:textId="77777777" w:rsidR="005B2AEB" w:rsidRPr="00DF6C69" w:rsidRDefault="005B2AEB" w:rsidP="005B2AEB">
            <w:pPr>
              <w:jc w:val="center"/>
              <w:rPr>
                <w:rFonts w:cs="Times New Roman"/>
                <w:color w:val="000000"/>
                <w:sz w:val="18"/>
                <w:szCs w:val="18"/>
              </w:rPr>
            </w:pPr>
          </w:p>
        </w:tc>
        <w:tc>
          <w:tcPr>
            <w:tcW w:w="850" w:type="dxa"/>
          </w:tcPr>
          <w:p w14:paraId="32B6B6CC" w14:textId="72833C0E"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7F330F9C" w14:textId="268F6D67" w:rsidTr="00576A52">
        <w:trPr>
          <w:trHeight w:val="113"/>
        </w:trPr>
        <w:tc>
          <w:tcPr>
            <w:tcW w:w="2407" w:type="dxa"/>
            <w:gridSpan w:val="2"/>
            <w:shd w:val="clear" w:color="auto" w:fill="FFF2CC" w:themeFill="accent4" w:themeFillTint="33"/>
            <w:vAlign w:val="center"/>
          </w:tcPr>
          <w:p w14:paraId="5633CE2A"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Cholesterol</w:t>
            </w:r>
          </w:p>
        </w:tc>
        <w:tc>
          <w:tcPr>
            <w:tcW w:w="990" w:type="dxa"/>
            <w:vAlign w:val="center"/>
          </w:tcPr>
          <w:p w14:paraId="1C790763"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6A1D2A8B" w14:textId="77777777" w:rsidR="005B2AEB" w:rsidRPr="00DF6C69" w:rsidRDefault="005B2AEB" w:rsidP="005B2AEB">
            <w:pPr>
              <w:jc w:val="center"/>
              <w:rPr>
                <w:rFonts w:cs="Times New Roman"/>
                <w:color w:val="000000"/>
                <w:sz w:val="18"/>
                <w:szCs w:val="18"/>
              </w:rPr>
            </w:pPr>
          </w:p>
        </w:tc>
        <w:tc>
          <w:tcPr>
            <w:tcW w:w="693" w:type="dxa"/>
            <w:vAlign w:val="center"/>
          </w:tcPr>
          <w:p w14:paraId="7BF5FE91" w14:textId="77777777" w:rsidR="005B2AEB" w:rsidRPr="00DF6C69" w:rsidRDefault="005B2AEB" w:rsidP="005B2AEB">
            <w:pPr>
              <w:jc w:val="center"/>
              <w:rPr>
                <w:rFonts w:cs="Times New Roman"/>
                <w:color w:val="000000"/>
                <w:sz w:val="18"/>
                <w:szCs w:val="18"/>
              </w:rPr>
            </w:pPr>
          </w:p>
        </w:tc>
        <w:tc>
          <w:tcPr>
            <w:tcW w:w="693" w:type="dxa"/>
            <w:vAlign w:val="center"/>
          </w:tcPr>
          <w:p w14:paraId="27340C58"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12CA55A0" w14:textId="77777777" w:rsidR="005B2AEB" w:rsidRPr="00DF6C69" w:rsidRDefault="005B2AEB" w:rsidP="005B2AEB">
            <w:pPr>
              <w:jc w:val="center"/>
              <w:rPr>
                <w:rFonts w:cs="Times New Roman"/>
                <w:color w:val="000000"/>
                <w:sz w:val="18"/>
                <w:szCs w:val="18"/>
              </w:rPr>
            </w:pPr>
          </w:p>
        </w:tc>
        <w:tc>
          <w:tcPr>
            <w:tcW w:w="630" w:type="dxa"/>
            <w:vAlign w:val="center"/>
          </w:tcPr>
          <w:p w14:paraId="7743A3CD" w14:textId="77777777" w:rsidR="005B2AEB" w:rsidRPr="00DF6C69" w:rsidRDefault="005B2AEB" w:rsidP="005B2AEB">
            <w:pPr>
              <w:jc w:val="center"/>
              <w:rPr>
                <w:rFonts w:cs="Times New Roman"/>
                <w:color w:val="000000"/>
                <w:sz w:val="18"/>
                <w:szCs w:val="18"/>
              </w:rPr>
            </w:pPr>
          </w:p>
        </w:tc>
        <w:tc>
          <w:tcPr>
            <w:tcW w:w="693" w:type="dxa"/>
            <w:noWrap/>
            <w:vAlign w:val="center"/>
          </w:tcPr>
          <w:p w14:paraId="78EFF704" w14:textId="77777777" w:rsidR="005B2AEB" w:rsidRPr="00DF6C69" w:rsidRDefault="005B2AEB" w:rsidP="005B2AEB">
            <w:pPr>
              <w:jc w:val="center"/>
              <w:rPr>
                <w:rFonts w:cs="Times New Roman"/>
                <w:color w:val="000000"/>
                <w:sz w:val="18"/>
                <w:szCs w:val="18"/>
              </w:rPr>
            </w:pPr>
          </w:p>
        </w:tc>
        <w:tc>
          <w:tcPr>
            <w:tcW w:w="693" w:type="dxa"/>
            <w:vAlign w:val="center"/>
          </w:tcPr>
          <w:p w14:paraId="28E444EC"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5834DDEF" w14:textId="77777777" w:rsidR="005B2AEB" w:rsidRPr="00DF6C69" w:rsidRDefault="005B2AEB" w:rsidP="005B2AEB">
            <w:pPr>
              <w:jc w:val="center"/>
              <w:rPr>
                <w:rFonts w:cs="Times New Roman"/>
                <w:color w:val="000000"/>
                <w:sz w:val="18"/>
                <w:szCs w:val="18"/>
              </w:rPr>
            </w:pPr>
          </w:p>
        </w:tc>
        <w:tc>
          <w:tcPr>
            <w:tcW w:w="850" w:type="dxa"/>
          </w:tcPr>
          <w:p w14:paraId="6764D238" w14:textId="39A81A52" w:rsidR="005B2AEB" w:rsidRPr="00DF6C69" w:rsidRDefault="00D61BA7"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159790BE" w14:textId="21E1AB54" w:rsidTr="00576A52">
        <w:trPr>
          <w:trHeight w:val="113"/>
        </w:trPr>
        <w:tc>
          <w:tcPr>
            <w:tcW w:w="2407" w:type="dxa"/>
            <w:gridSpan w:val="2"/>
            <w:shd w:val="clear" w:color="auto" w:fill="FFF2CC" w:themeFill="accent4" w:themeFillTint="33"/>
            <w:vAlign w:val="center"/>
          </w:tcPr>
          <w:p w14:paraId="64EAC230"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Citrate</w:t>
            </w:r>
          </w:p>
        </w:tc>
        <w:tc>
          <w:tcPr>
            <w:tcW w:w="990" w:type="dxa"/>
            <w:vAlign w:val="center"/>
          </w:tcPr>
          <w:p w14:paraId="1D28A8A5"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3BDA896C" w14:textId="77777777" w:rsidR="005B2AEB" w:rsidRPr="00DF6C69" w:rsidRDefault="005B2AEB" w:rsidP="005B2AEB">
            <w:pPr>
              <w:jc w:val="center"/>
              <w:rPr>
                <w:rFonts w:cs="Times New Roman"/>
                <w:color w:val="000000"/>
                <w:sz w:val="18"/>
                <w:szCs w:val="18"/>
              </w:rPr>
            </w:pPr>
          </w:p>
        </w:tc>
        <w:tc>
          <w:tcPr>
            <w:tcW w:w="693" w:type="dxa"/>
            <w:vAlign w:val="center"/>
          </w:tcPr>
          <w:p w14:paraId="49D6D903" w14:textId="77777777" w:rsidR="005B2AEB" w:rsidRPr="00DF6C69" w:rsidRDefault="005B2AEB" w:rsidP="005B2AEB">
            <w:pPr>
              <w:jc w:val="center"/>
              <w:rPr>
                <w:rFonts w:cs="Times New Roman"/>
                <w:color w:val="000000"/>
                <w:sz w:val="18"/>
                <w:szCs w:val="18"/>
              </w:rPr>
            </w:pPr>
          </w:p>
        </w:tc>
        <w:tc>
          <w:tcPr>
            <w:tcW w:w="693" w:type="dxa"/>
            <w:vAlign w:val="center"/>
          </w:tcPr>
          <w:p w14:paraId="52502DB1"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756" w:type="dxa"/>
            <w:gridSpan w:val="2"/>
            <w:noWrap/>
            <w:vAlign w:val="center"/>
          </w:tcPr>
          <w:p w14:paraId="68F5C4D4" w14:textId="77777777" w:rsidR="005B2AEB" w:rsidRPr="00DF6C69" w:rsidRDefault="005B2AEB" w:rsidP="005B2AEB">
            <w:pPr>
              <w:jc w:val="center"/>
              <w:rPr>
                <w:rFonts w:cs="Times New Roman"/>
                <w:color w:val="000000"/>
                <w:sz w:val="18"/>
                <w:szCs w:val="18"/>
              </w:rPr>
            </w:pPr>
          </w:p>
        </w:tc>
        <w:tc>
          <w:tcPr>
            <w:tcW w:w="630" w:type="dxa"/>
            <w:vAlign w:val="center"/>
          </w:tcPr>
          <w:p w14:paraId="378CD793"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noWrap/>
            <w:vAlign w:val="center"/>
          </w:tcPr>
          <w:p w14:paraId="31370516" w14:textId="77777777" w:rsidR="005B2AEB" w:rsidRPr="00DF6C69" w:rsidRDefault="005B2AEB" w:rsidP="005B2AEB">
            <w:pPr>
              <w:jc w:val="center"/>
              <w:rPr>
                <w:rFonts w:cs="Times New Roman"/>
                <w:color w:val="000000"/>
                <w:sz w:val="18"/>
                <w:szCs w:val="18"/>
              </w:rPr>
            </w:pPr>
          </w:p>
        </w:tc>
        <w:tc>
          <w:tcPr>
            <w:tcW w:w="693" w:type="dxa"/>
            <w:vAlign w:val="center"/>
          </w:tcPr>
          <w:p w14:paraId="26CAD8F0" w14:textId="77777777" w:rsidR="005B2AEB" w:rsidRPr="00DF6C69" w:rsidRDefault="005B2AEB" w:rsidP="005B2AEB">
            <w:pPr>
              <w:jc w:val="center"/>
              <w:rPr>
                <w:rFonts w:cs="Times New Roman"/>
                <w:color w:val="000000"/>
                <w:sz w:val="18"/>
                <w:szCs w:val="18"/>
              </w:rPr>
            </w:pPr>
          </w:p>
        </w:tc>
        <w:tc>
          <w:tcPr>
            <w:tcW w:w="536" w:type="dxa"/>
          </w:tcPr>
          <w:p w14:paraId="4EF12EA7" w14:textId="77777777" w:rsidR="005B2AEB" w:rsidRPr="00DF6C69" w:rsidRDefault="005B2AEB" w:rsidP="005B2AEB">
            <w:pPr>
              <w:jc w:val="center"/>
              <w:rPr>
                <w:rFonts w:cs="Times New Roman"/>
                <w:color w:val="000000"/>
                <w:sz w:val="18"/>
                <w:szCs w:val="18"/>
              </w:rPr>
            </w:pPr>
          </w:p>
        </w:tc>
        <w:tc>
          <w:tcPr>
            <w:tcW w:w="850" w:type="dxa"/>
          </w:tcPr>
          <w:p w14:paraId="69766817" w14:textId="45CD93D6" w:rsidR="005B2AEB" w:rsidRPr="00DF6C69" w:rsidRDefault="00D61BA7"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23FDAFF4" w14:textId="7E842B7E" w:rsidTr="00576A52">
        <w:trPr>
          <w:trHeight w:val="113"/>
        </w:trPr>
        <w:tc>
          <w:tcPr>
            <w:tcW w:w="2407" w:type="dxa"/>
            <w:gridSpan w:val="2"/>
            <w:shd w:val="clear" w:color="auto" w:fill="FFF2CC" w:themeFill="accent4" w:themeFillTint="33"/>
            <w:vAlign w:val="center"/>
          </w:tcPr>
          <w:p w14:paraId="729874DB"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Creatinine</w:t>
            </w:r>
          </w:p>
        </w:tc>
        <w:tc>
          <w:tcPr>
            <w:tcW w:w="990" w:type="dxa"/>
            <w:vAlign w:val="center"/>
          </w:tcPr>
          <w:p w14:paraId="5DC7D95D"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56EA9C86" w14:textId="77777777" w:rsidR="005B2AEB" w:rsidRPr="00DF6C69" w:rsidRDefault="005B2AEB" w:rsidP="005B2AEB">
            <w:pPr>
              <w:jc w:val="center"/>
              <w:rPr>
                <w:rFonts w:cs="Times New Roman"/>
                <w:color w:val="000000"/>
                <w:sz w:val="18"/>
                <w:szCs w:val="18"/>
              </w:rPr>
            </w:pPr>
          </w:p>
        </w:tc>
        <w:tc>
          <w:tcPr>
            <w:tcW w:w="693" w:type="dxa"/>
            <w:vAlign w:val="center"/>
          </w:tcPr>
          <w:p w14:paraId="0183B56C" w14:textId="77777777" w:rsidR="005B2AEB" w:rsidRPr="00DF6C69" w:rsidRDefault="005B2AEB" w:rsidP="005B2AEB">
            <w:pPr>
              <w:jc w:val="center"/>
              <w:rPr>
                <w:rFonts w:cs="Times New Roman"/>
                <w:color w:val="000000"/>
                <w:sz w:val="18"/>
                <w:szCs w:val="18"/>
              </w:rPr>
            </w:pPr>
          </w:p>
        </w:tc>
        <w:tc>
          <w:tcPr>
            <w:tcW w:w="693" w:type="dxa"/>
            <w:vAlign w:val="center"/>
          </w:tcPr>
          <w:p w14:paraId="34D3A390"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36368F0D" w14:textId="77777777" w:rsidR="005B2AEB" w:rsidRPr="00DF6C69" w:rsidRDefault="005B2AEB" w:rsidP="005B2AEB">
            <w:pPr>
              <w:jc w:val="center"/>
              <w:rPr>
                <w:rFonts w:cs="Times New Roman"/>
                <w:color w:val="000000"/>
                <w:sz w:val="18"/>
                <w:szCs w:val="18"/>
              </w:rPr>
            </w:pPr>
          </w:p>
        </w:tc>
        <w:tc>
          <w:tcPr>
            <w:tcW w:w="630" w:type="dxa"/>
            <w:vAlign w:val="center"/>
          </w:tcPr>
          <w:p w14:paraId="661AAC7E" w14:textId="77777777" w:rsidR="005B2AEB" w:rsidRPr="00DF6C69" w:rsidRDefault="005B2AEB" w:rsidP="005B2AEB">
            <w:pPr>
              <w:jc w:val="center"/>
              <w:rPr>
                <w:rFonts w:cs="Times New Roman"/>
                <w:color w:val="000000"/>
                <w:sz w:val="18"/>
                <w:szCs w:val="18"/>
              </w:rPr>
            </w:pPr>
          </w:p>
        </w:tc>
        <w:tc>
          <w:tcPr>
            <w:tcW w:w="693" w:type="dxa"/>
            <w:noWrap/>
            <w:vAlign w:val="center"/>
          </w:tcPr>
          <w:p w14:paraId="285839F0" w14:textId="77777777" w:rsidR="005B2AEB" w:rsidRPr="00DF6C69" w:rsidRDefault="005B2AEB" w:rsidP="005B2AEB">
            <w:pPr>
              <w:jc w:val="center"/>
              <w:rPr>
                <w:rFonts w:cs="Times New Roman"/>
                <w:color w:val="000000"/>
                <w:sz w:val="18"/>
                <w:szCs w:val="18"/>
              </w:rPr>
            </w:pPr>
          </w:p>
        </w:tc>
        <w:tc>
          <w:tcPr>
            <w:tcW w:w="693" w:type="dxa"/>
            <w:vAlign w:val="center"/>
          </w:tcPr>
          <w:p w14:paraId="5BB36FB2" w14:textId="77777777" w:rsidR="005B2AEB" w:rsidRPr="00DF6C69" w:rsidRDefault="005B2AEB" w:rsidP="005B2AEB">
            <w:pPr>
              <w:jc w:val="center"/>
              <w:rPr>
                <w:rFonts w:cs="Times New Roman"/>
                <w:color w:val="000000"/>
                <w:sz w:val="18"/>
                <w:szCs w:val="18"/>
              </w:rPr>
            </w:pPr>
          </w:p>
        </w:tc>
        <w:tc>
          <w:tcPr>
            <w:tcW w:w="536" w:type="dxa"/>
          </w:tcPr>
          <w:p w14:paraId="0DD0F2C2" w14:textId="77777777" w:rsidR="005B2AEB" w:rsidRPr="00DF6C69" w:rsidRDefault="005B2AEB" w:rsidP="005B2AEB">
            <w:pPr>
              <w:jc w:val="center"/>
              <w:rPr>
                <w:rFonts w:cs="Times New Roman"/>
                <w:color w:val="000000"/>
                <w:sz w:val="18"/>
                <w:szCs w:val="18"/>
              </w:rPr>
            </w:pPr>
          </w:p>
        </w:tc>
        <w:tc>
          <w:tcPr>
            <w:tcW w:w="850" w:type="dxa"/>
          </w:tcPr>
          <w:p w14:paraId="2F858B9E" w14:textId="5CABFA22" w:rsidR="005B2AEB" w:rsidRPr="00DF6C69" w:rsidRDefault="00D61BA7"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4CA9A36E" w14:textId="3149F634" w:rsidTr="00576A52">
        <w:trPr>
          <w:trHeight w:val="113"/>
        </w:trPr>
        <w:tc>
          <w:tcPr>
            <w:tcW w:w="2407" w:type="dxa"/>
            <w:gridSpan w:val="2"/>
            <w:shd w:val="clear" w:color="auto" w:fill="FFF2CC" w:themeFill="accent4" w:themeFillTint="33"/>
            <w:vAlign w:val="center"/>
          </w:tcPr>
          <w:p w14:paraId="5653F550"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Fatty acid</w:t>
            </w:r>
          </w:p>
        </w:tc>
        <w:tc>
          <w:tcPr>
            <w:tcW w:w="990" w:type="dxa"/>
            <w:vAlign w:val="center"/>
          </w:tcPr>
          <w:p w14:paraId="6DF6D773"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31B44B5E"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6CBC20E6"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084709E6"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2853773A" w14:textId="77777777" w:rsidR="005B2AEB" w:rsidRPr="00DF6C69" w:rsidRDefault="005B2AEB" w:rsidP="005B2AEB">
            <w:pPr>
              <w:jc w:val="center"/>
              <w:rPr>
                <w:rFonts w:cs="Times New Roman"/>
                <w:color w:val="000000"/>
                <w:sz w:val="18"/>
                <w:szCs w:val="18"/>
              </w:rPr>
            </w:pPr>
          </w:p>
        </w:tc>
        <w:tc>
          <w:tcPr>
            <w:tcW w:w="630" w:type="dxa"/>
            <w:vAlign w:val="center"/>
          </w:tcPr>
          <w:p w14:paraId="2511A82A" w14:textId="77777777" w:rsidR="005B2AEB" w:rsidRPr="00DF6C69" w:rsidRDefault="005B2AEB" w:rsidP="005B2AEB">
            <w:pPr>
              <w:jc w:val="center"/>
              <w:rPr>
                <w:rFonts w:cs="Times New Roman"/>
                <w:color w:val="000000"/>
                <w:sz w:val="18"/>
                <w:szCs w:val="18"/>
              </w:rPr>
            </w:pPr>
          </w:p>
        </w:tc>
        <w:tc>
          <w:tcPr>
            <w:tcW w:w="693" w:type="dxa"/>
            <w:noWrap/>
            <w:vAlign w:val="center"/>
          </w:tcPr>
          <w:p w14:paraId="316D20A9"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428ABF39" w14:textId="77777777" w:rsidR="005B2AEB" w:rsidRPr="00DF6C69" w:rsidRDefault="005B2AEB" w:rsidP="005B2AEB">
            <w:pPr>
              <w:jc w:val="center"/>
              <w:rPr>
                <w:rFonts w:cs="Times New Roman"/>
                <w:color w:val="000000"/>
                <w:sz w:val="18"/>
                <w:szCs w:val="18"/>
              </w:rPr>
            </w:pPr>
          </w:p>
        </w:tc>
        <w:tc>
          <w:tcPr>
            <w:tcW w:w="536" w:type="dxa"/>
          </w:tcPr>
          <w:p w14:paraId="5FD6C0A7" w14:textId="77777777" w:rsidR="005B2AEB" w:rsidRPr="00DF6C69" w:rsidRDefault="005B2AEB" w:rsidP="005B2AEB">
            <w:pPr>
              <w:jc w:val="center"/>
              <w:rPr>
                <w:rFonts w:cs="Times New Roman"/>
                <w:color w:val="000000"/>
                <w:sz w:val="18"/>
                <w:szCs w:val="18"/>
              </w:rPr>
            </w:pPr>
          </w:p>
        </w:tc>
        <w:tc>
          <w:tcPr>
            <w:tcW w:w="850" w:type="dxa"/>
          </w:tcPr>
          <w:p w14:paraId="7D76FF81" w14:textId="31043F06" w:rsidR="005B2AEB" w:rsidRPr="00DF6C69" w:rsidRDefault="00D61BA7"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53B53C2E" w14:textId="5934F72A" w:rsidTr="00576A52">
        <w:trPr>
          <w:trHeight w:val="113"/>
        </w:trPr>
        <w:tc>
          <w:tcPr>
            <w:tcW w:w="2407" w:type="dxa"/>
            <w:gridSpan w:val="2"/>
            <w:shd w:val="clear" w:color="auto" w:fill="FFF2CC" w:themeFill="accent4" w:themeFillTint="33"/>
            <w:vAlign w:val="center"/>
          </w:tcPr>
          <w:p w14:paraId="22EF87DB"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Phosphocholine</w:t>
            </w:r>
          </w:p>
        </w:tc>
        <w:tc>
          <w:tcPr>
            <w:tcW w:w="990" w:type="dxa"/>
            <w:vAlign w:val="center"/>
          </w:tcPr>
          <w:p w14:paraId="5A3BAEAE"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noWrap/>
            <w:vAlign w:val="center"/>
          </w:tcPr>
          <w:p w14:paraId="3EA9260C"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7A257638"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0A3536B6" w14:textId="77777777" w:rsidR="005B2AEB" w:rsidRPr="00DF6C69" w:rsidRDefault="005B2AEB" w:rsidP="005B2AEB">
            <w:pPr>
              <w:jc w:val="center"/>
              <w:rPr>
                <w:rFonts w:cs="Times New Roman"/>
                <w:color w:val="000000"/>
                <w:sz w:val="18"/>
                <w:szCs w:val="18"/>
              </w:rPr>
            </w:pPr>
          </w:p>
        </w:tc>
        <w:tc>
          <w:tcPr>
            <w:tcW w:w="756" w:type="dxa"/>
            <w:gridSpan w:val="2"/>
            <w:noWrap/>
            <w:vAlign w:val="center"/>
          </w:tcPr>
          <w:p w14:paraId="36809B0A" w14:textId="77777777" w:rsidR="005B2AEB" w:rsidRPr="00DF6C69" w:rsidRDefault="005B2AEB" w:rsidP="005B2AEB">
            <w:pPr>
              <w:jc w:val="center"/>
              <w:rPr>
                <w:rFonts w:cs="Times New Roman"/>
                <w:color w:val="000000"/>
                <w:sz w:val="18"/>
                <w:szCs w:val="18"/>
              </w:rPr>
            </w:pPr>
          </w:p>
        </w:tc>
        <w:tc>
          <w:tcPr>
            <w:tcW w:w="630" w:type="dxa"/>
            <w:vAlign w:val="center"/>
          </w:tcPr>
          <w:p w14:paraId="7EC8ADF0" w14:textId="77777777" w:rsidR="005B2AEB" w:rsidRPr="00DF6C69" w:rsidRDefault="005B2AEB" w:rsidP="005B2AEB">
            <w:pPr>
              <w:jc w:val="center"/>
              <w:rPr>
                <w:rFonts w:cs="Times New Roman"/>
                <w:color w:val="000000"/>
                <w:sz w:val="18"/>
                <w:szCs w:val="18"/>
              </w:rPr>
            </w:pPr>
          </w:p>
        </w:tc>
        <w:tc>
          <w:tcPr>
            <w:tcW w:w="693" w:type="dxa"/>
            <w:noWrap/>
            <w:vAlign w:val="center"/>
          </w:tcPr>
          <w:p w14:paraId="73C5D22F" w14:textId="77777777" w:rsidR="005B2AEB" w:rsidRPr="00DF6C69" w:rsidRDefault="005B2AEB" w:rsidP="005B2AEB">
            <w:pPr>
              <w:jc w:val="center"/>
              <w:rPr>
                <w:rFonts w:cs="Times New Roman"/>
                <w:color w:val="000000"/>
                <w:sz w:val="18"/>
                <w:szCs w:val="18"/>
              </w:rPr>
            </w:pPr>
          </w:p>
        </w:tc>
        <w:tc>
          <w:tcPr>
            <w:tcW w:w="693" w:type="dxa"/>
            <w:vAlign w:val="center"/>
          </w:tcPr>
          <w:p w14:paraId="071D5AFA"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536" w:type="dxa"/>
          </w:tcPr>
          <w:p w14:paraId="0C37CCB7" w14:textId="77777777" w:rsidR="005B2AEB" w:rsidRPr="00DF6C69" w:rsidRDefault="005B2AEB" w:rsidP="005B2AEB">
            <w:pPr>
              <w:jc w:val="center"/>
              <w:rPr>
                <w:rFonts w:cs="Times New Roman"/>
                <w:color w:val="000000"/>
                <w:sz w:val="18"/>
                <w:szCs w:val="18"/>
              </w:rPr>
            </w:pPr>
          </w:p>
        </w:tc>
        <w:tc>
          <w:tcPr>
            <w:tcW w:w="850" w:type="dxa"/>
          </w:tcPr>
          <w:p w14:paraId="5FFAF779" w14:textId="406FF624" w:rsidR="005B2AEB" w:rsidRPr="00DF6C69" w:rsidRDefault="00D61BA7" w:rsidP="005B2AEB">
            <w:pPr>
              <w:jc w:val="center"/>
              <w:rPr>
                <w:rFonts w:cs="Times New Roman"/>
                <w:color w:val="000000"/>
                <w:sz w:val="18"/>
                <w:szCs w:val="18"/>
              </w:rPr>
            </w:pPr>
            <w:r w:rsidRPr="00DF6C69">
              <w:rPr>
                <w:rFonts w:cs="Times New Roman"/>
                <w:color w:val="000000"/>
                <w:sz w:val="18"/>
                <w:szCs w:val="18"/>
              </w:rPr>
              <w:t>Medium</w:t>
            </w:r>
          </w:p>
        </w:tc>
      </w:tr>
      <w:tr w:rsidR="005B2AEB" w:rsidRPr="00DF6C69" w14:paraId="6D574EB1" w14:textId="39F4C868" w:rsidTr="00576A52">
        <w:trPr>
          <w:trHeight w:val="113"/>
        </w:trPr>
        <w:tc>
          <w:tcPr>
            <w:tcW w:w="2407" w:type="dxa"/>
            <w:gridSpan w:val="2"/>
            <w:tcBorders>
              <w:bottom w:val="single" w:sz="4" w:space="0" w:color="auto"/>
            </w:tcBorders>
            <w:shd w:val="clear" w:color="auto" w:fill="FFF2CC" w:themeFill="accent4" w:themeFillTint="33"/>
            <w:vAlign w:val="center"/>
          </w:tcPr>
          <w:p w14:paraId="6AD29749"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Spermine</w:t>
            </w:r>
          </w:p>
        </w:tc>
        <w:tc>
          <w:tcPr>
            <w:tcW w:w="990" w:type="dxa"/>
            <w:tcBorders>
              <w:bottom w:val="single" w:sz="4" w:space="0" w:color="auto"/>
            </w:tcBorders>
            <w:vAlign w:val="center"/>
          </w:tcPr>
          <w:p w14:paraId="2C02BEE9"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tcBorders>
              <w:bottom w:val="single" w:sz="4" w:space="0" w:color="auto"/>
            </w:tcBorders>
            <w:noWrap/>
            <w:vAlign w:val="center"/>
          </w:tcPr>
          <w:p w14:paraId="0062BFFF"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676C5AD2"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42E52B8B" w14:textId="77777777" w:rsidR="005B2AEB" w:rsidRPr="00DF6C69" w:rsidRDefault="005B2AEB" w:rsidP="005B2AEB">
            <w:pPr>
              <w:jc w:val="center"/>
              <w:rPr>
                <w:rFonts w:cs="Times New Roman"/>
                <w:color w:val="000000"/>
                <w:sz w:val="18"/>
                <w:szCs w:val="18"/>
              </w:rPr>
            </w:pPr>
          </w:p>
        </w:tc>
        <w:tc>
          <w:tcPr>
            <w:tcW w:w="756" w:type="dxa"/>
            <w:gridSpan w:val="2"/>
            <w:tcBorders>
              <w:bottom w:val="single" w:sz="4" w:space="0" w:color="auto"/>
            </w:tcBorders>
            <w:noWrap/>
            <w:vAlign w:val="center"/>
          </w:tcPr>
          <w:p w14:paraId="6CC44205" w14:textId="77777777" w:rsidR="005B2AEB" w:rsidRPr="00DF6C69" w:rsidRDefault="005B2AEB" w:rsidP="005B2AEB">
            <w:pPr>
              <w:jc w:val="center"/>
              <w:rPr>
                <w:rFonts w:cs="Times New Roman"/>
                <w:color w:val="000000"/>
                <w:sz w:val="18"/>
                <w:szCs w:val="18"/>
              </w:rPr>
            </w:pPr>
          </w:p>
        </w:tc>
        <w:tc>
          <w:tcPr>
            <w:tcW w:w="630" w:type="dxa"/>
            <w:tcBorders>
              <w:bottom w:val="single" w:sz="4" w:space="0" w:color="auto"/>
            </w:tcBorders>
            <w:vAlign w:val="center"/>
          </w:tcPr>
          <w:p w14:paraId="4025A171"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noWrap/>
            <w:vAlign w:val="center"/>
          </w:tcPr>
          <w:p w14:paraId="7EAF4DFB"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264F7F89" w14:textId="77777777" w:rsidR="005B2AEB" w:rsidRPr="00DF6C69" w:rsidRDefault="005B2AEB" w:rsidP="005B2AEB">
            <w:pPr>
              <w:jc w:val="center"/>
              <w:rPr>
                <w:rFonts w:cs="Times New Roman"/>
                <w:color w:val="000000"/>
                <w:sz w:val="18"/>
                <w:szCs w:val="18"/>
              </w:rPr>
            </w:pPr>
          </w:p>
        </w:tc>
        <w:tc>
          <w:tcPr>
            <w:tcW w:w="536" w:type="dxa"/>
            <w:tcBorders>
              <w:bottom w:val="single" w:sz="4" w:space="0" w:color="auto"/>
            </w:tcBorders>
          </w:tcPr>
          <w:p w14:paraId="52DC6D3B" w14:textId="77777777" w:rsidR="005B2AEB" w:rsidRPr="00DF6C69" w:rsidRDefault="005B2AEB" w:rsidP="005B2AEB">
            <w:pPr>
              <w:jc w:val="center"/>
              <w:rPr>
                <w:rFonts w:cs="Times New Roman"/>
                <w:color w:val="000000"/>
                <w:sz w:val="18"/>
                <w:szCs w:val="18"/>
              </w:rPr>
            </w:pPr>
          </w:p>
        </w:tc>
        <w:tc>
          <w:tcPr>
            <w:tcW w:w="850" w:type="dxa"/>
            <w:tcBorders>
              <w:bottom w:val="single" w:sz="4" w:space="0" w:color="auto"/>
            </w:tcBorders>
          </w:tcPr>
          <w:p w14:paraId="7EB90363" w14:textId="51467CE0" w:rsidR="005B2AEB" w:rsidRPr="00DF6C69" w:rsidRDefault="00D61BA7"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2A0AAECD" w14:textId="1AC3E35B" w:rsidTr="00576A52">
        <w:trPr>
          <w:trHeight w:val="113"/>
        </w:trPr>
        <w:tc>
          <w:tcPr>
            <w:tcW w:w="2407" w:type="dxa"/>
            <w:gridSpan w:val="2"/>
            <w:tcBorders>
              <w:bottom w:val="single" w:sz="4" w:space="0" w:color="auto"/>
            </w:tcBorders>
            <w:shd w:val="clear" w:color="auto" w:fill="FFF2CC" w:themeFill="accent4" w:themeFillTint="33"/>
            <w:vAlign w:val="center"/>
          </w:tcPr>
          <w:p w14:paraId="4972C979"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Urea</w:t>
            </w:r>
          </w:p>
        </w:tc>
        <w:tc>
          <w:tcPr>
            <w:tcW w:w="990" w:type="dxa"/>
            <w:tcBorders>
              <w:bottom w:val="single" w:sz="4" w:space="0" w:color="auto"/>
            </w:tcBorders>
            <w:vAlign w:val="center"/>
          </w:tcPr>
          <w:p w14:paraId="53A7F375"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tcBorders>
              <w:bottom w:val="single" w:sz="4" w:space="0" w:color="auto"/>
            </w:tcBorders>
            <w:noWrap/>
            <w:vAlign w:val="center"/>
          </w:tcPr>
          <w:p w14:paraId="6D33BACC"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74922881"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2628DB92" w14:textId="77777777" w:rsidR="005B2AEB" w:rsidRPr="00DF6C69" w:rsidRDefault="005B2AEB" w:rsidP="005B2AEB">
            <w:pPr>
              <w:jc w:val="center"/>
              <w:rPr>
                <w:rFonts w:cs="Times New Roman"/>
                <w:color w:val="000000"/>
                <w:sz w:val="18"/>
                <w:szCs w:val="18"/>
              </w:rPr>
            </w:pPr>
          </w:p>
        </w:tc>
        <w:tc>
          <w:tcPr>
            <w:tcW w:w="756" w:type="dxa"/>
            <w:gridSpan w:val="2"/>
            <w:tcBorders>
              <w:bottom w:val="single" w:sz="4" w:space="0" w:color="auto"/>
            </w:tcBorders>
            <w:noWrap/>
            <w:vAlign w:val="center"/>
          </w:tcPr>
          <w:p w14:paraId="087C2983" w14:textId="77777777" w:rsidR="005B2AEB" w:rsidRPr="00DF6C69" w:rsidRDefault="005B2AEB" w:rsidP="005B2AEB">
            <w:pPr>
              <w:jc w:val="center"/>
              <w:rPr>
                <w:rFonts w:cs="Times New Roman"/>
                <w:color w:val="000000"/>
                <w:sz w:val="18"/>
                <w:szCs w:val="18"/>
              </w:rPr>
            </w:pPr>
          </w:p>
        </w:tc>
        <w:tc>
          <w:tcPr>
            <w:tcW w:w="630" w:type="dxa"/>
            <w:tcBorders>
              <w:bottom w:val="single" w:sz="4" w:space="0" w:color="auto"/>
            </w:tcBorders>
            <w:vAlign w:val="center"/>
          </w:tcPr>
          <w:p w14:paraId="1E514648"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noWrap/>
            <w:vAlign w:val="center"/>
          </w:tcPr>
          <w:p w14:paraId="2F01FAC5"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79FE1D65" w14:textId="77777777" w:rsidR="005B2AEB" w:rsidRPr="00DF6C69" w:rsidRDefault="005B2AEB" w:rsidP="005B2AEB">
            <w:pPr>
              <w:jc w:val="center"/>
              <w:rPr>
                <w:rFonts w:cs="Times New Roman"/>
                <w:color w:val="000000"/>
                <w:sz w:val="18"/>
                <w:szCs w:val="18"/>
              </w:rPr>
            </w:pPr>
          </w:p>
        </w:tc>
        <w:tc>
          <w:tcPr>
            <w:tcW w:w="536" w:type="dxa"/>
            <w:tcBorders>
              <w:bottom w:val="single" w:sz="4" w:space="0" w:color="auto"/>
            </w:tcBorders>
          </w:tcPr>
          <w:p w14:paraId="24BAB6FC" w14:textId="77777777" w:rsidR="005B2AEB" w:rsidRPr="00DF6C69" w:rsidRDefault="005B2AEB" w:rsidP="005B2AEB">
            <w:pPr>
              <w:jc w:val="center"/>
              <w:rPr>
                <w:rFonts w:cs="Times New Roman"/>
                <w:color w:val="000000"/>
                <w:sz w:val="18"/>
                <w:szCs w:val="18"/>
              </w:rPr>
            </w:pPr>
          </w:p>
        </w:tc>
        <w:tc>
          <w:tcPr>
            <w:tcW w:w="850" w:type="dxa"/>
            <w:tcBorders>
              <w:bottom w:val="single" w:sz="4" w:space="0" w:color="auto"/>
            </w:tcBorders>
          </w:tcPr>
          <w:p w14:paraId="67F5CD3C" w14:textId="19D76ACB" w:rsidR="005B2AEB" w:rsidRPr="00DF6C69" w:rsidRDefault="00D61BA7"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08985441" w14:textId="5BCF52F5" w:rsidTr="00576A52">
        <w:trPr>
          <w:trHeight w:val="113"/>
        </w:trPr>
        <w:tc>
          <w:tcPr>
            <w:tcW w:w="2407" w:type="dxa"/>
            <w:gridSpan w:val="2"/>
            <w:tcBorders>
              <w:bottom w:val="single" w:sz="4" w:space="0" w:color="auto"/>
            </w:tcBorders>
            <w:shd w:val="clear" w:color="auto" w:fill="FFF2CC" w:themeFill="accent4" w:themeFillTint="33"/>
            <w:vAlign w:val="center"/>
          </w:tcPr>
          <w:p w14:paraId="76E0AC5C"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xanthine</w:t>
            </w:r>
          </w:p>
        </w:tc>
        <w:tc>
          <w:tcPr>
            <w:tcW w:w="990" w:type="dxa"/>
            <w:tcBorders>
              <w:bottom w:val="single" w:sz="4" w:space="0" w:color="auto"/>
            </w:tcBorders>
            <w:vAlign w:val="center"/>
          </w:tcPr>
          <w:p w14:paraId="244146FA"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Medium</w:t>
            </w:r>
          </w:p>
        </w:tc>
        <w:tc>
          <w:tcPr>
            <w:tcW w:w="693" w:type="dxa"/>
            <w:tcBorders>
              <w:bottom w:val="single" w:sz="4" w:space="0" w:color="auto"/>
            </w:tcBorders>
            <w:noWrap/>
            <w:vAlign w:val="center"/>
          </w:tcPr>
          <w:p w14:paraId="774C9A8A"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tcBorders>
              <w:bottom w:val="single" w:sz="4" w:space="0" w:color="auto"/>
            </w:tcBorders>
            <w:vAlign w:val="center"/>
          </w:tcPr>
          <w:p w14:paraId="50D1A967"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165CA545" w14:textId="77777777" w:rsidR="005B2AEB" w:rsidRPr="00DF6C69" w:rsidRDefault="005B2AEB" w:rsidP="005B2AEB">
            <w:pPr>
              <w:jc w:val="center"/>
              <w:rPr>
                <w:rFonts w:cs="Times New Roman"/>
                <w:color w:val="000000"/>
                <w:sz w:val="18"/>
                <w:szCs w:val="18"/>
              </w:rPr>
            </w:pPr>
          </w:p>
        </w:tc>
        <w:tc>
          <w:tcPr>
            <w:tcW w:w="756" w:type="dxa"/>
            <w:gridSpan w:val="2"/>
            <w:tcBorders>
              <w:bottom w:val="single" w:sz="4" w:space="0" w:color="auto"/>
            </w:tcBorders>
            <w:noWrap/>
            <w:vAlign w:val="center"/>
          </w:tcPr>
          <w:p w14:paraId="7B3CFB2A" w14:textId="77777777" w:rsidR="005B2AEB" w:rsidRPr="00DF6C69" w:rsidRDefault="005B2AEB" w:rsidP="005B2AEB">
            <w:pPr>
              <w:jc w:val="center"/>
              <w:rPr>
                <w:rFonts w:cs="Times New Roman"/>
                <w:color w:val="000000"/>
                <w:sz w:val="18"/>
                <w:szCs w:val="18"/>
              </w:rPr>
            </w:pPr>
          </w:p>
        </w:tc>
        <w:tc>
          <w:tcPr>
            <w:tcW w:w="630" w:type="dxa"/>
            <w:tcBorders>
              <w:bottom w:val="single" w:sz="4" w:space="0" w:color="auto"/>
            </w:tcBorders>
            <w:vAlign w:val="center"/>
          </w:tcPr>
          <w:p w14:paraId="6D7C75D0"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noWrap/>
            <w:vAlign w:val="center"/>
          </w:tcPr>
          <w:p w14:paraId="5AC09AA1"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29F90C40" w14:textId="77777777" w:rsidR="005B2AEB" w:rsidRPr="00DF6C69" w:rsidRDefault="005B2AEB" w:rsidP="005B2AEB">
            <w:pPr>
              <w:jc w:val="center"/>
              <w:rPr>
                <w:rFonts w:cs="Times New Roman"/>
                <w:color w:val="000000"/>
                <w:sz w:val="18"/>
                <w:szCs w:val="18"/>
              </w:rPr>
            </w:pPr>
          </w:p>
        </w:tc>
        <w:tc>
          <w:tcPr>
            <w:tcW w:w="536" w:type="dxa"/>
            <w:tcBorders>
              <w:bottom w:val="single" w:sz="4" w:space="0" w:color="auto"/>
            </w:tcBorders>
          </w:tcPr>
          <w:p w14:paraId="5257AD18" w14:textId="77777777" w:rsidR="005B2AEB" w:rsidRPr="00DF6C69" w:rsidRDefault="005B2AEB" w:rsidP="005B2AEB">
            <w:pPr>
              <w:jc w:val="center"/>
              <w:rPr>
                <w:rFonts w:cs="Times New Roman"/>
                <w:color w:val="000000"/>
                <w:sz w:val="18"/>
                <w:szCs w:val="18"/>
              </w:rPr>
            </w:pPr>
          </w:p>
        </w:tc>
        <w:tc>
          <w:tcPr>
            <w:tcW w:w="850" w:type="dxa"/>
            <w:tcBorders>
              <w:bottom w:val="single" w:sz="4" w:space="0" w:color="auto"/>
            </w:tcBorders>
          </w:tcPr>
          <w:p w14:paraId="3BAE6AE1" w14:textId="4C58BB60" w:rsidR="005B2AEB" w:rsidRPr="00DF6C69" w:rsidRDefault="00D61BA7"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194BE4D9" w14:textId="2D470677" w:rsidTr="00576A52">
        <w:trPr>
          <w:trHeight w:val="113"/>
        </w:trPr>
        <w:tc>
          <w:tcPr>
            <w:tcW w:w="2407" w:type="dxa"/>
            <w:gridSpan w:val="2"/>
            <w:tcBorders>
              <w:bottom w:val="single" w:sz="4" w:space="0" w:color="auto"/>
            </w:tcBorders>
            <w:shd w:val="clear" w:color="auto" w:fill="FFF2CC" w:themeFill="accent4" w:themeFillTint="33"/>
            <w:vAlign w:val="center"/>
          </w:tcPr>
          <w:p w14:paraId="56E4EF9E"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Androsterone sulphate</w:t>
            </w:r>
          </w:p>
        </w:tc>
        <w:tc>
          <w:tcPr>
            <w:tcW w:w="990" w:type="dxa"/>
            <w:tcBorders>
              <w:bottom w:val="single" w:sz="4" w:space="0" w:color="auto"/>
            </w:tcBorders>
            <w:vAlign w:val="center"/>
          </w:tcPr>
          <w:p w14:paraId="27C96E78"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Low</w:t>
            </w:r>
          </w:p>
        </w:tc>
        <w:tc>
          <w:tcPr>
            <w:tcW w:w="693" w:type="dxa"/>
            <w:tcBorders>
              <w:bottom w:val="single" w:sz="4" w:space="0" w:color="auto"/>
            </w:tcBorders>
            <w:noWrap/>
            <w:vAlign w:val="center"/>
          </w:tcPr>
          <w:p w14:paraId="759FC4E9"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0D521E40"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225F3D9E" w14:textId="77777777" w:rsidR="005B2AEB" w:rsidRPr="00DF6C69" w:rsidRDefault="005B2AEB" w:rsidP="005B2AEB">
            <w:pPr>
              <w:jc w:val="center"/>
              <w:rPr>
                <w:rFonts w:cs="Times New Roman"/>
                <w:color w:val="000000"/>
                <w:sz w:val="18"/>
                <w:szCs w:val="18"/>
              </w:rPr>
            </w:pPr>
          </w:p>
        </w:tc>
        <w:tc>
          <w:tcPr>
            <w:tcW w:w="756" w:type="dxa"/>
            <w:gridSpan w:val="2"/>
            <w:tcBorders>
              <w:bottom w:val="single" w:sz="4" w:space="0" w:color="auto"/>
            </w:tcBorders>
            <w:noWrap/>
            <w:vAlign w:val="center"/>
          </w:tcPr>
          <w:p w14:paraId="3ACB8B00" w14:textId="77777777" w:rsidR="005B2AEB" w:rsidRPr="00DF6C69" w:rsidRDefault="005B2AEB" w:rsidP="005B2AEB">
            <w:pPr>
              <w:jc w:val="center"/>
              <w:rPr>
                <w:rFonts w:cs="Times New Roman"/>
                <w:color w:val="000000"/>
                <w:sz w:val="18"/>
                <w:szCs w:val="18"/>
              </w:rPr>
            </w:pPr>
          </w:p>
        </w:tc>
        <w:tc>
          <w:tcPr>
            <w:tcW w:w="630" w:type="dxa"/>
            <w:tcBorders>
              <w:bottom w:val="single" w:sz="4" w:space="0" w:color="auto"/>
            </w:tcBorders>
            <w:vAlign w:val="center"/>
          </w:tcPr>
          <w:p w14:paraId="2DA0461C"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noWrap/>
            <w:vAlign w:val="center"/>
          </w:tcPr>
          <w:p w14:paraId="78AE621B"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54F6A004" w14:textId="77777777" w:rsidR="005B2AEB" w:rsidRPr="00DF6C69" w:rsidRDefault="005B2AEB" w:rsidP="005B2AEB">
            <w:pPr>
              <w:jc w:val="center"/>
              <w:rPr>
                <w:rFonts w:cs="Times New Roman"/>
                <w:color w:val="000000"/>
                <w:sz w:val="18"/>
                <w:szCs w:val="18"/>
              </w:rPr>
            </w:pPr>
          </w:p>
        </w:tc>
        <w:tc>
          <w:tcPr>
            <w:tcW w:w="536" w:type="dxa"/>
            <w:tcBorders>
              <w:bottom w:val="single" w:sz="4" w:space="0" w:color="auto"/>
            </w:tcBorders>
          </w:tcPr>
          <w:p w14:paraId="14659D30" w14:textId="77777777" w:rsidR="005B2AEB" w:rsidRPr="00DF6C69" w:rsidRDefault="005B2AEB" w:rsidP="005B2AEB">
            <w:pPr>
              <w:jc w:val="center"/>
              <w:rPr>
                <w:rFonts w:cs="Times New Roman"/>
                <w:color w:val="000000"/>
                <w:sz w:val="18"/>
                <w:szCs w:val="18"/>
              </w:rPr>
            </w:pPr>
          </w:p>
        </w:tc>
        <w:tc>
          <w:tcPr>
            <w:tcW w:w="850" w:type="dxa"/>
            <w:tcBorders>
              <w:bottom w:val="single" w:sz="4" w:space="0" w:color="auto"/>
            </w:tcBorders>
          </w:tcPr>
          <w:p w14:paraId="18CFDD12" w14:textId="7816587E" w:rsidR="005B2AEB" w:rsidRPr="00DF6C69" w:rsidRDefault="00D61BA7"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4F3B24BA" w14:textId="7960CD35" w:rsidTr="00576A52">
        <w:trPr>
          <w:trHeight w:val="113"/>
        </w:trPr>
        <w:tc>
          <w:tcPr>
            <w:tcW w:w="2407" w:type="dxa"/>
            <w:gridSpan w:val="2"/>
            <w:tcBorders>
              <w:bottom w:val="single" w:sz="4" w:space="0" w:color="auto"/>
            </w:tcBorders>
            <w:shd w:val="clear" w:color="auto" w:fill="FFF2CC" w:themeFill="accent4" w:themeFillTint="33"/>
            <w:vAlign w:val="center"/>
          </w:tcPr>
          <w:p w14:paraId="0F972B55"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Arachidonoyl amine</w:t>
            </w:r>
          </w:p>
        </w:tc>
        <w:tc>
          <w:tcPr>
            <w:tcW w:w="990" w:type="dxa"/>
            <w:tcBorders>
              <w:bottom w:val="single" w:sz="4" w:space="0" w:color="auto"/>
            </w:tcBorders>
            <w:vAlign w:val="center"/>
          </w:tcPr>
          <w:p w14:paraId="35660ED5"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Low</w:t>
            </w:r>
          </w:p>
        </w:tc>
        <w:tc>
          <w:tcPr>
            <w:tcW w:w="693" w:type="dxa"/>
            <w:tcBorders>
              <w:bottom w:val="single" w:sz="4" w:space="0" w:color="auto"/>
            </w:tcBorders>
            <w:noWrap/>
            <w:vAlign w:val="center"/>
          </w:tcPr>
          <w:p w14:paraId="2753C8A3"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5444E516"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72156EF5" w14:textId="77777777" w:rsidR="005B2AEB" w:rsidRPr="00DF6C69" w:rsidRDefault="005B2AEB" w:rsidP="005B2AEB">
            <w:pPr>
              <w:jc w:val="center"/>
              <w:rPr>
                <w:rFonts w:cs="Times New Roman"/>
                <w:color w:val="000000"/>
                <w:sz w:val="18"/>
                <w:szCs w:val="18"/>
              </w:rPr>
            </w:pPr>
          </w:p>
        </w:tc>
        <w:tc>
          <w:tcPr>
            <w:tcW w:w="756" w:type="dxa"/>
            <w:gridSpan w:val="2"/>
            <w:tcBorders>
              <w:bottom w:val="single" w:sz="4" w:space="0" w:color="auto"/>
            </w:tcBorders>
            <w:noWrap/>
            <w:vAlign w:val="center"/>
          </w:tcPr>
          <w:p w14:paraId="3B4E9169" w14:textId="77777777" w:rsidR="005B2AEB" w:rsidRPr="00DF6C69" w:rsidRDefault="005B2AEB" w:rsidP="005B2AEB">
            <w:pPr>
              <w:jc w:val="center"/>
              <w:rPr>
                <w:rFonts w:cs="Times New Roman"/>
                <w:color w:val="000000"/>
                <w:sz w:val="18"/>
                <w:szCs w:val="18"/>
              </w:rPr>
            </w:pPr>
          </w:p>
        </w:tc>
        <w:tc>
          <w:tcPr>
            <w:tcW w:w="630" w:type="dxa"/>
            <w:tcBorders>
              <w:bottom w:val="single" w:sz="4" w:space="0" w:color="auto"/>
            </w:tcBorders>
            <w:vAlign w:val="center"/>
          </w:tcPr>
          <w:p w14:paraId="502D2BE8"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noWrap/>
            <w:vAlign w:val="center"/>
          </w:tcPr>
          <w:p w14:paraId="6FFA370C"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6D1ECA68" w14:textId="77777777" w:rsidR="005B2AEB" w:rsidRPr="00DF6C69" w:rsidRDefault="005B2AEB" w:rsidP="005B2AEB">
            <w:pPr>
              <w:jc w:val="center"/>
              <w:rPr>
                <w:rFonts w:cs="Times New Roman"/>
                <w:color w:val="000000"/>
                <w:sz w:val="18"/>
                <w:szCs w:val="18"/>
              </w:rPr>
            </w:pPr>
          </w:p>
        </w:tc>
        <w:tc>
          <w:tcPr>
            <w:tcW w:w="536" w:type="dxa"/>
            <w:tcBorders>
              <w:bottom w:val="single" w:sz="4" w:space="0" w:color="auto"/>
            </w:tcBorders>
          </w:tcPr>
          <w:p w14:paraId="5147EC25" w14:textId="77777777" w:rsidR="005B2AEB" w:rsidRPr="00DF6C69" w:rsidRDefault="005B2AEB" w:rsidP="005B2AEB">
            <w:pPr>
              <w:jc w:val="center"/>
              <w:rPr>
                <w:rFonts w:cs="Times New Roman"/>
                <w:color w:val="000000"/>
                <w:sz w:val="18"/>
                <w:szCs w:val="18"/>
              </w:rPr>
            </w:pPr>
          </w:p>
        </w:tc>
        <w:tc>
          <w:tcPr>
            <w:tcW w:w="850" w:type="dxa"/>
            <w:tcBorders>
              <w:bottom w:val="single" w:sz="4" w:space="0" w:color="auto"/>
            </w:tcBorders>
          </w:tcPr>
          <w:p w14:paraId="11AD6A03" w14:textId="22626C7B" w:rsidR="005B2AEB" w:rsidRPr="00DF6C69" w:rsidRDefault="00D61BA7"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235F5782" w14:textId="44C89D07" w:rsidTr="00576A52">
        <w:trPr>
          <w:trHeight w:val="113"/>
        </w:trPr>
        <w:tc>
          <w:tcPr>
            <w:tcW w:w="2407" w:type="dxa"/>
            <w:gridSpan w:val="2"/>
            <w:tcBorders>
              <w:bottom w:val="single" w:sz="4" w:space="0" w:color="auto"/>
            </w:tcBorders>
            <w:shd w:val="clear" w:color="auto" w:fill="FFF2CC" w:themeFill="accent4" w:themeFillTint="33"/>
            <w:vAlign w:val="center"/>
          </w:tcPr>
          <w:p w14:paraId="2AFCD2E1"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Dimethyl heptanoyl carnitine</w:t>
            </w:r>
          </w:p>
        </w:tc>
        <w:tc>
          <w:tcPr>
            <w:tcW w:w="990" w:type="dxa"/>
            <w:tcBorders>
              <w:bottom w:val="single" w:sz="4" w:space="0" w:color="auto"/>
            </w:tcBorders>
            <w:vAlign w:val="center"/>
          </w:tcPr>
          <w:p w14:paraId="4032DD60"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Low</w:t>
            </w:r>
          </w:p>
        </w:tc>
        <w:tc>
          <w:tcPr>
            <w:tcW w:w="693" w:type="dxa"/>
            <w:tcBorders>
              <w:bottom w:val="single" w:sz="4" w:space="0" w:color="auto"/>
            </w:tcBorders>
            <w:noWrap/>
            <w:vAlign w:val="center"/>
          </w:tcPr>
          <w:p w14:paraId="7A638B55"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57E52574"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0CDAAA6F" w14:textId="77777777" w:rsidR="005B2AEB" w:rsidRPr="00DF6C69" w:rsidRDefault="005B2AEB" w:rsidP="005B2AEB">
            <w:pPr>
              <w:jc w:val="center"/>
              <w:rPr>
                <w:rFonts w:cs="Times New Roman"/>
                <w:color w:val="000000"/>
                <w:sz w:val="18"/>
                <w:szCs w:val="18"/>
              </w:rPr>
            </w:pPr>
          </w:p>
        </w:tc>
        <w:tc>
          <w:tcPr>
            <w:tcW w:w="756" w:type="dxa"/>
            <w:gridSpan w:val="2"/>
            <w:tcBorders>
              <w:bottom w:val="single" w:sz="4" w:space="0" w:color="auto"/>
            </w:tcBorders>
            <w:noWrap/>
            <w:vAlign w:val="center"/>
          </w:tcPr>
          <w:p w14:paraId="3BC92F41" w14:textId="77777777" w:rsidR="005B2AEB" w:rsidRPr="00DF6C69" w:rsidRDefault="005B2AEB" w:rsidP="005B2AEB">
            <w:pPr>
              <w:jc w:val="center"/>
              <w:rPr>
                <w:rFonts w:cs="Times New Roman"/>
                <w:color w:val="000000"/>
                <w:sz w:val="18"/>
                <w:szCs w:val="18"/>
              </w:rPr>
            </w:pPr>
          </w:p>
        </w:tc>
        <w:tc>
          <w:tcPr>
            <w:tcW w:w="630" w:type="dxa"/>
            <w:tcBorders>
              <w:bottom w:val="single" w:sz="4" w:space="0" w:color="auto"/>
            </w:tcBorders>
            <w:vAlign w:val="center"/>
          </w:tcPr>
          <w:p w14:paraId="30269CAB"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noWrap/>
            <w:vAlign w:val="center"/>
          </w:tcPr>
          <w:p w14:paraId="54550D9C"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5DF7EA12" w14:textId="77777777" w:rsidR="005B2AEB" w:rsidRPr="00DF6C69" w:rsidRDefault="005B2AEB" w:rsidP="005B2AEB">
            <w:pPr>
              <w:jc w:val="center"/>
              <w:rPr>
                <w:rFonts w:cs="Times New Roman"/>
                <w:color w:val="000000"/>
                <w:sz w:val="18"/>
                <w:szCs w:val="18"/>
              </w:rPr>
            </w:pPr>
          </w:p>
        </w:tc>
        <w:tc>
          <w:tcPr>
            <w:tcW w:w="536" w:type="dxa"/>
            <w:tcBorders>
              <w:bottom w:val="single" w:sz="4" w:space="0" w:color="auto"/>
            </w:tcBorders>
          </w:tcPr>
          <w:p w14:paraId="0ADB8A8F" w14:textId="77777777" w:rsidR="005B2AEB" w:rsidRPr="00DF6C69" w:rsidRDefault="005B2AEB" w:rsidP="005B2AEB">
            <w:pPr>
              <w:jc w:val="center"/>
              <w:rPr>
                <w:rFonts w:cs="Times New Roman"/>
                <w:color w:val="000000"/>
                <w:sz w:val="18"/>
                <w:szCs w:val="18"/>
              </w:rPr>
            </w:pPr>
          </w:p>
        </w:tc>
        <w:tc>
          <w:tcPr>
            <w:tcW w:w="850" w:type="dxa"/>
            <w:tcBorders>
              <w:bottom w:val="single" w:sz="4" w:space="0" w:color="auto"/>
            </w:tcBorders>
          </w:tcPr>
          <w:p w14:paraId="5F3CE843" w14:textId="51F8367D" w:rsidR="005B2AEB" w:rsidRPr="00DF6C69" w:rsidRDefault="00D61BA7"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41C7FA22" w14:textId="3EA7408F" w:rsidTr="00576A52">
        <w:trPr>
          <w:trHeight w:val="113"/>
        </w:trPr>
        <w:tc>
          <w:tcPr>
            <w:tcW w:w="2407" w:type="dxa"/>
            <w:gridSpan w:val="2"/>
            <w:tcBorders>
              <w:bottom w:val="single" w:sz="4" w:space="0" w:color="auto"/>
            </w:tcBorders>
            <w:shd w:val="clear" w:color="auto" w:fill="FFF2CC" w:themeFill="accent4" w:themeFillTint="33"/>
            <w:vAlign w:val="center"/>
          </w:tcPr>
          <w:p w14:paraId="1BACDB9D" w14:textId="77777777" w:rsidR="005B2AEB" w:rsidRPr="00DF6C69" w:rsidRDefault="005B2AEB" w:rsidP="005B2AEB">
            <w:pPr>
              <w:jc w:val="center"/>
              <w:rPr>
                <w:rFonts w:ascii="Times New Roman" w:hAnsi="Times New Roman" w:cs="Times New Roman"/>
                <w:sz w:val="18"/>
                <w:szCs w:val="18"/>
              </w:rPr>
            </w:pPr>
            <w:proofErr w:type="spellStart"/>
            <w:r w:rsidRPr="00DF6C69">
              <w:rPr>
                <w:rFonts w:ascii="Times New Roman" w:hAnsi="Times New Roman" w:cs="Times New Roman"/>
                <w:sz w:val="18"/>
                <w:szCs w:val="18"/>
              </w:rPr>
              <w:t>Isolithocholic</w:t>
            </w:r>
            <w:proofErr w:type="spellEnd"/>
            <w:r w:rsidRPr="00DF6C69">
              <w:rPr>
                <w:rFonts w:ascii="Times New Roman" w:hAnsi="Times New Roman" w:cs="Times New Roman"/>
                <w:sz w:val="18"/>
                <w:szCs w:val="18"/>
              </w:rPr>
              <w:t xml:space="preserve"> acid</w:t>
            </w:r>
          </w:p>
        </w:tc>
        <w:tc>
          <w:tcPr>
            <w:tcW w:w="990" w:type="dxa"/>
            <w:tcBorders>
              <w:bottom w:val="single" w:sz="4" w:space="0" w:color="auto"/>
            </w:tcBorders>
            <w:vAlign w:val="center"/>
          </w:tcPr>
          <w:p w14:paraId="5171D127"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Low</w:t>
            </w:r>
          </w:p>
        </w:tc>
        <w:tc>
          <w:tcPr>
            <w:tcW w:w="693" w:type="dxa"/>
            <w:tcBorders>
              <w:bottom w:val="single" w:sz="4" w:space="0" w:color="auto"/>
            </w:tcBorders>
            <w:noWrap/>
            <w:vAlign w:val="center"/>
          </w:tcPr>
          <w:p w14:paraId="1671AB13"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21BCAC94"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5E3577D7" w14:textId="77777777" w:rsidR="005B2AEB" w:rsidRPr="00DF6C69" w:rsidRDefault="005B2AEB" w:rsidP="005B2AEB">
            <w:pPr>
              <w:jc w:val="center"/>
              <w:rPr>
                <w:rFonts w:cs="Times New Roman"/>
                <w:color w:val="000000"/>
                <w:sz w:val="18"/>
                <w:szCs w:val="18"/>
              </w:rPr>
            </w:pPr>
          </w:p>
        </w:tc>
        <w:tc>
          <w:tcPr>
            <w:tcW w:w="756" w:type="dxa"/>
            <w:gridSpan w:val="2"/>
            <w:tcBorders>
              <w:bottom w:val="single" w:sz="4" w:space="0" w:color="auto"/>
            </w:tcBorders>
            <w:noWrap/>
            <w:vAlign w:val="center"/>
          </w:tcPr>
          <w:p w14:paraId="44435749" w14:textId="77777777" w:rsidR="005B2AEB" w:rsidRPr="00DF6C69" w:rsidRDefault="005B2AEB" w:rsidP="005B2AEB">
            <w:pPr>
              <w:jc w:val="center"/>
              <w:rPr>
                <w:rFonts w:cs="Times New Roman"/>
                <w:color w:val="000000"/>
                <w:sz w:val="18"/>
                <w:szCs w:val="18"/>
              </w:rPr>
            </w:pPr>
          </w:p>
        </w:tc>
        <w:tc>
          <w:tcPr>
            <w:tcW w:w="630" w:type="dxa"/>
            <w:tcBorders>
              <w:bottom w:val="single" w:sz="4" w:space="0" w:color="auto"/>
            </w:tcBorders>
            <w:vAlign w:val="center"/>
          </w:tcPr>
          <w:p w14:paraId="66785FBD"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noWrap/>
            <w:vAlign w:val="center"/>
          </w:tcPr>
          <w:p w14:paraId="32FDB5CB"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4A34084F" w14:textId="77777777" w:rsidR="005B2AEB" w:rsidRPr="00DF6C69" w:rsidRDefault="005B2AEB" w:rsidP="005B2AEB">
            <w:pPr>
              <w:jc w:val="center"/>
              <w:rPr>
                <w:rFonts w:cs="Times New Roman"/>
                <w:color w:val="000000"/>
                <w:sz w:val="18"/>
                <w:szCs w:val="18"/>
              </w:rPr>
            </w:pPr>
          </w:p>
        </w:tc>
        <w:tc>
          <w:tcPr>
            <w:tcW w:w="536" w:type="dxa"/>
            <w:tcBorders>
              <w:bottom w:val="single" w:sz="4" w:space="0" w:color="auto"/>
            </w:tcBorders>
          </w:tcPr>
          <w:p w14:paraId="492F9730" w14:textId="77777777" w:rsidR="005B2AEB" w:rsidRPr="00DF6C69" w:rsidRDefault="005B2AEB" w:rsidP="005B2AEB">
            <w:pPr>
              <w:jc w:val="center"/>
              <w:rPr>
                <w:rFonts w:cs="Times New Roman"/>
                <w:color w:val="000000"/>
                <w:sz w:val="18"/>
                <w:szCs w:val="18"/>
              </w:rPr>
            </w:pPr>
          </w:p>
        </w:tc>
        <w:tc>
          <w:tcPr>
            <w:tcW w:w="850" w:type="dxa"/>
            <w:tcBorders>
              <w:bottom w:val="single" w:sz="4" w:space="0" w:color="auto"/>
            </w:tcBorders>
          </w:tcPr>
          <w:p w14:paraId="31648F35" w14:textId="0B14D3EF" w:rsidR="005B2AEB" w:rsidRPr="00DF6C69" w:rsidRDefault="00D61BA7"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61CB5DB0" w14:textId="79D6B540" w:rsidTr="00576A52">
        <w:trPr>
          <w:trHeight w:val="113"/>
        </w:trPr>
        <w:tc>
          <w:tcPr>
            <w:tcW w:w="2407" w:type="dxa"/>
            <w:gridSpan w:val="2"/>
            <w:tcBorders>
              <w:bottom w:val="single" w:sz="4" w:space="0" w:color="auto"/>
            </w:tcBorders>
            <w:shd w:val="clear" w:color="auto" w:fill="FFF2CC" w:themeFill="accent4" w:themeFillTint="33"/>
            <w:vAlign w:val="center"/>
          </w:tcPr>
          <w:p w14:paraId="2FD3C132"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Taurine</w:t>
            </w:r>
          </w:p>
        </w:tc>
        <w:tc>
          <w:tcPr>
            <w:tcW w:w="990" w:type="dxa"/>
            <w:tcBorders>
              <w:bottom w:val="single" w:sz="4" w:space="0" w:color="auto"/>
            </w:tcBorders>
            <w:vAlign w:val="center"/>
          </w:tcPr>
          <w:p w14:paraId="69A762A5"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Low</w:t>
            </w:r>
          </w:p>
        </w:tc>
        <w:tc>
          <w:tcPr>
            <w:tcW w:w="693" w:type="dxa"/>
            <w:tcBorders>
              <w:bottom w:val="single" w:sz="4" w:space="0" w:color="auto"/>
            </w:tcBorders>
            <w:noWrap/>
            <w:vAlign w:val="center"/>
          </w:tcPr>
          <w:p w14:paraId="558038B8"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330CD073"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tcBorders>
              <w:bottom w:val="single" w:sz="4" w:space="0" w:color="auto"/>
            </w:tcBorders>
            <w:vAlign w:val="center"/>
          </w:tcPr>
          <w:p w14:paraId="0DA58AF2" w14:textId="77777777" w:rsidR="005B2AEB" w:rsidRPr="00DF6C69" w:rsidRDefault="005B2AEB" w:rsidP="005B2AEB">
            <w:pPr>
              <w:jc w:val="center"/>
              <w:rPr>
                <w:rFonts w:cs="Times New Roman"/>
                <w:color w:val="000000"/>
                <w:sz w:val="18"/>
                <w:szCs w:val="18"/>
              </w:rPr>
            </w:pPr>
          </w:p>
        </w:tc>
        <w:tc>
          <w:tcPr>
            <w:tcW w:w="756" w:type="dxa"/>
            <w:gridSpan w:val="2"/>
            <w:tcBorders>
              <w:bottom w:val="single" w:sz="4" w:space="0" w:color="auto"/>
            </w:tcBorders>
            <w:noWrap/>
            <w:vAlign w:val="center"/>
          </w:tcPr>
          <w:p w14:paraId="22D01E1D" w14:textId="77777777" w:rsidR="005B2AEB" w:rsidRPr="00DF6C69" w:rsidRDefault="005B2AEB" w:rsidP="005B2AEB">
            <w:pPr>
              <w:jc w:val="center"/>
              <w:rPr>
                <w:rFonts w:cs="Times New Roman"/>
                <w:color w:val="000000"/>
                <w:sz w:val="18"/>
                <w:szCs w:val="18"/>
              </w:rPr>
            </w:pPr>
          </w:p>
        </w:tc>
        <w:tc>
          <w:tcPr>
            <w:tcW w:w="630" w:type="dxa"/>
            <w:tcBorders>
              <w:bottom w:val="single" w:sz="4" w:space="0" w:color="auto"/>
            </w:tcBorders>
            <w:vAlign w:val="center"/>
          </w:tcPr>
          <w:p w14:paraId="251FFADB"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noWrap/>
            <w:vAlign w:val="center"/>
          </w:tcPr>
          <w:p w14:paraId="56E75F80" w14:textId="77777777" w:rsidR="005B2AEB" w:rsidRPr="00DF6C69" w:rsidRDefault="005B2AEB" w:rsidP="005B2AEB">
            <w:pPr>
              <w:jc w:val="center"/>
              <w:rPr>
                <w:rFonts w:cs="Times New Roman"/>
                <w:color w:val="000000"/>
                <w:sz w:val="18"/>
                <w:szCs w:val="18"/>
              </w:rPr>
            </w:pPr>
          </w:p>
        </w:tc>
        <w:tc>
          <w:tcPr>
            <w:tcW w:w="693" w:type="dxa"/>
            <w:tcBorders>
              <w:bottom w:val="single" w:sz="4" w:space="0" w:color="auto"/>
            </w:tcBorders>
            <w:vAlign w:val="center"/>
          </w:tcPr>
          <w:p w14:paraId="05479755" w14:textId="77777777" w:rsidR="005B2AEB" w:rsidRPr="00DF6C69" w:rsidRDefault="005B2AEB" w:rsidP="005B2AEB">
            <w:pPr>
              <w:jc w:val="center"/>
              <w:rPr>
                <w:rFonts w:cs="Times New Roman"/>
                <w:color w:val="000000"/>
                <w:sz w:val="18"/>
                <w:szCs w:val="18"/>
              </w:rPr>
            </w:pPr>
          </w:p>
        </w:tc>
        <w:tc>
          <w:tcPr>
            <w:tcW w:w="536" w:type="dxa"/>
            <w:tcBorders>
              <w:bottom w:val="single" w:sz="4" w:space="0" w:color="auto"/>
            </w:tcBorders>
          </w:tcPr>
          <w:p w14:paraId="26854596" w14:textId="77777777" w:rsidR="005B2AEB" w:rsidRPr="00DF6C69" w:rsidRDefault="005B2AEB" w:rsidP="005B2AEB">
            <w:pPr>
              <w:jc w:val="center"/>
              <w:rPr>
                <w:rFonts w:cs="Times New Roman"/>
                <w:color w:val="000000"/>
                <w:sz w:val="18"/>
                <w:szCs w:val="18"/>
              </w:rPr>
            </w:pPr>
          </w:p>
        </w:tc>
        <w:tc>
          <w:tcPr>
            <w:tcW w:w="850" w:type="dxa"/>
            <w:tcBorders>
              <w:bottom w:val="single" w:sz="4" w:space="0" w:color="auto"/>
            </w:tcBorders>
          </w:tcPr>
          <w:p w14:paraId="3CF43FA7" w14:textId="31458591" w:rsidR="005B2AEB" w:rsidRPr="00DF6C69" w:rsidRDefault="00D61BA7" w:rsidP="005B2AEB">
            <w:pPr>
              <w:jc w:val="center"/>
              <w:rPr>
                <w:rFonts w:cs="Times New Roman"/>
                <w:color w:val="000000"/>
                <w:sz w:val="18"/>
                <w:szCs w:val="18"/>
              </w:rPr>
            </w:pPr>
            <w:r w:rsidRPr="00DF6C69">
              <w:rPr>
                <w:rFonts w:cs="Times New Roman"/>
                <w:color w:val="000000"/>
                <w:sz w:val="18"/>
                <w:szCs w:val="18"/>
              </w:rPr>
              <w:t>High</w:t>
            </w:r>
          </w:p>
        </w:tc>
      </w:tr>
      <w:tr w:rsidR="005B2AEB" w:rsidRPr="00DF6C69" w14:paraId="1BB3ACC4" w14:textId="013AB6A0" w:rsidTr="005B2AEB">
        <w:trPr>
          <w:trHeight w:val="483"/>
        </w:trPr>
        <w:tc>
          <w:tcPr>
            <w:tcW w:w="9634" w:type="dxa"/>
            <w:gridSpan w:val="13"/>
            <w:tcBorders>
              <w:bottom w:val="single" w:sz="4" w:space="0" w:color="auto"/>
            </w:tcBorders>
            <w:shd w:val="clear" w:color="auto" w:fill="FFF2CC" w:themeFill="accent4" w:themeFillTint="33"/>
            <w:vAlign w:val="center"/>
          </w:tcPr>
          <w:p w14:paraId="447CBA24" w14:textId="2CCEF5C7" w:rsidR="005B2AEB" w:rsidRPr="00DF6C69" w:rsidRDefault="005B2AEB" w:rsidP="005B2AEB">
            <w:pPr>
              <w:jc w:val="center"/>
              <w:rPr>
                <w:rFonts w:cs="Times New Roman"/>
                <w:color w:val="000000"/>
                <w:sz w:val="18"/>
                <w:szCs w:val="18"/>
              </w:rPr>
            </w:pPr>
            <w:r w:rsidRPr="00DF6C69">
              <w:rPr>
                <w:rFonts w:cs="Times New Roman"/>
                <w:color w:val="000000"/>
                <w:sz w:val="18"/>
                <w:szCs w:val="18"/>
              </w:rPr>
              <w:t>PCa-specific metabolites panel</w:t>
            </w:r>
          </w:p>
        </w:tc>
      </w:tr>
      <w:tr w:rsidR="005B2AEB" w:rsidRPr="00DF6C69" w14:paraId="0B71F9A9" w14:textId="7FFDE2BF" w:rsidTr="00576A52">
        <w:trPr>
          <w:trHeight w:val="261"/>
        </w:trPr>
        <w:tc>
          <w:tcPr>
            <w:tcW w:w="2407" w:type="dxa"/>
            <w:gridSpan w:val="2"/>
            <w:shd w:val="clear" w:color="auto" w:fill="FFF2CC" w:themeFill="accent4" w:themeFillTint="33"/>
            <w:vAlign w:val="center"/>
          </w:tcPr>
          <w:p w14:paraId="56F7A994" w14:textId="77777777" w:rsidR="005B2AEB" w:rsidRPr="00DF6C69" w:rsidRDefault="005B2AEB" w:rsidP="005B2AEB">
            <w:pPr>
              <w:jc w:val="center"/>
              <w:rPr>
                <w:rFonts w:ascii="Times New Roman" w:hAnsi="Times New Roman" w:cs="Times New Roman"/>
                <w:sz w:val="18"/>
                <w:szCs w:val="18"/>
              </w:rPr>
            </w:pPr>
            <w:r w:rsidRPr="00DF6C69">
              <w:rPr>
                <w:rFonts w:ascii="Times New Roman" w:hAnsi="Times New Roman" w:cs="Times New Roman"/>
                <w:sz w:val="18"/>
                <w:szCs w:val="18"/>
              </w:rPr>
              <w:t>Sarcosine + LAA</w:t>
            </w:r>
          </w:p>
        </w:tc>
        <w:tc>
          <w:tcPr>
            <w:tcW w:w="990" w:type="dxa"/>
            <w:vAlign w:val="center"/>
          </w:tcPr>
          <w:p w14:paraId="76316C74"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noWrap/>
            <w:vAlign w:val="center"/>
          </w:tcPr>
          <w:p w14:paraId="611A883D" w14:textId="77777777" w:rsidR="005B2AEB" w:rsidRPr="00DF6C69" w:rsidRDefault="005B2AEB" w:rsidP="005B2AEB">
            <w:pPr>
              <w:jc w:val="center"/>
              <w:rPr>
                <w:rFonts w:cs="Times New Roman"/>
                <w:color w:val="000000"/>
                <w:sz w:val="18"/>
                <w:szCs w:val="18"/>
              </w:rPr>
            </w:pPr>
          </w:p>
        </w:tc>
        <w:tc>
          <w:tcPr>
            <w:tcW w:w="693" w:type="dxa"/>
            <w:vAlign w:val="center"/>
          </w:tcPr>
          <w:p w14:paraId="51E96DCA"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sym w:font="Wingdings" w:char="F0FC"/>
            </w:r>
          </w:p>
        </w:tc>
        <w:tc>
          <w:tcPr>
            <w:tcW w:w="693" w:type="dxa"/>
            <w:vAlign w:val="center"/>
          </w:tcPr>
          <w:p w14:paraId="0325D23A" w14:textId="77777777" w:rsidR="005B2AEB" w:rsidRPr="00DF6C69" w:rsidRDefault="005B2AEB" w:rsidP="005B2AEB">
            <w:pPr>
              <w:jc w:val="center"/>
              <w:rPr>
                <w:rFonts w:cs="Times New Roman"/>
                <w:color w:val="000000"/>
                <w:sz w:val="18"/>
                <w:szCs w:val="18"/>
              </w:rPr>
            </w:pPr>
          </w:p>
        </w:tc>
        <w:tc>
          <w:tcPr>
            <w:tcW w:w="693" w:type="dxa"/>
            <w:noWrap/>
            <w:vAlign w:val="center"/>
          </w:tcPr>
          <w:p w14:paraId="5CFEA780" w14:textId="77777777" w:rsidR="005B2AEB" w:rsidRPr="00DF6C69" w:rsidRDefault="005B2AEB" w:rsidP="005B2AEB">
            <w:pPr>
              <w:jc w:val="center"/>
              <w:rPr>
                <w:rFonts w:cs="Times New Roman"/>
                <w:color w:val="000000"/>
                <w:sz w:val="18"/>
                <w:szCs w:val="18"/>
              </w:rPr>
            </w:pPr>
          </w:p>
        </w:tc>
        <w:tc>
          <w:tcPr>
            <w:tcW w:w="693" w:type="dxa"/>
            <w:gridSpan w:val="2"/>
            <w:vAlign w:val="center"/>
          </w:tcPr>
          <w:p w14:paraId="306CCEB1" w14:textId="77777777" w:rsidR="005B2AEB" w:rsidRPr="00DF6C69" w:rsidRDefault="005B2AEB" w:rsidP="005B2AEB">
            <w:pPr>
              <w:jc w:val="center"/>
              <w:rPr>
                <w:rFonts w:cs="Times New Roman"/>
                <w:color w:val="000000"/>
                <w:sz w:val="18"/>
                <w:szCs w:val="18"/>
              </w:rPr>
            </w:pPr>
          </w:p>
        </w:tc>
        <w:tc>
          <w:tcPr>
            <w:tcW w:w="693" w:type="dxa"/>
            <w:noWrap/>
            <w:vAlign w:val="center"/>
          </w:tcPr>
          <w:p w14:paraId="59422A13" w14:textId="77777777" w:rsidR="005B2AEB" w:rsidRPr="00DF6C69" w:rsidRDefault="005B2AEB" w:rsidP="005B2AEB">
            <w:pPr>
              <w:jc w:val="center"/>
              <w:rPr>
                <w:rFonts w:cs="Times New Roman"/>
                <w:color w:val="000000"/>
                <w:sz w:val="18"/>
                <w:szCs w:val="18"/>
              </w:rPr>
            </w:pPr>
          </w:p>
        </w:tc>
        <w:tc>
          <w:tcPr>
            <w:tcW w:w="693" w:type="dxa"/>
            <w:vAlign w:val="center"/>
          </w:tcPr>
          <w:p w14:paraId="5A550992" w14:textId="77777777" w:rsidR="005B2AEB" w:rsidRPr="00DF6C69" w:rsidRDefault="005B2AEB" w:rsidP="005B2AEB">
            <w:pPr>
              <w:jc w:val="center"/>
              <w:rPr>
                <w:rFonts w:cs="Times New Roman"/>
                <w:color w:val="000000"/>
                <w:sz w:val="18"/>
                <w:szCs w:val="18"/>
              </w:rPr>
            </w:pPr>
          </w:p>
        </w:tc>
        <w:tc>
          <w:tcPr>
            <w:tcW w:w="536" w:type="dxa"/>
            <w:vAlign w:val="center"/>
          </w:tcPr>
          <w:p w14:paraId="0B5D0ABF" w14:textId="77777777" w:rsidR="005B2AEB" w:rsidRPr="00DF6C69" w:rsidRDefault="005B2AEB" w:rsidP="005B2AEB">
            <w:pPr>
              <w:jc w:val="center"/>
              <w:rPr>
                <w:rFonts w:cs="Times New Roman"/>
                <w:color w:val="000000"/>
                <w:sz w:val="18"/>
                <w:szCs w:val="18"/>
              </w:rPr>
            </w:pPr>
          </w:p>
        </w:tc>
        <w:tc>
          <w:tcPr>
            <w:tcW w:w="850" w:type="dxa"/>
            <w:vAlign w:val="center"/>
          </w:tcPr>
          <w:p w14:paraId="49F0C5BA" w14:textId="536F4D27" w:rsidR="005B2AEB" w:rsidRPr="00DF6C69" w:rsidRDefault="00D61BA7" w:rsidP="00D61BA7">
            <w:pPr>
              <w:jc w:val="center"/>
              <w:rPr>
                <w:rFonts w:cs="Times New Roman"/>
                <w:color w:val="000000"/>
                <w:sz w:val="18"/>
                <w:szCs w:val="18"/>
              </w:rPr>
            </w:pPr>
            <w:r w:rsidRPr="00DF6C69">
              <w:rPr>
                <w:rFonts w:cs="Times New Roman"/>
                <w:color w:val="000000"/>
                <w:sz w:val="18"/>
                <w:szCs w:val="18"/>
              </w:rPr>
              <w:t>High</w:t>
            </w:r>
          </w:p>
        </w:tc>
      </w:tr>
      <w:tr w:rsidR="005B2AEB" w:rsidRPr="00DF6C69" w14:paraId="03E0229A" w14:textId="34DE52A7" w:rsidTr="00576A52">
        <w:trPr>
          <w:trHeight w:val="280"/>
        </w:trPr>
        <w:tc>
          <w:tcPr>
            <w:tcW w:w="2407" w:type="dxa"/>
            <w:gridSpan w:val="2"/>
            <w:shd w:val="clear" w:color="auto" w:fill="FFF2CC" w:themeFill="accent4" w:themeFillTint="33"/>
            <w:vAlign w:val="center"/>
          </w:tcPr>
          <w:p w14:paraId="2E838BAE" w14:textId="77777777" w:rsidR="005B2AEB" w:rsidRPr="00DF6C69" w:rsidRDefault="005B2AEB" w:rsidP="005B2AEB">
            <w:pPr>
              <w:rPr>
                <w:rFonts w:ascii="Times New Roman" w:hAnsi="Times New Roman" w:cs="Times New Roman"/>
                <w:sz w:val="18"/>
                <w:szCs w:val="18"/>
              </w:rPr>
            </w:pPr>
            <w:r w:rsidRPr="00DF6C69">
              <w:rPr>
                <w:rFonts w:ascii="Times New Roman" w:hAnsi="Times New Roman" w:cs="Times New Roman"/>
                <w:sz w:val="18"/>
                <w:szCs w:val="18"/>
              </w:rPr>
              <w:t>Sarcosine + LAA + Glutamate</w:t>
            </w:r>
          </w:p>
        </w:tc>
        <w:tc>
          <w:tcPr>
            <w:tcW w:w="990" w:type="dxa"/>
            <w:vAlign w:val="center"/>
          </w:tcPr>
          <w:p w14:paraId="07927066"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noWrap/>
            <w:vAlign w:val="center"/>
          </w:tcPr>
          <w:p w14:paraId="17EEB8E5" w14:textId="77777777" w:rsidR="005B2AEB" w:rsidRPr="00DF6C69" w:rsidRDefault="005B2AEB" w:rsidP="005B2AEB">
            <w:pPr>
              <w:jc w:val="center"/>
              <w:rPr>
                <w:rFonts w:cs="Times New Roman"/>
                <w:color w:val="000000"/>
                <w:sz w:val="18"/>
                <w:szCs w:val="18"/>
              </w:rPr>
            </w:pPr>
          </w:p>
        </w:tc>
        <w:tc>
          <w:tcPr>
            <w:tcW w:w="693" w:type="dxa"/>
            <w:vAlign w:val="center"/>
          </w:tcPr>
          <w:p w14:paraId="3C37F9BD" w14:textId="77777777" w:rsidR="005B2AEB" w:rsidRPr="00DF6C69" w:rsidRDefault="005B2AEB" w:rsidP="005B2AEB">
            <w:pPr>
              <w:jc w:val="center"/>
              <w:rPr>
                <w:rFonts w:cs="Times New Roman"/>
                <w:color w:val="000000"/>
                <w:sz w:val="18"/>
                <w:szCs w:val="18"/>
              </w:rPr>
            </w:pPr>
          </w:p>
        </w:tc>
        <w:tc>
          <w:tcPr>
            <w:tcW w:w="693" w:type="dxa"/>
            <w:vAlign w:val="center"/>
          </w:tcPr>
          <w:p w14:paraId="4A74AB9D" w14:textId="77777777" w:rsidR="005B2AEB" w:rsidRPr="00DF6C69" w:rsidRDefault="005B2AEB" w:rsidP="005B2AEB">
            <w:pPr>
              <w:jc w:val="center"/>
              <w:rPr>
                <w:rFonts w:cs="Times New Roman"/>
                <w:color w:val="000000"/>
                <w:sz w:val="18"/>
                <w:szCs w:val="18"/>
              </w:rPr>
            </w:pPr>
          </w:p>
        </w:tc>
        <w:tc>
          <w:tcPr>
            <w:tcW w:w="693" w:type="dxa"/>
            <w:noWrap/>
            <w:vAlign w:val="center"/>
          </w:tcPr>
          <w:p w14:paraId="78E88BB6" w14:textId="77777777" w:rsidR="005B2AEB" w:rsidRPr="00DF6C69" w:rsidRDefault="005B2AEB" w:rsidP="005B2AEB">
            <w:pPr>
              <w:jc w:val="center"/>
              <w:rPr>
                <w:rFonts w:cs="Times New Roman"/>
                <w:color w:val="000000"/>
                <w:sz w:val="18"/>
                <w:szCs w:val="18"/>
              </w:rPr>
            </w:pPr>
          </w:p>
        </w:tc>
        <w:tc>
          <w:tcPr>
            <w:tcW w:w="693" w:type="dxa"/>
            <w:gridSpan w:val="2"/>
            <w:vAlign w:val="center"/>
          </w:tcPr>
          <w:p w14:paraId="0C44B19E" w14:textId="77777777" w:rsidR="005B2AEB" w:rsidRPr="00DF6C69" w:rsidRDefault="005B2AEB" w:rsidP="005B2AEB">
            <w:pPr>
              <w:jc w:val="center"/>
              <w:rPr>
                <w:rFonts w:cs="Times New Roman"/>
                <w:color w:val="000000"/>
                <w:sz w:val="18"/>
                <w:szCs w:val="18"/>
              </w:rPr>
            </w:pPr>
          </w:p>
        </w:tc>
        <w:tc>
          <w:tcPr>
            <w:tcW w:w="693" w:type="dxa"/>
            <w:noWrap/>
            <w:vAlign w:val="center"/>
          </w:tcPr>
          <w:p w14:paraId="425EAE79" w14:textId="77777777" w:rsidR="005B2AEB" w:rsidRPr="00DF6C69" w:rsidRDefault="005B2AEB" w:rsidP="005B2AEB">
            <w:pPr>
              <w:jc w:val="center"/>
              <w:rPr>
                <w:rFonts w:cs="Times New Roman"/>
                <w:color w:val="000000"/>
                <w:sz w:val="18"/>
                <w:szCs w:val="18"/>
              </w:rPr>
            </w:pPr>
          </w:p>
        </w:tc>
        <w:tc>
          <w:tcPr>
            <w:tcW w:w="693" w:type="dxa"/>
            <w:vAlign w:val="center"/>
          </w:tcPr>
          <w:p w14:paraId="45583B03" w14:textId="77777777" w:rsidR="005B2AEB" w:rsidRPr="00DF6C69" w:rsidRDefault="005B2AEB" w:rsidP="005B2AEB">
            <w:pPr>
              <w:jc w:val="center"/>
              <w:rPr>
                <w:rFonts w:cs="Times New Roman"/>
                <w:color w:val="000000"/>
                <w:sz w:val="18"/>
                <w:szCs w:val="18"/>
              </w:rPr>
            </w:pPr>
          </w:p>
        </w:tc>
        <w:tc>
          <w:tcPr>
            <w:tcW w:w="536" w:type="dxa"/>
          </w:tcPr>
          <w:p w14:paraId="64DCC0DF" w14:textId="77777777" w:rsidR="005B2AEB" w:rsidRPr="00DF6C69" w:rsidRDefault="005B2AEB" w:rsidP="005B2AEB">
            <w:pPr>
              <w:jc w:val="center"/>
              <w:rPr>
                <w:rFonts w:cs="Times New Roman"/>
                <w:color w:val="000000"/>
                <w:sz w:val="18"/>
                <w:szCs w:val="18"/>
              </w:rPr>
            </w:pPr>
          </w:p>
        </w:tc>
        <w:tc>
          <w:tcPr>
            <w:tcW w:w="850" w:type="dxa"/>
            <w:vAlign w:val="center"/>
          </w:tcPr>
          <w:p w14:paraId="5015A197" w14:textId="2BC5C61A" w:rsidR="005B2AEB" w:rsidRPr="00DF6C69" w:rsidRDefault="00D61BA7" w:rsidP="00D61BA7">
            <w:pPr>
              <w:jc w:val="center"/>
              <w:rPr>
                <w:rFonts w:cs="Times New Roman"/>
                <w:color w:val="000000"/>
                <w:sz w:val="18"/>
                <w:szCs w:val="18"/>
              </w:rPr>
            </w:pPr>
            <w:r w:rsidRPr="00DF6C69">
              <w:rPr>
                <w:rFonts w:cs="Times New Roman"/>
                <w:color w:val="000000"/>
                <w:sz w:val="18"/>
                <w:szCs w:val="18"/>
              </w:rPr>
              <w:t>High</w:t>
            </w:r>
          </w:p>
        </w:tc>
      </w:tr>
      <w:tr w:rsidR="005B2AEB" w:rsidRPr="00DF6C69" w14:paraId="6E186FD0" w14:textId="68E4FE49" w:rsidTr="00576A52">
        <w:trPr>
          <w:trHeight w:val="283"/>
        </w:trPr>
        <w:tc>
          <w:tcPr>
            <w:tcW w:w="2407" w:type="dxa"/>
            <w:gridSpan w:val="2"/>
            <w:shd w:val="clear" w:color="auto" w:fill="FFF2CC" w:themeFill="accent4" w:themeFillTint="33"/>
            <w:vAlign w:val="center"/>
          </w:tcPr>
          <w:p w14:paraId="489C1D86" w14:textId="77777777" w:rsidR="005B2AEB" w:rsidRPr="00DF6C69" w:rsidRDefault="005B2AEB" w:rsidP="005B2AEB">
            <w:pPr>
              <w:rPr>
                <w:rFonts w:eastAsia="Calibri" w:cs="Times New Roman"/>
                <w:iCs/>
                <w:sz w:val="18"/>
                <w:szCs w:val="18"/>
              </w:rPr>
            </w:pPr>
            <w:r w:rsidRPr="00DF6C69">
              <w:rPr>
                <w:rFonts w:eastAsia="Calibri" w:cs="Times New Roman"/>
                <w:iCs/>
                <w:sz w:val="18"/>
                <w:szCs w:val="18"/>
              </w:rPr>
              <w:t>LAA + Glutamate + Choline</w:t>
            </w:r>
          </w:p>
        </w:tc>
        <w:tc>
          <w:tcPr>
            <w:tcW w:w="990" w:type="dxa"/>
            <w:vAlign w:val="center"/>
          </w:tcPr>
          <w:p w14:paraId="282584A2"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noWrap/>
            <w:vAlign w:val="center"/>
          </w:tcPr>
          <w:p w14:paraId="425E045B" w14:textId="77777777" w:rsidR="005B2AEB" w:rsidRPr="00DF6C69" w:rsidRDefault="005B2AEB" w:rsidP="005B2AEB">
            <w:pPr>
              <w:jc w:val="center"/>
              <w:rPr>
                <w:rFonts w:cs="Times New Roman"/>
                <w:color w:val="000000"/>
                <w:sz w:val="18"/>
                <w:szCs w:val="18"/>
              </w:rPr>
            </w:pPr>
          </w:p>
        </w:tc>
        <w:tc>
          <w:tcPr>
            <w:tcW w:w="693" w:type="dxa"/>
            <w:vAlign w:val="center"/>
          </w:tcPr>
          <w:p w14:paraId="2BD9F82B" w14:textId="77777777" w:rsidR="005B2AEB" w:rsidRPr="00DF6C69" w:rsidRDefault="005B2AEB" w:rsidP="005B2AEB">
            <w:pPr>
              <w:jc w:val="center"/>
              <w:rPr>
                <w:rFonts w:cs="Times New Roman"/>
                <w:color w:val="000000"/>
                <w:sz w:val="18"/>
                <w:szCs w:val="18"/>
              </w:rPr>
            </w:pPr>
          </w:p>
        </w:tc>
        <w:tc>
          <w:tcPr>
            <w:tcW w:w="693" w:type="dxa"/>
            <w:vAlign w:val="center"/>
          </w:tcPr>
          <w:p w14:paraId="64124CAE" w14:textId="77777777" w:rsidR="005B2AEB" w:rsidRPr="00DF6C69" w:rsidRDefault="005B2AEB" w:rsidP="005B2AEB">
            <w:pPr>
              <w:jc w:val="center"/>
              <w:rPr>
                <w:rFonts w:cs="Times New Roman"/>
                <w:color w:val="000000"/>
                <w:sz w:val="18"/>
                <w:szCs w:val="18"/>
              </w:rPr>
            </w:pPr>
          </w:p>
        </w:tc>
        <w:tc>
          <w:tcPr>
            <w:tcW w:w="693" w:type="dxa"/>
            <w:noWrap/>
            <w:vAlign w:val="center"/>
          </w:tcPr>
          <w:p w14:paraId="2D149EDB" w14:textId="77777777" w:rsidR="005B2AEB" w:rsidRPr="00DF6C69" w:rsidRDefault="005B2AEB" w:rsidP="005B2AEB">
            <w:pPr>
              <w:jc w:val="center"/>
              <w:rPr>
                <w:rFonts w:cs="Times New Roman"/>
                <w:color w:val="000000"/>
                <w:sz w:val="18"/>
                <w:szCs w:val="18"/>
              </w:rPr>
            </w:pPr>
          </w:p>
        </w:tc>
        <w:tc>
          <w:tcPr>
            <w:tcW w:w="693" w:type="dxa"/>
            <w:gridSpan w:val="2"/>
            <w:vAlign w:val="center"/>
          </w:tcPr>
          <w:p w14:paraId="0B1F03C4" w14:textId="77777777" w:rsidR="005B2AEB" w:rsidRPr="00DF6C69" w:rsidRDefault="005B2AEB" w:rsidP="005B2AEB">
            <w:pPr>
              <w:jc w:val="center"/>
              <w:rPr>
                <w:rFonts w:cs="Times New Roman"/>
                <w:color w:val="000000"/>
                <w:sz w:val="18"/>
                <w:szCs w:val="18"/>
              </w:rPr>
            </w:pPr>
          </w:p>
        </w:tc>
        <w:tc>
          <w:tcPr>
            <w:tcW w:w="693" w:type="dxa"/>
            <w:noWrap/>
            <w:vAlign w:val="center"/>
          </w:tcPr>
          <w:p w14:paraId="3FE01F44" w14:textId="77777777" w:rsidR="005B2AEB" w:rsidRPr="00DF6C69" w:rsidRDefault="005B2AEB" w:rsidP="005B2AEB">
            <w:pPr>
              <w:jc w:val="center"/>
              <w:rPr>
                <w:rFonts w:cs="Times New Roman"/>
                <w:color w:val="000000"/>
                <w:sz w:val="18"/>
                <w:szCs w:val="18"/>
              </w:rPr>
            </w:pPr>
          </w:p>
        </w:tc>
        <w:tc>
          <w:tcPr>
            <w:tcW w:w="693" w:type="dxa"/>
            <w:vAlign w:val="center"/>
          </w:tcPr>
          <w:p w14:paraId="141C3BDD" w14:textId="77777777" w:rsidR="005B2AEB" w:rsidRPr="00DF6C69" w:rsidRDefault="005B2AEB" w:rsidP="005B2AEB">
            <w:pPr>
              <w:jc w:val="center"/>
              <w:rPr>
                <w:rFonts w:cs="Times New Roman"/>
                <w:color w:val="000000"/>
                <w:sz w:val="18"/>
                <w:szCs w:val="18"/>
              </w:rPr>
            </w:pPr>
          </w:p>
        </w:tc>
        <w:tc>
          <w:tcPr>
            <w:tcW w:w="536" w:type="dxa"/>
          </w:tcPr>
          <w:p w14:paraId="1A313DB1" w14:textId="77777777" w:rsidR="005B2AEB" w:rsidRPr="00DF6C69" w:rsidRDefault="005B2AEB" w:rsidP="005B2AEB">
            <w:pPr>
              <w:jc w:val="center"/>
              <w:rPr>
                <w:rFonts w:cs="Times New Roman"/>
                <w:color w:val="000000"/>
                <w:sz w:val="18"/>
                <w:szCs w:val="18"/>
              </w:rPr>
            </w:pPr>
          </w:p>
        </w:tc>
        <w:tc>
          <w:tcPr>
            <w:tcW w:w="850" w:type="dxa"/>
            <w:vAlign w:val="center"/>
          </w:tcPr>
          <w:p w14:paraId="33FC2DF5" w14:textId="395D780F" w:rsidR="005B2AEB" w:rsidRPr="00DF6C69" w:rsidRDefault="00D61BA7" w:rsidP="00D61BA7">
            <w:pPr>
              <w:jc w:val="center"/>
              <w:rPr>
                <w:rFonts w:cs="Times New Roman"/>
                <w:color w:val="000000"/>
                <w:sz w:val="18"/>
                <w:szCs w:val="18"/>
              </w:rPr>
            </w:pPr>
            <w:r w:rsidRPr="00DF6C69">
              <w:rPr>
                <w:rFonts w:cs="Times New Roman"/>
                <w:color w:val="000000"/>
                <w:sz w:val="18"/>
                <w:szCs w:val="18"/>
              </w:rPr>
              <w:t>High</w:t>
            </w:r>
          </w:p>
        </w:tc>
      </w:tr>
      <w:tr w:rsidR="00576A52" w:rsidRPr="00DF6C69" w14:paraId="49203464" w14:textId="6C7BD802" w:rsidTr="00576A52">
        <w:trPr>
          <w:trHeight w:val="260"/>
        </w:trPr>
        <w:tc>
          <w:tcPr>
            <w:tcW w:w="2407" w:type="dxa"/>
            <w:gridSpan w:val="2"/>
            <w:shd w:val="clear" w:color="auto" w:fill="A8D08D" w:themeFill="accent6" w:themeFillTint="99"/>
            <w:vAlign w:val="center"/>
          </w:tcPr>
          <w:p w14:paraId="3A866776" w14:textId="77777777" w:rsidR="005B2AEB" w:rsidRPr="00DF6C69" w:rsidRDefault="005B2AEB" w:rsidP="005B2AEB">
            <w:pPr>
              <w:jc w:val="center"/>
              <w:rPr>
                <w:rFonts w:eastAsia="Calibri" w:cs="Times New Roman"/>
                <w:iCs/>
                <w:sz w:val="18"/>
                <w:szCs w:val="18"/>
              </w:rPr>
            </w:pPr>
            <w:r w:rsidRPr="00DF6C69">
              <w:rPr>
                <w:rFonts w:eastAsia="Calibri" w:cs="Times New Roman"/>
                <w:iCs/>
                <w:sz w:val="18"/>
                <w:szCs w:val="18"/>
              </w:rPr>
              <w:t>LAA + Glutamate + Choline + Sarcosine</w:t>
            </w:r>
          </w:p>
        </w:tc>
        <w:tc>
          <w:tcPr>
            <w:tcW w:w="990" w:type="dxa"/>
            <w:shd w:val="clear" w:color="auto" w:fill="A8D08D" w:themeFill="accent6" w:themeFillTint="99"/>
            <w:vAlign w:val="center"/>
          </w:tcPr>
          <w:p w14:paraId="513BFF18" w14:textId="77777777" w:rsidR="005B2AEB" w:rsidRPr="00DF6C69" w:rsidRDefault="005B2AEB" w:rsidP="005B2AEB">
            <w:pPr>
              <w:jc w:val="center"/>
              <w:rPr>
                <w:rFonts w:cs="Times New Roman"/>
                <w:color w:val="000000"/>
                <w:sz w:val="18"/>
                <w:szCs w:val="18"/>
              </w:rPr>
            </w:pPr>
            <w:r w:rsidRPr="00DF6C69">
              <w:rPr>
                <w:rFonts w:cs="Times New Roman"/>
                <w:color w:val="000000"/>
                <w:sz w:val="18"/>
                <w:szCs w:val="18"/>
              </w:rPr>
              <w:t>High</w:t>
            </w:r>
          </w:p>
        </w:tc>
        <w:tc>
          <w:tcPr>
            <w:tcW w:w="693" w:type="dxa"/>
            <w:shd w:val="clear" w:color="auto" w:fill="A8D08D" w:themeFill="accent6" w:themeFillTint="99"/>
            <w:noWrap/>
            <w:vAlign w:val="center"/>
          </w:tcPr>
          <w:p w14:paraId="05B624C6" w14:textId="77777777" w:rsidR="005B2AEB" w:rsidRPr="00DF6C69" w:rsidRDefault="005B2AEB" w:rsidP="005B2AEB">
            <w:pPr>
              <w:jc w:val="center"/>
              <w:rPr>
                <w:rFonts w:cs="Times New Roman"/>
                <w:color w:val="000000"/>
                <w:sz w:val="18"/>
                <w:szCs w:val="18"/>
              </w:rPr>
            </w:pPr>
          </w:p>
        </w:tc>
        <w:tc>
          <w:tcPr>
            <w:tcW w:w="693" w:type="dxa"/>
            <w:shd w:val="clear" w:color="auto" w:fill="A8D08D" w:themeFill="accent6" w:themeFillTint="99"/>
            <w:vAlign w:val="center"/>
          </w:tcPr>
          <w:p w14:paraId="37AD665E" w14:textId="77777777" w:rsidR="005B2AEB" w:rsidRPr="00DF6C69" w:rsidRDefault="005B2AEB" w:rsidP="005B2AEB">
            <w:pPr>
              <w:jc w:val="center"/>
              <w:rPr>
                <w:rFonts w:cs="Times New Roman"/>
                <w:color w:val="000000"/>
                <w:sz w:val="18"/>
                <w:szCs w:val="18"/>
              </w:rPr>
            </w:pPr>
          </w:p>
        </w:tc>
        <w:tc>
          <w:tcPr>
            <w:tcW w:w="693" w:type="dxa"/>
            <w:shd w:val="clear" w:color="auto" w:fill="A8D08D" w:themeFill="accent6" w:themeFillTint="99"/>
            <w:vAlign w:val="center"/>
          </w:tcPr>
          <w:p w14:paraId="123D04F5" w14:textId="77777777" w:rsidR="005B2AEB" w:rsidRPr="00DF6C69" w:rsidRDefault="005B2AEB" w:rsidP="005B2AEB">
            <w:pPr>
              <w:jc w:val="center"/>
              <w:rPr>
                <w:rFonts w:cs="Times New Roman"/>
                <w:color w:val="000000"/>
                <w:sz w:val="18"/>
                <w:szCs w:val="18"/>
              </w:rPr>
            </w:pPr>
          </w:p>
        </w:tc>
        <w:tc>
          <w:tcPr>
            <w:tcW w:w="693" w:type="dxa"/>
            <w:shd w:val="clear" w:color="auto" w:fill="A8D08D" w:themeFill="accent6" w:themeFillTint="99"/>
            <w:noWrap/>
            <w:vAlign w:val="center"/>
          </w:tcPr>
          <w:p w14:paraId="49F3F88E" w14:textId="77777777" w:rsidR="005B2AEB" w:rsidRPr="00DF6C69" w:rsidRDefault="005B2AEB" w:rsidP="005B2AEB">
            <w:pPr>
              <w:jc w:val="center"/>
              <w:rPr>
                <w:rFonts w:cs="Times New Roman"/>
                <w:color w:val="000000"/>
                <w:sz w:val="18"/>
                <w:szCs w:val="18"/>
              </w:rPr>
            </w:pPr>
          </w:p>
        </w:tc>
        <w:tc>
          <w:tcPr>
            <w:tcW w:w="693" w:type="dxa"/>
            <w:gridSpan w:val="2"/>
            <w:shd w:val="clear" w:color="auto" w:fill="A8D08D" w:themeFill="accent6" w:themeFillTint="99"/>
            <w:vAlign w:val="center"/>
          </w:tcPr>
          <w:p w14:paraId="2F93395A" w14:textId="77777777" w:rsidR="005B2AEB" w:rsidRPr="00DF6C69" w:rsidRDefault="005B2AEB" w:rsidP="005B2AEB">
            <w:pPr>
              <w:jc w:val="center"/>
              <w:rPr>
                <w:rFonts w:cs="Times New Roman"/>
                <w:color w:val="000000"/>
                <w:sz w:val="18"/>
                <w:szCs w:val="18"/>
              </w:rPr>
            </w:pPr>
          </w:p>
        </w:tc>
        <w:tc>
          <w:tcPr>
            <w:tcW w:w="693" w:type="dxa"/>
            <w:shd w:val="clear" w:color="auto" w:fill="A8D08D" w:themeFill="accent6" w:themeFillTint="99"/>
            <w:noWrap/>
            <w:vAlign w:val="center"/>
          </w:tcPr>
          <w:p w14:paraId="3E0BFC66" w14:textId="77777777" w:rsidR="005B2AEB" w:rsidRPr="00DF6C69" w:rsidRDefault="005B2AEB" w:rsidP="005B2AEB">
            <w:pPr>
              <w:jc w:val="center"/>
              <w:rPr>
                <w:rFonts w:cs="Times New Roman"/>
                <w:color w:val="000000"/>
                <w:sz w:val="18"/>
                <w:szCs w:val="18"/>
              </w:rPr>
            </w:pPr>
          </w:p>
        </w:tc>
        <w:tc>
          <w:tcPr>
            <w:tcW w:w="693" w:type="dxa"/>
            <w:shd w:val="clear" w:color="auto" w:fill="A8D08D" w:themeFill="accent6" w:themeFillTint="99"/>
            <w:vAlign w:val="center"/>
          </w:tcPr>
          <w:p w14:paraId="6CDEB290" w14:textId="77777777" w:rsidR="005B2AEB" w:rsidRPr="00DF6C69" w:rsidRDefault="005B2AEB" w:rsidP="005B2AEB">
            <w:pPr>
              <w:jc w:val="center"/>
              <w:rPr>
                <w:rFonts w:cs="Times New Roman"/>
                <w:color w:val="000000"/>
                <w:sz w:val="18"/>
                <w:szCs w:val="18"/>
              </w:rPr>
            </w:pPr>
          </w:p>
        </w:tc>
        <w:tc>
          <w:tcPr>
            <w:tcW w:w="536" w:type="dxa"/>
            <w:shd w:val="clear" w:color="auto" w:fill="A8D08D" w:themeFill="accent6" w:themeFillTint="99"/>
          </w:tcPr>
          <w:p w14:paraId="36753287" w14:textId="77777777" w:rsidR="005B2AEB" w:rsidRPr="00DF6C69" w:rsidRDefault="005B2AEB" w:rsidP="005B2AEB">
            <w:pPr>
              <w:jc w:val="center"/>
              <w:rPr>
                <w:rFonts w:cs="Times New Roman"/>
                <w:color w:val="000000"/>
                <w:sz w:val="18"/>
                <w:szCs w:val="18"/>
              </w:rPr>
            </w:pPr>
          </w:p>
        </w:tc>
        <w:tc>
          <w:tcPr>
            <w:tcW w:w="850" w:type="dxa"/>
            <w:shd w:val="clear" w:color="auto" w:fill="A8D08D" w:themeFill="accent6" w:themeFillTint="99"/>
            <w:vAlign w:val="center"/>
          </w:tcPr>
          <w:p w14:paraId="661AB3EB" w14:textId="417EB2F8" w:rsidR="005B2AEB" w:rsidRPr="00DF6C69" w:rsidRDefault="00D61BA7" w:rsidP="00D61BA7">
            <w:pPr>
              <w:jc w:val="center"/>
              <w:rPr>
                <w:rFonts w:cs="Times New Roman"/>
                <w:color w:val="000000"/>
                <w:sz w:val="18"/>
                <w:szCs w:val="18"/>
              </w:rPr>
            </w:pPr>
            <w:r w:rsidRPr="00DF6C69">
              <w:rPr>
                <w:rFonts w:cs="Times New Roman"/>
                <w:color w:val="000000"/>
                <w:sz w:val="18"/>
                <w:szCs w:val="18"/>
              </w:rPr>
              <w:t>High</w:t>
            </w:r>
          </w:p>
        </w:tc>
      </w:tr>
      <w:tr w:rsidR="005B2AEB" w:rsidRPr="00DF6C69" w14:paraId="3459F739" w14:textId="29752D7E" w:rsidTr="00576A52">
        <w:trPr>
          <w:trHeight w:val="1208"/>
        </w:trPr>
        <w:tc>
          <w:tcPr>
            <w:tcW w:w="9634" w:type="dxa"/>
            <w:gridSpan w:val="13"/>
            <w:shd w:val="clear" w:color="auto" w:fill="auto"/>
            <w:vAlign w:val="center"/>
          </w:tcPr>
          <w:p w14:paraId="3CA595BB" w14:textId="77777777" w:rsidR="005B2AEB" w:rsidRPr="00DF6C69" w:rsidRDefault="005B2AEB" w:rsidP="005B2AEB">
            <w:pPr>
              <w:jc w:val="left"/>
              <w:rPr>
                <w:rFonts w:cs="Times New Roman"/>
                <w:color w:val="000000"/>
                <w:sz w:val="18"/>
                <w:szCs w:val="18"/>
              </w:rPr>
            </w:pPr>
            <w:r w:rsidRPr="00DF6C69">
              <w:rPr>
                <w:rFonts w:cs="Times New Roman"/>
                <w:color w:val="000000"/>
                <w:sz w:val="18"/>
                <w:szCs w:val="18"/>
                <w:vertAlign w:val="superscript"/>
              </w:rPr>
              <w:t xml:space="preserve">1 </w:t>
            </w:r>
            <w:r w:rsidRPr="00DF6C69">
              <w:rPr>
                <w:rFonts w:cs="Times New Roman"/>
                <w:b/>
                <w:bCs/>
                <w:color w:val="000000"/>
                <w:sz w:val="18"/>
                <w:szCs w:val="18"/>
              </w:rPr>
              <w:t>High</w:t>
            </w:r>
            <w:r w:rsidRPr="00DF6C69">
              <w:rPr>
                <w:rFonts w:cs="Times New Roman"/>
                <w:color w:val="000000"/>
                <w:sz w:val="18"/>
                <w:szCs w:val="18"/>
              </w:rPr>
              <w:t xml:space="preserve">: a) The metabolite is suitable for the colorimetric determination. b) All required reagents for the colorimetric assays are commercially available; c) Physiological concentration is expected to produce a detectable signal. </w:t>
            </w:r>
          </w:p>
          <w:p w14:paraId="376DFF20" w14:textId="77777777" w:rsidR="005B2AEB" w:rsidRPr="00DF6C69" w:rsidRDefault="005B2AEB" w:rsidP="005B2AEB">
            <w:pPr>
              <w:jc w:val="left"/>
              <w:rPr>
                <w:rFonts w:cs="Times New Roman"/>
                <w:color w:val="000000"/>
                <w:sz w:val="18"/>
                <w:szCs w:val="18"/>
              </w:rPr>
            </w:pPr>
            <w:r w:rsidRPr="00DF6C69">
              <w:rPr>
                <w:rFonts w:cs="Times New Roman"/>
                <w:b/>
                <w:bCs/>
                <w:color w:val="000000"/>
                <w:sz w:val="18"/>
                <w:szCs w:val="18"/>
              </w:rPr>
              <w:t>Medium</w:t>
            </w:r>
            <w:r w:rsidRPr="00DF6C69">
              <w:rPr>
                <w:rFonts w:cs="Times New Roman"/>
                <w:color w:val="000000"/>
                <w:sz w:val="18"/>
                <w:szCs w:val="18"/>
              </w:rPr>
              <w:t xml:space="preserve">: One of the above criteria is not met. </w:t>
            </w:r>
            <w:r w:rsidRPr="00DF6C69">
              <w:rPr>
                <w:rFonts w:cs="Times New Roman"/>
                <w:b/>
                <w:bCs/>
                <w:color w:val="000000"/>
                <w:sz w:val="18"/>
                <w:szCs w:val="18"/>
              </w:rPr>
              <w:t>Low</w:t>
            </w:r>
            <w:r w:rsidRPr="00DF6C69">
              <w:rPr>
                <w:rFonts w:cs="Times New Roman"/>
                <w:color w:val="000000"/>
                <w:sz w:val="18"/>
                <w:szCs w:val="18"/>
              </w:rPr>
              <w:t xml:space="preserve">: two or more of the above criteria are not met. </w:t>
            </w:r>
          </w:p>
          <w:p w14:paraId="11E14073" w14:textId="77777777" w:rsidR="005B2AEB" w:rsidRPr="00DF6C69" w:rsidRDefault="005B2AEB" w:rsidP="005B2AEB">
            <w:pPr>
              <w:jc w:val="left"/>
              <w:rPr>
                <w:rFonts w:cs="Times New Roman"/>
                <w:color w:val="000000"/>
                <w:sz w:val="18"/>
                <w:szCs w:val="18"/>
              </w:rPr>
            </w:pPr>
            <w:r w:rsidRPr="00DF6C69">
              <w:rPr>
                <w:rFonts w:cs="Times New Roman"/>
                <w:color w:val="000000"/>
                <w:sz w:val="18"/>
                <w:szCs w:val="18"/>
                <w:vertAlign w:val="superscript"/>
              </w:rPr>
              <w:t xml:space="preserve">2 </w:t>
            </w:r>
            <w:r w:rsidRPr="00DF6C69">
              <w:rPr>
                <w:rFonts w:cs="Times New Roman"/>
                <w:color w:val="000000"/>
                <w:sz w:val="18"/>
                <w:szCs w:val="18"/>
              </w:rPr>
              <w:t>LAA profile was considered linked to cancer types where 10 or more amino acids showed correlation.</w:t>
            </w:r>
          </w:p>
          <w:p w14:paraId="14AC61D3" w14:textId="77777777" w:rsidR="005B2AEB" w:rsidRPr="00DF6C69" w:rsidRDefault="005B2AEB" w:rsidP="005B2AEB">
            <w:pPr>
              <w:jc w:val="left"/>
              <w:rPr>
                <w:rFonts w:cs="Times New Roman"/>
                <w:color w:val="000000"/>
                <w:sz w:val="18"/>
                <w:szCs w:val="18"/>
              </w:rPr>
            </w:pPr>
            <w:r w:rsidRPr="00DF6C69">
              <w:rPr>
                <w:rFonts w:cs="Times New Roman"/>
                <w:color w:val="000000"/>
                <w:sz w:val="18"/>
                <w:szCs w:val="18"/>
                <w:vertAlign w:val="superscript"/>
              </w:rPr>
              <w:t xml:space="preserve">3 </w:t>
            </w:r>
            <w:r w:rsidRPr="00DF6C69">
              <w:rPr>
                <w:rFonts w:cs="Times New Roman"/>
                <w:color w:val="000000"/>
                <w:sz w:val="18"/>
                <w:szCs w:val="18"/>
              </w:rPr>
              <w:t>No evidence was found linking this metabolite to PCa.</w:t>
            </w:r>
          </w:p>
          <w:p w14:paraId="0F5EFC90" w14:textId="51443074" w:rsidR="00D61BA7" w:rsidRPr="00DF6C69" w:rsidRDefault="00D61BA7" w:rsidP="005B2AEB">
            <w:pPr>
              <w:jc w:val="left"/>
              <w:rPr>
                <w:rFonts w:cs="Times New Roman"/>
                <w:color w:val="000000"/>
                <w:sz w:val="18"/>
                <w:szCs w:val="18"/>
              </w:rPr>
            </w:pPr>
            <w:r w:rsidRPr="00DF6C69">
              <w:rPr>
                <w:rFonts w:cs="Times New Roman"/>
                <w:color w:val="000000"/>
                <w:sz w:val="18"/>
                <w:szCs w:val="18"/>
                <w:vertAlign w:val="superscript"/>
              </w:rPr>
              <w:t>4</w:t>
            </w:r>
            <w:r w:rsidRPr="00DF6C69">
              <w:rPr>
                <w:rFonts w:cs="Times New Roman"/>
                <w:color w:val="000000"/>
                <w:sz w:val="18"/>
                <w:szCs w:val="18"/>
              </w:rPr>
              <w:t xml:space="preserve"> Calculated as the number of additional cancer types linked to the specific metabolite. </w:t>
            </w:r>
            <w:r w:rsidRPr="00DF6C69">
              <w:rPr>
                <w:rFonts w:cs="Times New Roman"/>
                <w:b/>
                <w:bCs/>
                <w:color w:val="000000"/>
                <w:sz w:val="18"/>
                <w:szCs w:val="18"/>
              </w:rPr>
              <w:t>High</w:t>
            </w:r>
            <w:r w:rsidRPr="00DF6C69">
              <w:rPr>
                <w:rFonts w:cs="Times New Roman"/>
                <w:color w:val="000000"/>
                <w:sz w:val="18"/>
                <w:szCs w:val="18"/>
              </w:rPr>
              <w:t xml:space="preserve">: ≤1, </w:t>
            </w:r>
            <w:r w:rsidRPr="00DF6C69">
              <w:rPr>
                <w:rFonts w:cs="Times New Roman"/>
                <w:b/>
                <w:bCs/>
                <w:color w:val="000000"/>
                <w:sz w:val="18"/>
                <w:szCs w:val="18"/>
              </w:rPr>
              <w:t>Medium</w:t>
            </w:r>
            <w:r w:rsidRPr="00DF6C69">
              <w:rPr>
                <w:rFonts w:cs="Times New Roman"/>
                <w:color w:val="000000"/>
                <w:sz w:val="18"/>
                <w:szCs w:val="18"/>
              </w:rPr>
              <w:t xml:space="preserve">: 2-4; </w:t>
            </w:r>
            <w:r w:rsidRPr="00DF6C69">
              <w:rPr>
                <w:rFonts w:cs="Times New Roman"/>
                <w:b/>
                <w:bCs/>
                <w:color w:val="000000"/>
                <w:sz w:val="18"/>
                <w:szCs w:val="18"/>
              </w:rPr>
              <w:t>Low</w:t>
            </w:r>
            <w:r w:rsidRPr="00DF6C69">
              <w:rPr>
                <w:rFonts w:cs="Times New Roman"/>
                <w:color w:val="000000"/>
                <w:sz w:val="18"/>
                <w:szCs w:val="18"/>
              </w:rPr>
              <w:t>: ≥5</w:t>
            </w:r>
          </w:p>
        </w:tc>
      </w:tr>
    </w:tbl>
    <w:p w14:paraId="20374FDC" w14:textId="1449DD4E" w:rsidR="006078F4" w:rsidRPr="00DF6C69" w:rsidRDefault="006B528C" w:rsidP="00677BC3">
      <w:pPr>
        <w:pStyle w:val="Heading2"/>
        <w:numPr>
          <w:ilvl w:val="0"/>
          <w:numId w:val="2"/>
        </w:numPr>
        <w:rPr>
          <w:rFonts w:ascii="Times New Roman" w:hAnsi="Times New Roman"/>
          <w:sz w:val="20"/>
          <w:szCs w:val="20"/>
        </w:rPr>
      </w:pPr>
      <w:bookmarkStart w:id="11" w:name="_Toc41997373"/>
      <w:r w:rsidRPr="00DF6C69">
        <w:lastRenderedPageBreak/>
        <w:t xml:space="preserve">Platform </w:t>
      </w:r>
      <w:r w:rsidR="00F44132" w:rsidRPr="00DF6C69">
        <w:t>Development</w:t>
      </w:r>
      <w:bookmarkEnd w:id="11"/>
      <w:r w:rsidRPr="00DF6C69">
        <w:t xml:space="preserve"> </w:t>
      </w:r>
    </w:p>
    <w:p w14:paraId="09599546" w14:textId="50BCBC13" w:rsidR="006B528C" w:rsidRPr="00DF6C69" w:rsidRDefault="006078F4" w:rsidP="00677BC3">
      <w:pPr>
        <w:pStyle w:val="Heading2"/>
        <w:numPr>
          <w:ilvl w:val="1"/>
          <w:numId w:val="2"/>
        </w:numPr>
      </w:pPr>
      <w:r w:rsidRPr="00DF6C69">
        <w:t xml:space="preserve"> </w:t>
      </w:r>
      <w:bookmarkStart w:id="12" w:name="_Toc41997374"/>
      <w:r w:rsidR="006B528C" w:rsidRPr="00DF6C69">
        <w:t>The Cartridge</w:t>
      </w:r>
      <w:bookmarkEnd w:id="12"/>
    </w:p>
    <w:p w14:paraId="640C6FE0" w14:textId="12AA2804" w:rsidR="006078F4" w:rsidRPr="00DF6C69" w:rsidRDefault="006B528C" w:rsidP="00D2368B">
      <w:r w:rsidRPr="00DF6C69">
        <w:t>The cartridge integrate</w:t>
      </w:r>
      <w:r w:rsidR="004B0C55" w:rsidRPr="00DF6C69">
        <w:t>d</w:t>
      </w:r>
      <w:r w:rsidRPr="00DF6C69">
        <w:t xml:space="preserve"> </w:t>
      </w:r>
      <w:r w:rsidR="005C658D" w:rsidRPr="00DF6C69">
        <w:t xml:space="preserve">biochemical </w:t>
      </w:r>
      <w:r w:rsidR="006B10C7" w:rsidRPr="00DF6C69">
        <w:t>reagents</w:t>
      </w:r>
      <w:r w:rsidRPr="00DF6C69">
        <w:t xml:space="preserve">, the </w:t>
      </w:r>
      <w:r w:rsidR="00DD17C4" w:rsidRPr="00DF6C69">
        <w:t>CMOS</w:t>
      </w:r>
      <w:r w:rsidRPr="00DF6C69">
        <w:t xml:space="preserve"> </w:t>
      </w:r>
      <w:proofErr w:type="gramStart"/>
      <w:r w:rsidRPr="00DF6C69">
        <w:t>chip</w:t>
      </w:r>
      <w:proofErr w:type="gramEnd"/>
      <w:r w:rsidRPr="00DF6C69">
        <w:t xml:space="preserve"> and the passive microfluidics. All the parts </w:t>
      </w:r>
      <w:r w:rsidR="004B0C55" w:rsidRPr="00DF6C69">
        <w:t>were</w:t>
      </w:r>
      <w:r w:rsidRPr="00DF6C69">
        <w:t xml:space="preserve"> </w:t>
      </w:r>
      <w:r w:rsidR="00424A24" w:rsidRPr="00DF6C69">
        <w:t xml:space="preserve">built into </w:t>
      </w:r>
      <w:r w:rsidRPr="00DF6C69">
        <w:t>a ceramic chip package.</w:t>
      </w:r>
    </w:p>
    <w:p w14:paraId="7DDAA851" w14:textId="4337FDBE" w:rsidR="002214BC" w:rsidRPr="00DF6C69" w:rsidRDefault="002214BC" w:rsidP="002214BC">
      <w:r w:rsidRPr="00DF6C69">
        <w:t xml:space="preserve">All the selected metabolites were detected with a </w:t>
      </w:r>
      <w:r w:rsidR="00E22BC0" w:rsidRPr="00DF6C69">
        <w:t xml:space="preserve">two-stage </w:t>
      </w:r>
      <w:r w:rsidRPr="00DF6C69">
        <w:t xml:space="preserve">colorimetric approach. </w:t>
      </w:r>
      <w:r w:rsidR="00D31CA8" w:rsidRPr="00DF6C69">
        <w:t>Substrate s</w:t>
      </w:r>
      <w:r w:rsidRPr="00DF6C69">
        <w:t xml:space="preserve">pecific enzymes were </w:t>
      </w:r>
      <w:r w:rsidR="00D31CA8" w:rsidRPr="00DF6C69">
        <w:t>used</w:t>
      </w:r>
      <w:r w:rsidRPr="00DF6C69">
        <w:t xml:space="preserve"> to </w:t>
      </w:r>
      <w:r w:rsidR="00D31CA8" w:rsidRPr="00DF6C69">
        <w:t>catalyse a reaction</w:t>
      </w:r>
      <w:r w:rsidRPr="00DF6C69">
        <w:t xml:space="preserve"> with the target analyte </w:t>
      </w:r>
      <w:r w:rsidR="00D31CA8" w:rsidRPr="00DF6C69">
        <w:t>to produce</w:t>
      </w:r>
      <w:r w:rsidRPr="00DF6C69">
        <w:t xml:space="preserve"> hydrogen peroxide. The enzymatic reaction</w:t>
      </w:r>
      <w:r w:rsidR="00E22BC0" w:rsidRPr="00DF6C69">
        <w:t>s we used were</w:t>
      </w:r>
      <w:r w:rsidRPr="00DF6C69">
        <w:t xml:space="preserve"> </w:t>
      </w:r>
      <w:r w:rsidRPr="00DF6C69">
        <w:fldChar w:fldCharType="begin" w:fldLock="1"/>
      </w:r>
      <w:r w:rsidR="00847C65" w:rsidRPr="00DF6C69">
        <w:instrText>ADDIN CSL_CITATION {"citationItems":[{"id":"ITEM-1","itemData":{"URL":"https://www.brenda-enzymes.org/index.php","accessed":{"date-parts":[["2020","1","22"]]},"id":"ITEM-1","issued":{"date-parts":[["0"]]},"title":"Enzyme Database - BRENDA","type":"webpage"},"uris":["http://www.mendeley.com/documents/?uuid=0887271e-0527-3d6e-a734-b4726773f56d"]}],"mendeley":{"formattedCitation":"[70]","plainTextFormattedCitation":"[70]","previouslyFormattedCitation":"[70]"},"properties":{"noteIndex":0},"schema":"https://github.com/citation-style-language/schema/raw/master/csl-citation.json"}</w:instrText>
      </w:r>
      <w:r w:rsidRPr="00DF6C69">
        <w:fldChar w:fldCharType="separate"/>
      </w:r>
      <w:r w:rsidR="00B226C7" w:rsidRPr="00DF6C69">
        <w:t>[70]</w:t>
      </w:r>
      <w:r w:rsidRPr="00DF6C69">
        <w:fldChar w:fldCharType="end"/>
      </w:r>
      <w:r w:rsidRPr="00DF6C69">
        <w:t>:</w:t>
      </w:r>
    </w:p>
    <w:p w14:paraId="6B632372" w14:textId="77777777" w:rsidR="006B528C" w:rsidRPr="00DF6C69" w:rsidRDefault="006B528C" w:rsidP="00D2368B">
      <w:pPr>
        <w:rPr>
          <w:rFonts w:eastAsiaTheme="majorEastAsia"/>
          <w:sz w:val="20"/>
          <w:szCs w:val="20"/>
        </w:rPr>
      </w:pPr>
      <m:oMathPara>
        <m:oMathParaPr>
          <m:jc m:val="left"/>
        </m:oMathParaPr>
        <m:oMath>
          <m:r>
            <m:rPr>
              <m:sty m:val="bi"/>
            </m:rPr>
            <w:rPr>
              <w:rFonts w:ascii="Cambria Math" w:eastAsiaTheme="majorEastAsia" w:hAnsi="Cambria Math"/>
              <w:sz w:val="20"/>
              <w:szCs w:val="20"/>
            </w:rPr>
            <m:t xml:space="preserve">LAA:                          </m:t>
          </m:r>
          <m:r>
            <m:rPr>
              <m:sty m:val="p"/>
            </m:rPr>
            <w:rPr>
              <w:rFonts w:ascii="Cambria Math" w:eastAsiaTheme="majorEastAsia" w:hAnsi="Cambria Math"/>
              <w:sz w:val="20"/>
              <w:szCs w:val="20"/>
            </w:rPr>
            <m:t>L-amino acid+</m:t>
          </m:r>
          <m:sSub>
            <m:sSubPr>
              <m:ctrlPr>
                <w:rPr>
                  <w:rFonts w:ascii="Cambria Math" w:eastAsiaTheme="majorEastAsia" w:hAnsi="Cambria Math"/>
                  <w:bCs/>
                  <w:sz w:val="20"/>
                  <w:szCs w:val="20"/>
                </w:rPr>
              </m:ctrlPr>
            </m:sSubPr>
            <m:e>
              <m:r>
                <w:rPr>
                  <w:rFonts w:ascii="Cambria Math" w:eastAsiaTheme="majorEastAsia" w:hAnsi="Cambria Math"/>
                  <w:sz w:val="20"/>
                  <w:szCs w:val="20"/>
                </w:rPr>
                <m:t>H</m:t>
              </m:r>
            </m:e>
            <m:sub>
              <m:r>
                <w:rPr>
                  <w:rFonts w:ascii="Cambria Math" w:eastAsiaTheme="majorEastAsia" w:hAnsi="Cambria Math"/>
                  <w:sz w:val="20"/>
                  <w:szCs w:val="20"/>
                </w:rPr>
                <m:t>2</m:t>
              </m:r>
            </m:sub>
          </m:sSub>
          <m:r>
            <w:rPr>
              <w:rFonts w:ascii="Cambria Math" w:eastAsiaTheme="majorEastAsia" w:hAnsi="Cambria Math"/>
              <w:sz w:val="20"/>
              <w:szCs w:val="20"/>
            </w:rPr>
            <m:t>O+</m:t>
          </m:r>
          <m:sSub>
            <m:sSubPr>
              <m:ctrlPr>
                <w:rPr>
                  <w:rFonts w:ascii="Cambria Math" w:eastAsiaTheme="majorEastAsia" w:hAnsi="Cambria Math"/>
                  <w:bCs/>
                  <w:sz w:val="20"/>
                  <w:szCs w:val="20"/>
                </w:rPr>
              </m:ctrlPr>
            </m:sSubPr>
            <m:e>
              <m:r>
                <w:rPr>
                  <w:rFonts w:ascii="Cambria Math" w:eastAsiaTheme="majorEastAsia" w:hAnsi="Cambria Math"/>
                  <w:sz w:val="20"/>
                  <w:szCs w:val="20"/>
                </w:rPr>
                <m:t>O</m:t>
              </m:r>
            </m:e>
            <m:sub>
              <m:r>
                <w:rPr>
                  <w:rFonts w:ascii="Cambria Math" w:eastAsiaTheme="majorEastAsia" w:hAnsi="Cambria Math"/>
                  <w:sz w:val="20"/>
                  <w:szCs w:val="20"/>
                </w:rPr>
                <m:t>2</m:t>
              </m:r>
            </m:sub>
          </m:sSub>
          <m:r>
            <w:rPr>
              <w:rFonts w:ascii="Cambria Math" w:eastAsiaTheme="majorEastAsia" w:hAnsi="Cambria Math"/>
              <w:sz w:val="20"/>
              <w:szCs w:val="20"/>
            </w:rPr>
            <m:t xml:space="preserve"> </m:t>
          </m:r>
          <m:box>
            <m:boxPr>
              <m:opEmu m:val="1"/>
              <m:ctrlPr>
                <w:rPr>
                  <w:rFonts w:ascii="Cambria Math" w:eastAsiaTheme="majorEastAsia" w:hAnsi="Cambria Math"/>
                  <w:bCs/>
                  <w:i/>
                  <w:sz w:val="20"/>
                  <w:szCs w:val="20"/>
                </w:rPr>
              </m:ctrlPr>
            </m:boxPr>
            <m:e>
              <m:groupChr>
                <m:groupChrPr>
                  <m:chr m:val="→"/>
                  <m:vertJc m:val="bot"/>
                  <m:ctrlPr>
                    <w:rPr>
                      <w:rFonts w:ascii="Cambria Math" w:eastAsiaTheme="majorEastAsia" w:hAnsi="Cambria Math"/>
                      <w:bCs/>
                      <w:i/>
                      <w:sz w:val="20"/>
                      <w:szCs w:val="20"/>
                    </w:rPr>
                  </m:ctrlPr>
                </m:groupChrPr>
                <m:e>
                  <m:r>
                    <w:rPr>
                      <w:rFonts w:ascii="Cambria Math" w:eastAsiaTheme="majorEastAsia" w:hAnsi="Cambria Math"/>
                      <w:sz w:val="20"/>
                      <w:szCs w:val="20"/>
                    </w:rPr>
                    <m:t>L-amino acid oxidase (LAAOx)</m:t>
                  </m:r>
                </m:e>
              </m:groupChr>
            </m:e>
          </m:box>
          <m:r>
            <w:rPr>
              <w:rFonts w:ascii="Cambria Math" w:eastAsiaTheme="majorEastAsia" w:hAnsi="Cambria Math"/>
              <w:sz w:val="20"/>
              <w:szCs w:val="20"/>
            </w:rPr>
            <m:t xml:space="preserve">α-oxo acid+ </m:t>
          </m:r>
          <m:sSub>
            <m:sSubPr>
              <m:ctrlPr>
                <w:rPr>
                  <w:rFonts w:ascii="Cambria Math" w:eastAsiaTheme="majorEastAsia" w:hAnsi="Cambria Math"/>
                  <w:bCs/>
                  <w:sz w:val="20"/>
                  <w:szCs w:val="20"/>
                </w:rPr>
              </m:ctrlPr>
            </m:sSubPr>
            <m:e>
              <m:r>
                <w:rPr>
                  <w:rFonts w:ascii="Cambria Math" w:eastAsiaTheme="majorEastAsia" w:hAnsi="Cambria Math"/>
                  <w:sz w:val="20"/>
                  <w:szCs w:val="20"/>
                </w:rPr>
                <m:t>NH</m:t>
              </m:r>
            </m:e>
            <m:sub>
              <m:r>
                <w:rPr>
                  <w:rFonts w:ascii="Cambria Math" w:eastAsiaTheme="majorEastAsia" w:hAnsi="Cambria Math"/>
                  <w:sz w:val="20"/>
                  <w:szCs w:val="20"/>
                </w:rPr>
                <m:t>3</m:t>
              </m:r>
            </m:sub>
          </m:sSub>
          <m:r>
            <w:rPr>
              <w:rFonts w:ascii="Cambria Math" w:eastAsiaTheme="majorEastAsia" w:hAnsi="Cambria Math"/>
              <w:sz w:val="20"/>
              <w:szCs w:val="20"/>
            </w:rPr>
            <m:t xml:space="preserve">+ </m:t>
          </m:r>
          <m:sSub>
            <m:sSubPr>
              <m:ctrlPr>
                <w:rPr>
                  <w:rFonts w:ascii="Cambria Math" w:eastAsiaTheme="majorEastAsia" w:hAnsi="Cambria Math"/>
                  <w:bCs/>
                  <w:sz w:val="20"/>
                  <w:szCs w:val="20"/>
                </w:rPr>
              </m:ctrlPr>
            </m:sSubPr>
            <m:e>
              <m:r>
                <w:rPr>
                  <w:rFonts w:ascii="Cambria Math" w:eastAsiaTheme="majorEastAsia" w:hAnsi="Cambria Math"/>
                  <w:sz w:val="20"/>
                  <w:szCs w:val="20"/>
                </w:rPr>
                <m:t>H</m:t>
              </m:r>
            </m:e>
            <m:sub>
              <m:r>
                <w:rPr>
                  <w:rFonts w:ascii="Cambria Math" w:eastAsiaTheme="majorEastAsia" w:hAnsi="Cambria Math"/>
                  <w:sz w:val="20"/>
                  <w:szCs w:val="20"/>
                </w:rPr>
                <m:t>2</m:t>
              </m:r>
            </m:sub>
          </m:sSub>
          <m:sSub>
            <m:sSubPr>
              <m:ctrlPr>
                <w:rPr>
                  <w:rFonts w:ascii="Cambria Math" w:eastAsiaTheme="majorEastAsia" w:hAnsi="Cambria Math"/>
                  <w:bCs/>
                  <w:sz w:val="20"/>
                  <w:szCs w:val="20"/>
                </w:rPr>
              </m:ctrlPr>
            </m:sSubPr>
            <m:e>
              <m:r>
                <w:rPr>
                  <w:rFonts w:ascii="Cambria Math" w:eastAsiaTheme="majorEastAsia" w:hAnsi="Cambria Math"/>
                  <w:sz w:val="20"/>
                  <w:szCs w:val="20"/>
                </w:rPr>
                <m:t>O</m:t>
              </m:r>
            </m:e>
            <m:sub>
              <m:r>
                <w:rPr>
                  <w:rFonts w:ascii="Cambria Math" w:eastAsiaTheme="majorEastAsia" w:hAnsi="Cambria Math"/>
                  <w:sz w:val="20"/>
                  <w:szCs w:val="20"/>
                </w:rPr>
                <m:t>2</m:t>
              </m:r>
            </m:sub>
          </m:sSub>
          <m:r>
            <w:rPr>
              <w:rFonts w:ascii="Cambria Math" w:eastAsiaTheme="majorEastAsia" w:hAnsi="Cambria Math"/>
              <w:sz w:val="20"/>
              <w:szCs w:val="20"/>
            </w:rPr>
            <m:t xml:space="preserve">  </m:t>
          </m:r>
        </m:oMath>
      </m:oMathPara>
    </w:p>
    <w:p w14:paraId="5553C81F" w14:textId="77777777" w:rsidR="006B528C" w:rsidRPr="00DF6C69" w:rsidRDefault="006B528C" w:rsidP="00D2368B">
      <w:pPr>
        <w:rPr>
          <w:rFonts w:eastAsiaTheme="majorEastAsia"/>
          <w:bCs/>
          <w:sz w:val="20"/>
          <w:szCs w:val="20"/>
        </w:rPr>
      </w:pPr>
      <m:oMathPara>
        <m:oMathParaPr>
          <m:jc m:val="left"/>
        </m:oMathParaPr>
        <m:oMath>
          <m:r>
            <m:rPr>
              <m:sty m:val="bi"/>
            </m:rPr>
            <w:rPr>
              <w:rFonts w:ascii="Cambria Math" w:eastAsiaTheme="majorEastAsia" w:hAnsi="Cambria Math"/>
              <w:sz w:val="20"/>
              <w:szCs w:val="20"/>
            </w:rPr>
            <m:t xml:space="preserve">Glutamate:           </m:t>
          </m:r>
          <m:r>
            <m:rPr>
              <m:sty m:val="p"/>
            </m:rPr>
            <w:rPr>
              <w:rFonts w:ascii="Cambria Math" w:eastAsiaTheme="majorEastAsia" w:hAnsi="Cambria Math"/>
              <w:sz w:val="20"/>
              <w:szCs w:val="20"/>
            </w:rPr>
            <m:t>Glutamate  +</m:t>
          </m:r>
          <m:sSub>
            <m:sSubPr>
              <m:ctrlPr>
                <w:rPr>
                  <w:rFonts w:ascii="Cambria Math" w:eastAsiaTheme="majorEastAsia" w:hAnsi="Cambria Math"/>
                  <w:bCs/>
                  <w:sz w:val="20"/>
                  <w:szCs w:val="20"/>
                </w:rPr>
              </m:ctrlPr>
            </m:sSubPr>
            <m:e>
              <m:r>
                <w:rPr>
                  <w:rFonts w:ascii="Cambria Math" w:eastAsiaTheme="majorEastAsia" w:hAnsi="Cambria Math"/>
                  <w:sz w:val="20"/>
                  <w:szCs w:val="20"/>
                </w:rPr>
                <m:t>H</m:t>
              </m:r>
            </m:e>
            <m:sub>
              <m:r>
                <w:rPr>
                  <w:rFonts w:ascii="Cambria Math" w:eastAsiaTheme="majorEastAsia" w:hAnsi="Cambria Math"/>
                  <w:sz w:val="20"/>
                  <w:szCs w:val="20"/>
                </w:rPr>
                <m:t>2</m:t>
              </m:r>
            </m:sub>
          </m:sSub>
          <m:r>
            <w:rPr>
              <w:rFonts w:ascii="Cambria Math" w:eastAsiaTheme="majorEastAsia" w:hAnsi="Cambria Math"/>
              <w:sz w:val="20"/>
              <w:szCs w:val="20"/>
            </w:rPr>
            <m:t>O+</m:t>
          </m:r>
          <m:sSub>
            <m:sSubPr>
              <m:ctrlPr>
                <w:rPr>
                  <w:rFonts w:ascii="Cambria Math" w:eastAsiaTheme="majorEastAsia" w:hAnsi="Cambria Math"/>
                  <w:bCs/>
                  <w:sz w:val="20"/>
                  <w:szCs w:val="20"/>
                </w:rPr>
              </m:ctrlPr>
            </m:sSubPr>
            <m:e>
              <m:r>
                <w:rPr>
                  <w:rFonts w:ascii="Cambria Math" w:eastAsiaTheme="majorEastAsia" w:hAnsi="Cambria Math"/>
                  <w:sz w:val="20"/>
                  <w:szCs w:val="20"/>
                </w:rPr>
                <m:t>O</m:t>
              </m:r>
            </m:e>
            <m:sub>
              <m:r>
                <w:rPr>
                  <w:rFonts w:ascii="Cambria Math" w:eastAsiaTheme="majorEastAsia" w:hAnsi="Cambria Math"/>
                  <w:sz w:val="20"/>
                  <w:szCs w:val="20"/>
                </w:rPr>
                <m:t>2</m:t>
              </m:r>
            </m:sub>
          </m:sSub>
          <m:r>
            <w:rPr>
              <w:rFonts w:ascii="Cambria Math" w:eastAsiaTheme="majorEastAsia" w:hAnsi="Cambria Math"/>
              <w:sz w:val="20"/>
              <w:szCs w:val="20"/>
            </w:rPr>
            <m:t xml:space="preserve"> </m:t>
          </m:r>
          <m:box>
            <m:boxPr>
              <m:opEmu m:val="1"/>
              <m:ctrlPr>
                <w:rPr>
                  <w:rFonts w:ascii="Cambria Math" w:eastAsiaTheme="majorEastAsia" w:hAnsi="Cambria Math"/>
                  <w:bCs/>
                  <w:i/>
                  <w:sz w:val="20"/>
                  <w:szCs w:val="20"/>
                </w:rPr>
              </m:ctrlPr>
            </m:boxPr>
            <m:e>
              <m:groupChr>
                <m:groupChrPr>
                  <m:chr m:val="→"/>
                  <m:vertJc m:val="bot"/>
                  <m:ctrlPr>
                    <w:rPr>
                      <w:rFonts w:ascii="Cambria Math" w:eastAsiaTheme="majorEastAsia" w:hAnsi="Cambria Math"/>
                      <w:bCs/>
                      <w:i/>
                      <w:sz w:val="20"/>
                      <w:szCs w:val="20"/>
                    </w:rPr>
                  </m:ctrlPr>
                </m:groupChrPr>
                <m:e>
                  <m:r>
                    <w:rPr>
                      <w:rFonts w:ascii="Cambria Math" w:eastAsiaTheme="majorEastAsia" w:hAnsi="Cambria Math"/>
                      <w:sz w:val="20"/>
                      <w:szCs w:val="20"/>
                    </w:rPr>
                    <m:t>Glutamate Oxidase (GLOx)</m:t>
                  </m:r>
                </m:e>
              </m:groupChr>
            </m:e>
          </m:box>
          <m:r>
            <w:rPr>
              <w:rFonts w:ascii="Cambria Math" w:eastAsiaTheme="majorEastAsia" w:hAnsi="Cambria Math"/>
              <w:sz w:val="20"/>
              <w:szCs w:val="20"/>
            </w:rPr>
            <m:t xml:space="preserve">2-oxoglutarate+ </m:t>
          </m:r>
          <m:sSub>
            <m:sSubPr>
              <m:ctrlPr>
                <w:rPr>
                  <w:rFonts w:ascii="Cambria Math" w:eastAsiaTheme="majorEastAsia" w:hAnsi="Cambria Math"/>
                  <w:bCs/>
                  <w:sz w:val="20"/>
                  <w:szCs w:val="20"/>
                </w:rPr>
              </m:ctrlPr>
            </m:sSubPr>
            <m:e>
              <m:r>
                <w:rPr>
                  <w:rFonts w:ascii="Cambria Math" w:eastAsiaTheme="majorEastAsia" w:hAnsi="Cambria Math"/>
                  <w:sz w:val="20"/>
                  <w:szCs w:val="20"/>
                </w:rPr>
                <m:t>NH</m:t>
              </m:r>
            </m:e>
            <m:sub>
              <m:r>
                <w:rPr>
                  <w:rFonts w:ascii="Cambria Math" w:eastAsiaTheme="majorEastAsia" w:hAnsi="Cambria Math"/>
                  <w:sz w:val="20"/>
                  <w:szCs w:val="20"/>
                </w:rPr>
                <m:t>3</m:t>
              </m:r>
            </m:sub>
          </m:sSub>
          <m:r>
            <w:rPr>
              <w:rFonts w:ascii="Cambria Math" w:eastAsiaTheme="majorEastAsia" w:hAnsi="Cambria Math"/>
              <w:sz w:val="20"/>
              <w:szCs w:val="20"/>
            </w:rPr>
            <m:t xml:space="preserve">+ </m:t>
          </m:r>
          <m:sSub>
            <m:sSubPr>
              <m:ctrlPr>
                <w:rPr>
                  <w:rFonts w:ascii="Cambria Math" w:eastAsiaTheme="majorEastAsia" w:hAnsi="Cambria Math"/>
                  <w:bCs/>
                  <w:sz w:val="20"/>
                  <w:szCs w:val="20"/>
                </w:rPr>
              </m:ctrlPr>
            </m:sSubPr>
            <m:e>
              <m:r>
                <w:rPr>
                  <w:rFonts w:ascii="Cambria Math" w:eastAsiaTheme="majorEastAsia" w:hAnsi="Cambria Math"/>
                  <w:sz w:val="20"/>
                  <w:szCs w:val="20"/>
                </w:rPr>
                <m:t>H</m:t>
              </m:r>
            </m:e>
            <m:sub>
              <m:r>
                <w:rPr>
                  <w:rFonts w:ascii="Cambria Math" w:eastAsiaTheme="majorEastAsia" w:hAnsi="Cambria Math"/>
                  <w:sz w:val="20"/>
                  <w:szCs w:val="20"/>
                </w:rPr>
                <m:t>2</m:t>
              </m:r>
            </m:sub>
          </m:sSub>
          <m:sSub>
            <m:sSubPr>
              <m:ctrlPr>
                <w:rPr>
                  <w:rFonts w:ascii="Cambria Math" w:eastAsiaTheme="majorEastAsia" w:hAnsi="Cambria Math"/>
                  <w:bCs/>
                  <w:sz w:val="20"/>
                  <w:szCs w:val="20"/>
                </w:rPr>
              </m:ctrlPr>
            </m:sSubPr>
            <m:e>
              <m:r>
                <w:rPr>
                  <w:rFonts w:ascii="Cambria Math" w:eastAsiaTheme="majorEastAsia" w:hAnsi="Cambria Math"/>
                  <w:sz w:val="20"/>
                  <w:szCs w:val="20"/>
                </w:rPr>
                <m:t>O</m:t>
              </m:r>
            </m:e>
            <m:sub>
              <m:r>
                <w:rPr>
                  <w:rFonts w:ascii="Cambria Math" w:eastAsiaTheme="majorEastAsia" w:hAnsi="Cambria Math"/>
                  <w:sz w:val="20"/>
                  <w:szCs w:val="20"/>
                </w:rPr>
                <m:t>2</m:t>
              </m:r>
            </m:sub>
          </m:sSub>
          <m:r>
            <w:rPr>
              <w:rFonts w:ascii="Cambria Math" w:eastAsiaTheme="majorEastAsia" w:hAnsi="Cambria Math"/>
              <w:sz w:val="20"/>
              <w:szCs w:val="20"/>
            </w:rPr>
            <m:t xml:space="preserve">  </m:t>
          </m:r>
        </m:oMath>
      </m:oMathPara>
    </w:p>
    <w:p w14:paraId="0A3122E9" w14:textId="77777777" w:rsidR="006B528C" w:rsidRPr="00DF6C69" w:rsidRDefault="006B528C" w:rsidP="00D2368B">
      <w:pPr>
        <w:rPr>
          <w:rFonts w:eastAsiaTheme="majorEastAsia"/>
          <w:bCs/>
          <w:sz w:val="20"/>
          <w:szCs w:val="20"/>
        </w:rPr>
      </w:pPr>
      <m:oMathPara>
        <m:oMathParaPr>
          <m:jc m:val="left"/>
        </m:oMathParaPr>
        <m:oMath>
          <m:r>
            <m:rPr>
              <m:sty m:val="bi"/>
            </m:rPr>
            <w:rPr>
              <w:rFonts w:ascii="Cambria Math" w:eastAsiaTheme="majorEastAsia" w:hAnsi="Cambria Math"/>
              <w:sz w:val="20"/>
              <w:szCs w:val="20"/>
            </w:rPr>
            <m:t xml:space="preserve">Choline:                  </m:t>
          </m:r>
          <m:r>
            <m:rPr>
              <m:sty m:val="p"/>
            </m:rPr>
            <w:rPr>
              <w:rFonts w:ascii="Cambria Math" w:eastAsiaTheme="majorEastAsia" w:hAnsi="Cambria Math"/>
              <w:sz w:val="20"/>
              <w:szCs w:val="20"/>
            </w:rPr>
            <m:t>Choline +</m:t>
          </m:r>
          <m:sSub>
            <m:sSubPr>
              <m:ctrlPr>
                <w:rPr>
                  <w:rFonts w:ascii="Cambria Math" w:eastAsiaTheme="majorEastAsia" w:hAnsi="Cambria Math"/>
                  <w:bCs/>
                  <w:sz w:val="20"/>
                  <w:szCs w:val="20"/>
                </w:rPr>
              </m:ctrlPr>
            </m:sSubPr>
            <m:e>
              <m:r>
                <w:rPr>
                  <w:rFonts w:ascii="Cambria Math" w:eastAsiaTheme="majorEastAsia" w:hAnsi="Cambria Math"/>
                  <w:sz w:val="20"/>
                  <w:szCs w:val="20"/>
                </w:rPr>
                <m:t>H</m:t>
              </m:r>
            </m:e>
            <m:sub>
              <m:r>
                <w:rPr>
                  <w:rFonts w:ascii="Cambria Math" w:eastAsiaTheme="majorEastAsia" w:hAnsi="Cambria Math"/>
                  <w:sz w:val="20"/>
                  <w:szCs w:val="20"/>
                </w:rPr>
                <m:t>2</m:t>
              </m:r>
            </m:sub>
          </m:sSub>
          <m:r>
            <w:rPr>
              <w:rFonts w:ascii="Cambria Math" w:eastAsiaTheme="majorEastAsia" w:hAnsi="Cambria Math"/>
              <w:sz w:val="20"/>
              <w:szCs w:val="20"/>
            </w:rPr>
            <m:t>O+</m:t>
          </m:r>
          <m:sSub>
            <m:sSubPr>
              <m:ctrlPr>
                <w:rPr>
                  <w:rFonts w:ascii="Cambria Math" w:eastAsiaTheme="majorEastAsia" w:hAnsi="Cambria Math"/>
                  <w:bCs/>
                  <w:sz w:val="20"/>
                  <w:szCs w:val="20"/>
                </w:rPr>
              </m:ctrlPr>
            </m:sSubPr>
            <m:e>
              <m:r>
                <w:rPr>
                  <w:rFonts w:ascii="Cambria Math" w:eastAsiaTheme="majorEastAsia" w:hAnsi="Cambria Math"/>
                  <w:sz w:val="20"/>
                  <w:szCs w:val="20"/>
                </w:rPr>
                <m:t>O</m:t>
              </m:r>
            </m:e>
            <m:sub>
              <m:r>
                <w:rPr>
                  <w:rFonts w:ascii="Cambria Math" w:eastAsiaTheme="majorEastAsia" w:hAnsi="Cambria Math"/>
                  <w:sz w:val="20"/>
                  <w:szCs w:val="20"/>
                </w:rPr>
                <m:t>2</m:t>
              </m:r>
            </m:sub>
          </m:sSub>
          <m:r>
            <w:rPr>
              <w:rFonts w:ascii="Cambria Math" w:eastAsiaTheme="majorEastAsia" w:hAnsi="Cambria Math"/>
              <w:sz w:val="20"/>
              <w:szCs w:val="20"/>
            </w:rPr>
            <m:t xml:space="preserve"> </m:t>
          </m:r>
          <m:box>
            <m:boxPr>
              <m:opEmu m:val="1"/>
              <m:ctrlPr>
                <w:rPr>
                  <w:rFonts w:ascii="Cambria Math" w:eastAsiaTheme="majorEastAsia" w:hAnsi="Cambria Math"/>
                  <w:bCs/>
                  <w:i/>
                  <w:sz w:val="20"/>
                  <w:szCs w:val="20"/>
                </w:rPr>
              </m:ctrlPr>
            </m:boxPr>
            <m:e>
              <m:groupChr>
                <m:groupChrPr>
                  <m:chr m:val="→"/>
                  <m:vertJc m:val="bot"/>
                  <m:ctrlPr>
                    <w:rPr>
                      <w:rFonts w:ascii="Cambria Math" w:eastAsiaTheme="majorEastAsia" w:hAnsi="Cambria Math"/>
                      <w:bCs/>
                      <w:i/>
                      <w:sz w:val="20"/>
                      <w:szCs w:val="20"/>
                    </w:rPr>
                  </m:ctrlPr>
                </m:groupChrPr>
                <m:e>
                  <m:r>
                    <w:rPr>
                      <w:rFonts w:ascii="Cambria Math" w:eastAsiaTheme="majorEastAsia" w:hAnsi="Cambria Math"/>
                      <w:sz w:val="20"/>
                      <w:szCs w:val="20"/>
                    </w:rPr>
                    <m:t xml:space="preserve">Choline oxidase (COx) </m:t>
                  </m:r>
                </m:e>
              </m:groupChr>
            </m:e>
          </m:box>
          <m:r>
            <w:rPr>
              <w:rFonts w:ascii="Cambria Math" w:eastAsiaTheme="majorEastAsia" w:hAnsi="Cambria Math"/>
              <w:sz w:val="20"/>
              <w:szCs w:val="20"/>
            </w:rPr>
            <m:t xml:space="preserve">betaine+ </m:t>
          </m:r>
          <m:sSub>
            <m:sSubPr>
              <m:ctrlPr>
                <w:rPr>
                  <w:rFonts w:ascii="Cambria Math" w:eastAsiaTheme="majorEastAsia" w:hAnsi="Cambria Math"/>
                  <w:bCs/>
                  <w:sz w:val="20"/>
                  <w:szCs w:val="20"/>
                </w:rPr>
              </m:ctrlPr>
            </m:sSubPr>
            <m:e>
              <m:r>
                <w:rPr>
                  <w:rFonts w:ascii="Cambria Math" w:eastAsiaTheme="majorEastAsia" w:hAnsi="Cambria Math"/>
                  <w:sz w:val="20"/>
                  <w:szCs w:val="20"/>
                </w:rPr>
                <m:t>H</m:t>
              </m:r>
            </m:e>
            <m:sub>
              <m:r>
                <w:rPr>
                  <w:rFonts w:ascii="Cambria Math" w:eastAsiaTheme="majorEastAsia" w:hAnsi="Cambria Math"/>
                  <w:sz w:val="20"/>
                  <w:szCs w:val="20"/>
                </w:rPr>
                <m:t>2</m:t>
              </m:r>
            </m:sub>
          </m:sSub>
          <m:sSub>
            <m:sSubPr>
              <m:ctrlPr>
                <w:rPr>
                  <w:rFonts w:ascii="Cambria Math" w:eastAsiaTheme="majorEastAsia" w:hAnsi="Cambria Math"/>
                  <w:bCs/>
                  <w:sz w:val="20"/>
                  <w:szCs w:val="20"/>
                </w:rPr>
              </m:ctrlPr>
            </m:sSubPr>
            <m:e>
              <m:r>
                <w:rPr>
                  <w:rFonts w:ascii="Cambria Math" w:eastAsiaTheme="majorEastAsia" w:hAnsi="Cambria Math"/>
                  <w:sz w:val="20"/>
                  <w:szCs w:val="20"/>
                </w:rPr>
                <m:t>O</m:t>
              </m:r>
            </m:e>
            <m:sub>
              <m:r>
                <w:rPr>
                  <w:rFonts w:ascii="Cambria Math" w:eastAsiaTheme="majorEastAsia" w:hAnsi="Cambria Math"/>
                  <w:sz w:val="20"/>
                  <w:szCs w:val="20"/>
                </w:rPr>
                <m:t>2</m:t>
              </m:r>
            </m:sub>
          </m:sSub>
          <m:r>
            <w:rPr>
              <w:rFonts w:ascii="Cambria Math" w:eastAsiaTheme="majorEastAsia" w:hAnsi="Cambria Math"/>
              <w:sz w:val="20"/>
              <w:szCs w:val="20"/>
            </w:rPr>
            <m:t xml:space="preserve">  </m:t>
          </m:r>
        </m:oMath>
      </m:oMathPara>
    </w:p>
    <w:p w14:paraId="1A14E95D" w14:textId="24A288B9" w:rsidR="006B528C" w:rsidRPr="00DF6C69" w:rsidRDefault="006B528C" w:rsidP="00D2368B">
      <w:pPr>
        <w:rPr>
          <w:rFonts w:eastAsiaTheme="majorEastAsia"/>
          <w:sz w:val="20"/>
          <w:szCs w:val="20"/>
        </w:rPr>
      </w:pPr>
      <m:oMathPara>
        <m:oMathParaPr>
          <m:jc m:val="left"/>
        </m:oMathParaPr>
        <m:oMath>
          <m:r>
            <m:rPr>
              <m:sty m:val="bi"/>
            </m:rPr>
            <w:rPr>
              <w:rFonts w:ascii="Cambria Math" w:eastAsiaTheme="majorEastAsia" w:hAnsi="Cambria Math"/>
              <w:sz w:val="20"/>
              <w:szCs w:val="20"/>
            </w:rPr>
            <m:t xml:space="preserve">Sarcosine:             </m:t>
          </m:r>
          <m:r>
            <m:rPr>
              <m:sty m:val="p"/>
            </m:rPr>
            <w:rPr>
              <w:rFonts w:ascii="Cambria Math" w:eastAsiaTheme="majorEastAsia" w:hAnsi="Cambria Math"/>
              <w:sz w:val="20"/>
              <w:szCs w:val="20"/>
            </w:rPr>
            <m:t>Sarcosine +</m:t>
          </m:r>
          <m:sSub>
            <m:sSubPr>
              <m:ctrlPr>
                <w:rPr>
                  <w:rFonts w:ascii="Cambria Math" w:eastAsiaTheme="majorEastAsia" w:hAnsi="Cambria Math"/>
                  <w:bCs/>
                  <w:sz w:val="20"/>
                  <w:szCs w:val="20"/>
                </w:rPr>
              </m:ctrlPr>
            </m:sSubPr>
            <m:e>
              <m:r>
                <w:rPr>
                  <w:rFonts w:ascii="Cambria Math" w:eastAsiaTheme="majorEastAsia" w:hAnsi="Cambria Math"/>
                  <w:sz w:val="20"/>
                  <w:szCs w:val="20"/>
                </w:rPr>
                <m:t>H</m:t>
              </m:r>
            </m:e>
            <m:sub>
              <m:r>
                <w:rPr>
                  <w:rFonts w:ascii="Cambria Math" w:eastAsiaTheme="majorEastAsia" w:hAnsi="Cambria Math"/>
                  <w:sz w:val="20"/>
                  <w:szCs w:val="20"/>
                </w:rPr>
                <m:t>2</m:t>
              </m:r>
            </m:sub>
          </m:sSub>
          <m:r>
            <w:rPr>
              <w:rFonts w:ascii="Cambria Math" w:eastAsiaTheme="majorEastAsia" w:hAnsi="Cambria Math"/>
              <w:sz w:val="20"/>
              <w:szCs w:val="20"/>
            </w:rPr>
            <m:t>O+</m:t>
          </m:r>
          <m:sSub>
            <m:sSubPr>
              <m:ctrlPr>
                <w:rPr>
                  <w:rFonts w:ascii="Cambria Math" w:eastAsiaTheme="majorEastAsia" w:hAnsi="Cambria Math"/>
                  <w:bCs/>
                  <w:sz w:val="20"/>
                  <w:szCs w:val="20"/>
                </w:rPr>
              </m:ctrlPr>
            </m:sSubPr>
            <m:e>
              <m:r>
                <w:rPr>
                  <w:rFonts w:ascii="Cambria Math" w:eastAsiaTheme="majorEastAsia" w:hAnsi="Cambria Math"/>
                  <w:sz w:val="20"/>
                  <w:szCs w:val="20"/>
                </w:rPr>
                <m:t>O</m:t>
              </m:r>
            </m:e>
            <m:sub>
              <m:r>
                <w:rPr>
                  <w:rFonts w:ascii="Cambria Math" w:eastAsiaTheme="majorEastAsia" w:hAnsi="Cambria Math"/>
                  <w:sz w:val="20"/>
                  <w:szCs w:val="20"/>
                </w:rPr>
                <m:t>2</m:t>
              </m:r>
            </m:sub>
          </m:sSub>
          <m:r>
            <w:rPr>
              <w:rFonts w:ascii="Cambria Math" w:eastAsiaTheme="majorEastAsia" w:hAnsi="Cambria Math"/>
              <w:sz w:val="20"/>
              <w:szCs w:val="20"/>
            </w:rPr>
            <m:t xml:space="preserve"> </m:t>
          </m:r>
          <m:box>
            <m:boxPr>
              <m:opEmu m:val="1"/>
              <m:ctrlPr>
                <w:rPr>
                  <w:rFonts w:ascii="Cambria Math" w:eastAsiaTheme="majorEastAsia" w:hAnsi="Cambria Math"/>
                  <w:bCs/>
                  <w:i/>
                  <w:sz w:val="20"/>
                  <w:szCs w:val="20"/>
                </w:rPr>
              </m:ctrlPr>
            </m:boxPr>
            <m:e>
              <m:groupChr>
                <m:groupChrPr>
                  <m:chr m:val="→"/>
                  <m:vertJc m:val="bot"/>
                  <m:ctrlPr>
                    <w:rPr>
                      <w:rFonts w:ascii="Cambria Math" w:eastAsiaTheme="majorEastAsia" w:hAnsi="Cambria Math"/>
                      <w:bCs/>
                      <w:i/>
                      <w:sz w:val="20"/>
                      <w:szCs w:val="20"/>
                    </w:rPr>
                  </m:ctrlPr>
                </m:groupChrPr>
                <m:e>
                  <m:r>
                    <w:rPr>
                      <w:rFonts w:ascii="Cambria Math" w:eastAsiaTheme="majorEastAsia" w:hAnsi="Cambria Math"/>
                      <w:sz w:val="20"/>
                      <w:szCs w:val="20"/>
                    </w:rPr>
                    <m:t>Sarcosine oxidase (SOx)</m:t>
                  </m:r>
                </m:e>
              </m:groupChr>
            </m:e>
          </m:box>
          <m:r>
            <w:rPr>
              <w:rFonts w:ascii="Cambria Math" w:eastAsiaTheme="majorEastAsia" w:hAnsi="Cambria Math"/>
              <w:sz w:val="20"/>
              <w:szCs w:val="20"/>
            </w:rPr>
            <m:t>glycine+ formaldehyde+</m:t>
          </m:r>
          <m:sSub>
            <m:sSubPr>
              <m:ctrlPr>
                <w:rPr>
                  <w:rFonts w:ascii="Cambria Math" w:eastAsiaTheme="majorEastAsia" w:hAnsi="Cambria Math"/>
                  <w:bCs/>
                  <w:sz w:val="20"/>
                  <w:szCs w:val="20"/>
                </w:rPr>
              </m:ctrlPr>
            </m:sSubPr>
            <m:e>
              <m:r>
                <w:rPr>
                  <w:rFonts w:ascii="Cambria Math" w:eastAsiaTheme="majorEastAsia" w:hAnsi="Cambria Math"/>
                  <w:sz w:val="20"/>
                  <w:szCs w:val="20"/>
                </w:rPr>
                <m:t>H</m:t>
              </m:r>
            </m:e>
            <m:sub>
              <m:r>
                <w:rPr>
                  <w:rFonts w:ascii="Cambria Math" w:eastAsiaTheme="majorEastAsia" w:hAnsi="Cambria Math"/>
                  <w:sz w:val="20"/>
                  <w:szCs w:val="20"/>
                </w:rPr>
                <m:t>2</m:t>
              </m:r>
            </m:sub>
          </m:sSub>
          <m:sSub>
            <m:sSubPr>
              <m:ctrlPr>
                <w:rPr>
                  <w:rFonts w:ascii="Cambria Math" w:eastAsiaTheme="majorEastAsia" w:hAnsi="Cambria Math"/>
                  <w:bCs/>
                  <w:sz w:val="20"/>
                  <w:szCs w:val="20"/>
                </w:rPr>
              </m:ctrlPr>
            </m:sSubPr>
            <m:e>
              <m:r>
                <w:rPr>
                  <w:rFonts w:ascii="Cambria Math" w:eastAsiaTheme="majorEastAsia" w:hAnsi="Cambria Math"/>
                  <w:sz w:val="20"/>
                  <w:szCs w:val="20"/>
                </w:rPr>
                <m:t>O</m:t>
              </m:r>
            </m:e>
            <m:sub>
              <m:r>
                <w:rPr>
                  <w:rFonts w:ascii="Cambria Math" w:eastAsiaTheme="majorEastAsia" w:hAnsi="Cambria Math"/>
                  <w:sz w:val="20"/>
                  <w:szCs w:val="20"/>
                </w:rPr>
                <m:t>2</m:t>
              </m:r>
            </m:sub>
          </m:sSub>
          <m:r>
            <w:rPr>
              <w:rFonts w:ascii="Cambria Math" w:eastAsiaTheme="majorEastAsia" w:hAnsi="Cambria Math"/>
              <w:sz w:val="20"/>
              <w:szCs w:val="20"/>
            </w:rPr>
            <m:t xml:space="preserve">  </m:t>
          </m:r>
        </m:oMath>
      </m:oMathPara>
    </w:p>
    <w:p w14:paraId="3CE19D51" w14:textId="52D834D9" w:rsidR="006B528C" w:rsidRPr="00DF6C69" w:rsidRDefault="006B528C" w:rsidP="00D2368B">
      <w:r w:rsidRPr="00DF6C69">
        <w:t>The H</w:t>
      </w:r>
      <w:r w:rsidRPr="00DF6C69">
        <w:rPr>
          <w:vertAlign w:val="subscript"/>
        </w:rPr>
        <w:t>2</w:t>
      </w:r>
      <w:r w:rsidRPr="00DF6C69">
        <w:t>O</w:t>
      </w:r>
      <w:r w:rsidRPr="00DF6C69">
        <w:rPr>
          <w:vertAlign w:val="subscript"/>
        </w:rPr>
        <w:t>2</w:t>
      </w:r>
      <w:r w:rsidRPr="00DF6C69">
        <w:t xml:space="preserve"> </w:t>
      </w:r>
      <w:r w:rsidR="0039384D" w:rsidRPr="00DF6C69">
        <w:t xml:space="preserve">that </w:t>
      </w:r>
      <w:r w:rsidRPr="00DF6C69">
        <w:t>is</w:t>
      </w:r>
      <w:r w:rsidR="0039384D" w:rsidRPr="00DF6C69">
        <w:t xml:space="preserve"> produced in each case is</w:t>
      </w:r>
      <w:r w:rsidRPr="00DF6C69">
        <w:t xml:space="preserve"> proportional to the concentration of the analyte of interest. The H</w:t>
      </w:r>
      <w:r w:rsidRPr="00DF6C69">
        <w:rPr>
          <w:vertAlign w:val="subscript"/>
        </w:rPr>
        <w:t>2</w:t>
      </w:r>
      <w:r w:rsidRPr="00DF6C69">
        <w:t>O</w:t>
      </w:r>
      <w:r w:rsidRPr="00DF6C69">
        <w:rPr>
          <w:vertAlign w:val="subscript"/>
        </w:rPr>
        <w:t>2</w:t>
      </w:r>
      <w:r w:rsidRPr="00DF6C69">
        <w:t xml:space="preserve"> was</w:t>
      </w:r>
      <w:r w:rsidR="00842865" w:rsidRPr="00DF6C69">
        <w:t xml:space="preserve"> then</w:t>
      </w:r>
      <w:r w:rsidRPr="00DF6C69">
        <w:t xml:space="preserve"> monitored by a colorimetric probe </w:t>
      </w:r>
      <w:r w:rsidR="00842865" w:rsidRPr="00DF6C69">
        <w:t xml:space="preserve">that </w:t>
      </w:r>
      <w:r w:rsidRPr="00DF6C69">
        <w:t>change</w:t>
      </w:r>
      <w:r w:rsidR="00842865" w:rsidRPr="00DF6C69">
        <w:t>d</w:t>
      </w:r>
      <w:r w:rsidRPr="00DF6C69">
        <w:t xml:space="preserve"> its absorbance </w:t>
      </w:r>
      <w:r w:rsidR="005C7EDB" w:rsidRPr="00DF6C69">
        <w:t xml:space="preserve">characteristic according to </w:t>
      </w:r>
      <w:r w:rsidRPr="00DF6C69">
        <w:t>the H</w:t>
      </w:r>
      <w:r w:rsidRPr="00DF6C69">
        <w:rPr>
          <w:vertAlign w:val="subscript"/>
        </w:rPr>
        <w:t>2</w:t>
      </w:r>
      <w:r w:rsidRPr="00DF6C69">
        <w:t>O</w:t>
      </w:r>
      <w:r w:rsidRPr="00DF6C69">
        <w:rPr>
          <w:vertAlign w:val="subscript"/>
        </w:rPr>
        <w:t>2</w:t>
      </w:r>
      <w:r w:rsidRPr="00DF6C69">
        <w:t xml:space="preserve"> </w:t>
      </w:r>
      <w:r w:rsidR="00D03A5F" w:rsidRPr="00DF6C69">
        <w:t>concentration</w:t>
      </w:r>
      <w:r w:rsidRPr="00DF6C69">
        <w:t>. The reaction</w:t>
      </w:r>
      <w:r w:rsidR="00C45A2D" w:rsidRPr="00DF6C69">
        <w:t xml:space="preserve"> used to probe</w:t>
      </w:r>
      <w:r w:rsidRPr="00DF6C69">
        <w:t xml:space="preserve"> for H</w:t>
      </w:r>
      <w:r w:rsidRPr="00DF6C69">
        <w:rPr>
          <w:vertAlign w:val="subscript"/>
        </w:rPr>
        <w:t>2</w:t>
      </w:r>
      <w:r w:rsidRPr="00DF6C69">
        <w:t>O</w:t>
      </w:r>
      <w:r w:rsidRPr="00DF6C69">
        <w:rPr>
          <w:vertAlign w:val="subscript"/>
        </w:rPr>
        <w:t>2</w:t>
      </w:r>
      <w:r w:rsidR="00F01D1F" w:rsidRPr="00DF6C69">
        <w:t xml:space="preserve"> </w:t>
      </w:r>
      <w:r w:rsidR="00AE6183" w:rsidRPr="00DF6C69">
        <w:t>was</w:t>
      </w:r>
      <w:r w:rsidRPr="00DF6C69">
        <w:t>:</w:t>
      </w:r>
    </w:p>
    <w:p w14:paraId="39AA0719" w14:textId="442EB6DF" w:rsidR="006B528C" w:rsidRPr="00DF6C69" w:rsidRDefault="006B528C" w:rsidP="00D2368B">
      <w:pPr>
        <w:rPr>
          <w:rFonts w:eastAsiaTheme="majorEastAsia"/>
          <w:sz w:val="20"/>
          <w:szCs w:val="20"/>
        </w:rPr>
      </w:pPr>
      <m:oMathPara>
        <m:oMathParaPr>
          <m:jc m:val="left"/>
        </m:oMathParaPr>
        <m:oMath>
          <m:r>
            <m:rPr>
              <m:sty m:val="bi"/>
            </m:rPr>
            <w:rPr>
              <w:rFonts w:ascii="Cambria Math" w:eastAsiaTheme="majorEastAsia" w:hAnsi="Cambria Math"/>
              <w:sz w:val="20"/>
              <w:szCs w:val="20"/>
            </w:rPr>
            <m:t>Quinone-imine</m:t>
          </m:r>
          <m:r>
            <w:rPr>
              <w:rFonts w:ascii="Cambria Math" w:eastAsiaTheme="majorEastAsia" w:hAnsi="Cambria Math"/>
              <w:sz w:val="20"/>
              <w:szCs w:val="20"/>
            </w:rPr>
            <m:t>: Phenol+4-Aminoantipyrine  +</m:t>
          </m:r>
          <m:sSub>
            <m:sSubPr>
              <m:ctrlPr>
                <w:rPr>
                  <w:rFonts w:ascii="Cambria Math" w:eastAsiaTheme="majorEastAsia" w:hAnsi="Cambria Math"/>
                  <w:bCs/>
                  <w:sz w:val="20"/>
                  <w:szCs w:val="20"/>
                </w:rPr>
              </m:ctrlPr>
            </m:sSubPr>
            <m:e>
              <m:r>
                <w:rPr>
                  <w:rFonts w:ascii="Cambria Math" w:eastAsiaTheme="majorEastAsia" w:hAnsi="Cambria Math"/>
                  <w:sz w:val="20"/>
                  <w:szCs w:val="20"/>
                </w:rPr>
                <m:t>2H</m:t>
              </m:r>
            </m:e>
            <m:sub>
              <m:r>
                <w:rPr>
                  <w:rFonts w:ascii="Cambria Math" w:eastAsiaTheme="majorEastAsia" w:hAnsi="Cambria Math"/>
                  <w:sz w:val="20"/>
                  <w:szCs w:val="20"/>
                </w:rPr>
                <m:t>2</m:t>
              </m:r>
            </m:sub>
          </m:sSub>
          <m:sSub>
            <m:sSubPr>
              <m:ctrlPr>
                <w:rPr>
                  <w:rFonts w:ascii="Cambria Math" w:eastAsiaTheme="majorEastAsia" w:hAnsi="Cambria Math"/>
                  <w:bCs/>
                  <w:sz w:val="20"/>
                  <w:szCs w:val="20"/>
                </w:rPr>
              </m:ctrlPr>
            </m:sSubPr>
            <m:e>
              <m:r>
                <w:rPr>
                  <w:rFonts w:ascii="Cambria Math" w:eastAsiaTheme="majorEastAsia" w:hAnsi="Cambria Math"/>
                  <w:sz w:val="20"/>
                  <w:szCs w:val="20"/>
                </w:rPr>
                <m:t>O</m:t>
              </m:r>
            </m:e>
            <m:sub>
              <m:r>
                <w:rPr>
                  <w:rFonts w:ascii="Cambria Math" w:eastAsiaTheme="majorEastAsia" w:hAnsi="Cambria Math"/>
                  <w:sz w:val="20"/>
                  <w:szCs w:val="20"/>
                </w:rPr>
                <m:t>2</m:t>
              </m:r>
            </m:sub>
          </m:sSub>
          <m:box>
            <m:boxPr>
              <m:opEmu m:val="1"/>
              <m:ctrlPr>
                <w:rPr>
                  <w:rFonts w:ascii="Cambria Math" w:eastAsiaTheme="majorEastAsia" w:hAnsi="Cambria Math"/>
                  <w:bCs/>
                  <w:i/>
                  <w:sz w:val="20"/>
                  <w:szCs w:val="20"/>
                </w:rPr>
              </m:ctrlPr>
            </m:boxPr>
            <m:e>
              <m:groupChr>
                <m:groupChrPr>
                  <m:chr m:val="→"/>
                  <m:vertJc m:val="bot"/>
                  <m:ctrlPr>
                    <w:rPr>
                      <w:rFonts w:ascii="Cambria Math" w:eastAsiaTheme="majorEastAsia" w:hAnsi="Cambria Math"/>
                      <w:bCs/>
                      <w:i/>
                      <w:sz w:val="20"/>
                      <w:szCs w:val="20"/>
                    </w:rPr>
                  </m:ctrlPr>
                </m:groupChrPr>
                <m:e>
                  <m:r>
                    <w:rPr>
                      <w:rFonts w:ascii="Cambria Math" w:eastAsiaTheme="majorEastAsia" w:hAnsi="Cambria Math"/>
                      <w:sz w:val="20"/>
                      <w:szCs w:val="20"/>
                    </w:rPr>
                    <m:t xml:space="preserve">Peroxidase </m:t>
                  </m:r>
                  <m:d>
                    <m:dPr>
                      <m:ctrlPr>
                        <w:rPr>
                          <w:rFonts w:ascii="Cambria Math" w:eastAsiaTheme="majorEastAsia" w:hAnsi="Cambria Math"/>
                          <w:bCs/>
                          <w:i/>
                          <w:sz w:val="20"/>
                          <w:szCs w:val="20"/>
                        </w:rPr>
                      </m:ctrlPr>
                    </m:dPr>
                    <m:e>
                      <m:r>
                        <w:rPr>
                          <w:rFonts w:ascii="Cambria Math" w:eastAsiaTheme="majorEastAsia" w:hAnsi="Cambria Math"/>
                          <w:sz w:val="20"/>
                          <w:szCs w:val="20"/>
                        </w:rPr>
                        <m:t>HRP</m:t>
                      </m:r>
                    </m:e>
                  </m:d>
                </m:e>
              </m:groupChr>
            </m:e>
          </m:box>
          <m:r>
            <w:rPr>
              <w:rFonts w:ascii="Cambria Math" w:eastAsiaTheme="majorEastAsia" w:hAnsi="Cambria Math"/>
              <w:sz w:val="20"/>
              <w:szCs w:val="20"/>
            </w:rPr>
            <m:t>Quinone-imine+</m:t>
          </m:r>
          <m:sSub>
            <m:sSubPr>
              <m:ctrlPr>
                <w:rPr>
                  <w:rFonts w:ascii="Cambria Math" w:eastAsiaTheme="majorEastAsia" w:hAnsi="Cambria Math"/>
                  <w:bCs/>
                  <w:sz w:val="20"/>
                  <w:szCs w:val="20"/>
                </w:rPr>
              </m:ctrlPr>
            </m:sSubPr>
            <m:e>
              <m:r>
                <w:rPr>
                  <w:rFonts w:ascii="Cambria Math" w:eastAsiaTheme="majorEastAsia" w:hAnsi="Cambria Math"/>
                  <w:sz w:val="20"/>
                  <w:szCs w:val="20"/>
                </w:rPr>
                <m:t>2H</m:t>
              </m:r>
            </m:e>
            <m:sub>
              <m:r>
                <w:rPr>
                  <w:rFonts w:ascii="Cambria Math" w:eastAsiaTheme="majorEastAsia" w:hAnsi="Cambria Math"/>
                  <w:sz w:val="20"/>
                  <w:szCs w:val="20"/>
                </w:rPr>
                <m:t>2</m:t>
              </m:r>
            </m:sub>
          </m:sSub>
          <m:r>
            <m:rPr>
              <m:sty m:val="p"/>
            </m:rPr>
            <w:rPr>
              <w:rFonts w:ascii="Cambria Math" w:eastAsiaTheme="majorEastAsia" w:hAnsi="Cambria Math"/>
              <w:sz w:val="20"/>
              <w:szCs w:val="20"/>
            </w:rPr>
            <m:t>O</m:t>
          </m:r>
          <m:r>
            <w:rPr>
              <w:rFonts w:ascii="Cambria Math" w:eastAsiaTheme="majorEastAsia" w:hAnsi="Cambria Math"/>
              <w:sz w:val="20"/>
              <w:szCs w:val="20"/>
            </w:rPr>
            <m:t xml:space="preserve">  </m:t>
          </m:r>
        </m:oMath>
      </m:oMathPara>
    </w:p>
    <w:p w14:paraId="1C06521D" w14:textId="49B99AB4" w:rsidR="002214BC" w:rsidRPr="00DF6C69" w:rsidRDefault="00D82064" w:rsidP="00C466C3">
      <w:r w:rsidRPr="00DF6C69">
        <w:t>For</w:t>
      </w:r>
      <w:r w:rsidR="006B528C" w:rsidRPr="00DF6C69">
        <w:t xml:space="preserve"> each </w:t>
      </w:r>
      <w:r w:rsidR="00AE6183" w:rsidRPr="00DF6C69">
        <w:t xml:space="preserve">metabolite </w:t>
      </w:r>
      <w:r w:rsidR="006B528C" w:rsidRPr="00DF6C69">
        <w:t xml:space="preserve">test, two enzymatic reactions </w:t>
      </w:r>
      <w:r w:rsidR="004B0C55" w:rsidRPr="00DF6C69">
        <w:t>were</w:t>
      </w:r>
      <w:r w:rsidR="00D03A5F" w:rsidRPr="00DF6C69">
        <w:t xml:space="preserve"> therefore</w:t>
      </w:r>
      <w:r w:rsidR="006B528C" w:rsidRPr="00DF6C69">
        <w:t xml:space="preserve"> required. However, the ratio of the concentration of the enzymes within the same reaction chain </w:t>
      </w:r>
      <w:r w:rsidR="00AE6183" w:rsidRPr="00DF6C69">
        <w:t>was</w:t>
      </w:r>
      <w:r w:rsidR="006B528C" w:rsidRPr="00DF6C69">
        <w:t xml:space="preserve"> tuned</w:t>
      </w:r>
      <w:r w:rsidR="00AE6183" w:rsidRPr="00DF6C69">
        <w:t xml:space="preserve"> so that the absorbance </w:t>
      </w:r>
      <w:r w:rsidR="0057740F" w:rsidRPr="00DF6C69">
        <w:t>properties of the two-stage assay was proportional to the concentration of the metabolite in question</w:t>
      </w:r>
      <w:r w:rsidR="006B528C" w:rsidRPr="00DF6C69">
        <w:t>.</w:t>
      </w:r>
    </w:p>
    <w:p w14:paraId="5981CF43" w14:textId="7B957A32" w:rsidR="00010CE6" w:rsidRPr="00DF6C69" w:rsidRDefault="002214BC" w:rsidP="00010CE6">
      <w:r w:rsidRPr="00DF6C69">
        <w:t>The change in the light transmittance of the sample was measured using a custom CMOS chip</w:t>
      </w:r>
      <w:r w:rsidR="006E0DAF" w:rsidRPr="00DF6C69">
        <w:t xml:space="preserve"> </w:t>
      </w:r>
      <w:r w:rsidR="006E0DAF" w:rsidRPr="00DF6C69">
        <w:fldChar w:fldCharType="begin" w:fldLock="1"/>
      </w:r>
      <w:r w:rsidR="00847C65" w:rsidRPr="00DF6C69">
        <w:instrText>ADDIN CSL_CITATION {"citationItems":[{"id":"ITEM-1","itemData":{"DOI":"10.1109/TBME.2019.2919192","ISSN":"1558-2531","PMID":"31226063","abstract":"Precision metabolomics and quantification for cost-effective, rapid diagnosis of disease are key goals in personalized medicine and point-of-care testing. Presently, patients are subjected to multiple test procedures requiring large laboratory equipment. Microelectronics has already made modern computing and communications possible by integration of complex functions within a single chip. As More than Moore technology increases in importance, integrated circuits for densely patterned sensor chips have grown in significance. Here, we present a versatile single CMOS chip forming a platform to address personalized needs through on-chip multimodal optical and electrochemical detection that will reduce the number of tests that patients must take. The chip integrates interleaved sensing subsystems for quadruple-mode colorimetric, chemiluminescent, surface plasmon resonance and hydrogen ion measurements. These subsystems include a photodiode array and a single photon avalanche diode array, with some elements functionalized to introduce a surface plasmon resonance mode. The chip also includes an array of ion sensitive field effect transistors. The sensor arrays are distributed uniformly over an active area on the chip surface in a scalable and modular design. Bio-functionalization of the physical sensors yields a highly selective simultaneous multiple-assay platform in a disposable format. We demonstrate its versatile capabilities through quantified bioassays performed on-chip for glucose, cholesterol, urea and urate, each within their naturally occurring physiological range.","author":[{"dropping-particle":"","family":"Al-Rawhani","given":"Mohammed A","non-dropping-particle":"","parse-names":false,"suffix":""},{"dropping-particle":"","family":"Hu","given":"Chunxiao","non-dropping-particle":"","parse-names":false,"suffix":""},{"dropping-particle":"","family":"Giagkoulovits","given":"Christos","non-dropping-particle":"","parse-names":false,"suffix":""},{"dropping-particle":"","family":"Annese","given":"Valerio","non-dropping-particle":"","parse-names":false,"suffix":""},{"dropping-particle":"","family":"Chong Cheah","given":"Boon","non-dropping-particle":"","parse-names":false,"suffix":""},{"dropping-particle":"","family":"Beeley","given":"James Malcolm","non-dropping-particle":"","parse-names":false,"suffix":""},{"dropping-particle":"","family":"Velugotla","given":"Srinivas","non-dropping-particle":"","parse-names":false,"suffix":""},{"dropping-particle":"","family":"Accarino","given":"Claudio","non-dropping-particle":"","parse-names":false,"suffix":""},{"dropping-particle":"","family":"Grant","given":"James","non-dropping-particle":"","parse-names":false,"suffix":""},{"dropping-particle":"","family":"Mitra","given":"Srinjoy","non-dropping-particle":"","parse-names":false,"suffix":""},{"dropping-particle":"","family":"Barrett","given":"Michael","non-dropping-particle":"","parse-names":false,"suffix":""},{"dropping-particle":"","family":"Cochran","given":"Sandy","non-dropping-particle":"","parse-names":false,"suffix":""},{"dropping-particle":"","family":"Cumming","given":"David","non-dropping-particle":"","parse-names":false,"suffix":""}],"container-title":"IEEE transactions on bio-medical engineering","id":"ITEM-1","issued":{"date-parts":[["2019","6","19"]]},"title":"Multimodal Integrated Sensor Platform for Rapid Biomarker Detection.","type":"article-journal"},"uris":["http://www.mendeley.com/documents/?uuid=29a1c8cb-3824-32a3-8515-5ef805e212a7"]}],"mendeley":{"formattedCitation":"[71]","plainTextFormattedCitation":"[71]","previouslyFormattedCitation":"[78]"},"properties":{"noteIndex":0},"schema":"https://github.com/citation-style-language/schema/raw/master/csl-citation.json"}</w:instrText>
      </w:r>
      <w:r w:rsidR="006E0DAF" w:rsidRPr="00DF6C69">
        <w:fldChar w:fldCharType="separate"/>
      </w:r>
      <w:r w:rsidR="00847C65" w:rsidRPr="00DF6C69">
        <w:t>[71]</w:t>
      </w:r>
      <w:r w:rsidR="006E0DAF" w:rsidRPr="00DF6C69">
        <w:fldChar w:fldCharType="end"/>
      </w:r>
      <w:r w:rsidRPr="00DF6C69">
        <w:t xml:space="preserve">. </w:t>
      </w:r>
      <w:r w:rsidR="007405A9" w:rsidRPr="00DF6C69">
        <w:t xml:space="preserve">The </w:t>
      </w:r>
      <w:r w:rsidR="00167213" w:rsidRPr="00DF6C69">
        <w:t xml:space="preserve">CMOS </w:t>
      </w:r>
      <w:r w:rsidR="006B528C" w:rsidRPr="00DF6C69">
        <w:t xml:space="preserve">chip, </w:t>
      </w:r>
      <w:r w:rsidR="00C11213" w:rsidRPr="00DF6C69">
        <w:t>shown</w:t>
      </w:r>
      <w:r w:rsidR="006B528C" w:rsidRPr="00DF6C69">
        <w:t xml:space="preserve"> in </w:t>
      </w:r>
      <w:r w:rsidR="00126E1F" w:rsidRPr="00DF6C69">
        <w:fldChar w:fldCharType="begin"/>
      </w:r>
      <w:r w:rsidR="00126E1F" w:rsidRPr="00DF6C69">
        <w:instrText xml:space="preserve"> REF _Ref43219800 \h </w:instrText>
      </w:r>
      <w:r w:rsidR="00DF6C69">
        <w:instrText xml:space="preserve"> \* MERGEFORMAT </w:instrText>
      </w:r>
      <w:r w:rsidR="00126E1F" w:rsidRPr="00DF6C69">
        <w:fldChar w:fldCharType="separate"/>
      </w:r>
      <w:r w:rsidR="00645E46" w:rsidRPr="00DF6C69">
        <w:t xml:space="preserve">Figure </w:t>
      </w:r>
      <w:r w:rsidR="00645E46" w:rsidRPr="00DF6C69">
        <w:rPr>
          <w:noProof/>
        </w:rPr>
        <w:t>1</w:t>
      </w:r>
      <w:r w:rsidR="00126E1F" w:rsidRPr="00DF6C69">
        <w:fldChar w:fldCharType="end"/>
      </w:r>
      <w:r w:rsidR="006B528C" w:rsidRPr="00DF6C69">
        <w:t xml:space="preserve">(a), is a 16 x 16 array of </w:t>
      </w:r>
      <w:r w:rsidR="001271ED" w:rsidRPr="00DF6C69">
        <w:t xml:space="preserve">sensor </w:t>
      </w:r>
      <w:r w:rsidR="00167213" w:rsidRPr="00DF6C69">
        <w:t>elements</w:t>
      </w:r>
      <w:r w:rsidR="006B528C" w:rsidRPr="00DF6C69">
        <w:t>.</w:t>
      </w:r>
      <w:r w:rsidR="000D700E" w:rsidRPr="00DF6C69">
        <w:t xml:space="preserve"> </w:t>
      </w:r>
      <w:r w:rsidR="006B528C" w:rsidRPr="00DF6C69">
        <w:t>E</w:t>
      </w:r>
      <w:r w:rsidR="001271ED" w:rsidRPr="00DF6C69">
        <w:t xml:space="preserve">ach </w:t>
      </w:r>
      <w:r w:rsidR="006B528C" w:rsidRPr="00DF6C69">
        <w:t xml:space="preserve">sensor </w:t>
      </w:r>
      <w:r w:rsidR="00167213" w:rsidRPr="00DF6C69">
        <w:t xml:space="preserve">element </w:t>
      </w:r>
      <w:r w:rsidR="00D82064" w:rsidRPr="00DF6C69">
        <w:t>integrates</w:t>
      </w:r>
      <w:r w:rsidR="006B528C" w:rsidRPr="00DF6C69">
        <w:t xml:space="preserve"> a </w:t>
      </w:r>
      <w:r w:rsidR="00CC3B68" w:rsidRPr="00DF6C69">
        <w:t>photodiode</w:t>
      </w:r>
      <w:r w:rsidR="006B528C" w:rsidRPr="00DF6C69">
        <w:t xml:space="preserve">, an </w:t>
      </w:r>
      <w:r w:rsidR="00CC3B68" w:rsidRPr="00DF6C69">
        <w:t xml:space="preserve">ion sensitive field effect transistor </w:t>
      </w:r>
      <w:r w:rsidR="006B528C" w:rsidRPr="00DF6C69">
        <w:t xml:space="preserve">and a </w:t>
      </w:r>
      <w:r w:rsidR="00CC3B68" w:rsidRPr="00DF6C69">
        <w:t>single photon avalanche diode</w:t>
      </w:r>
      <w:r w:rsidR="006B528C" w:rsidRPr="00DF6C69">
        <w:t>.</w:t>
      </w:r>
      <w:r w:rsidR="003D6C69" w:rsidRPr="00DF6C69">
        <w:t xml:space="preserve"> For this work only the </w:t>
      </w:r>
      <w:r w:rsidR="00CC3B68" w:rsidRPr="00DF6C69">
        <w:t>photodiode</w:t>
      </w:r>
      <w:r w:rsidR="00E21393" w:rsidRPr="00DF6C69">
        <w:t>s</w:t>
      </w:r>
      <w:r w:rsidR="00CC3B68" w:rsidRPr="00DF6C69">
        <w:t xml:space="preserve"> </w:t>
      </w:r>
      <w:r w:rsidR="00E21393" w:rsidRPr="00DF6C69">
        <w:t>were</w:t>
      </w:r>
      <w:r w:rsidR="00CC3B68" w:rsidRPr="00DF6C69">
        <w:t xml:space="preserve"> used.</w:t>
      </w:r>
      <w:r w:rsidR="006B528C" w:rsidRPr="00DF6C69">
        <w:t xml:space="preserve"> </w:t>
      </w:r>
      <w:r w:rsidR="001271ED" w:rsidRPr="00DF6C69">
        <w:t>I</w:t>
      </w:r>
      <w:r w:rsidR="006B528C" w:rsidRPr="00DF6C69">
        <w:t xml:space="preserve">nterface electronics can address </w:t>
      </w:r>
      <w:r w:rsidR="00B709E2" w:rsidRPr="00DF6C69">
        <w:t xml:space="preserve">the </w:t>
      </w:r>
      <w:r w:rsidR="001271ED" w:rsidRPr="00DF6C69">
        <w:t xml:space="preserve">photodiodes </w:t>
      </w:r>
      <w:r w:rsidR="006B528C" w:rsidRPr="00DF6C69">
        <w:t xml:space="preserve">individually or simultaneously. Each </w:t>
      </w:r>
      <w:r w:rsidR="00167213" w:rsidRPr="00DF6C69">
        <w:t xml:space="preserve">element </w:t>
      </w:r>
      <w:r w:rsidR="006B528C" w:rsidRPr="00DF6C69">
        <w:t xml:space="preserve">has </w:t>
      </w:r>
      <w:r w:rsidR="00261657" w:rsidRPr="00DF6C69">
        <w:t>dimensions</w:t>
      </w:r>
      <w:r w:rsidR="006B528C" w:rsidRPr="00DF6C69">
        <w:t xml:space="preserve"> of 100×100 μm</w:t>
      </w:r>
      <w:r w:rsidR="006B528C" w:rsidRPr="00DF6C69">
        <w:rPr>
          <w:vertAlign w:val="superscript"/>
        </w:rPr>
        <w:t>2</w:t>
      </w:r>
      <w:r w:rsidR="006B528C" w:rsidRPr="00DF6C69">
        <w:t xml:space="preserve"> </w:t>
      </w:r>
      <w:r w:rsidR="00470D2E" w:rsidRPr="00DF6C69">
        <w:t>t</w:t>
      </w:r>
      <w:r w:rsidR="00DD17C4" w:rsidRPr="00DF6C69">
        <w:t>hus</w:t>
      </w:r>
      <w:r w:rsidR="006B528C" w:rsidRPr="00DF6C69">
        <w:t xml:space="preserve"> the whole array occupies a total area of approximately 1.6</w:t>
      </w:r>
      <w:r w:rsidR="00592C73" w:rsidRPr="00DF6C69">
        <w:t xml:space="preserve"> x </w:t>
      </w:r>
      <w:r w:rsidR="006B528C" w:rsidRPr="00DF6C69">
        <w:t xml:space="preserve">1.6 mm in the centre of the chip. The entire chip </w:t>
      </w:r>
      <w:r w:rsidR="00FD378F" w:rsidRPr="00DF6C69">
        <w:t xml:space="preserve">has </w:t>
      </w:r>
      <w:r w:rsidR="006B528C" w:rsidRPr="00DF6C69">
        <w:t xml:space="preserve">an area of 3.4 x 3.6 mm (see </w:t>
      </w:r>
      <w:r w:rsidR="00126E1F" w:rsidRPr="00DF6C69">
        <w:fldChar w:fldCharType="begin"/>
      </w:r>
      <w:r w:rsidR="00126E1F" w:rsidRPr="00DF6C69">
        <w:instrText xml:space="preserve"> REF _Ref43219800 \h </w:instrText>
      </w:r>
      <w:r w:rsidR="00DF6C69">
        <w:instrText xml:space="preserve"> \* MERGEFORMAT </w:instrText>
      </w:r>
      <w:r w:rsidR="00126E1F" w:rsidRPr="00DF6C69">
        <w:fldChar w:fldCharType="separate"/>
      </w:r>
      <w:r w:rsidR="00645E46" w:rsidRPr="00DF6C69">
        <w:t xml:space="preserve">Figure </w:t>
      </w:r>
      <w:r w:rsidR="00645E46" w:rsidRPr="00DF6C69">
        <w:rPr>
          <w:noProof/>
        </w:rPr>
        <w:t>1</w:t>
      </w:r>
      <w:r w:rsidR="00126E1F" w:rsidRPr="00DF6C69">
        <w:fldChar w:fldCharType="end"/>
      </w:r>
      <w:r w:rsidR="006B528C" w:rsidRPr="00DF6C69">
        <w:t>(</w:t>
      </w:r>
      <w:r w:rsidR="00FD378F" w:rsidRPr="00DF6C69">
        <w:t>b</w:t>
      </w:r>
      <w:r w:rsidR="006B528C" w:rsidRPr="00DF6C69">
        <w:t xml:space="preserve">)). 64 </w:t>
      </w:r>
      <w:r w:rsidR="00470D2E" w:rsidRPr="00DF6C69">
        <w:t>contact pads</w:t>
      </w:r>
      <w:r w:rsidR="006B528C" w:rsidRPr="00DF6C69">
        <w:t xml:space="preserve"> are equally distributed</w:t>
      </w:r>
      <w:r w:rsidR="004A6E90" w:rsidRPr="00DF6C69">
        <w:t xml:space="preserve"> in columns of 32</w:t>
      </w:r>
      <w:r w:rsidR="006B528C" w:rsidRPr="00DF6C69">
        <w:t xml:space="preserve"> on the </w:t>
      </w:r>
      <w:r w:rsidR="00045B57" w:rsidRPr="00DF6C69">
        <w:t>left</w:t>
      </w:r>
      <w:r w:rsidR="006B528C" w:rsidRPr="00DF6C69">
        <w:t xml:space="preserve"> and </w:t>
      </w:r>
      <w:r w:rsidR="00045B57" w:rsidRPr="00DF6C69">
        <w:t>right</w:t>
      </w:r>
      <w:r w:rsidR="006B528C" w:rsidRPr="00DF6C69">
        <w:t xml:space="preserve"> side of the chip. Alignment marks (crosses and squares) are symmetrically placed on the </w:t>
      </w:r>
      <w:r w:rsidR="0097377E" w:rsidRPr="00DF6C69">
        <w:t>top</w:t>
      </w:r>
      <w:r w:rsidR="006B528C" w:rsidRPr="00DF6C69">
        <w:t xml:space="preserve"> </w:t>
      </w:r>
      <w:r w:rsidR="00302ADF" w:rsidRPr="00DF6C69">
        <w:t xml:space="preserve">and </w:t>
      </w:r>
      <w:r w:rsidR="0097377E" w:rsidRPr="00DF6C69">
        <w:t>bottom</w:t>
      </w:r>
      <w:r w:rsidR="006B528C" w:rsidRPr="00DF6C69">
        <w:t xml:space="preserve"> </w:t>
      </w:r>
      <w:r w:rsidR="00B32AC1" w:rsidRPr="00DF6C69">
        <w:t xml:space="preserve">edges </w:t>
      </w:r>
      <w:r w:rsidR="006B528C" w:rsidRPr="00DF6C69">
        <w:t xml:space="preserve">of the sensor array. The CMOS process selected for the </w:t>
      </w:r>
      <w:r w:rsidR="0097377E" w:rsidRPr="00DF6C69">
        <w:t>fabrication</w:t>
      </w:r>
      <w:r w:rsidR="006B528C" w:rsidRPr="00DF6C69">
        <w:t xml:space="preserve"> of the chip was </w:t>
      </w:r>
      <w:r w:rsidR="0097377E" w:rsidRPr="00DF6C69">
        <w:t>a</w:t>
      </w:r>
      <w:r w:rsidR="006B528C" w:rsidRPr="00DF6C69">
        <w:t xml:space="preserve"> 0.35 </w:t>
      </w:r>
      <w:proofErr w:type="spellStart"/>
      <w:r w:rsidR="006B528C" w:rsidRPr="00DF6C69">
        <w:t>μm</w:t>
      </w:r>
      <w:proofErr w:type="spellEnd"/>
      <w:r w:rsidR="006B528C" w:rsidRPr="00DF6C69">
        <w:t xml:space="preserve"> high voltage process with four metal layers (‘H35B4’)</w:t>
      </w:r>
      <w:r w:rsidR="00F46F38" w:rsidRPr="00DF6C69">
        <w:t xml:space="preserve"> from </w:t>
      </w:r>
      <w:proofErr w:type="spellStart"/>
      <w:r w:rsidR="00F46F38" w:rsidRPr="00DF6C69">
        <w:t>austriamicrosystems</w:t>
      </w:r>
      <w:proofErr w:type="spellEnd"/>
      <w:r w:rsidR="006B528C" w:rsidRPr="00DF6C69">
        <w:t xml:space="preserve">. After </w:t>
      </w:r>
      <w:r w:rsidR="00AE77CA" w:rsidRPr="00DF6C69">
        <w:t>fabrication</w:t>
      </w:r>
      <w:r w:rsidR="006B528C" w:rsidRPr="00DF6C69">
        <w:t xml:space="preserve">, bare chips were diced </w:t>
      </w:r>
      <w:r w:rsidR="00BC5C6A" w:rsidRPr="00DF6C69">
        <w:t xml:space="preserve">so that they could be wire-bonded into a </w:t>
      </w:r>
      <w:r w:rsidR="00AB11CD" w:rsidRPr="00DF6C69">
        <w:t>ceramic pin grid array with 120 pins</w:t>
      </w:r>
      <w:r w:rsidR="00EC7024" w:rsidRPr="00DF6C69">
        <w:t xml:space="preserve"> to form the base of the cart</w:t>
      </w:r>
      <w:r w:rsidR="008E39EE" w:rsidRPr="00DF6C69">
        <w:t>ridge</w:t>
      </w:r>
      <w:r w:rsidR="006B528C" w:rsidRPr="00DF6C69">
        <w:t>.</w:t>
      </w:r>
    </w:p>
    <w:p w14:paraId="2EAE9F39" w14:textId="307DD144" w:rsidR="00720298" w:rsidRPr="00DF6C69" w:rsidRDefault="00720298" w:rsidP="00720298">
      <w:r w:rsidRPr="00DF6C69">
        <w:t xml:space="preserve">The integration of passive microfluidics with the CMOS chip </w:t>
      </w:r>
      <w:r w:rsidR="00B45DE5" w:rsidRPr="00DF6C69">
        <w:t>was</w:t>
      </w:r>
      <w:r w:rsidRPr="00DF6C69">
        <w:t xml:space="preserve"> </w:t>
      </w:r>
      <w:r w:rsidR="002214BC" w:rsidRPr="00DF6C69">
        <w:t xml:space="preserve">achieved using soft lithography and injection moulding. The design of the passive microfluidics network was achieved through simulation and a trial and error </w:t>
      </w:r>
      <w:r w:rsidR="00FF4F40" w:rsidRPr="00DF6C69">
        <w:t>experimental approach</w:t>
      </w:r>
      <w:r w:rsidR="002214BC" w:rsidRPr="00DF6C69">
        <w:t xml:space="preserve">. </w:t>
      </w:r>
      <w:r w:rsidR="00C24F8C" w:rsidRPr="00DF6C69">
        <w:t>Simulations were performed using a custom Matlab model for the optimisation of the</w:t>
      </w:r>
      <w:r w:rsidR="00F06718" w:rsidRPr="00DF6C69">
        <w:t>:</w:t>
      </w:r>
      <w:r w:rsidR="00C24F8C" w:rsidRPr="00DF6C69">
        <w:t xml:space="preserve"> filling time</w:t>
      </w:r>
      <w:r w:rsidR="00903896" w:rsidRPr="00DF6C69">
        <w:t>;</w:t>
      </w:r>
      <w:r w:rsidR="00C24F8C" w:rsidRPr="00DF6C69">
        <w:t xml:space="preserve"> capillary flow rate</w:t>
      </w:r>
      <w:r w:rsidR="00903896" w:rsidRPr="00DF6C69">
        <w:t>;</w:t>
      </w:r>
      <w:r w:rsidR="00C24F8C" w:rsidRPr="00DF6C69">
        <w:t xml:space="preserve"> fluidic resistance of the microfluidic channel</w:t>
      </w:r>
      <w:r w:rsidR="00903896" w:rsidRPr="00DF6C69">
        <w:t xml:space="preserve"> for a </w:t>
      </w:r>
      <w:r w:rsidR="00C24F8C" w:rsidRPr="00DF6C69">
        <w:t>given sample type (water, human serum, plasma or blood)</w:t>
      </w:r>
      <w:r w:rsidR="00903896" w:rsidRPr="00DF6C69">
        <w:t>;</w:t>
      </w:r>
      <w:r w:rsidR="00C24F8C" w:rsidRPr="00DF6C69">
        <w:t xml:space="preserve"> channel geometry</w:t>
      </w:r>
      <w:r w:rsidR="00EF4729" w:rsidRPr="00DF6C69">
        <w:t>;</w:t>
      </w:r>
      <w:r w:rsidR="00C24F8C" w:rsidRPr="00DF6C69">
        <w:t xml:space="preserve"> and material wetting properties.</w:t>
      </w:r>
      <w:r w:rsidR="005C019D" w:rsidRPr="00DF6C69">
        <w:t xml:space="preserve"> </w:t>
      </w:r>
      <w:r w:rsidR="002214BC" w:rsidRPr="00DF6C69">
        <w:t xml:space="preserve">The </w:t>
      </w:r>
      <w:r w:rsidR="00721529" w:rsidRPr="00DF6C69">
        <w:t xml:space="preserve">process </w:t>
      </w:r>
      <w:r w:rsidR="002214BC" w:rsidRPr="00DF6C69">
        <w:t xml:space="preserve">used for the integration of the microfluidics is </w:t>
      </w:r>
      <w:r w:rsidRPr="00DF6C69">
        <w:t xml:space="preserve">described in the material and methods section of the paper. </w:t>
      </w:r>
      <w:r w:rsidR="00F06718" w:rsidRPr="00DF6C69">
        <w:t>T</w:t>
      </w:r>
      <w:r w:rsidRPr="00DF6C69">
        <w:t xml:space="preserve">he </w:t>
      </w:r>
      <w:r w:rsidR="0007373C" w:rsidRPr="00DF6C69">
        <w:t>fabrication</w:t>
      </w:r>
      <w:r w:rsidRPr="00DF6C69">
        <w:t xml:space="preserve"> step</w:t>
      </w:r>
      <w:r w:rsidR="0007373C" w:rsidRPr="00DF6C69">
        <w:t>s used to make the microfluidics-</w:t>
      </w:r>
      <w:r w:rsidR="0080539F" w:rsidRPr="00DF6C69">
        <w:t xml:space="preserve">on-chip structures </w:t>
      </w:r>
      <w:r w:rsidR="00F06718" w:rsidRPr="00DF6C69">
        <w:t>are</w:t>
      </w:r>
      <w:r w:rsidR="0080539F" w:rsidRPr="00DF6C69">
        <w:t xml:space="preserve"> shown</w:t>
      </w:r>
      <w:r w:rsidR="00F06718" w:rsidRPr="00DF6C69">
        <w:t xml:space="preserve"> in more detail</w:t>
      </w:r>
      <w:r w:rsidRPr="00DF6C69">
        <w:t xml:space="preserve"> in </w:t>
      </w:r>
      <w:r w:rsidRPr="00DF6C69">
        <w:fldChar w:fldCharType="begin"/>
      </w:r>
      <w:r w:rsidRPr="00DF6C69">
        <w:instrText xml:space="preserve"> REF _Ref41921324 \h </w:instrText>
      </w:r>
      <w:r w:rsidR="00DF6C69">
        <w:instrText xml:space="preserve"> \* MERGEFORMAT </w:instrText>
      </w:r>
      <w:r w:rsidRPr="00DF6C69">
        <w:fldChar w:fldCharType="separate"/>
      </w:r>
      <w:r w:rsidR="00645E46" w:rsidRPr="00DF6C69">
        <w:t xml:space="preserve">Figure </w:t>
      </w:r>
      <w:r w:rsidR="00645E46" w:rsidRPr="00DF6C69">
        <w:rPr>
          <w:noProof/>
        </w:rPr>
        <w:t>2</w:t>
      </w:r>
      <w:r w:rsidRPr="00DF6C69">
        <w:fldChar w:fldCharType="end"/>
      </w:r>
      <w:r w:rsidRPr="00DF6C69">
        <w:t>.</w:t>
      </w:r>
      <w:r w:rsidR="00020232" w:rsidRPr="00DF6C69">
        <w:t xml:space="preserve"> Four parallel microfluidic channels were integrated on to each chip.</w:t>
      </w:r>
    </w:p>
    <w:tbl>
      <w:tblPr>
        <w:tblStyle w:val="TableGrid"/>
        <w:tblW w:w="0" w:type="auto"/>
        <w:tblLook w:val="04A0" w:firstRow="1" w:lastRow="0" w:firstColumn="1" w:lastColumn="0" w:noHBand="0" w:noVBand="1"/>
      </w:tblPr>
      <w:tblGrid>
        <w:gridCol w:w="4508"/>
        <w:gridCol w:w="4508"/>
      </w:tblGrid>
      <w:tr w:rsidR="00FD378F" w:rsidRPr="00DF6C69" w14:paraId="506584A9" w14:textId="77777777" w:rsidTr="002C1E68">
        <w:tc>
          <w:tcPr>
            <w:tcW w:w="4508" w:type="dxa"/>
            <w:tcBorders>
              <w:top w:val="nil"/>
              <w:left w:val="nil"/>
              <w:bottom w:val="nil"/>
              <w:right w:val="nil"/>
            </w:tcBorders>
          </w:tcPr>
          <w:p w14:paraId="15BF97AA" w14:textId="7D3B3DC4" w:rsidR="00FD378F" w:rsidRPr="00DF6C69" w:rsidRDefault="00FD378F" w:rsidP="002C1E68">
            <w:pPr>
              <w:jc w:val="center"/>
            </w:pPr>
            <w:r w:rsidRPr="00DF6C69">
              <w:rPr>
                <w:rFonts w:ascii="Times New Roman" w:hAnsi="Times New Roman" w:cs="Times New Roman"/>
                <w:noProof/>
                <w:sz w:val="20"/>
                <w:szCs w:val="20"/>
              </w:rPr>
              <w:lastRenderedPageBreak/>
              <w:drawing>
                <wp:inline distT="0" distB="0" distL="0" distR="0" wp14:anchorId="64BD845B" wp14:editId="558B9683">
                  <wp:extent cx="1748919" cy="16200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572"/>
                          <a:stretch/>
                        </pic:blipFill>
                        <pic:spPr bwMode="auto">
                          <a:xfrm>
                            <a:off x="0" y="0"/>
                            <a:ext cx="1748919"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Borders>
              <w:top w:val="nil"/>
              <w:left w:val="nil"/>
              <w:bottom w:val="nil"/>
              <w:right w:val="nil"/>
            </w:tcBorders>
          </w:tcPr>
          <w:p w14:paraId="722A0097" w14:textId="004ABE83" w:rsidR="00FD378F" w:rsidRPr="00DF6C69" w:rsidRDefault="00FD378F" w:rsidP="002C1E68">
            <w:pPr>
              <w:jc w:val="center"/>
            </w:pPr>
            <w:r w:rsidRPr="00DF6C69">
              <w:rPr>
                <w:rFonts w:ascii="Times New Roman" w:hAnsi="Times New Roman" w:cs="Times New Roman"/>
                <w:noProof/>
                <w:sz w:val="20"/>
                <w:szCs w:val="20"/>
              </w:rPr>
              <w:drawing>
                <wp:inline distT="0" distB="0" distL="0" distR="0" wp14:anchorId="4E7B572B" wp14:editId="6CCBF392">
                  <wp:extent cx="2009461" cy="16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9461" cy="1620000"/>
                          </a:xfrm>
                          <a:prstGeom prst="rect">
                            <a:avLst/>
                          </a:prstGeom>
                          <a:noFill/>
                          <a:ln>
                            <a:noFill/>
                          </a:ln>
                        </pic:spPr>
                      </pic:pic>
                    </a:graphicData>
                  </a:graphic>
                </wp:inline>
              </w:drawing>
            </w:r>
          </w:p>
        </w:tc>
      </w:tr>
      <w:tr w:rsidR="00FD378F" w:rsidRPr="00DF6C69" w14:paraId="5F5F5C0B" w14:textId="77777777" w:rsidTr="002C1E68">
        <w:tc>
          <w:tcPr>
            <w:tcW w:w="4508" w:type="dxa"/>
            <w:tcBorders>
              <w:top w:val="nil"/>
              <w:left w:val="nil"/>
              <w:bottom w:val="nil"/>
              <w:right w:val="nil"/>
            </w:tcBorders>
          </w:tcPr>
          <w:p w14:paraId="619F1F22" w14:textId="33740A45" w:rsidR="00FD378F" w:rsidRPr="00DF6C69" w:rsidRDefault="00FD378F" w:rsidP="002C1E68">
            <w:pPr>
              <w:jc w:val="center"/>
            </w:pPr>
            <w:r w:rsidRPr="00DF6C69">
              <w:t>(a)</w:t>
            </w:r>
          </w:p>
        </w:tc>
        <w:tc>
          <w:tcPr>
            <w:tcW w:w="4508" w:type="dxa"/>
            <w:tcBorders>
              <w:top w:val="nil"/>
              <w:left w:val="nil"/>
              <w:bottom w:val="nil"/>
              <w:right w:val="nil"/>
            </w:tcBorders>
          </w:tcPr>
          <w:p w14:paraId="307A5017" w14:textId="30CCCA35" w:rsidR="00FD378F" w:rsidRPr="00DF6C69" w:rsidRDefault="00FD378F" w:rsidP="002C1E68">
            <w:pPr>
              <w:jc w:val="center"/>
            </w:pPr>
            <w:r w:rsidRPr="00DF6C69">
              <w:t>(b)</w:t>
            </w:r>
          </w:p>
        </w:tc>
      </w:tr>
      <w:tr w:rsidR="00FD378F" w:rsidRPr="00DF6C69" w14:paraId="01AE782D" w14:textId="77777777" w:rsidTr="002C1E68">
        <w:tc>
          <w:tcPr>
            <w:tcW w:w="9016" w:type="dxa"/>
            <w:gridSpan w:val="2"/>
            <w:tcBorders>
              <w:top w:val="nil"/>
              <w:left w:val="nil"/>
              <w:bottom w:val="nil"/>
              <w:right w:val="nil"/>
            </w:tcBorders>
          </w:tcPr>
          <w:p w14:paraId="0586065B" w14:textId="40016246" w:rsidR="00FD378F" w:rsidRPr="00DF6C69" w:rsidRDefault="00FD378F" w:rsidP="00B81226">
            <w:pPr>
              <w:pStyle w:val="Caption"/>
            </w:pPr>
            <w:bookmarkStart w:id="13" w:name="_Ref43219800"/>
            <w:r w:rsidRPr="00DF6C69">
              <w:t xml:space="preserve">Figure </w:t>
            </w:r>
            <w:fldSimple w:instr=" SEQ Figure \* ARABIC ">
              <w:r w:rsidR="00645E46" w:rsidRPr="00DF6C69">
                <w:rPr>
                  <w:noProof/>
                </w:rPr>
                <w:t>1</w:t>
              </w:r>
            </w:fldSimple>
            <w:bookmarkEnd w:id="13"/>
            <w:r w:rsidRPr="00DF6C69">
              <w:t xml:space="preserve">. (a) </w:t>
            </w:r>
            <w:r w:rsidR="00B81226" w:rsidRPr="00DF6C69">
              <w:t>A m</w:t>
            </w:r>
            <w:r w:rsidRPr="00DF6C69">
              <w:t>icrograph of the CMOS chip</w:t>
            </w:r>
            <w:r w:rsidR="00D512DD" w:rsidRPr="00DF6C69">
              <w:t xml:space="preserve"> showing its layout</w:t>
            </w:r>
            <w:r w:rsidRPr="00DF6C69">
              <w:t xml:space="preserve"> and (</w:t>
            </w:r>
            <w:r w:rsidR="00B81226" w:rsidRPr="00DF6C69">
              <w:t>b</w:t>
            </w:r>
            <w:r w:rsidRPr="00DF6C69">
              <w:t xml:space="preserve">) </w:t>
            </w:r>
            <w:r w:rsidR="00D512DD" w:rsidRPr="00DF6C69">
              <w:t>t</w:t>
            </w:r>
            <w:r w:rsidRPr="00DF6C69">
              <w:t>he CMOS chip</w:t>
            </w:r>
            <w:r w:rsidR="00D512DD" w:rsidRPr="00DF6C69">
              <w:t>,</w:t>
            </w:r>
            <w:r w:rsidRPr="00DF6C69">
              <w:t xml:space="preserve"> that is 3.4</w:t>
            </w:r>
            <w:r w:rsidR="00592C73" w:rsidRPr="00DF6C69">
              <w:t> </w:t>
            </w:r>
            <w:r w:rsidRPr="00DF6C69">
              <w:t>x</w:t>
            </w:r>
            <w:r w:rsidR="00592C73" w:rsidRPr="00DF6C69">
              <w:t> </w:t>
            </w:r>
            <w:r w:rsidRPr="00DF6C69">
              <w:t>3.6</w:t>
            </w:r>
            <w:r w:rsidR="00592C73" w:rsidRPr="00DF6C69">
              <w:t> </w:t>
            </w:r>
            <w:r w:rsidRPr="00DF6C69">
              <w:t>mm</w:t>
            </w:r>
            <w:r w:rsidR="00D512DD" w:rsidRPr="00DF6C69">
              <w:t>,</w:t>
            </w:r>
            <w:r w:rsidRPr="00DF6C69">
              <w:t xml:space="preserve"> compared to a</w:t>
            </w:r>
            <w:r w:rsidR="00B81226" w:rsidRPr="00DF6C69">
              <w:t xml:space="preserve"> grain of</w:t>
            </w:r>
            <w:r w:rsidRPr="00DF6C69">
              <w:t xml:space="preserve"> rice gra</w:t>
            </w:r>
            <w:r w:rsidR="00B81226" w:rsidRPr="00DF6C69">
              <w:t>in</w:t>
            </w:r>
            <w:r w:rsidRPr="00DF6C69">
              <w:t>.</w:t>
            </w:r>
          </w:p>
        </w:tc>
      </w:tr>
    </w:tbl>
    <w:p w14:paraId="57A91FD0" w14:textId="45EA59CA" w:rsidR="002C1E68" w:rsidRPr="00DF6C69" w:rsidRDefault="002C1E68" w:rsidP="000765CF">
      <w:pPr>
        <w:rPr>
          <w:lang w:eastAsia="en-GB"/>
        </w:rPr>
      </w:pPr>
      <w:bookmarkStart w:id="14" w:name="_Ref32678383"/>
    </w:p>
    <w:p w14:paraId="4A836755" w14:textId="77777777" w:rsidR="00F8409D" w:rsidRPr="00DF6C69" w:rsidRDefault="00F8409D" w:rsidP="000765CF">
      <w:pPr>
        <w:rPr>
          <w:lang w:eastAsia="en-GB"/>
        </w:rPr>
      </w:pPr>
    </w:p>
    <w:p w14:paraId="415B0CBB" w14:textId="3AF4AD4C" w:rsidR="000765CF" w:rsidRPr="00DF6C69" w:rsidRDefault="000765CF" w:rsidP="000765CF">
      <w:pPr>
        <w:rPr>
          <w:lang w:eastAsia="en-GB"/>
        </w:rPr>
      </w:pPr>
      <w:r w:rsidRPr="00DF6C69">
        <w:rPr>
          <w:rFonts w:ascii="Times New Roman" w:hAnsi="Times New Roman" w:cs="Times New Roman"/>
          <w:noProof/>
          <w:sz w:val="20"/>
          <w:szCs w:val="20"/>
        </w:rPr>
        <w:drawing>
          <wp:inline distT="0" distB="0" distL="0" distR="0" wp14:anchorId="2EF68CC3" wp14:editId="2A04824D">
            <wp:extent cx="5719379" cy="3163062"/>
            <wp:effectExtent l="0" t="0" r="0" b="0"/>
            <wp:docPr id="14349" name="Picture 1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93" t="2595" r="6947" b="7551"/>
                    <a:stretch/>
                  </pic:blipFill>
                  <pic:spPr bwMode="auto">
                    <a:xfrm>
                      <a:off x="0" y="0"/>
                      <a:ext cx="5762184" cy="3186735"/>
                    </a:xfrm>
                    <a:prstGeom prst="rect">
                      <a:avLst/>
                    </a:prstGeom>
                    <a:noFill/>
                    <a:ln>
                      <a:noFill/>
                    </a:ln>
                    <a:extLst>
                      <a:ext uri="{53640926-AAD7-44D8-BBD7-CCE9431645EC}">
                        <a14:shadowObscured xmlns:a14="http://schemas.microsoft.com/office/drawing/2010/main"/>
                      </a:ext>
                    </a:extLst>
                  </pic:spPr>
                </pic:pic>
              </a:graphicData>
            </a:graphic>
          </wp:inline>
        </w:drawing>
      </w:r>
    </w:p>
    <w:p w14:paraId="01B888DD" w14:textId="4843FF1E" w:rsidR="00511FB3" w:rsidRPr="00DF6C69" w:rsidRDefault="000765CF" w:rsidP="00511FB3">
      <w:pPr>
        <w:pStyle w:val="Caption"/>
      </w:pPr>
      <w:bookmarkStart w:id="15" w:name="_Ref41921324"/>
      <w:r w:rsidRPr="00DF6C69">
        <w:t xml:space="preserve">Figure </w:t>
      </w:r>
      <w:fldSimple w:instr=" SEQ Figure \* ARABIC ">
        <w:r w:rsidR="00645E46" w:rsidRPr="00DF6C69">
          <w:rPr>
            <w:noProof/>
          </w:rPr>
          <w:t>2</w:t>
        </w:r>
      </w:fldSimple>
      <w:bookmarkEnd w:id="14"/>
      <w:bookmarkEnd w:id="15"/>
      <w:r w:rsidR="00EF1906" w:rsidRPr="00DF6C69">
        <w:t>.</w:t>
      </w:r>
      <w:r w:rsidRPr="00DF6C69">
        <w:t xml:space="preserve"> (a) </w:t>
      </w:r>
      <w:r w:rsidR="000D700E" w:rsidRPr="00DF6C69">
        <w:t>A double</w:t>
      </w:r>
      <w:r w:rsidR="00A271FC" w:rsidRPr="00DF6C69">
        <w:t xml:space="preserve"> layer of</w:t>
      </w:r>
      <w:r w:rsidR="000D700E" w:rsidRPr="00DF6C69">
        <w:t xml:space="preserve"> </w:t>
      </w:r>
      <w:r w:rsidRPr="00DF6C69">
        <w:t xml:space="preserve">SU-8 3050 is spin-coated onto a silicon wafer. (b) Photolithography process. (c) Development and final SU-8 microstructure. (d) The surface of the mould is </w:t>
      </w:r>
      <w:proofErr w:type="spellStart"/>
      <w:r w:rsidRPr="00DF6C69">
        <w:t>silanized</w:t>
      </w:r>
      <w:proofErr w:type="spellEnd"/>
      <w:r w:rsidRPr="00DF6C69">
        <w:t xml:space="preserve">. (e) PDMS is cast onto the mould. (f) PDMS is cured and peeled off the mould. (g) PDMS microstructure is temporarily bond onto the </w:t>
      </w:r>
      <w:r w:rsidR="00167213" w:rsidRPr="00DF6C69">
        <w:t>chip</w:t>
      </w:r>
      <w:r w:rsidRPr="00DF6C69">
        <w:t xml:space="preserve">. (h) The chip is permanently bonded to the chip package. (i) The chip is wire-bonded. (j) Epoxy channels are fabricated using injection moulding. Epoxy also encapsulates the wire bonds. (k) The PDMS microstructure is removed. (l) A </w:t>
      </w:r>
      <w:r w:rsidR="0064172B" w:rsidRPr="00DF6C69">
        <w:t xml:space="preserve">planar </w:t>
      </w:r>
      <w:r w:rsidRPr="00DF6C69">
        <w:t xml:space="preserve">slab of PDMS is PVA coated. (m) The PVA-coated PDMS slab is bonded onto the epoxy microstructure. (n) </w:t>
      </w:r>
      <w:r w:rsidR="0064172B" w:rsidRPr="00DF6C69">
        <w:t>Enzymatic reag</w:t>
      </w:r>
      <w:r w:rsidR="007E4AC8" w:rsidRPr="00DF6C69">
        <w:t>ents</w:t>
      </w:r>
      <w:r w:rsidR="0064172B" w:rsidRPr="00DF6C69">
        <w:t xml:space="preserve"> </w:t>
      </w:r>
      <w:r w:rsidRPr="00DF6C69">
        <w:t xml:space="preserve">are loaded into the microchannels. </w:t>
      </w:r>
    </w:p>
    <w:p w14:paraId="46FD2A81" w14:textId="77777777" w:rsidR="00511FB3" w:rsidRPr="00DF6C69" w:rsidRDefault="00511FB3">
      <w:pPr>
        <w:spacing w:line="259" w:lineRule="auto"/>
        <w:jc w:val="left"/>
        <w:rPr>
          <w:rFonts w:eastAsia="Times New Roman" w:cs="Times New Roman"/>
          <w:i/>
          <w:iCs/>
          <w:color w:val="000000" w:themeColor="text1"/>
          <w:szCs w:val="18"/>
          <w:lang w:eastAsia="en-GB"/>
        </w:rPr>
      </w:pPr>
      <w:r w:rsidRPr="00DF6C69">
        <w:br w:type="page"/>
      </w:r>
    </w:p>
    <w:p w14:paraId="2950D5EE" w14:textId="4401B13D" w:rsidR="006B528C" w:rsidRPr="00DF6C69" w:rsidRDefault="006B528C" w:rsidP="00677BC3">
      <w:pPr>
        <w:pStyle w:val="Heading2"/>
        <w:numPr>
          <w:ilvl w:val="1"/>
          <w:numId w:val="2"/>
        </w:numPr>
      </w:pPr>
      <w:bookmarkStart w:id="16" w:name="_Toc41997378"/>
      <w:r w:rsidRPr="00DF6C69">
        <w:lastRenderedPageBreak/>
        <w:t>The Reader</w:t>
      </w:r>
      <w:bookmarkEnd w:id="16"/>
    </w:p>
    <w:p w14:paraId="3C7C2EA3" w14:textId="01991E41" w:rsidR="005E677B" w:rsidRPr="00DF6C69" w:rsidRDefault="006B528C" w:rsidP="005E677B">
      <w:r w:rsidRPr="00DF6C69">
        <w:t xml:space="preserve">The reader is composed of a </w:t>
      </w:r>
      <w:r w:rsidR="00EC7024" w:rsidRPr="00DF6C69">
        <w:t>custom-</w:t>
      </w:r>
      <w:r w:rsidRPr="00DF6C69">
        <w:t>PCB</w:t>
      </w:r>
      <w:r w:rsidR="00B01C3C" w:rsidRPr="00DF6C69">
        <w:t xml:space="preserve">, </w:t>
      </w:r>
      <w:r w:rsidRPr="00DF6C69">
        <w:t xml:space="preserve">a </w:t>
      </w:r>
      <w:r w:rsidR="00415DCC" w:rsidRPr="00DF6C69">
        <w:t xml:space="preserve">ST Nucleo F334R8 </w:t>
      </w:r>
      <w:r w:rsidRPr="00DF6C69">
        <w:t>microcontroller board</w:t>
      </w:r>
      <w:r w:rsidR="00B01C3C" w:rsidRPr="00DF6C69">
        <w:t xml:space="preserve"> </w:t>
      </w:r>
      <w:r w:rsidR="00B262FE" w:rsidRPr="00DF6C69">
        <w:t xml:space="preserve">and a data </w:t>
      </w:r>
      <w:r w:rsidR="00C35AE4" w:rsidRPr="00DF6C69">
        <w:t>communication</w:t>
      </w:r>
      <w:r w:rsidR="00B262FE" w:rsidRPr="00DF6C69">
        <w:t xml:space="preserve"> module</w:t>
      </w:r>
      <w:r w:rsidRPr="00DF6C69">
        <w:t xml:space="preserve">. </w:t>
      </w:r>
      <w:r w:rsidR="00FC0F76" w:rsidRPr="00DF6C69">
        <w:t xml:space="preserve">The cartridge is fitted to the PCB using a </w:t>
      </w:r>
      <w:r w:rsidR="005E677B" w:rsidRPr="00DF6C69">
        <w:t>zero-insertion</w:t>
      </w:r>
      <w:r w:rsidRPr="00DF6C69">
        <w:t xml:space="preserve"> </w:t>
      </w:r>
      <w:r w:rsidR="00FC0F76" w:rsidRPr="00DF6C69">
        <w:t>f</w:t>
      </w:r>
      <w:r w:rsidRPr="00DF6C69">
        <w:t xml:space="preserve">orce (ZIF) socket. The PCB </w:t>
      </w:r>
      <w:r w:rsidR="008E39EE" w:rsidRPr="00DF6C69">
        <w:t>provided</w:t>
      </w:r>
      <w:r w:rsidR="002A7801" w:rsidRPr="00DF6C69">
        <w:t xml:space="preserve"> a</w:t>
      </w:r>
      <w:r w:rsidRPr="00DF6C69">
        <w:t xml:space="preserve"> </w:t>
      </w:r>
      <w:r w:rsidR="00357BA2" w:rsidRPr="00DF6C69">
        <w:t xml:space="preserve">3.3 V </w:t>
      </w:r>
      <w:r w:rsidR="00FC0F76" w:rsidRPr="00DF6C69">
        <w:t xml:space="preserve">power </w:t>
      </w:r>
      <w:r w:rsidRPr="00DF6C69">
        <w:t>supply</w:t>
      </w:r>
      <w:r w:rsidR="008E39EE" w:rsidRPr="00DF6C69">
        <w:t xml:space="preserve"> to the chip</w:t>
      </w:r>
      <w:r w:rsidR="005C0272" w:rsidRPr="00DF6C69">
        <w:t xml:space="preserve"> and the interface to the microcontroller board</w:t>
      </w:r>
      <w:r w:rsidR="009F1C4D" w:rsidRPr="00DF6C69">
        <w:t>.</w:t>
      </w:r>
      <w:r w:rsidRPr="00DF6C69">
        <w:t xml:space="preserve"> The microcontroller </w:t>
      </w:r>
      <w:r w:rsidR="00D34D12" w:rsidRPr="00DF6C69">
        <w:t xml:space="preserve">digitally </w:t>
      </w:r>
      <w:r w:rsidR="00481800" w:rsidRPr="00DF6C69">
        <w:t>addresse</w:t>
      </w:r>
      <w:r w:rsidR="00D34D12" w:rsidRPr="00DF6C69">
        <w:t>d</w:t>
      </w:r>
      <w:r w:rsidRPr="00DF6C69">
        <w:t xml:space="preserve"> the array</w:t>
      </w:r>
      <w:r w:rsidR="000C62BA" w:rsidRPr="00DF6C69">
        <w:t xml:space="preserve"> elements</w:t>
      </w:r>
      <w:r w:rsidRPr="00DF6C69">
        <w:t xml:space="preserve">, </w:t>
      </w:r>
      <w:r w:rsidR="000C62BA" w:rsidRPr="00DF6C69">
        <w:t>digitise</w:t>
      </w:r>
      <w:r w:rsidR="00592B24" w:rsidRPr="00DF6C69">
        <w:t>d</w:t>
      </w:r>
      <w:r w:rsidR="000C62BA" w:rsidRPr="00DF6C69">
        <w:t xml:space="preserve"> the </w:t>
      </w:r>
      <w:proofErr w:type="gramStart"/>
      <w:r w:rsidR="00620BBB" w:rsidRPr="00DF6C69">
        <w:t>d</w:t>
      </w:r>
      <w:r w:rsidRPr="00DF6C69">
        <w:t>ata</w:t>
      </w:r>
      <w:proofErr w:type="gramEnd"/>
      <w:r w:rsidRPr="00DF6C69">
        <w:t xml:space="preserve"> and </w:t>
      </w:r>
      <w:r w:rsidR="000C62BA" w:rsidRPr="00DF6C69">
        <w:t>transmit</w:t>
      </w:r>
      <w:r w:rsidR="00592B24" w:rsidRPr="00DF6C69">
        <w:t>ted</w:t>
      </w:r>
      <w:r w:rsidR="000C62BA" w:rsidRPr="00DF6C69">
        <w:t xml:space="preserve"> it</w:t>
      </w:r>
      <w:r w:rsidRPr="00DF6C69">
        <w:t xml:space="preserve"> to the GUI</w:t>
      </w:r>
      <w:r w:rsidR="00222914" w:rsidRPr="00DF6C69">
        <w:t xml:space="preserve"> via the communications module</w:t>
      </w:r>
      <w:r w:rsidR="000C62BA" w:rsidRPr="00DF6C69">
        <w:t xml:space="preserve">. </w:t>
      </w:r>
      <w:r w:rsidR="009F1C4D" w:rsidRPr="00DF6C69">
        <w:t xml:space="preserve">The ST Nucleo F334R8 board integrates a 32-bit ARM Cortex CPU, 64kb flash memory, 12kb SRAM and a 12-bit ADC that was programmed with custom firmware </w:t>
      </w:r>
      <w:r w:rsidR="009F1C4D" w:rsidRPr="00DF6C69">
        <w:fldChar w:fldCharType="begin" w:fldLock="1"/>
      </w:r>
      <w:r w:rsidR="009F1C4D" w:rsidRPr="00DF6C69">
        <w:instrText>ADDIN CSL_CITATION {"citationItems":[{"id":"ITEM-1","itemData":{"URL":"https://www.st.com/en/evaluation-tools/nucleo-f334r8.html","accessed":{"date-parts":[["2020","2","5"]]},"id":"ITEM-1","issued":{"date-parts":[["0"]]},"title":"NUCLEO-F334R8 - STM32 Nucleo-64 development board with STM32F334R8 MCU, supports Arduino and ST morpho connectivity - STMicroelectronics","type":"webpage"},"uris":["http://www.mendeley.com/documents/?uuid=0065e3c6-ba0c-3f9a-adca-4d7ce9899bce"]}],"mendeley":{"formattedCitation":"[79]","plainTextFormattedCitation":"[79]","previouslyFormattedCitation":"[79]"},"properties":{"noteIndex":0},"schema":"https://github.com/citation-style-language/schema/raw/master/csl-citation.json"}</w:instrText>
      </w:r>
      <w:r w:rsidR="009F1C4D" w:rsidRPr="00DF6C69">
        <w:fldChar w:fldCharType="separate"/>
      </w:r>
      <w:r w:rsidR="009F1C4D" w:rsidRPr="00DF6C69">
        <w:t>[79]</w:t>
      </w:r>
      <w:r w:rsidR="009F1C4D" w:rsidRPr="00DF6C69">
        <w:fldChar w:fldCharType="end"/>
      </w:r>
      <w:r w:rsidR="009F1C4D" w:rsidRPr="00DF6C69">
        <w:t>.</w:t>
      </w:r>
      <w:r w:rsidR="00FF3A28" w:rsidRPr="00DF6C69">
        <w:t xml:space="preserve"> </w:t>
      </w:r>
      <w:r w:rsidR="000C62BA" w:rsidRPr="00DF6C69">
        <w:t xml:space="preserve">The reader </w:t>
      </w:r>
      <w:r w:rsidR="00FF3A28" w:rsidRPr="00DF6C69">
        <w:t>was</w:t>
      </w:r>
      <w:r w:rsidR="000C62BA" w:rsidRPr="00DF6C69">
        <w:t xml:space="preserve"> connected to the GUI device</w:t>
      </w:r>
      <w:r w:rsidR="00CD0D04" w:rsidRPr="00DF6C69">
        <w:t xml:space="preserve"> via a</w:t>
      </w:r>
      <w:r w:rsidRPr="00DF6C69">
        <w:t xml:space="preserve"> USB link</w:t>
      </w:r>
      <w:r w:rsidR="00CD0D04" w:rsidRPr="00DF6C69">
        <w:t xml:space="preserve"> for power and ground. </w:t>
      </w:r>
      <w:r w:rsidR="00203E99" w:rsidRPr="00DF6C69">
        <w:t>To increase the c</w:t>
      </w:r>
      <w:r w:rsidRPr="00DF6C69">
        <w:t>ommunication</w:t>
      </w:r>
      <w:r w:rsidR="00203E99" w:rsidRPr="00DF6C69">
        <w:t xml:space="preserve"> </w:t>
      </w:r>
      <w:r w:rsidR="00BD4CF2" w:rsidRPr="00DF6C69">
        <w:t>speed</w:t>
      </w:r>
      <w:r w:rsidRPr="00DF6C69">
        <w:t xml:space="preserve"> between</w:t>
      </w:r>
      <w:r w:rsidR="0027687D" w:rsidRPr="00DF6C69">
        <w:t xml:space="preserve"> the</w:t>
      </w:r>
      <w:r w:rsidRPr="00DF6C69">
        <w:t xml:space="preserve"> reader and </w:t>
      </w:r>
      <w:r w:rsidR="0052405C" w:rsidRPr="00DF6C69">
        <w:t xml:space="preserve">the </w:t>
      </w:r>
      <w:r w:rsidRPr="00DF6C69">
        <w:t>GUI</w:t>
      </w:r>
      <w:r w:rsidR="00203E99" w:rsidRPr="00DF6C69">
        <w:t xml:space="preserve"> a FT231X</w:t>
      </w:r>
      <w:r w:rsidRPr="00DF6C69">
        <w:t xml:space="preserve"> Universal Asynchronous Receiver/Transmitter (UART)</w:t>
      </w:r>
      <w:r w:rsidR="00BD4CF2" w:rsidRPr="00DF6C69">
        <w:t xml:space="preserve"> with a Baud rate of 921,600</w:t>
      </w:r>
      <w:r w:rsidR="009655EE" w:rsidRPr="00DF6C69">
        <w:t xml:space="preserve"> (</w:t>
      </w:r>
      <w:proofErr w:type="spellStart"/>
      <w:r w:rsidRPr="00DF6C69">
        <w:t>Sparkfun</w:t>
      </w:r>
      <w:proofErr w:type="spellEnd"/>
      <w:r w:rsidRPr="00DF6C69">
        <w:t xml:space="preserve"> electronics</w:t>
      </w:r>
      <w:r w:rsidR="009655EE" w:rsidRPr="00DF6C69">
        <w:t>)</w:t>
      </w:r>
      <w:r w:rsidRPr="00DF6C69">
        <w:t xml:space="preserve"> was plugged into the PCB. </w:t>
      </w:r>
      <w:r w:rsidR="005E677B" w:rsidRPr="00DF6C69">
        <w:t>The custom firmware for the microcontroller was developed on the ‘</w:t>
      </w:r>
      <w:proofErr w:type="spellStart"/>
      <w:r w:rsidR="005E677B" w:rsidRPr="00DF6C69">
        <w:t>mbed</w:t>
      </w:r>
      <w:proofErr w:type="spellEnd"/>
      <w:r w:rsidR="005E677B" w:rsidRPr="00DF6C69">
        <w:t xml:space="preserve">’ online compiler using C++ </w:t>
      </w:r>
      <w:r w:rsidR="005E677B" w:rsidRPr="00DF6C69">
        <w:fldChar w:fldCharType="begin" w:fldLock="1"/>
      </w:r>
      <w:r w:rsidR="009F40F2" w:rsidRPr="00DF6C69">
        <w:instrText>ADDIN CSL_CITATION {"citationItems":[{"id":"ITEM-1","itemData":{"URL":"https://ide.mbed.com/compiler/#nav:/;","accessed":{"date-parts":[["2020","2","5"]]},"id":"ITEM-1","issued":{"date-parts":[["0"]]},"title":"Mbed Compiler Workspace Management","type":"webpage"},"uris":["http://www.mendeley.com/documents/?uuid=af2f6aaa-8a8e-3aa5-992c-dce9def25099"]}],"mendeley":{"formattedCitation":"[80]","plainTextFormattedCitation":"[80]","previouslyFormattedCitation":"[80]"},"properties":{"noteIndex":0},"schema":"https://github.com/citation-style-language/schema/raw/master/csl-citation.json"}</w:instrText>
      </w:r>
      <w:r w:rsidR="005E677B" w:rsidRPr="00DF6C69">
        <w:fldChar w:fldCharType="separate"/>
      </w:r>
      <w:r w:rsidR="0053537D" w:rsidRPr="00DF6C69">
        <w:t>[80]</w:t>
      </w:r>
      <w:r w:rsidR="005E677B" w:rsidRPr="00DF6C69">
        <w:fldChar w:fldCharType="end"/>
      </w:r>
      <w:r w:rsidR="005E677B" w:rsidRPr="00DF6C69">
        <w:t xml:space="preserve">. </w:t>
      </w:r>
      <w:r w:rsidR="004407DB" w:rsidRPr="00DF6C69">
        <w:t xml:space="preserve">The firmware </w:t>
      </w:r>
      <w:r w:rsidR="00107E7E" w:rsidRPr="00DF6C69">
        <w:t>implemented</w:t>
      </w:r>
      <w:r w:rsidR="004407DB" w:rsidRPr="00DF6C69">
        <w:t xml:space="preserve"> a</w:t>
      </w:r>
      <w:r w:rsidR="005E677B" w:rsidRPr="00DF6C69">
        <w:t xml:space="preserve"> continuous loop performing sensor reset, sequential reading</w:t>
      </w:r>
      <w:r w:rsidR="00107E7E" w:rsidRPr="00DF6C69">
        <w:t xml:space="preserve"> of the photodiodes in the array</w:t>
      </w:r>
      <w:r w:rsidR="005E677B" w:rsidRPr="00DF6C69">
        <w:t xml:space="preserve">, </w:t>
      </w:r>
      <w:proofErr w:type="gramStart"/>
      <w:r w:rsidR="005E677B" w:rsidRPr="00DF6C69">
        <w:t>digitisation</w:t>
      </w:r>
      <w:proofErr w:type="gramEnd"/>
      <w:r w:rsidR="005E677B" w:rsidRPr="00DF6C69">
        <w:t xml:space="preserve"> and transmission of the </w:t>
      </w:r>
      <w:r w:rsidR="00BA4418" w:rsidRPr="00DF6C69">
        <w:t>data</w:t>
      </w:r>
      <w:r w:rsidR="005E677B" w:rsidRPr="00DF6C69">
        <w:t>.  The PCB, UART module and the microcontroller board</w:t>
      </w:r>
      <w:r w:rsidR="000F0C03" w:rsidRPr="00DF6C69">
        <w:t xml:space="preserve">, that </w:t>
      </w:r>
      <w:r w:rsidR="005E677B" w:rsidRPr="00DF6C69">
        <w:t>were stacked together to complete the reader</w:t>
      </w:r>
      <w:r w:rsidR="000F0C03" w:rsidRPr="00DF6C69">
        <w:t>,</w:t>
      </w:r>
      <w:r w:rsidR="005E677B" w:rsidRPr="00DF6C69">
        <w:t xml:space="preserve"> are individually shown in </w:t>
      </w:r>
      <w:r w:rsidR="005E677B" w:rsidRPr="00DF6C69">
        <w:fldChar w:fldCharType="begin"/>
      </w:r>
      <w:r w:rsidR="005E677B" w:rsidRPr="00DF6C69">
        <w:instrText xml:space="preserve"> REF _Ref32676525 \h  \* MERGEFORMAT </w:instrText>
      </w:r>
      <w:r w:rsidR="005E677B" w:rsidRPr="00DF6C69">
        <w:fldChar w:fldCharType="separate"/>
      </w:r>
      <w:r w:rsidR="00645E46" w:rsidRPr="00DF6C69">
        <w:t>Figure 3</w:t>
      </w:r>
      <w:r w:rsidR="005E677B" w:rsidRPr="00DF6C69">
        <w:fldChar w:fldCharType="end"/>
      </w:r>
      <w:r w:rsidR="005E677B" w:rsidRPr="00DF6C69">
        <w:t>.</w:t>
      </w:r>
    </w:p>
    <w:p w14:paraId="30096EDA" w14:textId="77777777" w:rsidR="000F1754" w:rsidRPr="00DF6C69" w:rsidRDefault="000F1754" w:rsidP="005E677B">
      <w:bookmarkStart w:id="17" w:name="_Hlk54691654"/>
    </w:p>
    <w:p w14:paraId="179B74E4" w14:textId="77777777" w:rsidR="004B0C55" w:rsidRPr="00DF6C69" w:rsidRDefault="004B0C55" w:rsidP="00677BC3">
      <w:pPr>
        <w:pStyle w:val="Heading2"/>
        <w:numPr>
          <w:ilvl w:val="1"/>
          <w:numId w:val="2"/>
        </w:numPr>
      </w:pPr>
      <w:bookmarkStart w:id="18" w:name="_Toc41997379"/>
      <w:r w:rsidRPr="00DF6C69">
        <w:t>The Graphical User Interface (GUI)</w:t>
      </w:r>
      <w:bookmarkEnd w:id="18"/>
      <w:r w:rsidRPr="00DF6C69">
        <w:t xml:space="preserve"> </w:t>
      </w:r>
    </w:p>
    <w:p w14:paraId="0B368A07" w14:textId="1612F678" w:rsidR="005E677B" w:rsidRPr="00DF6C69" w:rsidRDefault="004B0C55" w:rsidP="00A90363">
      <w:r w:rsidRPr="00DF6C69">
        <w:t xml:space="preserve">The GUI was developed using the Matlab-based graphic user interface development tool (GUIDE) that can run on any Microsoft-based portable device. In this work, a laptop (HP EliteBook 830 G5) </w:t>
      </w:r>
      <w:r w:rsidR="006E357D" w:rsidRPr="00DF6C69">
        <w:t>was used</w:t>
      </w:r>
      <w:r w:rsidRPr="00DF6C69">
        <w:t xml:space="preserve"> to host the GUI.  The GUI receives binary data from the reader, and it is used for data collection, visualisation, </w:t>
      </w:r>
      <w:r w:rsidR="00A756FF" w:rsidRPr="00DF6C69">
        <w:t>processing,</w:t>
      </w:r>
      <w:r w:rsidRPr="00DF6C69">
        <w:t xml:space="preserve"> and analysis. A flow chart of the primary operations performed by the GUI is </w:t>
      </w:r>
      <w:r w:rsidR="003F24FF" w:rsidRPr="00DF6C69">
        <w:t>shown</w:t>
      </w:r>
      <w:r w:rsidRPr="00DF6C69">
        <w:t xml:space="preserve"> in </w:t>
      </w:r>
      <w:r w:rsidRPr="00DF6C69">
        <w:fldChar w:fldCharType="begin"/>
      </w:r>
      <w:r w:rsidRPr="00DF6C69">
        <w:instrText xml:space="preserve"> REF _Ref31891452 \h  \* MERGEFORMAT </w:instrText>
      </w:r>
      <w:r w:rsidRPr="00DF6C69">
        <w:fldChar w:fldCharType="separate"/>
      </w:r>
      <w:r w:rsidR="00645E46" w:rsidRPr="00DF6C69">
        <w:t>Figure 4</w:t>
      </w:r>
      <w:r w:rsidRPr="00DF6C69">
        <w:fldChar w:fldCharType="end"/>
      </w:r>
      <w:r w:rsidR="00A756FF" w:rsidRPr="00DF6C69">
        <w:t>(a)</w:t>
      </w:r>
      <w:r w:rsidRPr="00DF6C69">
        <w:t xml:space="preserve">. The GUI </w:t>
      </w:r>
      <w:r w:rsidR="00B22540" w:rsidRPr="00DF6C69">
        <w:t>has</w:t>
      </w:r>
      <w:r w:rsidRPr="00DF6C69">
        <w:t xml:space="preserve"> two mod</w:t>
      </w:r>
      <w:r w:rsidR="00B22540" w:rsidRPr="00DF6C69">
        <w:t>es of operation</w:t>
      </w:r>
      <w:r w:rsidRPr="00DF6C69">
        <w:t xml:space="preserve">: data-acquisition and data-analysis. When working in </w:t>
      </w:r>
      <w:r w:rsidR="009431DC" w:rsidRPr="00DF6C69">
        <w:t xml:space="preserve">the </w:t>
      </w:r>
      <w:r w:rsidRPr="00DF6C69">
        <w:t xml:space="preserve">data acquisition mode, the GUI is used in conjunction with the reader and the cartridge to collect, </w:t>
      </w:r>
      <w:r w:rsidR="00E45FDC" w:rsidRPr="00DF6C69">
        <w:t>display</w:t>
      </w:r>
      <w:r w:rsidRPr="00DF6C69">
        <w:t xml:space="preserve"> and save data. This is the modality </w:t>
      </w:r>
      <w:r w:rsidR="007D1336" w:rsidRPr="00DF6C69">
        <w:t xml:space="preserve">used </w:t>
      </w:r>
      <w:r w:rsidRPr="00DF6C69">
        <w:t xml:space="preserve">for monitoring colorimetric reactions. The data analysis mode was used to process data once </w:t>
      </w:r>
      <w:r w:rsidR="00EB2E23" w:rsidRPr="00DF6C69">
        <w:t>an</w:t>
      </w:r>
      <w:r w:rsidRPr="00DF6C69">
        <w:t xml:space="preserve"> experiment </w:t>
      </w:r>
      <w:r w:rsidR="00EB2E23" w:rsidRPr="00DF6C69">
        <w:t>was</w:t>
      </w:r>
      <w:r w:rsidRPr="00DF6C69">
        <w:t xml:space="preserve"> completed.</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8409D" w:rsidRPr="00DF6C69" w14:paraId="0B04D2CC" w14:textId="77777777" w:rsidTr="00F03F50">
        <w:trPr>
          <w:trHeight w:val="3597"/>
        </w:trPr>
        <w:tc>
          <w:tcPr>
            <w:tcW w:w="9072" w:type="dxa"/>
          </w:tcPr>
          <w:p w14:paraId="5414F834" w14:textId="77777777" w:rsidR="00F8409D" w:rsidRPr="00DF6C69" w:rsidRDefault="00F8409D" w:rsidP="00F03F50">
            <w:pPr>
              <w:jc w:val="center"/>
              <w:rPr>
                <w:rFonts w:ascii="Times New Roman" w:hAnsi="Times New Roman" w:cs="Times New Roman"/>
                <w:sz w:val="20"/>
                <w:szCs w:val="20"/>
              </w:rPr>
            </w:pPr>
          </w:p>
          <w:p w14:paraId="53B0EFBF" w14:textId="77777777" w:rsidR="00F8409D" w:rsidRPr="00DF6C69" w:rsidRDefault="00F8409D" w:rsidP="00F03F50">
            <w:pPr>
              <w:jc w:val="center"/>
              <w:rPr>
                <w:rFonts w:ascii="Times New Roman" w:hAnsi="Times New Roman" w:cs="Times New Roman"/>
                <w:sz w:val="20"/>
                <w:szCs w:val="20"/>
              </w:rPr>
            </w:pPr>
            <w:r w:rsidRPr="00DF6C69">
              <w:rPr>
                <w:rFonts w:ascii="Times New Roman" w:hAnsi="Times New Roman" w:cs="Times New Roman"/>
                <w:noProof/>
                <w:sz w:val="20"/>
                <w:szCs w:val="20"/>
              </w:rPr>
              <w:drawing>
                <wp:inline distT="0" distB="0" distL="0" distR="0" wp14:anchorId="4A0EBD9D" wp14:editId="328CFE56">
                  <wp:extent cx="3381375" cy="2130064"/>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958" t="14431" r="8840" b="12588"/>
                          <a:stretch/>
                        </pic:blipFill>
                        <pic:spPr bwMode="auto">
                          <a:xfrm>
                            <a:off x="0" y="0"/>
                            <a:ext cx="3399290" cy="2141349"/>
                          </a:xfrm>
                          <a:prstGeom prst="rect">
                            <a:avLst/>
                          </a:prstGeom>
                          <a:noFill/>
                          <a:ln>
                            <a:noFill/>
                          </a:ln>
                          <a:extLst>
                            <a:ext uri="{53640926-AAD7-44D8-BBD7-CCE9431645EC}">
                              <a14:shadowObscured xmlns:a14="http://schemas.microsoft.com/office/drawing/2010/main"/>
                            </a:ext>
                          </a:extLst>
                        </pic:spPr>
                      </pic:pic>
                    </a:graphicData>
                  </a:graphic>
                </wp:inline>
              </w:drawing>
            </w:r>
          </w:p>
          <w:p w14:paraId="4382C678" w14:textId="2A5D2DC0" w:rsidR="00F8409D" w:rsidRPr="00DF6C69" w:rsidRDefault="00F8409D" w:rsidP="00F03F50">
            <w:pPr>
              <w:jc w:val="center"/>
              <w:rPr>
                <w:rFonts w:ascii="Times New Roman" w:hAnsi="Times New Roman" w:cs="Times New Roman"/>
                <w:sz w:val="20"/>
                <w:szCs w:val="20"/>
              </w:rPr>
            </w:pPr>
          </w:p>
        </w:tc>
      </w:tr>
    </w:tbl>
    <w:p w14:paraId="0FD20187" w14:textId="6DC586C6" w:rsidR="005E677B" w:rsidRPr="00DF6C69" w:rsidRDefault="00F8409D" w:rsidP="00511FB3">
      <w:pPr>
        <w:pStyle w:val="Caption"/>
        <w:jc w:val="center"/>
      </w:pPr>
      <w:bookmarkStart w:id="19" w:name="_Ref32676525"/>
      <w:bookmarkStart w:id="20" w:name="_Ref32676498"/>
      <w:r w:rsidRPr="00DF6C69">
        <w:t xml:space="preserve">Figure </w:t>
      </w:r>
      <w:fldSimple w:instr=" SEQ Figure \* ARABIC ">
        <w:r w:rsidR="00645E46" w:rsidRPr="00DF6C69">
          <w:rPr>
            <w:noProof/>
          </w:rPr>
          <w:t>3</w:t>
        </w:r>
      </w:fldSimple>
      <w:bookmarkEnd w:id="19"/>
      <w:r w:rsidRPr="00DF6C69">
        <w:t>. (a) UART module, (b) microcontroller board and (c) PCB with ZIF socket.</w:t>
      </w:r>
      <w:bookmarkEnd w:id="20"/>
    </w:p>
    <w:p w14:paraId="734C2E79" w14:textId="5D200786" w:rsidR="006B528C" w:rsidRPr="00DF6C69" w:rsidRDefault="006B528C" w:rsidP="00677BC3">
      <w:pPr>
        <w:jc w:val="cente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756FF" w:rsidRPr="00DF6C69" w14:paraId="11BB4F6E" w14:textId="77777777" w:rsidTr="00A756FF">
        <w:tc>
          <w:tcPr>
            <w:tcW w:w="9016" w:type="dxa"/>
            <w:gridSpan w:val="2"/>
          </w:tcPr>
          <w:p w14:paraId="1754227A" w14:textId="018ED9D4" w:rsidR="009B2EB9" w:rsidRPr="00DF6C69" w:rsidRDefault="00A756FF" w:rsidP="009B2EB9">
            <w:pPr>
              <w:jc w:val="center"/>
              <w:rPr>
                <w:rFonts w:ascii="Times New Roman" w:hAnsi="Times New Roman" w:cs="Times New Roman"/>
                <w:sz w:val="20"/>
                <w:szCs w:val="20"/>
              </w:rPr>
            </w:pPr>
            <w:r w:rsidRPr="00DF6C69">
              <w:rPr>
                <w:noProof/>
              </w:rPr>
              <w:lastRenderedPageBreak/>
              <w:drawing>
                <wp:inline distT="0" distB="0" distL="0" distR="0" wp14:anchorId="7E281BF6" wp14:editId="63C5B269">
                  <wp:extent cx="5330825" cy="3244850"/>
                  <wp:effectExtent l="0" t="0" r="3175"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330825" cy="3244850"/>
                          </a:xfrm>
                          <a:prstGeom prst="rect">
                            <a:avLst/>
                          </a:prstGeom>
                          <a:noFill/>
                        </pic:spPr>
                      </pic:pic>
                    </a:graphicData>
                  </a:graphic>
                </wp:inline>
              </w:drawing>
            </w:r>
          </w:p>
        </w:tc>
      </w:tr>
      <w:tr w:rsidR="00A756FF" w:rsidRPr="00DF6C69" w14:paraId="38AAA75A" w14:textId="77777777" w:rsidTr="00A756FF">
        <w:trPr>
          <w:trHeight w:val="413"/>
        </w:trPr>
        <w:tc>
          <w:tcPr>
            <w:tcW w:w="9016" w:type="dxa"/>
            <w:gridSpan w:val="2"/>
          </w:tcPr>
          <w:p w14:paraId="72155D56" w14:textId="30856575" w:rsidR="00A756FF" w:rsidRPr="00DF6C69" w:rsidRDefault="00A756FF" w:rsidP="00677BC3">
            <w:pPr>
              <w:jc w:val="center"/>
              <w:rPr>
                <w:rFonts w:ascii="Times New Roman" w:hAnsi="Times New Roman" w:cs="Times New Roman"/>
                <w:sz w:val="20"/>
                <w:szCs w:val="20"/>
              </w:rPr>
            </w:pPr>
            <w:r w:rsidRPr="00DF6C69">
              <w:rPr>
                <w:rFonts w:ascii="Times New Roman" w:hAnsi="Times New Roman" w:cs="Times New Roman"/>
                <w:sz w:val="20"/>
                <w:szCs w:val="20"/>
              </w:rPr>
              <w:t>(a)</w:t>
            </w:r>
          </w:p>
        </w:tc>
      </w:tr>
      <w:tr w:rsidR="009B2EB9" w:rsidRPr="00DF6C69" w14:paraId="6C4D16A5" w14:textId="77777777" w:rsidTr="00A756FF">
        <w:trPr>
          <w:trHeight w:val="413"/>
        </w:trPr>
        <w:tc>
          <w:tcPr>
            <w:tcW w:w="9016" w:type="dxa"/>
            <w:gridSpan w:val="2"/>
          </w:tcPr>
          <w:p w14:paraId="36B8D841" w14:textId="77777777" w:rsidR="009B2EB9" w:rsidRPr="00DF6C69" w:rsidRDefault="009B2EB9" w:rsidP="00677BC3">
            <w:pPr>
              <w:jc w:val="center"/>
              <w:rPr>
                <w:rFonts w:ascii="Times New Roman" w:hAnsi="Times New Roman" w:cs="Times New Roman"/>
                <w:sz w:val="20"/>
                <w:szCs w:val="20"/>
              </w:rPr>
            </w:pPr>
          </w:p>
        </w:tc>
      </w:tr>
      <w:tr w:rsidR="00A756FF" w:rsidRPr="00DF6C69" w14:paraId="4974377B" w14:textId="77777777" w:rsidTr="00A756FF">
        <w:tc>
          <w:tcPr>
            <w:tcW w:w="4508" w:type="dxa"/>
          </w:tcPr>
          <w:p w14:paraId="6EC3AE8E" w14:textId="751C8AFF" w:rsidR="00A756FF" w:rsidRPr="00DF6C69" w:rsidRDefault="00A756FF" w:rsidP="00677BC3">
            <w:pPr>
              <w:jc w:val="center"/>
              <w:rPr>
                <w:rFonts w:ascii="Times New Roman" w:hAnsi="Times New Roman" w:cs="Times New Roman"/>
                <w:sz w:val="20"/>
                <w:szCs w:val="20"/>
              </w:rPr>
            </w:pPr>
            <w:r w:rsidRPr="00DF6C69">
              <w:rPr>
                <w:noProof/>
              </w:rPr>
              <w:drawing>
                <wp:inline distT="0" distB="0" distL="0" distR="0" wp14:anchorId="630D517F" wp14:editId="2823F3CA">
                  <wp:extent cx="2692400" cy="20574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14349" name="Picture 14349"/>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2692400" cy="2057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Pr>
          <w:p w14:paraId="640C5DB8" w14:textId="02840A9B" w:rsidR="00A756FF" w:rsidRPr="00DF6C69" w:rsidRDefault="00A756FF" w:rsidP="00677BC3">
            <w:pPr>
              <w:jc w:val="center"/>
              <w:rPr>
                <w:rFonts w:ascii="Times New Roman" w:hAnsi="Times New Roman" w:cs="Times New Roman"/>
                <w:sz w:val="20"/>
                <w:szCs w:val="20"/>
              </w:rPr>
            </w:pPr>
            <w:r w:rsidRPr="00DF6C69">
              <w:rPr>
                <w:noProof/>
              </w:rPr>
              <w:drawing>
                <wp:inline distT="0" distB="0" distL="0" distR="0" wp14:anchorId="1E979A34" wp14:editId="7579E3DD">
                  <wp:extent cx="2541985" cy="20574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4" cstate="hqprint">
                            <a:extLst>
                              <a:ext uri="{28A0092B-C50C-407E-A947-70E740481C1C}">
                                <a14:useLocalDpi xmlns:a14="http://schemas.microsoft.com/office/drawing/2010/main"/>
                              </a:ext>
                            </a:extLst>
                          </a:blip>
                          <a:srcRect b="-967"/>
                          <a:stretch/>
                        </pic:blipFill>
                        <pic:spPr bwMode="auto">
                          <a:xfrm>
                            <a:off x="0" y="0"/>
                            <a:ext cx="2553099" cy="20663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756FF" w:rsidRPr="00DF6C69" w14:paraId="46B3AC29" w14:textId="77777777" w:rsidTr="00A756FF">
        <w:tc>
          <w:tcPr>
            <w:tcW w:w="4508" w:type="dxa"/>
          </w:tcPr>
          <w:p w14:paraId="648C5F6E" w14:textId="7689F346" w:rsidR="00A756FF" w:rsidRPr="00DF6C69" w:rsidRDefault="00A756FF" w:rsidP="00677BC3">
            <w:pPr>
              <w:jc w:val="center"/>
              <w:rPr>
                <w:rFonts w:ascii="Times New Roman" w:hAnsi="Times New Roman" w:cs="Times New Roman"/>
                <w:sz w:val="20"/>
                <w:szCs w:val="20"/>
              </w:rPr>
            </w:pPr>
            <w:r w:rsidRPr="00DF6C69">
              <w:rPr>
                <w:rFonts w:ascii="Times New Roman" w:hAnsi="Times New Roman" w:cs="Times New Roman"/>
                <w:sz w:val="20"/>
                <w:szCs w:val="20"/>
              </w:rPr>
              <w:t>(b)</w:t>
            </w:r>
          </w:p>
        </w:tc>
        <w:tc>
          <w:tcPr>
            <w:tcW w:w="4508" w:type="dxa"/>
          </w:tcPr>
          <w:p w14:paraId="7835E589" w14:textId="54023899" w:rsidR="00A756FF" w:rsidRPr="00DF6C69" w:rsidRDefault="00A756FF" w:rsidP="00677BC3">
            <w:pPr>
              <w:jc w:val="center"/>
              <w:rPr>
                <w:rFonts w:ascii="Times New Roman" w:hAnsi="Times New Roman" w:cs="Times New Roman"/>
                <w:sz w:val="20"/>
                <w:szCs w:val="20"/>
              </w:rPr>
            </w:pPr>
            <w:r w:rsidRPr="00DF6C69">
              <w:rPr>
                <w:rFonts w:ascii="Times New Roman" w:hAnsi="Times New Roman" w:cs="Times New Roman"/>
                <w:sz w:val="20"/>
                <w:szCs w:val="20"/>
              </w:rPr>
              <w:t>(c)</w:t>
            </w:r>
          </w:p>
        </w:tc>
      </w:tr>
    </w:tbl>
    <w:p w14:paraId="52D4794D" w14:textId="48A79576" w:rsidR="004B0C55" w:rsidRPr="00DF6C69" w:rsidRDefault="000765CF" w:rsidP="00A90363">
      <w:pPr>
        <w:pStyle w:val="Caption"/>
        <w:spacing w:before="240"/>
      </w:pPr>
      <w:bookmarkStart w:id="21" w:name="_Ref31891452"/>
      <w:r w:rsidRPr="00DF6C69">
        <w:t xml:space="preserve">Figure </w:t>
      </w:r>
      <w:fldSimple w:instr=" SEQ Figure \* ARABIC ">
        <w:r w:rsidR="00645E46" w:rsidRPr="00DF6C69">
          <w:rPr>
            <w:noProof/>
          </w:rPr>
          <w:t>4</w:t>
        </w:r>
      </w:fldSimple>
      <w:bookmarkEnd w:id="21"/>
      <w:r w:rsidR="00EF1906" w:rsidRPr="00DF6C69">
        <w:t>.</w:t>
      </w:r>
      <w:r w:rsidRPr="00DF6C69">
        <w:t xml:space="preserve"> </w:t>
      </w:r>
      <w:r w:rsidR="00A756FF" w:rsidRPr="00DF6C69">
        <w:t xml:space="preserve">(a) </w:t>
      </w:r>
      <w:r w:rsidRPr="00DF6C69">
        <w:t>Flow chart of the GUI operation.</w:t>
      </w:r>
      <w:r w:rsidR="00CF6459" w:rsidRPr="00DF6C69">
        <w:t xml:space="preserve"> The GUI can operate in acquisition (left) or analysis (right) mode. In the acquisition mode the GUI is interfaced with the reader by USB link for real-time visualisation, </w:t>
      </w:r>
      <w:proofErr w:type="gramStart"/>
      <w:r w:rsidR="00CF6459" w:rsidRPr="00DF6C69">
        <w:t>handling</w:t>
      </w:r>
      <w:proofErr w:type="gramEnd"/>
      <w:r w:rsidR="00CF6459" w:rsidRPr="00DF6C69">
        <w:t xml:space="preserve"> and storage of the sensor outputs. In the analysis mode the GUI is used to process and visualise data</w:t>
      </w:r>
      <w:r w:rsidR="00D57B4F" w:rsidRPr="00DF6C69">
        <w:t xml:space="preserve"> offline</w:t>
      </w:r>
      <w:r w:rsidR="00CF6459" w:rsidRPr="00DF6C69">
        <w:t>.</w:t>
      </w:r>
      <w:r w:rsidR="00A756FF" w:rsidRPr="00DF6C69">
        <w:t xml:space="preserve"> (b)</w:t>
      </w:r>
      <w:r w:rsidR="00063226" w:rsidRPr="00DF6C69">
        <w:t xml:space="preserve"> </w:t>
      </w:r>
      <w:r w:rsidR="00A756FF" w:rsidRPr="00DF6C69">
        <w:t>GUI data acquisition mode. 1) Control panel; 2) Frame visualisation; 3) Single-pixel representation; 4) Dialog window; 5) Go to data analysis.  (c) GUI in data analysis mode. 1) Control panel; 2) Raw data visualisation; 3) Start processing button for single-channel; 4) Processed data visualisation; 5) Rates (mVs</w:t>
      </w:r>
      <w:r w:rsidR="00A756FF" w:rsidRPr="00DF6C69">
        <w:rPr>
          <w:vertAlign w:val="superscript"/>
        </w:rPr>
        <w:noBreakHyphen/>
        <w:t>1</w:t>
      </w:r>
      <w:r w:rsidR="00A756FF" w:rsidRPr="00DF6C69">
        <w:t>); 6) Save and go to data-acquisition mode.</w:t>
      </w:r>
    </w:p>
    <w:p w14:paraId="60F86CC4" w14:textId="28E5F1C7" w:rsidR="00F8409D" w:rsidRPr="00DF6C69" w:rsidRDefault="00F8409D" w:rsidP="00F8409D">
      <w:pPr>
        <w:rPr>
          <w:lang w:eastAsia="en-GB"/>
        </w:rPr>
      </w:pPr>
    </w:p>
    <w:p w14:paraId="7201BD5F" w14:textId="2865C998" w:rsidR="0008410B" w:rsidRPr="00DF6C69" w:rsidRDefault="0008410B" w:rsidP="0008410B">
      <w:r w:rsidRPr="00DF6C69">
        <w:t xml:space="preserve">When </w:t>
      </w:r>
      <w:r w:rsidR="004B0C55" w:rsidRPr="00DF6C69">
        <w:t>used</w:t>
      </w:r>
      <w:r w:rsidRPr="00DF6C69">
        <w:t xml:space="preserve"> in data acquisition mode, the GUI execute</w:t>
      </w:r>
      <w:r w:rsidR="004B0C55" w:rsidRPr="00DF6C69">
        <w:t>d</w:t>
      </w:r>
      <w:r w:rsidRPr="00DF6C69">
        <w:t xml:space="preserve"> the operation</w:t>
      </w:r>
      <w:r w:rsidR="00D60503" w:rsidRPr="00DF6C69">
        <w:t>s</w:t>
      </w:r>
      <w:r w:rsidRPr="00DF6C69">
        <w:t xml:space="preserve"> on the left-hand </w:t>
      </w:r>
      <w:r w:rsidR="00EB6DF9" w:rsidRPr="00DF6C69">
        <w:t xml:space="preserve">branch </w:t>
      </w:r>
      <w:r w:rsidRPr="00DF6C69">
        <w:t xml:space="preserve">of the flow chart </w:t>
      </w:r>
      <w:r w:rsidR="00580342" w:rsidRPr="00DF6C69">
        <w:t xml:space="preserve">shown </w:t>
      </w:r>
      <w:r w:rsidRPr="00DF6C69">
        <w:t xml:space="preserve">in </w:t>
      </w:r>
      <w:r w:rsidRPr="00DF6C69">
        <w:fldChar w:fldCharType="begin"/>
      </w:r>
      <w:r w:rsidRPr="00DF6C69">
        <w:instrText xml:space="preserve"> REF _Ref31891452 \h  \* MERGEFORMAT </w:instrText>
      </w:r>
      <w:r w:rsidRPr="00DF6C69">
        <w:fldChar w:fldCharType="separate"/>
      </w:r>
      <w:r w:rsidR="00645E46" w:rsidRPr="00DF6C69">
        <w:t>Figure 4</w:t>
      </w:r>
      <w:r w:rsidRPr="00DF6C69">
        <w:fldChar w:fldCharType="end"/>
      </w:r>
      <w:r w:rsidR="00A756FF" w:rsidRPr="00DF6C69">
        <w:t>(a)</w:t>
      </w:r>
      <w:r w:rsidRPr="00DF6C69">
        <w:t xml:space="preserve">. The user </w:t>
      </w:r>
      <w:r w:rsidR="004B0C55" w:rsidRPr="00DF6C69">
        <w:t>was able to</w:t>
      </w:r>
      <w:r w:rsidRPr="00DF6C69">
        <w:t xml:space="preserve"> modify </w:t>
      </w:r>
      <w:r w:rsidR="0060067D" w:rsidRPr="00DF6C69">
        <w:t xml:space="preserve">the </w:t>
      </w:r>
      <w:r w:rsidRPr="00DF6C69">
        <w:t>test duration, start/stop the recording, visualise real-time data and save the raw data</w:t>
      </w:r>
      <w:r w:rsidR="00A756FF" w:rsidRPr="00DF6C69">
        <w:t xml:space="preserve"> using the custom control panel shown in </w:t>
      </w:r>
      <w:r w:rsidR="00A756FF" w:rsidRPr="00DF6C69">
        <w:fldChar w:fldCharType="begin"/>
      </w:r>
      <w:r w:rsidR="00A756FF" w:rsidRPr="00DF6C69">
        <w:instrText xml:space="preserve"> REF _Ref31891452 \h  \* MERGEFORMAT </w:instrText>
      </w:r>
      <w:r w:rsidR="00A756FF" w:rsidRPr="00DF6C69">
        <w:fldChar w:fldCharType="separate"/>
      </w:r>
      <w:r w:rsidR="00A756FF" w:rsidRPr="00DF6C69">
        <w:t>Figure 4</w:t>
      </w:r>
      <w:r w:rsidR="00A756FF" w:rsidRPr="00DF6C69">
        <w:fldChar w:fldCharType="end"/>
      </w:r>
      <w:r w:rsidR="00A756FF" w:rsidRPr="00DF6C69">
        <w:t>(b)</w:t>
      </w:r>
      <w:r w:rsidRPr="00DF6C69">
        <w:t xml:space="preserve">. </w:t>
      </w:r>
      <w:r w:rsidR="0060067D" w:rsidRPr="00DF6C69">
        <w:t>Each scan of the array, referred to as a frame</w:t>
      </w:r>
      <w:r w:rsidR="001857EF" w:rsidRPr="00DF6C69">
        <w:t xml:space="preserve">, was </w:t>
      </w:r>
      <w:r w:rsidR="00B8088C" w:rsidRPr="00DF6C69">
        <w:t>stored with a time label</w:t>
      </w:r>
      <w:r w:rsidR="00474B92" w:rsidRPr="00DF6C69">
        <w:t xml:space="preserve"> to create a vector</w:t>
      </w:r>
      <w:r w:rsidR="00B8088C" w:rsidRPr="00DF6C69">
        <w:t xml:space="preserve">. </w:t>
      </w:r>
      <w:r w:rsidR="00D60503" w:rsidRPr="00DF6C69">
        <w:t>The recorde</w:t>
      </w:r>
      <w:r w:rsidR="009163A7" w:rsidRPr="00DF6C69">
        <w:t>d</w:t>
      </w:r>
      <w:r w:rsidR="00D60503" w:rsidRPr="00DF6C69">
        <w:t xml:space="preserve"> time</w:t>
      </w:r>
      <w:r w:rsidR="00354429" w:rsidRPr="00DF6C69">
        <w:t xml:space="preserve"> </w:t>
      </w:r>
      <w:r w:rsidR="004B0C55" w:rsidRPr="00DF6C69">
        <w:t>was</w:t>
      </w:r>
      <w:r w:rsidR="00354429" w:rsidRPr="00DF6C69">
        <w:t xml:space="preserve"> used during signal processing to </w:t>
      </w:r>
      <w:r w:rsidR="00D60503" w:rsidRPr="00DF6C69">
        <w:t>determine</w:t>
      </w:r>
      <w:r w:rsidR="00354429" w:rsidRPr="00DF6C69">
        <w:t xml:space="preserve"> the reaction rate.</w:t>
      </w:r>
      <w:r w:rsidR="003C16BD" w:rsidRPr="00DF6C69">
        <w:t xml:space="preserve"> </w:t>
      </w:r>
      <w:r w:rsidR="009163A7" w:rsidRPr="00DF6C69">
        <w:lastRenderedPageBreak/>
        <w:t>Data</w:t>
      </w:r>
      <w:r w:rsidR="003C16BD" w:rsidRPr="00DF6C69">
        <w:t xml:space="preserve"> frames and </w:t>
      </w:r>
      <w:r w:rsidR="009163A7" w:rsidRPr="00DF6C69">
        <w:t xml:space="preserve">their </w:t>
      </w:r>
      <w:r w:rsidR="003C16BD" w:rsidRPr="00DF6C69">
        <w:t>respective time label</w:t>
      </w:r>
      <w:r w:rsidR="009163A7" w:rsidRPr="00DF6C69">
        <w:t>s</w:t>
      </w:r>
      <w:r w:rsidR="003C16BD" w:rsidRPr="00DF6C69">
        <w:t xml:space="preserve"> with unexpected size (for example due to a transmission error) were </w:t>
      </w:r>
      <w:r w:rsidR="00F3729E" w:rsidRPr="00DF6C69">
        <w:t>not used</w:t>
      </w:r>
      <w:r w:rsidR="003C16BD" w:rsidRPr="00DF6C69">
        <w:t>.</w:t>
      </w:r>
    </w:p>
    <w:p w14:paraId="368023F4" w14:textId="65D1F657" w:rsidR="005D6C2D" w:rsidRPr="00DF6C69" w:rsidRDefault="006B528C" w:rsidP="006D1555">
      <w:r w:rsidRPr="00DF6C69">
        <w:t xml:space="preserve">When </w:t>
      </w:r>
      <w:r w:rsidR="004B0C55" w:rsidRPr="00DF6C69">
        <w:t>used</w:t>
      </w:r>
      <w:r w:rsidRPr="00DF6C69">
        <w:t xml:space="preserve"> in data analysis mode, the GUI execute</w:t>
      </w:r>
      <w:r w:rsidR="004B0C55" w:rsidRPr="00DF6C69">
        <w:t>d</w:t>
      </w:r>
      <w:r w:rsidRPr="00DF6C69">
        <w:t xml:space="preserve"> the operation on the right-hand </w:t>
      </w:r>
      <w:r w:rsidR="00580342" w:rsidRPr="00DF6C69">
        <w:t xml:space="preserve">branch </w:t>
      </w:r>
      <w:r w:rsidRPr="00DF6C69">
        <w:t xml:space="preserve">of the flow chart </w:t>
      </w:r>
      <w:r w:rsidR="00E17338" w:rsidRPr="00DF6C69">
        <w:t xml:space="preserve">shown </w:t>
      </w:r>
      <w:r w:rsidRPr="00DF6C69">
        <w:t xml:space="preserve">in </w:t>
      </w:r>
      <w:r w:rsidRPr="00DF6C69">
        <w:fldChar w:fldCharType="begin"/>
      </w:r>
      <w:r w:rsidRPr="00DF6C69">
        <w:instrText xml:space="preserve"> REF _Ref31891452 \h  \* MERGEFORMAT </w:instrText>
      </w:r>
      <w:r w:rsidRPr="00DF6C69">
        <w:fldChar w:fldCharType="separate"/>
      </w:r>
      <w:r w:rsidR="00645E46" w:rsidRPr="00DF6C69">
        <w:t>Figure 4</w:t>
      </w:r>
      <w:r w:rsidRPr="00DF6C69">
        <w:fldChar w:fldCharType="end"/>
      </w:r>
      <w:r w:rsidR="00A756FF" w:rsidRPr="00DF6C69">
        <w:t>(a)</w:t>
      </w:r>
      <w:r w:rsidRPr="00DF6C69">
        <w:t xml:space="preserve">. </w:t>
      </w:r>
      <w:r w:rsidR="005D6C2D" w:rsidRPr="00DF6C69">
        <w:t>Data from each microchannel</w:t>
      </w:r>
      <w:r w:rsidR="00020232" w:rsidRPr="00DF6C69">
        <w:t xml:space="preserve"> on the chip</w:t>
      </w:r>
      <w:r w:rsidR="005D6C2D" w:rsidRPr="00DF6C69">
        <w:t xml:space="preserve"> was processed individually</w:t>
      </w:r>
      <w:r w:rsidR="00A756FF" w:rsidRPr="00DF6C69">
        <w:t xml:space="preserve"> using the custom control panel shown in </w:t>
      </w:r>
      <w:r w:rsidR="00A756FF" w:rsidRPr="00DF6C69">
        <w:fldChar w:fldCharType="begin"/>
      </w:r>
      <w:r w:rsidR="00A756FF" w:rsidRPr="00DF6C69">
        <w:instrText xml:space="preserve"> REF _Ref31891452 \h  \* MERGEFORMAT </w:instrText>
      </w:r>
      <w:r w:rsidR="00A756FF" w:rsidRPr="00DF6C69">
        <w:fldChar w:fldCharType="separate"/>
      </w:r>
      <w:r w:rsidR="00A756FF" w:rsidRPr="00DF6C69">
        <w:t>Figure 4</w:t>
      </w:r>
      <w:r w:rsidR="00A756FF" w:rsidRPr="00DF6C69">
        <w:fldChar w:fldCharType="end"/>
      </w:r>
      <w:r w:rsidR="00A756FF" w:rsidRPr="00DF6C69">
        <w:t>(b)</w:t>
      </w:r>
      <w:r w:rsidR="005D6C2D" w:rsidRPr="00DF6C69">
        <w:t>. Data analysis was composed of three sub-routines: data preparation, noise reduction and rate calculation.</w:t>
      </w:r>
      <w:r w:rsidR="00A46AC9" w:rsidRPr="00DF6C69">
        <w:t xml:space="preserve"> </w:t>
      </w:r>
      <w:r w:rsidR="00A46AC9" w:rsidRPr="00DF6C69">
        <w:fldChar w:fldCharType="begin"/>
      </w:r>
      <w:r w:rsidR="00A46AC9" w:rsidRPr="00DF6C69">
        <w:instrText xml:space="preserve"> REF _Ref43202830 \h </w:instrText>
      </w:r>
      <w:r w:rsidR="00DF6C69">
        <w:instrText xml:space="preserve"> \* MERGEFORMAT </w:instrText>
      </w:r>
      <w:r w:rsidR="00A46AC9" w:rsidRPr="00DF6C69">
        <w:fldChar w:fldCharType="separate"/>
      </w:r>
      <w:r w:rsidR="00645E46" w:rsidRPr="00DF6C69">
        <w:t xml:space="preserve">Figure </w:t>
      </w:r>
      <w:r w:rsidR="00645E46" w:rsidRPr="00DF6C69">
        <w:rPr>
          <w:noProof/>
        </w:rPr>
        <w:t>5</w:t>
      </w:r>
      <w:r w:rsidR="00A46AC9" w:rsidRPr="00DF6C69">
        <w:fldChar w:fldCharType="end"/>
      </w:r>
      <w:r w:rsidR="00A46AC9" w:rsidRPr="00DF6C69">
        <w:t xml:space="preserve"> shows the flow-chart of the numerical operations leading to the calculation of the initial reaction rate.</w:t>
      </w:r>
    </w:p>
    <w:p w14:paraId="6F460B94" w14:textId="756CBC93" w:rsidR="005D6C2D" w:rsidRPr="00DF6C69" w:rsidRDefault="005D6C2D" w:rsidP="00F17821">
      <w:pPr>
        <w:pStyle w:val="ListParagraph"/>
        <w:numPr>
          <w:ilvl w:val="0"/>
          <w:numId w:val="3"/>
        </w:numPr>
      </w:pPr>
      <w:r w:rsidRPr="00DF6C69">
        <w:rPr>
          <w:b/>
          <w:bCs/>
        </w:rPr>
        <w:t>Data preparation</w:t>
      </w:r>
      <w:r w:rsidRPr="00DF6C69">
        <w:t>.</w:t>
      </w:r>
      <w:r w:rsidR="00F60C86" w:rsidRPr="00DF6C69">
        <w:t xml:space="preserve"> </w:t>
      </w:r>
      <w:r w:rsidRPr="00DF6C69">
        <w:t>The</w:t>
      </w:r>
      <w:r w:rsidR="00F60C86" w:rsidRPr="00DF6C69">
        <w:t xml:space="preserve"> </w:t>
      </w:r>
      <w:r w:rsidRPr="00DF6C69">
        <w:t>location</w:t>
      </w:r>
      <w:r w:rsidR="00F60C86" w:rsidRPr="00DF6C69">
        <w:t xml:space="preserve"> of</w:t>
      </w:r>
      <w:r w:rsidR="00FD7267" w:rsidRPr="00DF6C69">
        <w:t xml:space="preserve"> the</w:t>
      </w:r>
      <w:r w:rsidR="00F60C86" w:rsidRPr="00DF6C69">
        <w:t xml:space="preserve"> </w:t>
      </w:r>
      <w:r w:rsidR="00167213" w:rsidRPr="00DF6C69">
        <w:t xml:space="preserve">sensors </w:t>
      </w:r>
      <w:r w:rsidR="00F60C86" w:rsidRPr="00DF6C69">
        <w:t xml:space="preserve">in the channel to be processed </w:t>
      </w:r>
      <w:r w:rsidR="00FD7267" w:rsidRPr="00DF6C69">
        <w:t xml:space="preserve">was </w:t>
      </w:r>
      <w:r w:rsidR="00F60C86" w:rsidRPr="00DF6C69">
        <w:t xml:space="preserve">defined. </w:t>
      </w:r>
      <w:r w:rsidRPr="00DF6C69">
        <w:t>T</w:t>
      </w:r>
      <w:r w:rsidR="00F60C86" w:rsidRPr="00DF6C69">
        <w:t xml:space="preserve">he starting </w:t>
      </w:r>
      <w:r w:rsidR="00FD7267" w:rsidRPr="00DF6C69">
        <w:t xml:space="preserve">time </w:t>
      </w:r>
      <w:r w:rsidR="00F60C86" w:rsidRPr="00DF6C69">
        <w:t xml:space="preserve">of the reaction </w:t>
      </w:r>
      <w:r w:rsidRPr="00DF6C69">
        <w:t>was</w:t>
      </w:r>
      <w:r w:rsidR="00F60C86" w:rsidRPr="00DF6C69">
        <w:t xml:space="preserve"> </w:t>
      </w:r>
      <w:r w:rsidR="00D64921" w:rsidRPr="00DF6C69">
        <w:t xml:space="preserve">then </w:t>
      </w:r>
      <w:r w:rsidRPr="00DF6C69">
        <w:t>identified</w:t>
      </w:r>
      <w:r w:rsidR="00F60C86" w:rsidRPr="00DF6C69">
        <w:t xml:space="preserve">. Usually, this </w:t>
      </w:r>
      <w:r w:rsidRPr="00DF6C69">
        <w:t>was</w:t>
      </w:r>
      <w:r w:rsidR="00F60C86" w:rsidRPr="00DF6C69">
        <w:t xml:space="preserve"> visible from raw data </w:t>
      </w:r>
      <w:r w:rsidR="00CE294C" w:rsidRPr="00DF6C69">
        <w:t xml:space="preserve">owing </w:t>
      </w:r>
      <w:r w:rsidR="00F60C86" w:rsidRPr="00DF6C69">
        <w:t>to the sudden</w:t>
      </w:r>
      <w:r w:rsidR="00CE294C" w:rsidRPr="00DF6C69">
        <w:t xml:space="preserve"> optical</w:t>
      </w:r>
      <w:r w:rsidR="00F60C86" w:rsidRPr="00DF6C69">
        <w:t xml:space="preserve"> transmittance variation induced by the sample introduction </w:t>
      </w:r>
      <w:r w:rsidR="00583FC3" w:rsidRPr="00DF6C69">
        <w:t>i</w:t>
      </w:r>
      <w:r w:rsidR="00F60C86" w:rsidRPr="00DF6C69">
        <w:t xml:space="preserve">nto the </w:t>
      </w:r>
      <w:r w:rsidR="00AC2410" w:rsidRPr="00DF6C69">
        <w:t>cartridge</w:t>
      </w:r>
      <w:r w:rsidR="00F60C86" w:rsidRPr="00DF6C69">
        <w:t xml:space="preserve">. </w:t>
      </w:r>
      <w:r w:rsidR="00583FC3" w:rsidRPr="00DF6C69">
        <w:t>Data was then recorded for a period of</w:t>
      </w:r>
      <w:r w:rsidR="00F25D3D" w:rsidRPr="00DF6C69">
        <w:t xml:space="preserve"> up to</w:t>
      </w:r>
      <w:r w:rsidR="00583FC3" w:rsidRPr="00DF6C69">
        <w:t xml:space="preserve"> 300 s.</w:t>
      </w:r>
      <w:r w:rsidR="00F60C86" w:rsidRPr="00DF6C69">
        <w:t xml:space="preserve"> </w:t>
      </w:r>
      <w:r w:rsidR="00573392" w:rsidRPr="00DF6C69">
        <w:t xml:space="preserve">Data from </w:t>
      </w:r>
      <w:r w:rsidR="00F60C86" w:rsidRPr="00DF6C69">
        <w:t xml:space="preserve">unresponsive </w:t>
      </w:r>
      <w:r w:rsidR="00D25400" w:rsidRPr="00DF6C69">
        <w:t>photodiodes</w:t>
      </w:r>
      <w:r w:rsidR="00573392" w:rsidRPr="00DF6C69">
        <w:t>,</w:t>
      </w:r>
      <w:r w:rsidR="00167213" w:rsidRPr="00DF6C69">
        <w:t xml:space="preserve"> </w:t>
      </w:r>
      <w:r w:rsidR="00F60C86" w:rsidRPr="00DF6C69">
        <w:t>presenting</w:t>
      </w:r>
      <w:r w:rsidR="00573392" w:rsidRPr="00DF6C69">
        <w:t xml:space="preserve"> obvious </w:t>
      </w:r>
      <w:r w:rsidR="00F60C86" w:rsidRPr="00DF6C69">
        <w:t xml:space="preserve">artefacts (e.g. </w:t>
      </w:r>
      <w:r w:rsidR="00573392" w:rsidRPr="00DF6C69">
        <w:t xml:space="preserve">an </w:t>
      </w:r>
      <w:r w:rsidR="00F60C86" w:rsidRPr="00DF6C69">
        <w:t>air bubble)</w:t>
      </w:r>
      <w:r w:rsidR="00AC2410" w:rsidRPr="00DF6C69">
        <w:t>,</w:t>
      </w:r>
      <w:r w:rsidR="00F60C86" w:rsidRPr="00DF6C69">
        <w:t xml:space="preserve"> </w:t>
      </w:r>
      <w:r w:rsidRPr="00DF6C69">
        <w:t>were</w:t>
      </w:r>
      <w:r w:rsidR="00F60C86" w:rsidRPr="00DF6C69">
        <w:t xml:space="preserve"> excluded</w:t>
      </w:r>
      <w:r w:rsidR="00573392" w:rsidRPr="00DF6C69">
        <w:t>.</w:t>
      </w:r>
    </w:p>
    <w:p w14:paraId="611AF3D9" w14:textId="1918E1E6" w:rsidR="005D6C2D" w:rsidRPr="00DF6C69" w:rsidRDefault="005D6C2D" w:rsidP="00F17821">
      <w:pPr>
        <w:pStyle w:val="ListParagraph"/>
        <w:numPr>
          <w:ilvl w:val="0"/>
          <w:numId w:val="3"/>
        </w:numPr>
      </w:pPr>
      <w:r w:rsidRPr="00DF6C69">
        <w:rPr>
          <w:b/>
          <w:bCs/>
        </w:rPr>
        <w:t xml:space="preserve">Noise reduction.  </w:t>
      </w:r>
      <w:r w:rsidR="00F60C86" w:rsidRPr="00DF6C69">
        <w:t>The noise source</w:t>
      </w:r>
      <w:r w:rsidR="006C1647" w:rsidRPr="00DF6C69">
        <w:t>s</w:t>
      </w:r>
      <w:r w:rsidR="00F60C86" w:rsidRPr="00DF6C69">
        <w:t xml:space="preserve"> in </w:t>
      </w:r>
      <w:r w:rsidR="006C1647" w:rsidRPr="00DF6C69">
        <w:t xml:space="preserve">the </w:t>
      </w:r>
      <w:r w:rsidR="00F60C86" w:rsidRPr="00DF6C69">
        <w:t xml:space="preserve">CMOS sensor array can be divided into </w:t>
      </w:r>
      <w:r w:rsidR="006C1647" w:rsidRPr="00DF6C69">
        <w:t xml:space="preserve">random stochastic </w:t>
      </w:r>
      <w:r w:rsidR="00F60C86" w:rsidRPr="00DF6C69">
        <w:t xml:space="preserve">noise and fixed pattern noise (FPN) </w:t>
      </w:r>
      <w:r w:rsidR="00F60C86" w:rsidRPr="00DF6C69">
        <w:fldChar w:fldCharType="begin" w:fldLock="1"/>
      </w:r>
      <w:r w:rsidR="009F40F2" w:rsidRPr="00DF6C69">
        <w:instrText>ADDIN CSL_CITATION {"citationItems":[{"id":"ITEM-1","itemData":{"DOI":"10.1016/j.mejo.2005.07.002","abstract":"The role of CMOS Image Sensors since their birth around the 1960s, has been changing a lot. Unlike the past, current CMOS Image Sensors are becoming competitive with regard to Charged Couple Device (CCD) technology. They offer many advantages with respect to CCD, such as lower power consumption, lower voltage operation, on-chip functionality and lower cost. Nevertheless, they are still too noisy and less sensitive than CCDs. Noise and sensitivity are the key-factors to compete with industrial and scientific CCDs. It must be pointed out also that there are several kinds of CMOS Image sensors, each of them to satisfy the huge demand in different areas, such as Digital photography, industrial vision, medical and space applications, electrostatic sensing, automotive, instrumentation and 3D vision systems. In the wake of that, a lot of research has been carried out, focusing on problems to be solved such as sensitivity, noise, power consumption, voltage operation, speed imaging and dynamic range. In this paper, CMOS Image Sensors are reviewed, providing information on the latest advances achieved, their applications, the new challenges and their limitations. In conclusion, the State-of-the-art of CMOS Image Sensors.","author":[{"dropping-particle":"","family":"Bigas","given":"M","non-dropping-particle":"","parse-names":false,"suffix":""},{"dropping-particle":"","family":"Cabruja","given":"E","non-dropping-particle":"","parse-names":false,"suffix":""},{"dropping-particle":"","family":"Forest","given":"J","non-dropping-particle":"","parse-names":false,"suffix":""},{"dropping-particle":"","family":"Salvi","given":"J","non-dropping-particle":"","parse-names":false,"suffix":""}],"id":"ITEM-1","issued":{"date-parts":[["2005"]]},"title":"Review of CMOS image sensors","type":"article-journal"},"uris":["http://www.mendeley.com/documents/?uuid=85e4ee76-c501-3fef-b41e-1a2ebcb84c0d"]}],"mendeley":{"formattedCitation":"[81]","plainTextFormattedCitation":"[81]","previouslyFormattedCitation":"[81]"},"properties":{"noteIndex":0},"schema":"https://github.com/citation-style-language/schema/raw/master/csl-citation.json"}</w:instrText>
      </w:r>
      <w:r w:rsidR="00F60C86" w:rsidRPr="00DF6C69">
        <w:fldChar w:fldCharType="separate"/>
      </w:r>
      <w:r w:rsidR="0053537D" w:rsidRPr="00DF6C69">
        <w:t>[81]</w:t>
      </w:r>
      <w:r w:rsidR="00F60C86" w:rsidRPr="00DF6C69">
        <w:fldChar w:fldCharType="end"/>
      </w:r>
      <w:r w:rsidR="00F60C86" w:rsidRPr="00DF6C69">
        <w:t xml:space="preserve">. </w:t>
      </w:r>
      <w:r w:rsidR="000568E7" w:rsidRPr="00DF6C69">
        <w:t xml:space="preserve">Random </w:t>
      </w:r>
      <w:r w:rsidR="00F60C86" w:rsidRPr="00DF6C69">
        <w:t xml:space="preserve">noise is a combination of noise components (thermal, shot and flicker), </w:t>
      </w:r>
      <w:r w:rsidR="000568E7" w:rsidRPr="00DF6C69">
        <w:t xml:space="preserve">noise in </w:t>
      </w:r>
      <w:r w:rsidR="00F60C86" w:rsidRPr="00DF6C69">
        <w:t>addressing circuit</w:t>
      </w:r>
      <w:r w:rsidR="00BD6916" w:rsidRPr="00DF6C69">
        <w:t xml:space="preserve"> and</w:t>
      </w:r>
      <w:r w:rsidR="00F60C86" w:rsidRPr="00DF6C69">
        <w:t xml:space="preserve"> </w:t>
      </w:r>
      <w:r w:rsidR="00B047FF" w:rsidRPr="00DF6C69">
        <w:t xml:space="preserve">noise </w:t>
      </w:r>
      <w:r w:rsidR="008B13EE" w:rsidRPr="00DF6C69">
        <w:t xml:space="preserve">in the </w:t>
      </w:r>
      <w:r w:rsidR="00F60C86" w:rsidRPr="00DF6C69">
        <w:t xml:space="preserve">ADC. FPN is the variation of the </w:t>
      </w:r>
      <w:r w:rsidR="00BD6916" w:rsidRPr="00DF6C69">
        <w:t xml:space="preserve">signal from sensor-sensor </w:t>
      </w:r>
      <w:r w:rsidR="00E7065A" w:rsidRPr="00DF6C69">
        <w:t xml:space="preserve">in an array </w:t>
      </w:r>
      <w:r w:rsidR="00BD6916" w:rsidRPr="00DF6C69">
        <w:t>and is invariant</w:t>
      </w:r>
      <w:r w:rsidR="00F60C86" w:rsidRPr="00DF6C69">
        <w:t xml:space="preserve"> when the same </w:t>
      </w:r>
      <w:r w:rsidR="00F36843" w:rsidRPr="00DF6C69">
        <w:t>stimulus</w:t>
      </w:r>
      <w:r w:rsidR="0017708E" w:rsidRPr="00DF6C69">
        <w:t xml:space="preserve"> </w:t>
      </w:r>
      <w:r w:rsidR="00F60C86" w:rsidRPr="00DF6C69">
        <w:t xml:space="preserve">is applied. </w:t>
      </w:r>
      <w:r w:rsidR="0017708E" w:rsidRPr="00DF6C69">
        <w:t>Raw d</w:t>
      </w:r>
      <w:r w:rsidR="00F60C86" w:rsidRPr="00DF6C69">
        <w:t xml:space="preserve">ata </w:t>
      </w:r>
      <w:r w:rsidRPr="00DF6C69">
        <w:t>was</w:t>
      </w:r>
      <w:r w:rsidR="00F60C86" w:rsidRPr="00DF6C69">
        <w:t xml:space="preserve"> filtered </w:t>
      </w:r>
      <w:r w:rsidR="00F9616B" w:rsidRPr="00DF6C69">
        <w:t xml:space="preserve">using </w:t>
      </w:r>
      <w:r w:rsidR="00F60C86" w:rsidRPr="00DF6C69">
        <w:t>an 8</w:t>
      </w:r>
      <w:r w:rsidR="00F60C86" w:rsidRPr="00DF6C69">
        <w:rPr>
          <w:vertAlign w:val="superscript"/>
        </w:rPr>
        <w:t>th</w:t>
      </w:r>
      <w:r w:rsidR="00F60C86" w:rsidRPr="00DF6C69">
        <w:t xml:space="preserve"> order low pass filter </w:t>
      </w:r>
      <w:r w:rsidRPr="00DF6C69">
        <w:t>(normalised cut</w:t>
      </w:r>
      <w:r w:rsidR="00D32CB3" w:rsidRPr="00DF6C69">
        <w:noBreakHyphen/>
      </w:r>
      <w:r w:rsidRPr="00DF6C69">
        <w:t xml:space="preserve">off frequency: 0.1). </w:t>
      </w:r>
      <w:r w:rsidR="00F60C86" w:rsidRPr="00DF6C69">
        <w:t>Precaution</w:t>
      </w:r>
      <w:r w:rsidRPr="00DF6C69">
        <w:t xml:space="preserve">s were </w:t>
      </w:r>
      <w:r w:rsidR="00F60C86" w:rsidRPr="00DF6C69">
        <w:t>taken to avoid any signal distortion at the</w:t>
      </w:r>
      <w:r w:rsidR="004E2B8D" w:rsidRPr="00DF6C69">
        <w:t xml:space="preserve"> start and finish of e</w:t>
      </w:r>
      <w:r w:rsidR="008F1859" w:rsidRPr="00DF6C69">
        <w:t>ach data stream.</w:t>
      </w:r>
      <w:r w:rsidR="00354429" w:rsidRPr="00DF6C69">
        <w:t xml:space="preserve"> </w:t>
      </w:r>
      <w:r w:rsidR="00236E39" w:rsidRPr="00DF6C69">
        <w:t>Data from s</w:t>
      </w:r>
      <w:r w:rsidR="00167213" w:rsidRPr="00DF6C69">
        <w:t xml:space="preserve">ensors </w:t>
      </w:r>
      <w:r w:rsidR="00F9616B" w:rsidRPr="00DF6C69">
        <w:t xml:space="preserve">in </w:t>
      </w:r>
      <w:r w:rsidR="00354429" w:rsidRPr="00DF6C69">
        <w:t xml:space="preserve">the same microchannel </w:t>
      </w:r>
      <w:r w:rsidR="00236E39" w:rsidRPr="00DF6C69">
        <w:t xml:space="preserve">was </w:t>
      </w:r>
      <w:r w:rsidR="00354429" w:rsidRPr="00DF6C69">
        <w:t>averaged</w:t>
      </w:r>
      <w:r w:rsidR="008F1859" w:rsidRPr="00DF6C69">
        <w:t xml:space="preserve"> to </w:t>
      </w:r>
      <w:r w:rsidR="00354429" w:rsidRPr="00DF6C69">
        <w:t>reduce</w:t>
      </w:r>
      <w:r w:rsidRPr="00DF6C69">
        <w:t xml:space="preserve"> </w:t>
      </w:r>
      <w:r w:rsidR="00354429" w:rsidRPr="00DF6C69">
        <w:t xml:space="preserve">the standard deviation </w:t>
      </w:r>
      <w:proofErr w:type="gramStart"/>
      <w:r w:rsidR="008F1859" w:rsidRPr="00DF6C69">
        <w:t xml:space="preserve">as a consequence </w:t>
      </w:r>
      <w:r w:rsidR="00354429" w:rsidRPr="00DF6C69">
        <w:t>of</w:t>
      </w:r>
      <w:proofErr w:type="gramEnd"/>
      <w:r w:rsidR="00354429" w:rsidRPr="00DF6C69">
        <w:t xml:space="preserve"> FPN. </w:t>
      </w:r>
      <w:r w:rsidR="00152275" w:rsidRPr="00DF6C69">
        <w:t>A rolling average</w:t>
      </w:r>
      <w:r w:rsidR="000B3C36" w:rsidRPr="00DF6C69">
        <w:t xml:space="preserve"> over a one second </w:t>
      </w:r>
      <w:r w:rsidR="00465429" w:rsidRPr="00DF6C69">
        <w:t xml:space="preserve">non-overlapping </w:t>
      </w:r>
      <w:r w:rsidR="000B3C36" w:rsidRPr="00DF6C69">
        <w:t>window</w:t>
      </w:r>
      <w:r w:rsidR="00152275" w:rsidRPr="00DF6C69">
        <w:t xml:space="preserve"> of the</w:t>
      </w:r>
      <w:r w:rsidR="00536EBB" w:rsidRPr="00DF6C69">
        <w:t xml:space="preserve"> d</w:t>
      </w:r>
      <w:r w:rsidR="00354429" w:rsidRPr="00DF6C69">
        <w:t xml:space="preserve">ata </w:t>
      </w:r>
      <w:r w:rsidRPr="00DF6C69">
        <w:t>was</w:t>
      </w:r>
      <w:r w:rsidR="00536EBB" w:rsidRPr="00DF6C69">
        <w:t xml:space="preserve"> then</w:t>
      </w:r>
      <w:r w:rsidR="00354429" w:rsidRPr="00DF6C69">
        <w:t xml:space="preserve"> </w:t>
      </w:r>
      <w:r w:rsidR="000B3C36" w:rsidRPr="00DF6C69">
        <w:t>calculated</w:t>
      </w:r>
      <w:r w:rsidR="00354429" w:rsidRPr="00DF6C69">
        <w:t>.</w:t>
      </w:r>
      <w:r w:rsidRPr="00DF6C69">
        <w:t xml:space="preserve"> </w:t>
      </w:r>
      <w:r w:rsidR="00D336B3" w:rsidRPr="00DF6C69">
        <w:t>Assuming</w:t>
      </w:r>
      <w:r w:rsidR="00354429" w:rsidRPr="00DF6C69">
        <w:t xml:space="preserve"> that both the noise </w:t>
      </w:r>
      <w:r w:rsidR="009D7506" w:rsidRPr="00DF6C69">
        <w:t xml:space="preserve">from </w:t>
      </w:r>
      <w:r w:rsidR="00354429" w:rsidRPr="00DF6C69">
        <w:t xml:space="preserve">a single sensor and </w:t>
      </w:r>
      <w:r w:rsidR="00D336B3" w:rsidRPr="00DF6C69">
        <w:t xml:space="preserve">the </w:t>
      </w:r>
      <w:r w:rsidR="009D7506" w:rsidRPr="00DF6C69">
        <w:t>variation</w:t>
      </w:r>
      <w:r w:rsidR="00D336B3" w:rsidRPr="00DF6C69">
        <w:t xml:space="preserve"> of </w:t>
      </w:r>
      <w:r w:rsidR="009D7506" w:rsidRPr="00DF6C69">
        <w:t xml:space="preserve">the </w:t>
      </w:r>
      <w:r w:rsidR="00D336B3" w:rsidRPr="00DF6C69">
        <w:t>characteristics</w:t>
      </w:r>
      <w:r w:rsidR="009D7506" w:rsidRPr="00DF6C69">
        <w:t xml:space="preserve"> over an</w:t>
      </w:r>
      <w:r w:rsidR="00354429" w:rsidRPr="00DF6C69">
        <w:t xml:space="preserve"> entire array ha</w:t>
      </w:r>
      <w:r w:rsidRPr="00DF6C69">
        <w:t>d</w:t>
      </w:r>
      <w:r w:rsidR="00354429" w:rsidRPr="00DF6C69">
        <w:t xml:space="preserve"> a Gaussian distribution, the averaging process reduce</w:t>
      </w:r>
      <w:r w:rsidRPr="00DF6C69">
        <w:t>d</w:t>
      </w:r>
      <w:r w:rsidR="00354429" w:rsidRPr="00DF6C69">
        <w:t xml:space="preserve"> the standard deviation of a factor √N, where N </w:t>
      </w:r>
      <w:r w:rsidRPr="00DF6C69">
        <w:t>was</w:t>
      </w:r>
      <w:r w:rsidR="00354429" w:rsidRPr="00DF6C69">
        <w:t xml:space="preserve"> the number of population in the average</w:t>
      </w:r>
      <w:r w:rsidR="001D665D" w:rsidRPr="00DF6C69">
        <w:t>. T</w:t>
      </w:r>
      <w:r w:rsidR="00BC5154" w:rsidRPr="00DF6C69">
        <w:t xml:space="preserve">ypically, N </w:t>
      </w:r>
      <w:r w:rsidR="001D665D" w:rsidRPr="00DF6C69">
        <w:t>=</w:t>
      </w:r>
      <w:r w:rsidR="00BC5154" w:rsidRPr="00DF6C69">
        <w:t xml:space="preserve"> 1728 </w:t>
      </w:r>
      <w:r w:rsidR="00354429" w:rsidRPr="00DF6C69">
        <w:fldChar w:fldCharType="begin" w:fldLock="1"/>
      </w:r>
      <w:r w:rsidR="009F40F2" w:rsidRPr="00DF6C69">
        <w:instrText>ADDIN CSL_CITATION {"citationItems":[{"id":"ITEM-1","itemData":{"DOI":"10.1016/j.measurement.2019.107325","ISSN":"02632241","author":[{"dropping-particle":"","family":"Accarino","given":"Claudio","non-dropping-particle":"","parse-names":false,"suffix":""},{"dropping-particle":"","family":"Annese","given":"Valerio F. V.F.","non-dropping-particle":"","parse-names":false,"suffix":""},{"dropping-particle":"","family":"Cheah","given":"Boon Chong B.C.","non-dropping-particle":"","parse-names":false,"suffix":""},{"dropping-particle":"","family":"Al-Rawhani","given":"M.A. Mohammed A.","non-dropping-particle":"","parse-names":false,"suffix":""},{"dropping-particle":"","family":"Shah","given":"Y.D. Yash D.","non-dropping-particle":"","parse-names":false,"suffix":""},{"dropping-particle":"","family":"Beeley","given":"James","non-dropping-particle":"","parse-names":false,"suffix":""},{"dropping-particle":"","family":"Giagkoulovitis","given":"Christos","non-dropping-particle":"","parse-names":false,"suffix":""},{"dropping-particle":"","family":"Mitra","given":"Srinjoy","non-dropping-particle":"","parse-names":false,"suffix":""},{"dropping-particle":"","family":"Cumming","given":"D.R.S. David R.S.","non-dropping-particle":"","parse-names":false,"suffix":""}],"container-title":"Measurement: Journal of the International Measurement Confederation","id":"ITEM-1","issued":{"date-parts":[["2020","2","1"]]},"publisher":"Elsevier B.V.","title":"Noise characteristics with CMOS sensor array scaling","type":"article-journal","volume":"152"},"uris":["http://www.mendeley.com/documents/?uuid=002cecfb-ac88-456d-ab2a-2c4cd948bd76"]}],"mendeley":{"formattedCitation":"[82]","plainTextFormattedCitation":"[82]","previouslyFormattedCitation":"[82]"},"properties":{"noteIndex":0},"schema":"https://github.com/citation-style-language/schema/raw/master/csl-citation.json"}</w:instrText>
      </w:r>
      <w:r w:rsidR="00354429" w:rsidRPr="00DF6C69">
        <w:fldChar w:fldCharType="separate"/>
      </w:r>
      <w:r w:rsidR="0053537D" w:rsidRPr="00DF6C69">
        <w:t>[82]</w:t>
      </w:r>
      <w:r w:rsidR="00354429" w:rsidRPr="00DF6C69">
        <w:fldChar w:fldCharType="end"/>
      </w:r>
      <w:r w:rsidR="00354429" w:rsidRPr="00DF6C69">
        <w:t>.</w:t>
      </w:r>
      <w:r w:rsidR="00BC5154" w:rsidRPr="00DF6C69">
        <w:t xml:space="preserve"> </w:t>
      </w:r>
      <w:r w:rsidR="00A46AC9" w:rsidRPr="00DF6C69">
        <w:t xml:space="preserve">The time vector was similarly averaged over a one second non-overlapping window of the data. The averaging process led to the generation of one averaged sensor output and </w:t>
      </w:r>
      <w:r w:rsidR="00AB0994" w:rsidRPr="00DF6C69">
        <w:t>a</w:t>
      </w:r>
      <w:r w:rsidR="004B526B" w:rsidRPr="00DF6C69">
        <w:t xml:space="preserve"> </w:t>
      </w:r>
      <w:r w:rsidR="00A46AC9" w:rsidRPr="00DF6C69">
        <w:t>time vector per microchannel.</w:t>
      </w:r>
      <w:r w:rsidR="002C5AD5" w:rsidRPr="00DF6C69">
        <w:t xml:space="preserve"> The averaged sensor output</w:t>
      </w:r>
      <w:r w:rsidR="00BF7AE0" w:rsidRPr="00DF6C69">
        <w:t xml:space="preserve"> as a function of time</w:t>
      </w:r>
      <w:r w:rsidR="002C5AD5" w:rsidRPr="00DF6C69">
        <w:t xml:space="preserve"> was then fit</w:t>
      </w:r>
      <w:r w:rsidR="003A7533" w:rsidRPr="00DF6C69">
        <w:t>ted</w:t>
      </w:r>
      <w:r w:rsidR="002C5AD5" w:rsidRPr="00DF6C69">
        <w:t xml:space="preserve"> into a double exponential model </w:t>
      </w:r>
      <w:r w:rsidR="003A7533" w:rsidRPr="00DF6C69">
        <w:t>using</w:t>
      </w:r>
      <w:r w:rsidR="002C5AD5" w:rsidRPr="00DF6C69">
        <w:t xml:space="preserve"> fixed time-windows. </w:t>
      </w:r>
    </w:p>
    <w:p w14:paraId="5E674072" w14:textId="5D51A20E" w:rsidR="00465429" w:rsidRPr="00DF6C69" w:rsidRDefault="005D6C2D" w:rsidP="00CC62B5">
      <w:pPr>
        <w:pStyle w:val="ListParagraph"/>
        <w:numPr>
          <w:ilvl w:val="0"/>
          <w:numId w:val="3"/>
        </w:numPr>
      </w:pPr>
      <w:r w:rsidRPr="00DF6C69">
        <w:rPr>
          <w:b/>
          <w:bCs/>
        </w:rPr>
        <w:t>Rate</w:t>
      </w:r>
      <w:r w:rsidR="00F60C86" w:rsidRPr="00DF6C69">
        <w:rPr>
          <w:b/>
          <w:bCs/>
        </w:rPr>
        <w:t xml:space="preserve"> </w:t>
      </w:r>
      <w:r w:rsidRPr="00DF6C69">
        <w:rPr>
          <w:b/>
          <w:bCs/>
        </w:rPr>
        <w:t>calculation.</w:t>
      </w:r>
      <w:r w:rsidR="00F60C86" w:rsidRPr="00DF6C69">
        <w:t xml:space="preserve"> Reactions rates </w:t>
      </w:r>
      <w:r w:rsidRPr="00DF6C69">
        <w:t>were</w:t>
      </w:r>
      <w:r w:rsidR="00F60C86" w:rsidRPr="00DF6C69">
        <w:t xml:space="preserve"> calculated by </w:t>
      </w:r>
      <w:r w:rsidR="00E66B9D" w:rsidRPr="00DF6C69">
        <w:t xml:space="preserve">differentiation </w:t>
      </w:r>
      <w:r w:rsidR="00354429" w:rsidRPr="00DF6C69">
        <w:t xml:space="preserve">of the </w:t>
      </w:r>
      <w:r w:rsidR="00F60C86" w:rsidRPr="00DF6C69">
        <w:t>signal</w:t>
      </w:r>
      <w:r w:rsidR="001B46CA" w:rsidRPr="00DF6C69">
        <w:t xml:space="preserve"> </w:t>
      </w:r>
      <w:r w:rsidR="00E0120E" w:rsidRPr="00DF6C69">
        <w:t>with respect to</w:t>
      </w:r>
      <w:r w:rsidR="001B46CA" w:rsidRPr="00DF6C69">
        <w:t xml:space="preserve"> time. </w:t>
      </w:r>
      <w:r w:rsidR="00F60C86" w:rsidRPr="00DF6C69">
        <w:t xml:space="preserve">The </w:t>
      </w:r>
      <w:r w:rsidR="00AB0994" w:rsidRPr="00DF6C69">
        <w:t>initial</w:t>
      </w:r>
      <w:r w:rsidR="00F60C86" w:rsidRPr="00DF6C69">
        <w:t xml:space="preserve"> reaction rate </w:t>
      </w:r>
      <w:r w:rsidR="00354429" w:rsidRPr="00DF6C69">
        <w:t>was</w:t>
      </w:r>
      <w:r w:rsidR="00F60C86" w:rsidRPr="00DF6C69">
        <w:t xml:space="preserve"> </w:t>
      </w:r>
      <w:r w:rsidR="001B46CA" w:rsidRPr="00DF6C69">
        <w:t>thus determined</w:t>
      </w:r>
      <w:r w:rsidR="00F60C86" w:rsidRPr="00DF6C69">
        <w:t xml:space="preserve">. </w:t>
      </w:r>
      <w:r w:rsidRPr="00DF6C69">
        <w:t xml:space="preserve">The decomposition of the signal in different time windows allowed the automatic calculation of the rate. It was </w:t>
      </w:r>
      <w:r w:rsidR="0027558A" w:rsidRPr="00DF6C69">
        <w:t>found from experiments that that it was always possible to determine</w:t>
      </w:r>
      <w:r w:rsidR="001B46CA" w:rsidRPr="00DF6C69">
        <w:t xml:space="preserve"> the </w:t>
      </w:r>
      <w:r w:rsidR="003F2A6E" w:rsidRPr="00DF6C69">
        <w:t>initial</w:t>
      </w:r>
      <w:r w:rsidR="001B46CA" w:rsidRPr="00DF6C69">
        <w:t xml:space="preserve"> reac</w:t>
      </w:r>
      <w:r w:rsidR="00657FFC" w:rsidRPr="00DF6C69">
        <w:t xml:space="preserve">tion rate within 2 minutes hence </w:t>
      </w:r>
      <w:r w:rsidRPr="00DF6C69">
        <w:t>we concluded that a test duration of 2 minutes was sufficient</w:t>
      </w:r>
      <w:r w:rsidR="0027558A" w:rsidRPr="00DF6C69">
        <w:t>.</w:t>
      </w:r>
    </w:p>
    <w:p w14:paraId="1FC2CD14" w14:textId="77777777" w:rsidR="009B2EB9" w:rsidRPr="00DF6C69" w:rsidRDefault="009B2EB9" w:rsidP="009B2EB9"/>
    <w:p w14:paraId="0C23CE67" w14:textId="77777777" w:rsidR="00465429" w:rsidRPr="00DF6C69" w:rsidRDefault="00465429" w:rsidP="00005120"/>
    <w:p w14:paraId="6A359E75" w14:textId="3D0B4566" w:rsidR="000A0149" w:rsidRPr="00DF6C69" w:rsidRDefault="00465429" w:rsidP="00465429">
      <w:pPr>
        <w:spacing w:line="259" w:lineRule="auto"/>
        <w:jc w:val="center"/>
      </w:pPr>
      <w:r w:rsidRPr="00DF6C69">
        <w:rPr>
          <w:noProof/>
        </w:rPr>
        <w:drawing>
          <wp:inline distT="0" distB="0" distL="0" distR="0" wp14:anchorId="174A4A48" wp14:editId="33DA7C02">
            <wp:extent cx="5679523" cy="1438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7740" cy="1455550"/>
                    </a:xfrm>
                    <a:prstGeom prst="rect">
                      <a:avLst/>
                    </a:prstGeom>
                    <a:noFill/>
                  </pic:spPr>
                </pic:pic>
              </a:graphicData>
            </a:graphic>
          </wp:inline>
        </w:drawing>
      </w:r>
    </w:p>
    <w:p w14:paraId="40D7C65A" w14:textId="65F8054A" w:rsidR="00465429" w:rsidRPr="00DF6C69" w:rsidRDefault="00465429" w:rsidP="00511FB3">
      <w:pPr>
        <w:pStyle w:val="Caption"/>
      </w:pPr>
      <w:bookmarkStart w:id="22" w:name="_Ref43202830"/>
      <w:r w:rsidRPr="00DF6C69">
        <w:t xml:space="preserve">Figure </w:t>
      </w:r>
      <w:fldSimple w:instr=" SEQ Figure \* ARABIC ">
        <w:r w:rsidR="00645E46" w:rsidRPr="00DF6C69">
          <w:rPr>
            <w:noProof/>
          </w:rPr>
          <w:t>5</w:t>
        </w:r>
      </w:fldSimple>
      <w:bookmarkEnd w:id="22"/>
      <w:r w:rsidR="00EF1906" w:rsidRPr="00DF6C69">
        <w:t>.</w:t>
      </w:r>
      <w:r w:rsidRPr="00DF6C69">
        <w:t xml:space="preserve"> Flow chart diagram of the operations performed for the initial reaction rate calculation.</w:t>
      </w:r>
      <w:bookmarkEnd w:id="17"/>
      <w:r w:rsidRPr="00DF6C69">
        <w:br w:type="page"/>
      </w:r>
    </w:p>
    <w:p w14:paraId="0C2EE3CE" w14:textId="756EB7D6" w:rsidR="005924B0" w:rsidRPr="00DF6C69" w:rsidRDefault="005924B0" w:rsidP="00F17821">
      <w:pPr>
        <w:pStyle w:val="Heading2"/>
        <w:numPr>
          <w:ilvl w:val="0"/>
          <w:numId w:val="2"/>
        </w:numPr>
      </w:pPr>
      <w:bookmarkStart w:id="23" w:name="_Toc41997382"/>
      <w:r w:rsidRPr="00DF6C69">
        <w:lastRenderedPageBreak/>
        <w:t xml:space="preserve">Supplementary </w:t>
      </w:r>
      <w:r w:rsidR="00BC7B89" w:rsidRPr="00DF6C69">
        <w:t>I</w:t>
      </w:r>
      <w:r w:rsidRPr="00DF6C69">
        <w:t xml:space="preserve">nformation </w:t>
      </w:r>
      <w:r w:rsidR="00BC7B89" w:rsidRPr="00DF6C69">
        <w:t>on Clinical</w:t>
      </w:r>
      <w:r w:rsidRPr="00DF6C69">
        <w:t xml:space="preserve"> </w:t>
      </w:r>
      <w:r w:rsidR="00BC7B89" w:rsidRPr="00DF6C69">
        <w:t>T</w:t>
      </w:r>
      <w:r w:rsidRPr="00DF6C69">
        <w:t>rials</w:t>
      </w:r>
      <w:bookmarkEnd w:id="23"/>
    </w:p>
    <w:p w14:paraId="141B41ED" w14:textId="42E4633D" w:rsidR="00026A6A" w:rsidRPr="00DF6C69" w:rsidRDefault="00F751D0" w:rsidP="00C466C3">
      <w:r w:rsidRPr="00DF6C69">
        <w:t>Experiments were performed under ethical approval (reference number: 10/S0704/18</w:t>
      </w:r>
      <w:r w:rsidR="00631C74" w:rsidRPr="00DF6C69">
        <w:t xml:space="preserve"> issued by </w:t>
      </w:r>
      <w:r w:rsidR="00CA0297" w:rsidRPr="00DF6C69">
        <w:t>the West of Scotland Research Ethics Service</w:t>
      </w:r>
      <w:r w:rsidRPr="00DF6C69">
        <w:t xml:space="preserve">). </w:t>
      </w:r>
      <w:r w:rsidR="005924B0" w:rsidRPr="00DF6C69">
        <w:t xml:space="preserve">Materials and methods related to the clinical trials have been </w:t>
      </w:r>
      <w:r w:rsidR="00F627AA" w:rsidRPr="00DF6C69">
        <w:t>described</w:t>
      </w:r>
      <w:r w:rsidR="005924B0" w:rsidRPr="00DF6C69">
        <w:t xml:space="preserve"> in the paper. Here we report the full dataset of the measurements</w:t>
      </w:r>
      <w:r w:rsidR="000330C1" w:rsidRPr="00DF6C69">
        <w:t xml:space="preserve"> (</w:t>
      </w:r>
      <w:r w:rsidR="004C1605" w:rsidRPr="00DF6C69">
        <w:fldChar w:fldCharType="begin"/>
      </w:r>
      <w:r w:rsidR="004C1605" w:rsidRPr="00DF6C69">
        <w:instrText xml:space="preserve"> REF _Ref45096617 \h </w:instrText>
      </w:r>
      <w:r w:rsidR="00DF6C69">
        <w:instrText xml:space="preserve"> \* MERGEFORMAT </w:instrText>
      </w:r>
      <w:r w:rsidR="004C1605" w:rsidRPr="00DF6C69">
        <w:fldChar w:fldCharType="separate"/>
      </w:r>
      <w:r w:rsidR="00645E46" w:rsidRPr="00DF6C69">
        <w:t xml:space="preserve">Table </w:t>
      </w:r>
      <w:r w:rsidR="00645E46" w:rsidRPr="00DF6C69">
        <w:rPr>
          <w:noProof/>
        </w:rPr>
        <w:t>5</w:t>
      </w:r>
      <w:r w:rsidR="004C1605" w:rsidRPr="00DF6C69">
        <w:fldChar w:fldCharType="end"/>
      </w:r>
      <w:r w:rsidR="004C1605" w:rsidRPr="00DF6C69">
        <w:t xml:space="preserve">) </w:t>
      </w:r>
      <w:r w:rsidR="005924B0" w:rsidRPr="00DF6C69">
        <w:t>and correlation graphs showing how the different metabolites cross-correlate</w:t>
      </w:r>
      <w:r w:rsidR="00FD142B" w:rsidRPr="00DF6C69">
        <w:t>d</w:t>
      </w:r>
      <w:r w:rsidR="000330C1" w:rsidRPr="00DF6C69">
        <w:t xml:space="preserve"> (</w:t>
      </w:r>
      <w:r w:rsidR="000330C1" w:rsidRPr="00DF6C69">
        <w:fldChar w:fldCharType="begin"/>
      </w:r>
      <w:r w:rsidR="000330C1" w:rsidRPr="00DF6C69">
        <w:instrText xml:space="preserve"> REF _Ref38298723 \h </w:instrText>
      </w:r>
      <w:r w:rsidR="00B33D94" w:rsidRPr="00DF6C69">
        <w:instrText xml:space="preserve"> \* MERGEFORMAT </w:instrText>
      </w:r>
      <w:r w:rsidR="000330C1" w:rsidRPr="00DF6C69">
        <w:fldChar w:fldCharType="separate"/>
      </w:r>
      <w:r w:rsidR="00645E46" w:rsidRPr="00DF6C69">
        <w:t>Figure 6</w:t>
      </w:r>
      <w:r w:rsidR="000330C1" w:rsidRPr="00DF6C69">
        <w:fldChar w:fldCharType="end"/>
      </w:r>
      <w:r w:rsidR="000330C1" w:rsidRPr="00DF6C69">
        <w:t xml:space="preserve">). </w:t>
      </w:r>
    </w:p>
    <w:p w14:paraId="663DDE85" w14:textId="1C51BFBF" w:rsidR="00173E7A" w:rsidRPr="00DF6C69" w:rsidRDefault="000E466A" w:rsidP="00173E7A">
      <w:r w:rsidRPr="00DF6C69">
        <w:t xml:space="preserve">To confirm that the platform was working correctly </w:t>
      </w:r>
      <w:r w:rsidR="00173E7A" w:rsidRPr="00DF6C69">
        <w:t>LAA, glutamate, choline, and sarcosine concentrations in</w:t>
      </w:r>
      <w:r w:rsidR="007828DB" w:rsidRPr="00DF6C69">
        <w:t xml:space="preserve"> samples</w:t>
      </w:r>
      <w:r w:rsidR="00173E7A" w:rsidRPr="00DF6C69">
        <w:t xml:space="preserve"> </w:t>
      </w:r>
      <w:r w:rsidRPr="00DF6C69">
        <w:t>from the healthy subject</w:t>
      </w:r>
      <w:r w:rsidR="00173E7A" w:rsidRPr="00DF6C69">
        <w:t xml:space="preserve"> group were independently analysed at Loughborough University. Plasma samples were shipped under a specific material transfer agreement</w:t>
      </w:r>
      <w:r w:rsidR="00CA0297" w:rsidRPr="00DF6C69">
        <w:t xml:space="preserve"> between the University of Glasgow and Loughborough University</w:t>
      </w:r>
      <w:r w:rsidR="007828DB" w:rsidRPr="00DF6C69">
        <w:t>.</w:t>
      </w:r>
      <w:r w:rsidR="00173E7A" w:rsidRPr="00DF6C69">
        <w:t xml:space="preserve"> All the metabolites were tested using commercially available </w:t>
      </w:r>
      <w:r w:rsidR="008E4AC5" w:rsidRPr="00DF6C69">
        <w:t>colorimetric</w:t>
      </w:r>
      <w:r w:rsidR="008841A3" w:rsidRPr="00DF6C69">
        <w:t xml:space="preserve"> or </w:t>
      </w:r>
      <w:r w:rsidR="008E4AC5" w:rsidRPr="00DF6C69">
        <w:t>fluorometric</w:t>
      </w:r>
      <w:r w:rsidR="00173E7A" w:rsidRPr="00DF6C69">
        <w:t xml:space="preserve"> plate-based assays following manufacturer instructions (product codes: ab65347, ab138883, ab219944, ab65338, Abcam, Cambridge, UK). Choline was also analysed by ultra-performance liquid chromatography-tandem mass spectrometry </w:t>
      </w:r>
      <w:r w:rsidR="005A02B4" w:rsidRPr="00DF6C69">
        <w:t>(</w:t>
      </w:r>
      <w:r w:rsidR="00173E7A" w:rsidRPr="00DF6C69">
        <w:t xml:space="preserve">MS/MS) using an </w:t>
      </w:r>
      <w:proofErr w:type="spellStart"/>
      <w:r w:rsidR="00173E7A" w:rsidRPr="00DF6C69">
        <w:t>Acquity</w:t>
      </w:r>
      <w:proofErr w:type="spellEnd"/>
      <w:r w:rsidR="00173E7A" w:rsidRPr="00DF6C69">
        <w:t xml:space="preserve"> liquid chromatograph coupled to a Quattro Ultima triple quadrupole mass spectrometer (Waters, Wilmslow, UK). </w:t>
      </w:r>
    </w:p>
    <w:bookmarkStart w:id="24" w:name="_Hlk40779715"/>
    <w:p w14:paraId="6E8E78F1" w14:textId="3377A612" w:rsidR="00173E7A" w:rsidRPr="00DF6C69" w:rsidRDefault="00CB51E6" w:rsidP="00CB51E6">
      <w:r w:rsidRPr="00DF6C69">
        <w:fldChar w:fldCharType="begin"/>
      </w:r>
      <w:r w:rsidRPr="00DF6C69">
        <w:instrText xml:space="preserve"> REF _Ref41315119 \h </w:instrText>
      </w:r>
      <w:r w:rsidR="00DF6C69">
        <w:instrText xml:space="preserve"> \* MERGEFORMAT </w:instrText>
      </w:r>
      <w:r w:rsidRPr="00DF6C69">
        <w:fldChar w:fldCharType="separate"/>
      </w:r>
      <w:r w:rsidR="00645E46" w:rsidRPr="00DF6C69">
        <w:t xml:space="preserve">Figure </w:t>
      </w:r>
      <w:r w:rsidR="00645E46" w:rsidRPr="00DF6C69">
        <w:rPr>
          <w:noProof/>
        </w:rPr>
        <w:t>7</w:t>
      </w:r>
      <w:r w:rsidRPr="00DF6C69">
        <w:fldChar w:fldCharType="end"/>
      </w:r>
      <w:r w:rsidRPr="00DF6C69">
        <w:t xml:space="preserve"> shows a comparison of metabolite concentrations measured with the platform</w:t>
      </w:r>
      <w:r w:rsidR="00DB449D" w:rsidRPr="00DF6C69">
        <w:t xml:space="preserve"> used in this work</w:t>
      </w:r>
      <w:r w:rsidRPr="00DF6C69">
        <w:t xml:space="preserve"> and with the above-mentioned methods. </w:t>
      </w:r>
      <w:r w:rsidR="00173E7A" w:rsidRPr="00DF6C69">
        <w:t xml:space="preserve">For each sample, metabolite and testing method, concentrations </w:t>
      </w:r>
      <w:r w:rsidRPr="00DF6C69">
        <w:t xml:space="preserve">were </w:t>
      </w:r>
      <w:r w:rsidR="00173E7A" w:rsidRPr="00DF6C69">
        <w:t xml:space="preserve">normalised to the average levels in the group. All four metabolites had comparable results with </w:t>
      </w:r>
      <w:r w:rsidRPr="00DF6C69">
        <w:t xml:space="preserve">all the above-mentioned </w:t>
      </w:r>
      <w:r w:rsidR="00173E7A" w:rsidRPr="00DF6C69">
        <w:t xml:space="preserve">methods. </w:t>
      </w:r>
      <w:bookmarkStart w:id="25" w:name="_Hlk40779812"/>
      <w:bookmarkEnd w:id="24"/>
      <w:r w:rsidR="00173E7A" w:rsidRPr="00DF6C69">
        <w:t xml:space="preserve">Choline </w:t>
      </w:r>
      <w:r w:rsidR="00B46588" w:rsidRPr="00DF6C69">
        <w:t>readings</w:t>
      </w:r>
      <w:r w:rsidR="00CE5FA0" w:rsidRPr="00DF6C69">
        <w:t xml:space="preserve"> using the platform</w:t>
      </w:r>
      <w:r w:rsidR="00B46588" w:rsidRPr="00DF6C69">
        <w:t xml:space="preserve"> </w:t>
      </w:r>
      <w:r w:rsidR="00943BBA" w:rsidRPr="00DF6C69">
        <w:t xml:space="preserve">(see </w:t>
      </w:r>
      <w:r w:rsidR="0062494F" w:rsidRPr="00DF6C69">
        <w:fldChar w:fldCharType="begin"/>
      </w:r>
      <w:r w:rsidR="0062494F" w:rsidRPr="00DF6C69">
        <w:instrText xml:space="preserve"> REF _Ref41315119 \h </w:instrText>
      </w:r>
      <w:r w:rsidR="00DF6C69">
        <w:instrText xml:space="preserve"> \* MERGEFORMAT </w:instrText>
      </w:r>
      <w:r w:rsidR="0062494F" w:rsidRPr="00DF6C69">
        <w:fldChar w:fldCharType="separate"/>
      </w:r>
      <w:r w:rsidR="00645E46" w:rsidRPr="00DF6C69">
        <w:t xml:space="preserve">Figure </w:t>
      </w:r>
      <w:r w:rsidR="00645E46" w:rsidRPr="00DF6C69">
        <w:rPr>
          <w:noProof/>
        </w:rPr>
        <w:t>7</w:t>
      </w:r>
      <w:r w:rsidR="0062494F" w:rsidRPr="00DF6C69">
        <w:fldChar w:fldCharType="end"/>
      </w:r>
      <w:r w:rsidR="00B46588" w:rsidRPr="00DF6C69">
        <w:t>(e) and (f)</w:t>
      </w:r>
      <w:r w:rsidR="00943BBA" w:rsidRPr="00DF6C69">
        <w:t>)</w:t>
      </w:r>
      <w:r w:rsidR="00173E7A" w:rsidRPr="00DF6C69">
        <w:t xml:space="preserve"> showed higher correlation with MS</w:t>
      </w:r>
      <w:r w:rsidR="008E4AC5" w:rsidRPr="00DF6C69">
        <w:t>/</w:t>
      </w:r>
      <w:r w:rsidR="00173E7A" w:rsidRPr="00DF6C69">
        <w:t>MS measurements (R=0.8) than with data obtained with the commercial fluorescen</w:t>
      </w:r>
      <w:r w:rsidR="001B4BFE" w:rsidRPr="00DF6C69">
        <w:t>ce</w:t>
      </w:r>
      <w:r w:rsidR="00173E7A" w:rsidRPr="00DF6C69">
        <w:t xml:space="preserve"> kit (R=0.5). It is well-known that MS</w:t>
      </w:r>
      <w:r w:rsidR="008E4AC5" w:rsidRPr="00DF6C69">
        <w:t>/</w:t>
      </w:r>
      <w:r w:rsidR="00173E7A" w:rsidRPr="00DF6C69">
        <w:t xml:space="preserve">MS provides more accurate results than </w:t>
      </w:r>
      <w:r w:rsidR="00C77CA0" w:rsidRPr="00DF6C69">
        <w:t xml:space="preserve">the </w:t>
      </w:r>
      <w:r w:rsidR="00173E7A" w:rsidRPr="00DF6C69">
        <w:t xml:space="preserve">commercial assay kits. </w:t>
      </w:r>
      <w:r w:rsidR="00B46588" w:rsidRPr="00DF6C69">
        <w:t>T</w:t>
      </w:r>
      <w:r w:rsidR="00C77CA0" w:rsidRPr="00DF6C69">
        <w:t xml:space="preserve">he </w:t>
      </w:r>
      <w:r w:rsidR="00173E7A" w:rsidRPr="00DF6C69">
        <w:t>data</w:t>
      </w:r>
      <w:r w:rsidR="00C77CA0" w:rsidRPr="00DF6C69">
        <w:t xml:space="preserve"> therefore</w:t>
      </w:r>
      <w:r w:rsidR="00173E7A" w:rsidRPr="00DF6C69">
        <w:t xml:space="preserve"> suggest</w:t>
      </w:r>
      <w:r w:rsidR="00C77CA0" w:rsidRPr="00DF6C69">
        <w:t>s</w:t>
      </w:r>
      <w:r w:rsidR="00173E7A" w:rsidRPr="00DF6C69">
        <w:t xml:space="preserve"> that measurements with the platform are more accurate than the commercial kit but have lower precision (larger standard deviation). </w:t>
      </w:r>
      <w:r w:rsidR="00B46588" w:rsidRPr="00DF6C69">
        <w:t>MS</w:t>
      </w:r>
      <w:r w:rsidR="008E4AC5" w:rsidRPr="00DF6C69">
        <w:t>/</w:t>
      </w:r>
      <w:r w:rsidR="00B46588" w:rsidRPr="00DF6C69">
        <w:t xml:space="preserve">MS analysis for all the metabolites was not possible </w:t>
      </w:r>
      <w:r w:rsidR="00B1609A" w:rsidRPr="00DF6C69">
        <w:t>with</w:t>
      </w:r>
      <w:r w:rsidR="003E7218" w:rsidRPr="00DF6C69">
        <w:t xml:space="preserve"> the</w:t>
      </w:r>
      <w:r w:rsidR="00B46588" w:rsidRPr="00DF6C69">
        <w:t xml:space="preserve"> resources</w:t>
      </w:r>
      <w:r w:rsidR="003E7218" w:rsidRPr="00DF6C69">
        <w:t xml:space="preserve"> available</w:t>
      </w:r>
      <w:r w:rsidR="00B46588" w:rsidRPr="00DF6C69">
        <w:t>.</w:t>
      </w:r>
    </w:p>
    <w:p w14:paraId="4A8CC87E" w14:textId="1A83066D" w:rsidR="00847C65" w:rsidRPr="00DF6C69" w:rsidRDefault="0078063F" w:rsidP="00173E7A">
      <w:bookmarkStart w:id="26" w:name="_Hlk40779851"/>
      <w:bookmarkEnd w:id="25"/>
      <w:r w:rsidRPr="00DF6C69">
        <w:t xml:space="preserve">An exact match </w:t>
      </w:r>
      <w:r w:rsidR="007E7EA2" w:rsidRPr="00DF6C69">
        <w:t>was</w:t>
      </w:r>
      <w:r w:rsidRPr="00DF6C69">
        <w:t xml:space="preserve"> not expect</w:t>
      </w:r>
      <w:r w:rsidR="00EB5B42" w:rsidRPr="00DF6C69">
        <w:t>ed</w:t>
      </w:r>
      <w:r w:rsidR="007E7EA2" w:rsidRPr="00DF6C69">
        <w:t>.</w:t>
      </w:r>
      <w:r w:rsidR="00EB5B42" w:rsidRPr="00DF6C69">
        <w:t xml:space="preserve"> </w:t>
      </w:r>
      <w:r w:rsidR="003E7218" w:rsidRPr="00DF6C69">
        <w:t>F</w:t>
      </w:r>
      <w:r w:rsidR="00173E7A" w:rsidRPr="00DF6C69">
        <w:t>actors that might have affected the comparison</w:t>
      </w:r>
      <w:r w:rsidR="00E36F14" w:rsidRPr="00DF6C69">
        <w:t xml:space="preserve"> studies were</w:t>
      </w:r>
      <w:r w:rsidR="00847C65" w:rsidRPr="00DF6C69">
        <w:t xml:space="preserve">: </w:t>
      </w:r>
    </w:p>
    <w:p w14:paraId="0759CF53" w14:textId="77C25752" w:rsidR="00847C65" w:rsidRPr="00DF6C69" w:rsidRDefault="00173E7A" w:rsidP="00AE72E8">
      <w:pPr>
        <w:pStyle w:val="ListParagraph"/>
        <w:numPr>
          <w:ilvl w:val="0"/>
          <w:numId w:val="6"/>
        </w:numPr>
        <w:spacing w:after="120"/>
      </w:pPr>
      <w:r w:rsidRPr="00DF6C69">
        <w:t xml:space="preserve">Samples tested in the third-party laboratory </w:t>
      </w:r>
      <w:r w:rsidR="00E36F14" w:rsidRPr="00DF6C69">
        <w:t>had to be transported a</w:t>
      </w:r>
      <w:r w:rsidRPr="00DF6C69">
        <w:t xml:space="preserve"> long-distance </w:t>
      </w:r>
      <w:r w:rsidR="00E36F14" w:rsidRPr="00DF6C69">
        <w:t>that</w:t>
      </w:r>
      <w:r w:rsidRPr="00DF6C69">
        <w:t xml:space="preserve"> might have affected the concentration of the metabolites. </w:t>
      </w:r>
    </w:p>
    <w:p w14:paraId="504FBAEE" w14:textId="7CCD0F7F" w:rsidR="00847C65" w:rsidRPr="00DF6C69" w:rsidRDefault="00847C65" w:rsidP="00AE72E8">
      <w:pPr>
        <w:pStyle w:val="ListParagraph"/>
        <w:numPr>
          <w:ilvl w:val="0"/>
          <w:numId w:val="6"/>
        </w:numPr>
        <w:spacing w:after="120"/>
      </w:pPr>
      <w:r w:rsidRPr="00DF6C69">
        <w:t xml:space="preserve">The substrate concentration was estimated using different </w:t>
      </w:r>
      <w:r w:rsidR="00087119" w:rsidRPr="00DF6C69">
        <w:t>techniques</w:t>
      </w:r>
      <w:r w:rsidRPr="00DF6C69">
        <w:t>. The platform used sample-specific parameters, as discussed in the methods section of the paper. The reference methods used a ‘one-fit-all’ calibration curve obtained with calibrat</w:t>
      </w:r>
      <w:r w:rsidR="00AE72E8" w:rsidRPr="00DF6C69">
        <w:t>ed</w:t>
      </w:r>
      <w:r w:rsidRPr="00DF6C69">
        <w:t xml:space="preserve"> solutions.</w:t>
      </w:r>
    </w:p>
    <w:p w14:paraId="288D7CEC" w14:textId="6C619529" w:rsidR="00087119" w:rsidRPr="00DF6C69" w:rsidRDefault="00847C65" w:rsidP="005B62C9">
      <w:pPr>
        <w:pStyle w:val="ListParagraph"/>
        <w:numPr>
          <w:ilvl w:val="0"/>
          <w:numId w:val="6"/>
        </w:numPr>
        <w:spacing w:after="120"/>
      </w:pPr>
      <w:r w:rsidRPr="00DF6C69">
        <w:t>The platform and the reference</w:t>
      </w:r>
      <w:r w:rsidR="00173E7A" w:rsidRPr="00DF6C69">
        <w:t xml:space="preserve"> methods used different working principles. </w:t>
      </w:r>
      <w:r w:rsidR="00726947" w:rsidRPr="00DF6C69">
        <w:t>It has been shown</w:t>
      </w:r>
      <w:r w:rsidR="00173E7A" w:rsidRPr="00DF6C69">
        <w:t xml:space="preserve"> that</w:t>
      </w:r>
      <w:r w:rsidR="00741F8A" w:rsidRPr="00DF6C69">
        <w:t xml:space="preserve"> measurements of</w:t>
      </w:r>
      <w:r w:rsidR="00173E7A" w:rsidRPr="00DF6C69">
        <w:t xml:space="preserve"> serum metabolites </w:t>
      </w:r>
      <w:r w:rsidR="00741F8A" w:rsidRPr="00DF6C69">
        <w:t>made</w:t>
      </w:r>
      <w:r w:rsidR="00173E7A" w:rsidRPr="00DF6C69">
        <w:t xml:space="preserve"> </w:t>
      </w:r>
      <w:r w:rsidR="00726947" w:rsidRPr="00DF6C69">
        <w:t>using</w:t>
      </w:r>
      <w:r w:rsidR="00173E7A" w:rsidRPr="00DF6C69">
        <w:t xml:space="preserve"> different </w:t>
      </w:r>
      <w:r w:rsidR="00726947" w:rsidRPr="00DF6C69">
        <w:t>methods</w:t>
      </w:r>
      <w:r w:rsidR="00173E7A" w:rsidRPr="00DF6C69">
        <w:t xml:space="preserve"> might have discrepancies </w:t>
      </w:r>
      <w:r w:rsidR="00741F8A" w:rsidRPr="00DF6C69">
        <w:t xml:space="preserve">because of </w:t>
      </w:r>
      <w:r w:rsidR="00173E7A" w:rsidRPr="00DF6C69">
        <w:t>chemical interference</w:t>
      </w:r>
      <w:r w:rsidR="00580131" w:rsidRPr="00DF6C69">
        <w:t xml:space="preserve">, especially in </w:t>
      </w:r>
      <w:r w:rsidR="00BF1851" w:rsidRPr="00DF6C69">
        <w:t xml:space="preserve">the </w:t>
      </w:r>
      <w:r w:rsidR="00580131" w:rsidRPr="00DF6C69">
        <w:t>presence of anticoagulant</w:t>
      </w:r>
      <w:r w:rsidR="00BF1851" w:rsidRPr="00DF6C69">
        <w:t>s,</w:t>
      </w:r>
      <w:r w:rsidR="00580131" w:rsidRPr="00DF6C69">
        <w:t xml:space="preserve"> such as EDTA</w:t>
      </w:r>
      <w:r w:rsidRPr="00DF6C69">
        <w:t xml:space="preserve"> </w:t>
      </w:r>
      <w:r w:rsidR="00726947" w:rsidRPr="00DF6C69">
        <w:fldChar w:fldCharType="begin" w:fldLock="1"/>
      </w:r>
      <w:r w:rsidR="00726947" w:rsidRPr="00DF6C69">
        <w:instrText>ADDIN CSL_CITATION {"citationItems":[{"id":"ITEM-1","itemData":{"DOI":"10.1371/journal.pone.0016957","ISSN":"19326203","abstract":"Continuing improvements in analytical technology along with an increased interest in performing comprehensive, quantitative metabolic profiling, is leading to increased interest pressures within the metabolomics community to develop centralized metabolite reference resources for certain clinically important biofluids, such as cerebrospinal fluid, urine and blood. As part of an ongoing effort to systematically characterize the human metabolome through the Human Metabolome Project, we have undertaken the task of characterizing the human serum metabolome. In doing so, we have combined targeted and non-targeted NMR, GC-MS and LC-MS methods with computer-aided literature mining to identify and quantify a comprehensive, if not absolutely complete, set of metabolites commonly detected and quantified (with today's technology) in the human serum metabolome. Our use of multiple metabolomics platforms and technologies allowed us to substantially enhance the level of metabolome coverage while critically assessing the relative strengths and weaknesses of these platforms or technologies. Tables containing the complete set of 4229 confirmed and highly probable human serum compounds, their concentrations, related literature references and links to their known disease associations are freely available at http://www.serummetabolome.ca. © 2011 Psychogios et al.","author":[{"dropping-particle":"","family":"Psychogios","given":"Nikolaos","non-dropping-particle":"","parse-names":false,"suffix":""},{"dropping-particle":"","family":"Hau","given":"David D.","non-dropping-particle":"","parse-names":false,"suffix":""},{"dropping-particle":"","family":"Peng","given":"Jun","non-dropping-particle":"","parse-names":false,"suffix":""},{"dropping-particle":"","family":"Guo","given":"An Chi","non-dropping-particle":"","parse-names":false,"suffix":""},{"dropping-particle":"","family":"Mandal","given":"Rupasri","non-dropping-particle":"","parse-names":false,"suffix":""},{"dropping-particle":"","family":"Bouatra","given":"Souhaila","non-dropping-particle":"","parse-names":false,"suffix":""},{"dropping-particle":"","family":"Sinelnikov","given":"Igor","non-dropping-particle":"","parse-names":false,"suffix":""},{"dropping-particle":"","family":"Krishnamurthy","given":"Ramanarayan","non-dropping-particle":"","parse-names":false,"suffix":""},{"dropping-particle":"","family":"Eisner","given":"Roman","non-dropping-particle":"","parse-names":false,"suffix":""},{"dropping-particle":"","family":"Gautam","given":"Bijaya","non-dropping-particle":"","parse-names":false,"suffix":""},{"dropping-particle":"","family":"Young","given":"Nelson","non-dropping-particle":"","parse-names":false,"suffix":""},{"dropping-particle":"","family":"Xia","given":"Jianguo","non-dropping-particle":"","parse-names":false,"suffix":""},{"dropping-particle":"","family":"Knox","given":"Craig","non-dropping-particle":"","parse-names":false,"suffix":""},{"dropping-particle":"","family":"Dong","given":"Edison","non-dropping-particle":"","parse-names":false,"suffix":""},{"dropping-particle":"","family":"Huang","given":"Paul","non-dropping-particle":"","parse-names":false,"suffix":""},{"dropping-particle":"","family":"Hollander","given":"Zsuzsanna","non-dropping-particle":"","parse-names":false,"suffix":""},{"dropping-particle":"","family":"Pedersen","given":"Theresa L.","non-dropping-particle":"","parse-names":false,"suffix":""},{"dropping-particle":"","family":"Smith","given":"Steven R.","non-dropping-particle":"","parse-names":false,"suffix":""},{"dropping-particle":"","family":"Bamforth","given":"Fiona","non-dropping-particle":"","parse-names":false,"suffix":""},{"dropping-particle":"","family":"Greiner","given":"Russ","non-dropping-particle":"","parse-names":false,"suffix":""},{"dropping-particle":"","family":"McManus","given":"Bruce","non-dropping-particle":"","parse-names":false,"suffix":""},{"dropping-particle":"","family":"Newman","given":"John W.","non-dropping-particle":"","parse-names":false,"suffix":""},{"dropping-particle":"","family":"Goodfriend","given":"Theodore","non-dropping-particle":"","parse-names":false,"suffix":""},{"dropping-particle":"","family":"Wishart","given":"David S.","non-dropping-particle":"","parse-names":false,"suffix":""}],"container-title":"PLoS ONE","id":"ITEM-1","issue":"2","issued":{"date-parts":[["2011"]]},"title":"The human serum metabolome","type":"article-journal","volume":"6"},"uris":["http://www.mendeley.com/documents/?uuid=a11552f2-9c77-4ad1-ab14-cc7c867ccc75"]}],"mendeley":{"formattedCitation":"[83]","plainTextFormattedCitation":"[83]","previouslyFormattedCitation":"[83]"},"properties":{"noteIndex":0},"schema":"https://github.com/citation-style-language/schema/raw/master/csl-citation.json"}</w:instrText>
      </w:r>
      <w:r w:rsidR="00726947" w:rsidRPr="00DF6C69">
        <w:fldChar w:fldCharType="separate"/>
      </w:r>
      <w:r w:rsidR="00726947" w:rsidRPr="00DF6C69">
        <w:t>[83]</w:t>
      </w:r>
      <w:r w:rsidR="00726947" w:rsidRPr="00DF6C69">
        <w:fldChar w:fldCharType="end"/>
      </w:r>
      <w:r w:rsidR="00173E7A" w:rsidRPr="00DF6C69">
        <w:t>.</w:t>
      </w:r>
      <w:bookmarkEnd w:id="26"/>
    </w:p>
    <w:p w14:paraId="3617CC11" w14:textId="77777777" w:rsidR="00580131" w:rsidRPr="00DF6C69" w:rsidRDefault="00580131" w:rsidP="00580131">
      <w:pPr>
        <w:pStyle w:val="ListParagraph"/>
        <w:spacing w:after="120"/>
        <w:ind w:left="360"/>
      </w:pPr>
    </w:p>
    <w:p w14:paraId="3EA18CDA" w14:textId="76057E89" w:rsidR="000765CF" w:rsidRPr="00DF6C69" w:rsidRDefault="000765CF" w:rsidP="000765CF">
      <w:pPr>
        <w:pStyle w:val="Caption"/>
      </w:pPr>
      <w:bookmarkStart w:id="27" w:name="_Ref38298517"/>
      <w:r w:rsidRPr="00DF6C69">
        <w:t xml:space="preserve">Table </w:t>
      </w:r>
      <w:fldSimple w:instr=" SEQ Table \* ARABIC ">
        <w:r w:rsidR="00645E46" w:rsidRPr="00DF6C69">
          <w:rPr>
            <w:noProof/>
          </w:rPr>
          <w:t>4</w:t>
        </w:r>
      </w:fldSimple>
      <w:bookmarkEnd w:id="27"/>
      <w:r w:rsidR="00A261F3" w:rsidRPr="00DF6C69">
        <w:t>.</w:t>
      </w:r>
      <w:r w:rsidRPr="00DF6C69">
        <w:t xml:space="preserve"> Summary of the target metabolites for the selected applications</w:t>
      </w:r>
    </w:p>
    <w:tbl>
      <w:tblPr>
        <w:tblStyle w:val="TableGrid"/>
        <w:tblW w:w="0" w:type="auto"/>
        <w:tblLook w:val="04A0" w:firstRow="1" w:lastRow="0" w:firstColumn="1" w:lastColumn="0" w:noHBand="0" w:noVBand="1"/>
      </w:tblPr>
      <w:tblGrid>
        <w:gridCol w:w="1445"/>
        <w:gridCol w:w="1585"/>
        <w:gridCol w:w="1544"/>
        <w:gridCol w:w="1505"/>
        <w:gridCol w:w="1452"/>
        <w:gridCol w:w="1395"/>
      </w:tblGrid>
      <w:tr w:rsidR="000765CF" w:rsidRPr="00DF6C69" w14:paraId="2D2F39BE" w14:textId="77777777" w:rsidTr="000765CF">
        <w:trPr>
          <w:trHeight w:val="283"/>
        </w:trPr>
        <w:tc>
          <w:tcPr>
            <w:tcW w:w="1445" w:type="dxa"/>
            <w:shd w:val="clear" w:color="auto" w:fill="D9E2F3" w:themeFill="accent1" w:themeFillTint="33"/>
            <w:vAlign w:val="center"/>
          </w:tcPr>
          <w:p w14:paraId="56A558F1" w14:textId="77777777" w:rsidR="000765CF" w:rsidRPr="00DF6C69" w:rsidRDefault="000765CF" w:rsidP="000765CF">
            <w:pPr>
              <w:jc w:val="center"/>
              <w:rPr>
                <w:rFonts w:cs="Times New Roman"/>
                <w:b/>
                <w:sz w:val="18"/>
                <w:szCs w:val="18"/>
              </w:rPr>
            </w:pPr>
            <w:r w:rsidRPr="00DF6C69">
              <w:rPr>
                <w:rFonts w:cs="Times New Roman"/>
                <w:b/>
                <w:sz w:val="18"/>
                <w:szCs w:val="18"/>
              </w:rPr>
              <w:t>Analyte</w:t>
            </w:r>
          </w:p>
        </w:tc>
        <w:tc>
          <w:tcPr>
            <w:tcW w:w="1585" w:type="dxa"/>
            <w:shd w:val="clear" w:color="auto" w:fill="D9E2F3" w:themeFill="accent1" w:themeFillTint="33"/>
            <w:vAlign w:val="center"/>
          </w:tcPr>
          <w:p w14:paraId="2051F5E9" w14:textId="77777777" w:rsidR="000765CF" w:rsidRPr="00DF6C69" w:rsidRDefault="000765CF" w:rsidP="000765CF">
            <w:pPr>
              <w:jc w:val="center"/>
              <w:rPr>
                <w:rFonts w:cs="Times New Roman"/>
                <w:b/>
                <w:sz w:val="18"/>
                <w:szCs w:val="18"/>
              </w:rPr>
            </w:pPr>
            <w:r w:rsidRPr="00DF6C69">
              <w:rPr>
                <w:rFonts w:cs="Times New Roman"/>
                <w:b/>
                <w:sz w:val="18"/>
                <w:szCs w:val="18"/>
              </w:rPr>
              <w:t>Physiological range (µM)</w:t>
            </w:r>
          </w:p>
        </w:tc>
        <w:tc>
          <w:tcPr>
            <w:tcW w:w="1544" w:type="dxa"/>
            <w:shd w:val="clear" w:color="auto" w:fill="D9E2F3" w:themeFill="accent1" w:themeFillTint="33"/>
            <w:vAlign w:val="center"/>
          </w:tcPr>
          <w:p w14:paraId="0353B5C1" w14:textId="77777777" w:rsidR="000765CF" w:rsidRPr="00DF6C69" w:rsidRDefault="000765CF" w:rsidP="000765CF">
            <w:pPr>
              <w:jc w:val="center"/>
              <w:rPr>
                <w:rFonts w:cs="Times New Roman"/>
                <w:b/>
                <w:sz w:val="18"/>
                <w:szCs w:val="18"/>
              </w:rPr>
            </w:pPr>
            <w:r w:rsidRPr="00DF6C69">
              <w:rPr>
                <w:rFonts w:cs="Times New Roman"/>
                <w:b/>
                <w:sz w:val="18"/>
                <w:szCs w:val="18"/>
              </w:rPr>
              <w:t>Application</w:t>
            </w:r>
          </w:p>
        </w:tc>
        <w:tc>
          <w:tcPr>
            <w:tcW w:w="1505" w:type="dxa"/>
            <w:shd w:val="clear" w:color="auto" w:fill="D9E2F3" w:themeFill="accent1" w:themeFillTint="33"/>
            <w:vAlign w:val="center"/>
          </w:tcPr>
          <w:p w14:paraId="3D7052E1" w14:textId="77777777" w:rsidR="000765CF" w:rsidRPr="00DF6C69" w:rsidRDefault="000765CF" w:rsidP="000765CF">
            <w:pPr>
              <w:jc w:val="center"/>
              <w:rPr>
                <w:rFonts w:cs="Times New Roman"/>
                <w:b/>
                <w:sz w:val="18"/>
                <w:szCs w:val="18"/>
              </w:rPr>
            </w:pPr>
            <w:r w:rsidRPr="00DF6C69">
              <w:rPr>
                <w:rFonts w:cs="Times New Roman"/>
                <w:b/>
                <w:sz w:val="18"/>
                <w:szCs w:val="18"/>
              </w:rPr>
              <w:t>Detection method</w:t>
            </w:r>
          </w:p>
        </w:tc>
        <w:tc>
          <w:tcPr>
            <w:tcW w:w="1452" w:type="dxa"/>
            <w:shd w:val="clear" w:color="auto" w:fill="D9E2F3" w:themeFill="accent1" w:themeFillTint="33"/>
            <w:vAlign w:val="center"/>
          </w:tcPr>
          <w:p w14:paraId="19284A33" w14:textId="77777777" w:rsidR="000765CF" w:rsidRPr="00DF6C69" w:rsidRDefault="000765CF" w:rsidP="000765CF">
            <w:pPr>
              <w:jc w:val="center"/>
              <w:rPr>
                <w:rFonts w:cs="Times New Roman"/>
                <w:b/>
                <w:sz w:val="18"/>
                <w:szCs w:val="18"/>
              </w:rPr>
            </w:pPr>
            <w:r w:rsidRPr="00DF6C69">
              <w:rPr>
                <w:rFonts w:cs="Times New Roman"/>
                <w:b/>
                <w:sz w:val="18"/>
                <w:szCs w:val="18"/>
              </w:rPr>
              <w:t>Enzyme</w:t>
            </w:r>
          </w:p>
        </w:tc>
        <w:tc>
          <w:tcPr>
            <w:tcW w:w="1395" w:type="dxa"/>
            <w:shd w:val="clear" w:color="auto" w:fill="D9E2F3" w:themeFill="accent1" w:themeFillTint="33"/>
            <w:vAlign w:val="center"/>
          </w:tcPr>
          <w:p w14:paraId="39B34372" w14:textId="041368AF" w:rsidR="000765CF" w:rsidRPr="00DF6C69" w:rsidRDefault="000765CF" w:rsidP="000765CF">
            <w:pPr>
              <w:jc w:val="center"/>
              <w:rPr>
                <w:rFonts w:cs="Times New Roman"/>
                <w:b/>
                <w:sz w:val="18"/>
                <w:szCs w:val="18"/>
              </w:rPr>
            </w:pPr>
            <w:r w:rsidRPr="00DF6C69">
              <w:rPr>
                <w:rFonts w:cs="Times New Roman"/>
                <w:b/>
                <w:sz w:val="18"/>
                <w:szCs w:val="18"/>
              </w:rPr>
              <w:t>Km</w:t>
            </w:r>
            <w:r w:rsidR="00580131" w:rsidRPr="00DF6C69">
              <w:rPr>
                <w:rFonts w:cs="Times New Roman"/>
                <w:b/>
                <w:sz w:val="18"/>
                <w:szCs w:val="18"/>
              </w:rPr>
              <w:t xml:space="preserve"> </w:t>
            </w:r>
            <w:r w:rsidRPr="00DF6C69">
              <w:rPr>
                <w:rFonts w:cs="Times New Roman"/>
                <w:sz w:val="18"/>
                <w:szCs w:val="18"/>
              </w:rPr>
              <w:fldChar w:fldCharType="begin" w:fldLock="1"/>
            </w:r>
            <w:r w:rsidR="00847C65" w:rsidRPr="00DF6C69">
              <w:rPr>
                <w:rFonts w:cs="Times New Roman"/>
                <w:sz w:val="18"/>
                <w:szCs w:val="18"/>
              </w:rPr>
              <w:instrText>ADDIN CSL_CITATION {"citationItems":[{"id":"ITEM-1","itemData":{"URL":"https://www.brenda-enzymes.org/index.php","accessed":{"date-parts":[["2020","1","22"]]},"id":"ITEM-1","issued":{"date-parts":[["0"]]},"title":"Enzyme Database - BRENDA","type":"webpage"},"uris":["http://www.mendeley.com/documents/?uuid=0887271e-0527-3d6e-a734-b4726773f56d"]}],"mendeley":{"formattedCitation":"[70]","plainTextFormattedCitation":"[70]","previouslyFormattedCitation":"[70]"},"properties":{"noteIndex":0},"schema":"https://github.com/citation-style-language/schema/raw/master/csl-citation.json"}</w:instrText>
            </w:r>
            <w:r w:rsidRPr="00DF6C69">
              <w:rPr>
                <w:rFonts w:cs="Times New Roman"/>
                <w:sz w:val="18"/>
                <w:szCs w:val="18"/>
              </w:rPr>
              <w:fldChar w:fldCharType="separate"/>
            </w:r>
            <w:r w:rsidR="00B226C7" w:rsidRPr="00DF6C69">
              <w:rPr>
                <w:rFonts w:cs="Times New Roman"/>
                <w:sz w:val="18"/>
                <w:szCs w:val="18"/>
              </w:rPr>
              <w:t>[70]</w:t>
            </w:r>
            <w:r w:rsidRPr="00DF6C69">
              <w:rPr>
                <w:rFonts w:cs="Times New Roman"/>
                <w:sz w:val="18"/>
                <w:szCs w:val="18"/>
              </w:rPr>
              <w:fldChar w:fldCharType="end"/>
            </w:r>
          </w:p>
        </w:tc>
      </w:tr>
      <w:tr w:rsidR="000765CF" w:rsidRPr="00DF6C69" w14:paraId="2957EBAD" w14:textId="77777777" w:rsidTr="000765CF">
        <w:trPr>
          <w:trHeight w:val="283"/>
        </w:trPr>
        <w:tc>
          <w:tcPr>
            <w:tcW w:w="1445" w:type="dxa"/>
            <w:vAlign w:val="center"/>
          </w:tcPr>
          <w:p w14:paraId="07C6F2E3" w14:textId="77777777" w:rsidR="000765CF" w:rsidRPr="00DF6C69" w:rsidRDefault="000765CF" w:rsidP="000765CF">
            <w:pPr>
              <w:jc w:val="center"/>
              <w:rPr>
                <w:rFonts w:cs="Times New Roman"/>
                <w:sz w:val="18"/>
                <w:szCs w:val="18"/>
              </w:rPr>
            </w:pPr>
            <w:r w:rsidRPr="00DF6C69">
              <w:rPr>
                <w:rFonts w:cs="Times New Roman"/>
                <w:sz w:val="18"/>
                <w:szCs w:val="18"/>
              </w:rPr>
              <w:t>LAAs profile</w:t>
            </w:r>
          </w:p>
        </w:tc>
        <w:tc>
          <w:tcPr>
            <w:tcW w:w="1585" w:type="dxa"/>
            <w:vAlign w:val="center"/>
          </w:tcPr>
          <w:p w14:paraId="76609F2A" w14:textId="77777777" w:rsidR="000765CF" w:rsidRPr="00DF6C69" w:rsidRDefault="000765CF" w:rsidP="000765CF">
            <w:pPr>
              <w:jc w:val="center"/>
              <w:rPr>
                <w:rFonts w:cs="Times New Roman"/>
                <w:sz w:val="18"/>
                <w:szCs w:val="18"/>
              </w:rPr>
            </w:pPr>
            <w:r w:rsidRPr="00DF6C69">
              <w:rPr>
                <w:rFonts w:cs="Times New Roman"/>
                <w:sz w:val="18"/>
                <w:szCs w:val="18"/>
              </w:rPr>
              <w:t>1700 - 4600</w:t>
            </w:r>
          </w:p>
        </w:tc>
        <w:tc>
          <w:tcPr>
            <w:tcW w:w="1544" w:type="dxa"/>
            <w:vAlign w:val="center"/>
          </w:tcPr>
          <w:p w14:paraId="73C71101" w14:textId="77777777" w:rsidR="000765CF" w:rsidRPr="00DF6C69" w:rsidRDefault="000765CF" w:rsidP="000765CF">
            <w:pPr>
              <w:jc w:val="center"/>
              <w:rPr>
                <w:rFonts w:cs="Times New Roman"/>
                <w:sz w:val="18"/>
                <w:szCs w:val="18"/>
              </w:rPr>
            </w:pPr>
            <w:r w:rsidRPr="00DF6C69">
              <w:rPr>
                <w:rFonts w:eastAsiaTheme="majorEastAsia" w:cs="Times New Roman"/>
                <w:bCs/>
                <w:sz w:val="18"/>
                <w:szCs w:val="18"/>
              </w:rPr>
              <w:t xml:space="preserve">↑ in </w:t>
            </w:r>
            <w:r w:rsidRPr="00DF6C69">
              <w:rPr>
                <w:rFonts w:cs="Times New Roman"/>
                <w:sz w:val="18"/>
                <w:szCs w:val="18"/>
              </w:rPr>
              <w:t>PCa</w:t>
            </w:r>
          </w:p>
        </w:tc>
        <w:tc>
          <w:tcPr>
            <w:tcW w:w="1505" w:type="dxa"/>
            <w:vAlign w:val="center"/>
          </w:tcPr>
          <w:p w14:paraId="36E45238" w14:textId="77777777" w:rsidR="000765CF" w:rsidRPr="00DF6C69" w:rsidRDefault="000765CF" w:rsidP="000765CF">
            <w:pPr>
              <w:jc w:val="center"/>
              <w:rPr>
                <w:rFonts w:cs="Times New Roman"/>
                <w:sz w:val="18"/>
                <w:szCs w:val="18"/>
              </w:rPr>
            </w:pPr>
            <w:r w:rsidRPr="00DF6C69">
              <w:rPr>
                <w:rFonts w:cs="Times New Roman"/>
                <w:sz w:val="18"/>
                <w:szCs w:val="18"/>
              </w:rPr>
              <w:t>Colorimetric</w:t>
            </w:r>
          </w:p>
        </w:tc>
        <w:tc>
          <w:tcPr>
            <w:tcW w:w="1452" w:type="dxa"/>
            <w:vAlign w:val="center"/>
          </w:tcPr>
          <w:p w14:paraId="7032F5BF" w14:textId="77777777" w:rsidR="000765CF" w:rsidRPr="00DF6C69" w:rsidRDefault="000765CF" w:rsidP="000765CF">
            <w:pPr>
              <w:jc w:val="center"/>
              <w:rPr>
                <w:rFonts w:cs="Times New Roman"/>
                <w:sz w:val="18"/>
                <w:szCs w:val="18"/>
              </w:rPr>
            </w:pPr>
            <w:r w:rsidRPr="00DF6C69">
              <w:rPr>
                <w:rFonts w:cs="Times New Roman"/>
                <w:sz w:val="18"/>
                <w:szCs w:val="18"/>
              </w:rPr>
              <w:t>LAAOx</w:t>
            </w:r>
          </w:p>
        </w:tc>
        <w:tc>
          <w:tcPr>
            <w:tcW w:w="1395" w:type="dxa"/>
            <w:vAlign w:val="center"/>
          </w:tcPr>
          <w:p w14:paraId="6E0AA48F" w14:textId="77777777" w:rsidR="000765CF" w:rsidRPr="00DF6C69" w:rsidRDefault="000765CF" w:rsidP="000765CF">
            <w:pPr>
              <w:jc w:val="center"/>
              <w:rPr>
                <w:rFonts w:cs="Times New Roman"/>
                <w:sz w:val="18"/>
                <w:szCs w:val="18"/>
              </w:rPr>
            </w:pPr>
            <w:r w:rsidRPr="00DF6C69">
              <w:rPr>
                <w:sz w:val="18"/>
                <w:szCs w:val="18"/>
              </w:rPr>
              <w:t xml:space="preserve">0.17 – 116.5 </w:t>
            </w:r>
          </w:p>
        </w:tc>
      </w:tr>
      <w:tr w:rsidR="000765CF" w:rsidRPr="00DF6C69" w14:paraId="3E087ED4" w14:textId="77777777" w:rsidTr="000765CF">
        <w:trPr>
          <w:trHeight w:val="283"/>
        </w:trPr>
        <w:tc>
          <w:tcPr>
            <w:tcW w:w="1445" w:type="dxa"/>
            <w:vAlign w:val="center"/>
          </w:tcPr>
          <w:p w14:paraId="2CF90AB7" w14:textId="77777777" w:rsidR="000765CF" w:rsidRPr="00DF6C69" w:rsidRDefault="000765CF" w:rsidP="000765CF">
            <w:pPr>
              <w:jc w:val="center"/>
              <w:rPr>
                <w:rFonts w:cs="Times New Roman"/>
                <w:sz w:val="18"/>
                <w:szCs w:val="18"/>
              </w:rPr>
            </w:pPr>
            <w:r w:rsidRPr="00DF6C69">
              <w:rPr>
                <w:rFonts w:cs="Times New Roman"/>
                <w:sz w:val="18"/>
                <w:szCs w:val="18"/>
              </w:rPr>
              <w:t>Glutamate</w:t>
            </w:r>
          </w:p>
        </w:tc>
        <w:tc>
          <w:tcPr>
            <w:tcW w:w="1585" w:type="dxa"/>
            <w:vAlign w:val="center"/>
          </w:tcPr>
          <w:p w14:paraId="691CD12A" w14:textId="77777777" w:rsidR="000765CF" w:rsidRPr="00DF6C69" w:rsidRDefault="000765CF" w:rsidP="000765CF">
            <w:pPr>
              <w:jc w:val="center"/>
              <w:rPr>
                <w:rFonts w:cs="Times New Roman"/>
                <w:sz w:val="18"/>
                <w:szCs w:val="18"/>
              </w:rPr>
            </w:pPr>
            <w:r w:rsidRPr="00DF6C69">
              <w:rPr>
                <w:rFonts w:cs="Times New Roman"/>
                <w:sz w:val="18"/>
                <w:szCs w:val="18"/>
              </w:rPr>
              <w:t>40-150</w:t>
            </w:r>
          </w:p>
        </w:tc>
        <w:tc>
          <w:tcPr>
            <w:tcW w:w="1544" w:type="dxa"/>
            <w:vAlign w:val="center"/>
          </w:tcPr>
          <w:p w14:paraId="11912B6D" w14:textId="77777777" w:rsidR="000765CF" w:rsidRPr="00DF6C69" w:rsidRDefault="000765CF" w:rsidP="000765CF">
            <w:pPr>
              <w:jc w:val="center"/>
              <w:rPr>
                <w:rFonts w:cs="Times New Roman"/>
                <w:sz w:val="18"/>
                <w:szCs w:val="18"/>
              </w:rPr>
            </w:pPr>
            <w:r w:rsidRPr="00DF6C69">
              <w:rPr>
                <w:rFonts w:eastAsiaTheme="majorEastAsia" w:cs="Times New Roman"/>
                <w:bCs/>
                <w:sz w:val="18"/>
                <w:szCs w:val="18"/>
              </w:rPr>
              <w:t xml:space="preserve">↑ in </w:t>
            </w:r>
            <w:r w:rsidRPr="00DF6C69">
              <w:rPr>
                <w:rFonts w:cs="Times New Roman"/>
                <w:sz w:val="18"/>
                <w:szCs w:val="18"/>
              </w:rPr>
              <w:t>PCa</w:t>
            </w:r>
          </w:p>
        </w:tc>
        <w:tc>
          <w:tcPr>
            <w:tcW w:w="1505" w:type="dxa"/>
            <w:vAlign w:val="center"/>
          </w:tcPr>
          <w:p w14:paraId="093BAF0C" w14:textId="77777777" w:rsidR="000765CF" w:rsidRPr="00DF6C69" w:rsidRDefault="000765CF" w:rsidP="000765CF">
            <w:pPr>
              <w:jc w:val="center"/>
              <w:rPr>
                <w:rFonts w:cs="Times New Roman"/>
                <w:sz w:val="18"/>
                <w:szCs w:val="18"/>
              </w:rPr>
            </w:pPr>
            <w:r w:rsidRPr="00DF6C69">
              <w:rPr>
                <w:rFonts w:cs="Times New Roman"/>
                <w:sz w:val="18"/>
                <w:szCs w:val="18"/>
              </w:rPr>
              <w:t>Colorimetric</w:t>
            </w:r>
          </w:p>
        </w:tc>
        <w:tc>
          <w:tcPr>
            <w:tcW w:w="1452" w:type="dxa"/>
            <w:vAlign w:val="center"/>
          </w:tcPr>
          <w:p w14:paraId="51B7068C" w14:textId="77777777" w:rsidR="000765CF" w:rsidRPr="00DF6C69" w:rsidRDefault="000765CF" w:rsidP="000765CF">
            <w:pPr>
              <w:jc w:val="center"/>
              <w:rPr>
                <w:rFonts w:cs="Times New Roman"/>
                <w:sz w:val="18"/>
                <w:szCs w:val="18"/>
              </w:rPr>
            </w:pPr>
            <w:proofErr w:type="spellStart"/>
            <w:r w:rsidRPr="00DF6C69">
              <w:rPr>
                <w:rFonts w:cs="Times New Roman"/>
                <w:sz w:val="18"/>
                <w:szCs w:val="18"/>
              </w:rPr>
              <w:t>GlOx</w:t>
            </w:r>
            <w:proofErr w:type="spellEnd"/>
          </w:p>
        </w:tc>
        <w:tc>
          <w:tcPr>
            <w:tcW w:w="1395" w:type="dxa"/>
            <w:vAlign w:val="center"/>
          </w:tcPr>
          <w:p w14:paraId="7583029F" w14:textId="77777777" w:rsidR="000765CF" w:rsidRPr="00DF6C69" w:rsidRDefault="000765CF" w:rsidP="000765CF">
            <w:pPr>
              <w:jc w:val="center"/>
              <w:rPr>
                <w:rFonts w:cs="Times New Roman"/>
                <w:sz w:val="18"/>
                <w:szCs w:val="18"/>
              </w:rPr>
            </w:pPr>
            <w:r w:rsidRPr="00DF6C69">
              <w:rPr>
                <w:sz w:val="18"/>
                <w:szCs w:val="18"/>
              </w:rPr>
              <w:t>0.15 - 10</w:t>
            </w:r>
          </w:p>
        </w:tc>
      </w:tr>
      <w:tr w:rsidR="000765CF" w:rsidRPr="00DF6C69" w14:paraId="5FA9595B" w14:textId="77777777" w:rsidTr="000765CF">
        <w:trPr>
          <w:trHeight w:val="283"/>
        </w:trPr>
        <w:tc>
          <w:tcPr>
            <w:tcW w:w="1445" w:type="dxa"/>
            <w:vAlign w:val="center"/>
          </w:tcPr>
          <w:p w14:paraId="66F66899" w14:textId="77777777" w:rsidR="000765CF" w:rsidRPr="00DF6C69" w:rsidRDefault="000765CF" w:rsidP="000765CF">
            <w:pPr>
              <w:jc w:val="center"/>
              <w:rPr>
                <w:rFonts w:cs="Times New Roman"/>
                <w:sz w:val="18"/>
                <w:szCs w:val="18"/>
              </w:rPr>
            </w:pPr>
            <w:r w:rsidRPr="00DF6C69">
              <w:rPr>
                <w:rFonts w:cs="Times New Roman"/>
                <w:sz w:val="18"/>
                <w:szCs w:val="18"/>
              </w:rPr>
              <w:t>Choline</w:t>
            </w:r>
          </w:p>
        </w:tc>
        <w:tc>
          <w:tcPr>
            <w:tcW w:w="1585" w:type="dxa"/>
            <w:vAlign w:val="center"/>
          </w:tcPr>
          <w:p w14:paraId="1617B0C4" w14:textId="77777777" w:rsidR="000765CF" w:rsidRPr="00DF6C69" w:rsidRDefault="000765CF" w:rsidP="000765CF">
            <w:pPr>
              <w:jc w:val="center"/>
              <w:rPr>
                <w:rFonts w:cs="Times New Roman"/>
                <w:sz w:val="18"/>
                <w:szCs w:val="18"/>
              </w:rPr>
            </w:pPr>
            <w:r w:rsidRPr="00DF6C69">
              <w:rPr>
                <w:rFonts w:cs="Times New Roman"/>
                <w:sz w:val="18"/>
                <w:szCs w:val="18"/>
              </w:rPr>
              <w:t>10-40</w:t>
            </w:r>
          </w:p>
        </w:tc>
        <w:tc>
          <w:tcPr>
            <w:tcW w:w="1544" w:type="dxa"/>
            <w:vAlign w:val="center"/>
          </w:tcPr>
          <w:p w14:paraId="25E51A5C" w14:textId="77777777" w:rsidR="000765CF" w:rsidRPr="00DF6C69" w:rsidRDefault="000765CF" w:rsidP="000765CF">
            <w:pPr>
              <w:tabs>
                <w:tab w:val="left" w:pos="680"/>
              </w:tabs>
              <w:jc w:val="center"/>
              <w:rPr>
                <w:rFonts w:cs="Times New Roman"/>
                <w:sz w:val="18"/>
                <w:szCs w:val="18"/>
              </w:rPr>
            </w:pPr>
            <w:r w:rsidRPr="00DF6C69">
              <w:rPr>
                <w:rFonts w:eastAsiaTheme="majorEastAsia" w:cs="Times New Roman"/>
                <w:bCs/>
                <w:sz w:val="18"/>
                <w:szCs w:val="18"/>
              </w:rPr>
              <w:t xml:space="preserve">↑ in </w:t>
            </w:r>
            <w:r w:rsidRPr="00DF6C69">
              <w:rPr>
                <w:rFonts w:cs="Times New Roman"/>
                <w:sz w:val="18"/>
                <w:szCs w:val="18"/>
              </w:rPr>
              <w:t>PCa</w:t>
            </w:r>
          </w:p>
        </w:tc>
        <w:tc>
          <w:tcPr>
            <w:tcW w:w="1505" w:type="dxa"/>
            <w:vAlign w:val="center"/>
          </w:tcPr>
          <w:p w14:paraId="6130F604" w14:textId="77777777" w:rsidR="000765CF" w:rsidRPr="00DF6C69" w:rsidRDefault="000765CF" w:rsidP="000765CF">
            <w:pPr>
              <w:jc w:val="center"/>
              <w:rPr>
                <w:rFonts w:cs="Times New Roman"/>
                <w:sz w:val="18"/>
                <w:szCs w:val="18"/>
              </w:rPr>
            </w:pPr>
            <w:r w:rsidRPr="00DF6C69">
              <w:rPr>
                <w:rFonts w:cs="Times New Roman"/>
                <w:sz w:val="18"/>
                <w:szCs w:val="18"/>
              </w:rPr>
              <w:t>Colorimetric</w:t>
            </w:r>
          </w:p>
        </w:tc>
        <w:tc>
          <w:tcPr>
            <w:tcW w:w="1452" w:type="dxa"/>
            <w:vAlign w:val="center"/>
          </w:tcPr>
          <w:p w14:paraId="2E5AD2F1" w14:textId="77777777" w:rsidR="000765CF" w:rsidRPr="00DF6C69" w:rsidRDefault="000765CF" w:rsidP="000765CF">
            <w:pPr>
              <w:jc w:val="center"/>
              <w:rPr>
                <w:rFonts w:cs="Times New Roman"/>
                <w:sz w:val="18"/>
                <w:szCs w:val="18"/>
              </w:rPr>
            </w:pPr>
            <w:proofErr w:type="spellStart"/>
            <w:r w:rsidRPr="00DF6C69">
              <w:rPr>
                <w:rFonts w:cs="Times New Roman"/>
                <w:sz w:val="18"/>
                <w:szCs w:val="18"/>
              </w:rPr>
              <w:t>COx</w:t>
            </w:r>
            <w:proofErr w:type="spellEnd"/>
          </w:p>
        </w:tc>
        <w:tc>
          <w:tcPr>
            <w:tcW w:w="1395" w:type="dxa"/>
            <w:vAlign w:val="center"/>
          </w:tcPr>
          <w:p w14:paraId="6D5B3912" w14:textId="77777777" w:rsidR="000765CF" w:rsidRPr="00DF6C69" w:rsidRDefault="000765CF" w:rsidP="000765CF">
            <w:pPr>
              <w:jc w:val="center"/>
              <w:rPr>
                <w:rFonts w:cs="Times New Roman"/>
                <w:sz w:val="18"/>
                <w:szCs w:val="18"/>
              </w:rPr>
            </w:pPr>
            <w:r w:rsidRPr="00DF6C69">
              <w:rPr>
                <w:sz w:val="18"/>
                <w:szCs w:val="18"/>
              </w:rPr>
              <w:t>0.05 – 213</w:t>
            </w:r>
          </w:p>
        </w:tc>
      </w:tr>
      <w:tr w:rsidR="000765CF" w:rsidRPr="00DF6C69" w14:paraId="7500C9BD" w14:textId="77777777" w:rsidTr="000765CF">
        <w:trPr>
          <w:trHeight w:val="283"/>
        </w:trPr>
        <w:tc>
          <w:tcPr>
            <w:tcW w:w="1445" w:type="dxa"/>
            <w:vAlign w:val="center"/>
          </w:tcPr>
          <w:p w14:paraId="7ED5CE99" w14:textId="77777777" w:rsidR="000765CF" w:rsidRPr="00DF6C69" w:rsidRDefault="000765CF" w:rsidP="000765CF">
            <w:pPr>
              <w:jc w:val="center"/>
              <w:rPr>
                <w:rFonts w:cs="Times New Roman"/>
                <w:sz w:val="18"/>
                <w:szCs w:val="18"/>
              </w:rPr>
            </w:pPr>
            <w:r w:rsidRPr="00DF6C69">
              <w:rPr>
                <w:rFonts w:cs="Times New Roman"/>
                <w:sz w:val="18"/>
                <w:szCs w:val="18"/>
              </w:rPr>
              <w:t>Sarcosine</w:t>
            </w:r>
          </w:p>
        </w:tc>
        <w:tc>
          <w:tcPr>
            <w:tcW w:w="1585" w:type="dxa"/>
            <w:vAlign w:val="center"/>
          </w:tcPr>
          <w:p w14:paraId="6B63BBEA" w14:textId="77777777" w:rsidR="000765CF" w:rsidRPr="00DF6C69" w:rsidRDefault="000765CF" w:rsidP="000765CF">
            <w:pPr>
              <w:jc w:val="center"/>
              <w:rPr>
                <w:rFonts w:cs="Times New Roman"/>
                <w:sz w:val="18"/>
                <w:szCs w:val="18"/>
              </w:rPr>
            </w:pPr>
            <w:r w:rsidRPr="00DF6C69">
              <w:rPr>
                <w:rFonts w:cs="Times New Roman"/>
                <w:sz w:val="18"/>
                <w:szCs w:val="18"/>
              </w:rPr>
              <w:t>0-20</w:t>
            </w:r>
          </w:p>
        </w:tc>
        <w:tc>
          <w:tcPr>
            <w:tcW w:w="1544" w:type="dxa"/>
            <w:vAlign w:val="center"/>
          </w:tcPr>
          <w:p w14:paraId="6C2CF56B" w14:textId="77777777" w:rsidR="000765CF" w:rsidRPr="00DF6C69" w:rsidRDefault="000765CF" w:rsidP="000765CF">
            <w:pPr>
              <w:jc w:val="center"/>
              <w:rPr>
                <w:rFonts w:cs="Times New Roman"/>
                <w:sz w:val="18"/>
                <w:szCs w:val="18"/>
              </w:rPr>
            </w:pPr>
            <w:r w:rsidRPr="00DF6C69">
              <w:rPr>
                <w:rFonts w:eastAsiaTheme="majorEastAsia" w:cs="Times New Roman"/>
                <w:bCs/>
                <w:sz w:val="18"/>
                <w:szCs w:val="18"/>
              </w:rPr>
              <w:t xml:space="preserve">↑ in </w:t>
            </w:r>
            <w:r w:rsidRPr="00DF6C69">
              <w:rPr>
                <w:rFonts w:cs="Times New Roman"/>
                <w:sz w:val="18"/>
                <w:szCs w:val="18"/>
              </w:rPr>
              <w:t>PCa</w:t>
            </w:r>
          </w:p>
        </w:tc>
        <w:tc>
          <w:tcPr>
            <w:tcW w:w="1505" w:type="dxa"/>
            <w:vAlign w:val="center"/>
          </w:tcPr>
          <w:p w14:paraId="13CFFBFD" w14:textId="77777777" w:rsidR="000765CF" w:rsidRPr="00DF6C69" w:rsidRDefault="000765CF" w:rsidP="000765CF">
            <w:pPr>
              <w:jc w:val="center"/>
              <w:rPr>
                <w:rFonts w:cs="Times New Roman"/>
                <w:sz w:val="18"/>
                <w:szCs w:val="18"/>
              </w:rPr>
            </w:pPr>
            <w:r w:rsidRPr="00DF6C69">
              <w:rPr>
                <w:rFonts w:cs="Times New Roman"/>
                <w:sz w:val="18"/>
                <w:szCs w:val="18"/>
              </w:rPr>
              <w:t>Colorimetric</w:t>
            </w:r>
          </w:p>
        </w:tc>
        <w:tc>
          <w:tcPr>
            <w:tcW w:w="1452" w:type="dxa"/>
            <w:vAlign w:val="center"/>
          </w:tcPr>
          <w:p w14:paraId="2D02E4F7" w14:textId="77777777" w:rsidR="000765CF" w:rsidRPr="00DF6C69" w:rsidRDefault="000765CF" w:rsidP="000765CF">
            <w:pPr>
              <w:jc w:val="center"/>
              <w:rPr>
                <w:rFonts w:cs="Times New Roman"/>
                <w:sz w:val="18"/>
                <w:szCs w:val="18"/>
              </w:rPr>
            </w:pPr>
            <w:proofErr w:type="spellStart"/>
            <w:r w:rsidRPr="00DF6C69">
              <w:rPr>
                <w:rFonts w:cs="Times New Roman"/>
                <w:sz w:val="18"/>
                <w:szCs w:val="18"/>
              </w:rPr>
              <w:t>SOx</w:t>
            </w:r>
            <w:proofErr w:type="spellEnd"/>
          </w:p>
        </w:tc>
        <w:tc>
          <w:tcPr>
            <w:tcW w:w="1395" w:type="dxa"/>
            <w:vAlign w:val="center"/>
          </w:tcPr>
          <w:p w14:paraId="63169937" w14:textId="77777777" w:rsidR="000765CF" w:rsidRPr="00DF6C69" w:rsidRDefault="000765CF" w:rsidP="000765CF">
            <w:pPr>
              <w:jc w:val="center"/>
              <w:rPr>
                <w:rFonts w:cs="Times New Roman"/>
                <w:sz w:val="18"/>
                <w:szCs w:val="18"/>
              </w:rPr>
            </w:pPr>
            <w:r w:rsidRPr="00DF6C69">
              <w:rPr>
                <w:sz w:val="18"/>
                <w:szCs w:val="18"/>
              </w:rPr>
              <w:t>0.01 – 142.3</w:t>
            </w:r>
          </w:p>
        </w:tc>
      </w:tr>
    </w:tbl>
    <w:p w14:paraId="320C5B89" w14:textId="77777777" w:rsidR="00153A65" w:rsidRPr="00DF6C69" w:rsidRDefault="00153A65">
      <w:pPr>
        <w:spacing w:line="259" w:lineRule="auto"/>
        <w:jc w:val="left"/>
        <w:rPr>
          <w:rFonts w:eastAsia="Times New Roman" w:cs="Times New Roman"/>
          <w:i/>
          <w:iCs/>
          <w:color w:val="000000" w:themeColor="text1"/>
          <w:szCs w:val="18"/>
          <w:lang w:eastAsia="en-GB"/>
        </w:rPr>
      </w:pPr>
      <w:bookmarkStart w:id="28" w:name="_Ref38298701"/>
      <w:r w:rsidRPr="00DF6C69">
        <w:br w:type="page"/>
      </w:r>
    </w:p>
    <w:p w14:paraId="03CCF18E" w14:textId="22352E54" w:rsidR="000765CF" w:rsidRPr="00DF6C69" w:rsidRDefault="000765CF" w:rsidP="000765CF">
      <w:pPr>
        <w:pStyle w:val="Caption"/>
      </w:pPr>
      <w:bookmarkStart w:id="29" w:name="_Ref45096617"/>
      <w:r w:rsidRPr="00DF6C69">
        <w:lastRenderedPageBreak/>
        <w:t xml:space="preserve">Table </w:t>
      </w:r>
      <w:fldSimple w:instr=" SEQ Table \* ARABIC ">
        <w:r w:rsidR="00645E46" w:rsidRPr="00DF6C69">
          <w:rPr>
            <w:noProof/>
          </w:rPr>
          <w:t>5</w:t>
        </w:r>
      </w:fldSimple>
      <w:bookmarkEnd w:id="28"/>
      <w:bookmarkEnd w:id="29"/>
      <w:r w:rsidR="00A261F3" w:rsidRPr="00DF6C69">
        <w:t>.</w:t>
      </w:r>
      <w:r w:rsidRPr="00DF6C69">
        <w:t xml:space="preserve"> Clinical Trials results on control and cancer groups.</w:t>
      </w:r>
    </w:p>
    <w:tbl>
      <w:tblPr>
        <w:tblStyle w:val="TableGrid"/>
        <w:tblW w:w="9640" w:type="dxa"/>
        <w:tblInd w:w="-294" w:type="dxa"/>
        <w:tblLayout w:type="fixed"/>
        <w:tblLook w:val="04A0" w:firstRow="1" w:lastRow="0" w:firstColumn="1" w:lastColumn="0" w:noHBand="0" w:noVBand="1"/>
      </w:tblPr>
      <w:tblGrid>
        <w:gridCol w:w="289"/>
        <w:gridCol w:w="907"/>
        <w:gridCol w:w="1180"/>
        <w:gridCol w:w="23"/>
        <w:gridCol w:w="1062"/>
        <w:gridCol w:w="750"/>
        <w:gridCol w:w="541"/>
        <w:gridCol w:w="521"/>
        <w:gridCol w:w="750"/>
        <w:gridCol w:w="1062"/>
        <w:gridCol w:w="43"/>
        <w:gridCol w:w="707"/>
        <w:gridCol w:w="1062"/>
        <w:gridCol w:w="607"/>
        <w:gridCol w:w="136"/>
      </w:tblGrid>
      <w:tr w:rsidR="000765CF" w:rsidRPr="00DF6C69" w14:paraId="13FFB6BA" w14:textId="77777777" w:rsidTr="000765CF">
        <w:trPr>
          <w:gridBefore w:val="1"/>
          <w:wBefore w:w="289" w:type="dxa"/>
          <w:trHeight w:val="82"/>
        </w:trPr>
        <w:tc>
          <w:tcPr>
            <w:tcW w:w="907" w:type="dxa"/>
            <w:vMerge w:val="restart"/>
            <w:shd w:val="clear" w:color="auto" w:fill="D9E2F3" w:themeFill="accent1" w:themeFillTint="33"/>
            <w:noWrap/>
            <w:vAlign w:val="center"/>
          </w:tcPr>
          <w:p w14:paraId="685B99F8" w14:textId="77777777" w:rsidR="000765CF" w:rsidRPr="00DF6C69" w:rsidRDefault="000765CF" w:rsidP="000765CF">
            <w:pPr>
              <w:tabs>
                <w:tab w:val="left" w:pos="425"/>
              </w:tabs>
              <w:jc w:val="center"/>
              <w:rPr>
                <w:rFonts w:ascii="Times New Roman" w:hAnsi="Times New Roman" w:cs="Times New Roman"/>
                <w:b/>
                <w:sz w:val="16"/>
                <w:szCs w:val="16"/>
              </w:rPr>
            </w:pPr>
            <w:r w:rsidRPr="00DF6C69">
              <w:rPr>
                <w:rFonts w:ascii="Times New Roman" w:hAnsi="Times New Roman" w:cs="Times New Roman"/>
                <w:b/>
                <w:sz w:val="16"/>
                <w:szCs w:val="16"/>
              </w:rPr>
              <w:t>Group</w:t>
            </w:r>
          </w:p>
        </w:tc>
        <w:tc>
          <w:tcPr>
            <w:tcW w:w="1203" w:type="dxa"/>
            <w:gridSpan w:val="2"/>
            <w:vMerge w:val="restart"/>
            <w:shd w:val="clear" w:color="auto" w:fill="D9E2F3" w:themeFill="accent1" w:themeFillTint="33"/>
            <w:noWrap/>
            <w:vAlign w:val="center"/>
          </w:tcPr>
          <w:p w14:paraId="1D2EA094" w14:textId="77777777" w:rsidR="000765CF" w:rsidRPr="00DF6C69" w:rsidRDefault="000765CF" w:rsidP="000765CF">
            <w:pPr>
              <w:jc w:val="center"/>
              <w:rPr>
                <w:rFonts w:ascii="Times New Roman" w:hAnsi="Times New Roman" w:cs="Times New Roman"/>
                <w:b/>
                <w:sz w:val="16"/>
                <w:szCs w:val="16"/>
              </w:rPr>
            </w:pPr>
            <w:r w:rsidRPr="00DF6C69">
              <w:rPr>
                <w:rFonts w:ascii="Times New Roman" w:hAnsi="Times New Roman" w:cs="Times New Roman"/>
                <w:b/>
                <w:sz w:val="16"/>
                <w:szCs w:val="16"/>
              </w:rPr>
              <w:t>Sample ID</w:t>
            </w:r>
          </w:p>
        </w:tc>
        <w:tc>
          <w:tcPr>
            <w:tcW w:w="1812" w:type="dxa"/>
            <w:gridSpan w:val="2"/>
            <w:shd w:val="clear" w:color="auto" w:fill="D9E2F3" w:themeFill="accent1" w:themeFillTint="33"/>
            <w:noWrap/>
            <w:vAlign w:val="center"/>
          </w:tcPr>
          <w:p w14:paraId="20D30D4F" w14:textId="77777777" w:rsidR="000765CF" w:rsidRPr="00DF6C69" w:rsidRDefault="000765CF" w:rsidP="000765CF">
            <w:pPr>
              <w:jc w:val="center"/>
              <w:rPr>
                <w:rFonts w:ascii="Times New Roman" w:hAnsi="Times New Roman" w:cs="Times New Roman"/>
                <w:b/>
                <w:sz w:val="16"/>
                <w:szCs w:val="16"/>
              </w:rPr>
            </w:pPr>
            <w:r w:rsidRPr="00DF6C69">
              <w:rPr>
                <w:rFonts w:ascii="Times New Roman" w:hAnsi="Times New Roman" w:cs="Times New Roman"/>
                <w:b/>
                <w:sz w:val="16"/>
                <w:szCs w:val="16"/>
              </w:rPr>
              <w:t>LAA</w:t>
            </w:r>
          </w:p>
        </w:tc>
        <w:tc>
          <w:tcPr>
            <w:tcW w:w="1812" w:type="dxa"/>
            <w:gridSpan w:val="3"/>
            <w:shd w:val="clear" w:color="auto" w:fill="D9E2F3" w:themeFill="accent1" w:themeFillTint="33"/>
            <w:noWrap/>
            <w:vAlign w:val="center"/>
          </w:tcPr>
          <w:p w14:paraId="5BB2445F" w14:textId="77777777" w:rsidR="000765CF" w:rsidRPr="00DF6C69" w:rsidRDefault="000765CF" w:rsidP="000765CF">
            <w:pPr>
              <w:jc w:val="center"/>
              <w:rPr>
                <w:rFonts w:ascii="Times New Roman" w:hAnsi="Times New Roman" w:cs="Times New Roman"/>
                <w:b/>
                <w:sz w:val="16"/>
                <w:szCs w:val="16"/>
              </w:rPr>
            </w:pPr>
            <w:r w:rsidRPr="00DF6C69">
              <w:rPr>
                <w:rFonts w:ascii="Times New Roman" w:hAnsi="Times New Roman" w:cs="Times New Roman"/>
                <w:b/>
                <w:sz w:val="16"/>
                <w:szCs w:val="16"/>
              </w:rPr>
              <w:t>Glutamate</w:t>
            </w:r>
          </w:p>
        </w:tc>
        <w:tc>
          <w:tcPr>
            <w:tcW w:w="1812" w:type="dxa"/>
            <w:gridSpan w:val="3"/>
            <w:shd w:val="clear" w:color="auto" w:fill="D9E2F3" w:themeFill="accent1" w:themeFillTint="33"/>
            <w:noWrap/>
            <w:vAlign w:val="center"/>
          </w:tcPr>
          <w:p w14:paraId="60F5E4F3" w14:textId="77777777" w:rsidR="000765CF" w:rsidRPr="00DF6C69" w:rsidRDefault="000765CF" w:rsidP="000765CF">
            <w:pPr>
              <w:jc w:val="center"/>
              <w:rPr>
                <w:rFonts w:ascii="Times New Roman" w:hAnsi="Times New Roman" w:cs="Times New Roman"/>
                <w:b/>
                <w:sz w:val="16"/>
                <w:szCs w:val="16"/>
              </w:rPr>
            </w:pPr>
            <w:r w:rsidRPr="00DF6C69">
              <w:rPr>
                <w:rFonts w:ascii="Times New Roman" w:hAnsi="Times New Roman" w:cs="Times New Roman"/>
                <w:b/>
                <w:sz w:val="16"/>
                <w:szCs w:val="16"/>
              </w:rPr>
              <w:t>Choline</w:t>
            </w:r>
          </w:p>
        </w:tc>
        <w:tc>
          <w:tcPr>
            <w:tcW w:w="1805" w:type="dxa"/>
            <w:gridSpan w:val="3"/>
            <w:shd w:val="clear" w:color="auto" w:fill="D9E2F3" w:themeFill="accent1" w:themeFillTint="33"/>
            <w:noWrap/>
            <w:vAlign w:val="center"/>
          </w:tcPr>
          <w:p w14:paraId="545D2275" w14:textId="77777777" w:rsidR="000765CF" w:rsidRPr="00DF6C69" w:rsidRDefault="000765CF" w:rsidP="000765CF">
            <w:pPr>
              <w:jc w:val="center"/>
              <w:rPr>
                <w:rFonts w:ascii="Times New Roman" w:hAnsi="Times New Roman" w:cs="Times New Roman"/>
                <w:b/>
                <w:sz w:val="16"/>
                <w:szCs w:val="16"/>
              </w:rPr>
            </w:pPr>
            <w:r w:rsidRPr="00DF6C69">
              <w:rPr>
                <w:rFonts w:ascii="Times New Roman" w:hAnsi="Times New Roman" w:cs="Times New Roman"/>
                <w:b/>
                <w:sz w:val="16"/>
                <w:szCs w:val="16"/>
              </w:rPr>
              <w:t>Sarcosine</w:t>
            </w:r>
          </w:p>
        </w:tc>
      </w:tr>
      <w:tr w:rsidR="000765CF" w:rsidRPr="00DF6C69" w14:paraId="32EC8147" w14:textId="77777777" w:rsidTr="000765CF">
        <w:trPr>
          <w:gridBefore w:val="1"/>
          <w:wBefore w:w="289" w:type="dxa"/>
          <w:trHeight w:val="284"/>
        </w:trPr>
        <w:tc>
          <w:tcPr>
            <w:tcW w:w="907" w:type="dxa"/>
            <w:vMerge/>
            <w:shd w:val="clear" w:color="auto" w:fill="D9E2F3" w:themeFill="accent1" w:themeFillTint="33"/>
            <w:noWrap/>
            <w:vAlign w:val="center"/>
          </w:tcPr>
          <w:p w14:paraId="5411B757" w14:textId="77777777" w:rsidR="000765CF" w:rsidRPr="00DF6C69" w:rsidRDefault="000765CF" w:rsidP="000765CF">
            <w:pPr>
              <w:tabs>
                <w:tab w:val="left" w:pos="425"/>
              </w:tabs>
              <w:jc w:val="center"/>
              <w:rPr>
                <w:rFonts w:ascii="Times New Roman" w:hAnsi="Times New Roman" w:cs="Times New Roman"/>
                <w:sz w:val="16"/>
                <w:szCs w:val="16"/>
              </w:rPr>
            </w:pPr>
          </w:p>
        </w:tc>
        <w:tc>
          <w:tcPr>
            <w:tcW w:w="1203" w:type="dxa"/>
            <w:gridSpan w:val="2"/>
            <w:vMerge/>
            <w:shd w:val="clear" w:color="auto" w:fill="D9E2F3" w:themeFill="accent1" w:themeFillTint="33"/>
            <w:noWrap/>
            <w:vAlign w:val="center"/>
          </w:tcPr>
          <w:p w14:paraId="46B3602B" w14:textId="77777777" w:rsidR="000765CF" w:rsidRPr="00DF6C69" w:rsidRDefault="000765CF" w:rsidP="000765CF">
            <w:pPr>
              <w:jc w:val="center"/>
              <w:rPr>
                <w:rFonts w:ascii="Times New Roman" w:hAnsi="Times New Roman" w:cs="Times New Roman"/>
                <w:sz w:val="16"/>
                <w:szCs w:val="16"/>
              </w:rPr>
            </w:pPr>
          </w:p>
        </w:tc>
        <w:tc>
          <w:tcPr>
            <w:tcW w:w="1062" w:type="dxa"/>
            <w:shd w:val="clear" w:color="auto" w:fill="D9E2F3" w:themeFill="accent1" w:themeFillTint="33"/>
            <w:noWrap/>
            <w:vAlign w:val="center"/>
          </w:tcPr>
          <w:p w14:paraId="6A7D2A1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Avg. µM</w:t>
            </w:r>
          </w:p>
        </w:tc>
        <w:tc>
          <w:tcPr>
            <w:tcW w:w="750" w:type="dxa"/>
            <w:shd w:val="clear" w:color="auto" w:fill="D9E2F3" w:themeFill="accent1" w:themeFillTint="33"/>
            <w:vAlign w:val="center"/>
          </w:tcPr>
          <w:p w14:paraId="5EC561D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Std. %</w:t>
            </w:r>
          </w:p>
        </w:tc>
        <w:tc>
          <w:tcPr>
            <w:tcW w:w="1062" w:type="dxa"/>
            <w:gridSpan w:val="2"/>
            <w:shd w:val="clear" w:color="auto" w:fill="D9E2F3" w:themeFill="accent1" w:themeFillTint="33"/>
            <w:noWrap/>
            <w:vAlign w:val="center"/>
          </w:tcPr>
          <w:p w14:paraId="5548587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Avg. µM</w:t>
            </w:r>
          </w:p>
        </w:tc>
        <w:tc>
          <w:tcPr>
            <w:tcW w:w="750" w:type="dxa"/>
            <w:shd w:val="clear" w:color="auto" w:fill="D9E2F3" w:themeFill="accent1" w:themeFillTint="33"/>
            <w:vAlign w:val="center"/>
          </w:tcPr>
          <w:p w14:paraId="5377A14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Std. %</w:t>
            </w:r>
          </w:p>
        </w:tc>
        <w:tc>
          <w:tcPr>
            <w:tcW w:w="1062" w:type="dxa"/>
            <w:shd w:val="clear" w:color="auto" w:fill="D9E2F3" w:themeFill="accent1" w:themeFillTint="33"/>
            <w:noWrap/>
            <w:vAlign w:val="center"/>
          </w:tcPr>
          <w:p w14:paraId="2F721F6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Avg. µM</w:t>
            </w:r>
          </w:p>
        </w:tc>
        <w:tc>
          <w:tcPr>
            <w:tcW w:w="750" w:type="dxa"/>
            <w:gridSpan w:val="2"/>
            <w:shd w:val="clear" w:color="auto" w:fill="D9E2F3" w:themeFill="accent1" w:themeFillTint="33"/>
            <w:vAlign w:val="center"/>
          </w:tcPr>
          <w:p w14:paraId="482B24E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Std. %</w:t>
            </w:r>
          </w:p>
        </w:tc>
        <w:tc>
          <w:tcPr>
            <w:tcW w:w="1062" w:type="dxa"/>
            <w:shd w:val="clear" w:color="auto" w:fill="D9E2F3" w:themeFill="accent1" w:themeFillTint="33"/>
            <w:noWrap/>
            <w:vAlign w:val="center"/>
          </w:tcPr>
          <w:p w14:paraId="3A34A3F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Avg. µM</w:t>
            </w:r>
          </w:p>
        </w:tc>
        <w:tc>
          <w:tcPr>
            <w:tcW w:w="743" w:type="dxa"/>
            <w:gridSpan w:val="2"/>
            <w:shd w:val="clear" w:color="auto" w:fill="D9E2F3" w:themeFill="accent1" w:themeFillTint="33"/>
            <w:vAlign w:val="center"/>
          </w:tcPr>
          <w:p w14:paraId="1083FF7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Std. %</w:t>
            </w:r>
          </w:p>
        </w:tc>
      </w:tr>
      <w:tr w:rsidR="000765CF" w:rsidRPr="00DF6C69" w14:paraId="1FAE552D" w14:textId="77777777" w:rsidTr="000765CF">
        <w:trPr>
          <w:gridBefore w:val="1"/>
          <w:wBefore w:w="289" w:type="dxa"/>
          <w:trHeight w:val="20"/>
        </w:trPr>
        <w:tc>
          <w:tcPr>
            <w:tcW w:w="907" w:type="dxa"/>
            <w:vMerge w:val="restart"/>
            <w:shd w:val="clear" w:color="auto" w:fill="E2EFD9" w:themeFill="accent6" w:themeFillTint="33"/>
            <w:noWrap/>
            <w:vAlign w:val="center"/>
          </w:tcPr>
          <w:p w14:paraId="36283CB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non-PCa</w:t>
            </w:r>
          </w:p>
          <w:p w14:paraId="40AEDE20"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tcPr>
          <w:p w14:paraId="0F8C45B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w:t>
            </w:r>
          </w:p>
        </w:tc>
        <w:tc>
          <w:tcPr>
            <w:tcW w:w="1062" w:type="dxa"/>
            <w:noWrap/>
            <w:vAlign w:val="center"/>
          </w:tcPr>
          <w:p w14:paraId="135A8FD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1961</w:t>
            </w:r>
          </w:p>
        </w:tc>
        <w:tc>
          <w:tcPr>
            <w:tcW w:w="750" w:type="dxa"/>
            <w:noWrap/>
            <w:vAlign w:val="center"/>
          </w:tcPr>
          <w:p w14:paraId="144DCEB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16.2</w:t>
            </w:r>
          </w:p>
        </w:tc>
        <w:tc>
          <w:tcPr>
            <w:tcW w:w="1062" w:type="dxa"/>
            <w:gridSpan w:val="2"/>
            <w:noWrap/>
            <w:vAlign w:val="bottom"/>
          </w:tcPr>
          <w:p w14:paraId="08008D5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42.5</w:t>
            </w:r>
          </w:p>
        </w:tc>
        <w:tc>
          <w:tcPr>
            <w:tcW w:w="750" w:type="dxa"/>
            <w:noWrap/>
            <w:vAlign w:val="bottom"/>
          </w:tcPr>
          <w:p w14:paraId="183A047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16.9</w:t>
            </w:r>
          </w:p>
        </w:tc>
        <w:tc>
          <w:tcPr>
            <w:tcW w:w="1062" w:type="dxa"/>
            <w:noWrap/>
            <w:vAlign w:val="bottom"/>
          </w:tcPr>
          <w:p w14:paraId="04C9166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15.4</w:t>
            </w:r>
          </w:p>
        </w:tc>
        <w:tc>
          <w:tcPr>
            <w:tcW w:w="750" w:type="dxa"/>
            <w:gridSpan w:val="2"/>
            <w:noWrap/>
            <w:vAlign w:val="bottom"/>
          </w:tcPr>
          <w:p w14:paraId="316C4AF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11.5</w:t>
            </w:r>
          </w:p>
        </w:tc>
        <w:tc>
          <w:tcPr>
            <w:tcW w:w="1062" w:type="dxa"/>
            <w:noWrap/>
            <w:vAlign w:val="center"/>
          </w:tcPr>
          <w:p w14:paraId="2285141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15.1</w:t>
            </w:r>
          </w:p>
        </w:tc>
        <w:tc>
          <w:tcPr>
            <w:tcW w:w="743" w:type="dxa"/>
            <w:gridSpan w:val="2"/>
            <w:noWrap/>
            <w:vAlign w:val="bottom"/>
          </w:tcPr>
          <w:p w14:paraId="666083D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23.5</w:t>
            </w:r>
          </w:p>
        </w:tc>
      </w:tr>
      <w:tr w:rsidR="000765CF" w:rsidRPr="00DF6C69" w14:paraId="0CB4596C" w14:textId="77777777" w:rsidTr="000765CF">
        <w:trPr>
          <w:gridBefore w:val="1"/>
          <w:wBefore w:w="289" w:type="dxa"/>
          <w:trHeight w:val="20"/>
        </w:trPr>
        <w:tc>
          <w:tcPr>
            <w:tcW w:w="907" w:type="dxa"/>
            <w:vMerge/>
            <w:shd w:val="clear" w:color="auto" w:fill="E2EFD9" w:themeFill="accent6" w:themeFillTint="33"/>
            <w:noWrap/>
            <w:vAlign w:val="center"/>
            <w:hideMark/>
          </w:tcPr>
          <w:p w14:paraId="7E066E2B"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57BD6B1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w:t>
            </w:r>
          </w:p>
        </w:tc>
        <w:tc>
          <w:tcPr>
            <w:tcW w:w="1062" w:type="dxa"/>
            <w:noWrap/>
            <w:vAlign w:val="center"/>
            <w:hideMark/>
          </w:tcPr>
          <w:p w14:paraId="18C355B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2493</w:t>
            </w:r>
          </w:p>
        </w:tc>
        <w:tc>
          <w:tcPr>
            <w:tcW w:w="750" w:type="dxa"/>
            <w:noWrap/>
            <w:vAlign w:val="center"/>
            <w:hideMark/>
          </w:tcPr>
          <w:p w14:paraId="18BBEB9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9.5</w:t>
            </w:r>
          </w:p>
        </w:tc>
        <w:tc>
          <w:tcPr>
            <w:tcW w:w="1062" w:type="dxa"/>
            <w:gridSpan w:val="2"/>
            <w:noWrap/>
            <w:vAlign w:val="bottom"/>
            <w:hideMark/>
          </w:tcPr>
          <w:p w14:paraId="7C4A4D8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67.1</w:t>
            </w:r>
          </w:p>
        </w:tc>
        <w:tc>
          <w:tcPr>
            <w:tcW w:w="750" w:type="dxa"/>
            <w:noWrap/>
            <w:vAlign w:val="bottom"/>
            <w:hideMark/>
          </w:tcPr>
          <w:p w14:paraId="498D4B6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44.7</w:t>
            </w:r>
          </w:p>
        </w:tc>
        <w:tc>
          <w:tcPr>
            <w:tcW w:w="1062" w:type="dxa"/>
            <w:noWrap/>
            <w:vAlign w:val="bottom"/>
            <w:hideMark/>
          </w:tcPr>
          <w:p w14:paraId="4C925E9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8.7</w:t>
            </w:r>
          </w:p>
        </w:tc>
        <w:tc>
          <w:tcPr>
            <w:tcW w:w="750" w:type="dxa"/>
            <w:gridSpan w:val="2"/>
            <w:noWrap/>
            <w:vAlign w:val="bottom"/>
            <w:hideMark/>
          </w:tcPr>
          <w:p w14:paraId="2643E58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34.0</w:t>
            </w:r>
          </w:p>
        </w:tc>
        <w:tc>
          <w:tcPr>
            <w:tcW w:w="1062" w:type="dxa"/>
            <w:noWrap/>
            <w:vAlign w:val="center"/>
            <w:hideMark/>
          </w:tcPr>
          <w:p w14:paraId="15CA477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7.5</w:t>
            </w:r>
          </w:p>
        </w:tc>
        <w:tc>
          <w:tcPr>
            <w:tcW w:w="743" w:type="dxa"/>
            <w:gridSpan w:val="2"/>
            <w:noWrap/>
            <w:vAlign w:val="bottom"/>
            <w:hideMark/>
          </w:tcPr>
          <w:p w14:paraId="0C25442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9.8</w:t>
            </w:r>
          </w:p>
        </w:tc>
      </w:tr>
      <w:tr w:rsidR="000765CF" w:rsidRPr="00DF6C69" w14:paraId="53192023" w14:textId="77777777" w:rsidTr="000765CF">
        <w:trPr>
          <w:gridBefore w:val="1"/>
          <w:wBefore w:w="289" w:type="dxa"/>
          <w:trHeight w:val="20"/>
        </w:trPr>
        <w:tc>
          <w:tcPr>
            <w:tcW w:w="907" w:type="dxa"/>
            <w:vMerge/>
            <w:shd w:val="clear" w:color="auto" w:fill="E2EFD9" w:themeFill="accent6" w:themeFillTint="33"/>
            <w:noWrap/>
            <w:vAlign w:val="center"/>
            <w:hideMark/>
          </w:tcPr>
          <w:p w14:paraId="7DD7421F"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4610A0D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w:t>
            </w:r>
          </w:p>
        </w:tc>
        <w:tc>
          <w:tcPr>
            <w:tcW w:w="1062" w:type="dxa"/>
            <w:noWrap/>
            <w:vAlign w:val="center"/>
            <w:hideMark/>
          </w:tcPr>
          <w:p w14:paraId="06F627A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1972</w:t>
            </w:r>
          </w:p>
        </w:tc>
        <w:tc>
          <w:tcPr>
            <w:tcW w:w="750" w:type="dxa"/>
            <w:noWrap/>
            <w:vAlign w:val="center"/>
            <w:hideMark/>
          </w:tcPr>
          <w:p w14:paraId="2C5BEE3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29.4</w:t>
            </w:r>
          </w:p>
        </w:tc>
        <w:tc>
          <w:tcPr>
            <w:tcW w:w="1062" w:type="dxa"/>
            <w:gridSpan w:val="2"/>
            <w:noWrap/>
            <w:vAlign w:val="bottom"/>
            <w:hideMark/>
          </w:tcPr>
          <w:p w14:paraId="5DCE5E7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30.7</w:t>
            </w:r>
          </w:p>
        </w:tc>
        <w:tc>
          <w:tcPr>
            <w:tcW w:w="750" w:type="dxa"/>
            <w:noWrap/>
            <w:vAlign w:val="bottom"/>
            <w:hideMark/>
          </w:tcPr>
          <w:p w14:paraId="510AD4B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28.5</w:t>
            </w:r>
          </w:p>
        </w:tc>
        <w:tc>
          <w:tcPr>
            <w:tcW w:w="1062" w:type="dxa"/>
            <w:noWrap/>
            <w:vAlign w:val="bottom"/>
            <w:hideMark/>
          </w:tcPr>
          <w:p w14:paraId="278E85D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 xml:space="preserve">2.3 </w:t>
            </w:r>
            <w:r w:rsidRPr="00DF6C69">
              <w:rPr>
                <w:rFonts w:ascii="Times New Roman" w:hAnsi="Times New Roman" w:cs="Times New Roman"/>
                <w:sz w:val="16"/>
                <w:szCs w:val="16"/>
                <w:vertAlign w:val="superscript"/>
              </w:rPr>
              <w:t>(&lt;LOQ)</w:t>
            </w:r>
          </w:p>
        </w:tc>
        <w:tc>
          <w:tcPr>
            <w:tcW w:w="750" w:type="dxa"/>
            <w:gridSpan w:val="2"/>
            <w:noWrap/>
            <w:vAlign w:val="bottom"/>
            <w:hideMark/>
          </w:tcPr>
          <w:p w14:paraId="21B2108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78.7</w:t>
            </w:r>
          </w:p>
        </w:tc>
        <w:tc>
          <w:tcPr>
            <w:tcW w:w="1062" w:type="dxa"/>
            <w:noWrap/>
            <w:vAlign w:val="center"/>
            <w:hideMark/>
          </w:tcPr>
          <w:p w14:paraId="4731E3F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7.0</w:t>
            </w:r>
          </w:p>
        </w:tc>
        <w:tc>
          <w:tcPr>
            <w:tcW w:w="743" w:type="dxa"/>
            <w:gridSpan w:val="2"/>
            <w:noWrap/>
            <w:vAlign w:val="bottom"/>
            <w:hideMark/>
          </w:tcPr>
          <w:p w14:paraId="60024B8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21.8</w:t>
            </w:r>
          </w:p>
        </w:tc>
      </w:tr>
      <w:tr w:rsidR="000765CF" w:rsidRPr="00DF6C69" w14:paraId="1018D743" w14:textId="77777777" w:rsidTr="000765CF">
        <w:trPr>
          <w:gridBefore w:val="1"/>
          <w:wBefore w:w="289" w:type="dxa"/>
          <w:trHeight w:val="20"/>
        </w:trPr>
        <w:tc>
          <w:tcPr>
            <w:tcW w:w="907" w:type="dxa"/>
            <w:vMerge/>
            <w:shd w:val="clear" w:color="auto" w:fill="E2EFD9" w:themeFill="accent6" w:themeFillTint="33"/>
            <w:noWrap/>
            <w:vAlign w:val="center"/>
            <w:hideMark/>
          </w:tcPr>
          <w:p w14:paraId="05F2B63C"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4B45D54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w:t>
            </w:r>
          </w:p>
        </w:tc>
        <w:tc>
          <w:tcPr>
            <w:tcW w:w="1062" w:type="dxa"/>
            <w:noWrap/>
            <w:vAlign w:val="center"/>
            <w:hideMark/>
          </w:tcPr>
          <w:p w14:paraId="511377C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3167</w:t>
            </w:r>
          </w:p>
        </w:tc>
        <w:tc>
          <w:tcPr>
            <w:tcW w:w="750" w:type="dxa"/>
            <w:noWrap/>
            <w:vAlign w:val="center"/>
            <w:hideMark/>
          </w:tcPr>
          <w:p w14:paraId="72E6101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10.4</w:t>
            </w:r>
          </w:p>
        </w:tc>
        <w:tc>
          <w:tcPr>
            <w:tcW w:w="1062" w:type="dxa"/>
            <w:gridSpan w:val="2"/>
            <w:noWrap/>
            <w:vAlign w:val="bottom"/>
            <w:hideMark/>
          </w:tcPr>
          <w:p w14:paraId="7F04082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34.2</w:t>
            </w:r>
          </w:p>
        </w:tc>
        <w:tc>
          <w:tcPr>
            <w:tcW w:w="750" w:type="dxa"/>
            <w:noWrap/>
            <w:vAlign w:val="bottom"/>
            <w:hideMark/>
          </w:tcPr>
          <w:p w14:paraId="58BAFE5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8.8</w:t>
            </w:r>
          </w:p>
        </w:tc>
        <w:tc>
          <w:tcPr>
            <w:tcW w:w="1062" w:type="dxa"/>
            <w:noWrap/>
            <w:vAlign w:val="bottom"/>
            <w:hideMark/>
          </w:tcPr>
          <w:p w14:paraId="18BD296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10.2</w:t>
            </w:r>
          </w:p>
        </w:tc>
        <w:tc>
          <w:tcPr>
            <w:tcW w:w="750" w:type="dxa"/>
            <w:gridSpan w:val="2"/>
            <w:noWrap/>
            <w:vAlign w:val="bottom"/>
            <w:hideMark/>
          </w:tcPr>
          <w:p w14:paraId="2BEA124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39.9</w:t>
            </w:r>
          </w:p>
        </w:tc>
        <w:tc>
          <w:tcPr>
            <w:tcW w:w="1062" w:type="dxa"/>
            <w:noWrap/>
            <w:vAlign w:val="center"/>
            <w:hideMark/>
          </w:tcPr>
          <w:p w14:paraId="4DCD3BE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18.8</w:t>
            </w:r>
          </w:p>
        </w:tc>
        <w:tc>
          <w:tcPr>
            <w:tcW w:w="743" w:type="dxa"/>
            <w:gridSpan w:val="2"/>
            <w:noWrap/>
            <w:vAlign w:val="bottom"/>
            <w:hideMark/>
          </w:tcPr>
          <w:p w14:paraId="557F4F7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38.1</w:t>
            </w:r>
          </w:p>
        </w:tc>
      </w:tr>
      <w:tr w:rsidR="000765CF" w:rsidRPr="00DF6C69" w14:paraId="524F0229" w14:textId="77777777" w:rsidTr="000765CF">
        <w:trPr>
          <w:gridBefore w:val="1"/>
          <w:wBefore w:w="289" w:type="dxa"/>
          <w:trHeight w:val="20"/>
        </w:trPr>
        <w:tc>
          <w:tcPr>
            <w:tcW w:w="907" w:type="dxa"/>
            <w:vMerge/>
            <w:shd w:val="clear" w:color="auto" w:fill="E2EFD9" w:themeFill="accent6" w:themeFillTint="33"/>
            <w:noWrap/>
            <w:vAlign w:val="center"/>
            <w:hideMark/>
          </w:tcPr>
          <w:p w14:paraId="2406D3F3"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34FDC40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w:t>
            </w:r>
          </w:p>
        </w:tc>
        <w:tc>
          <w:tcPr>
            <w:tcW w:w="1062" w:type="dxa"/>
            <w:noWrap/>
            <w:vAlign w:val="center"/>
            <w:hideMark/>
          </w:tcPr>
          <w:p w14:paraId="0655331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1983</w:t>
            </w:r>
          </w:p>
        </w:tc>
        <w:tc>
          <w:tcPr>
            <w:tcW w:w="750" w:type="dxa"/>
            <w:noWrap/>
            <w:vAlign w:val="center"/>
            <w:hideMark/>
          </w:tcPr>
          <w:p w14:paraId="0D95628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20.8</w:t>
            </w:r>
          </w:p>
        </w:tc>
        <w:tc>
          <w:tcPr>
            <w:tcW w:w="1062" w:type="dxa"/>
            <w:gridSpan w:val="2"/>
            <w:noWrap/>
            <w:vAlign w:val="bottom"/>
            <w:hideMark/>
          </w:tcPr>
          <w:p w14:paraId="36F0B95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39.5</w:t>
            </w:r>
          </w:p>
        </w:tc>
        <w:tc>
          <w:tcPr>
            <w:tcW w:w="750" w:type="dxa"/>
            <w:noWrap/>
            <w:vAlign w:val="bottom"/>
            <w:hideMark/>
          </w:tcPr>
          <w:p w14:paraId="4C032D9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14.5</w:t>
            </w:r>
          </w:p>
        </w:tc>
        <w:tc>
          <w:tcPr>
            <w:tcW w:w="1062" w:type="dxa"/>
            <w:noWrap/>
            <w:vAlign w:val="bottom"/>
            <w:hideMark/>
          </w:tcPr>
          <w:p w14:paraId="30F83A9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14.8</w:t>
            </w:r>
          </w:p>
        </w:tc>
        <w:tc>
          <w:tcPr>
            <w:tcW w:w="750" w:type="dxa"/>
            <w:gridSpan w:val="2"/>
            <w:noWrap/>
            <w:vAlign w:val="bottom"/>
            <w:hideMark/>
          </w:tcPr>
          <w:p w14:paraId="3DED8D8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54.5</w:t>
            </w:r>
          </w:p>
        </w:tc>
        <w:tc>
          <w:tcPr>
            <w:tcW w:w="1062" w:type="dxa"/>
            <w:noWrap/>
            <w:vAlign w:val="center"/>
            <w:hideMark/>
          </w:tcPr>
          <w:p w14:paraId="5D5C1F0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7.4</w:t>
            </w:r>
          </w:p>
        </w:tc>
        <w:tc>
          <w:tcPr>
            <w:tcW w:w="743" w:type="dxa"/>
            <w:gridSpan w:val="2"/>
            <w:noWrap/>
            <w:vAlign w:val="bottom"/>
            <w:hideMark/>
          </w:tcPr>
          <w:p w14:paraId="321E5FD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32.2</w:t>
            </w:r>
          </w:p>
        </w:tc>
      </w:tr>
      <w:tr w:rsidR="000765CF" w:rsidRPr="00DF6C69" w14:paraId="2C7E0BAC" w14:textId="77777777" w:rsidTr="000765CF">
        <w:trPr>
          <w:gridBefore w:val="1"/>
          <w:wBefore w:w="289" w:type="dxa"/>
          <w:trHeight w:val="20"/>
        </w:trPr>
        <w:tc>
          <w:tcPr>
            <w:tcW w:w="907" w:type="dxa"/>
            <w:vMerge/>
            <w:shd w:val="clear" w:color="auto" w:fill="E2EFD9" w:themeFill="accent6" w:themeFillTint="33"/>
            <w:noWrap/>
            <w:vAlign w:val="center"/>
            <w:hideMark/>
          </w:tcPr>
          <w:p w14:paraId="3C12B6F0"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3500D91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w:t>
            </w:r>
          </w:p>
        </w:tc>
        <w:tc>
          <w:tcPr>
            <w:tcW w:w="1062" w:type="dxa"/>
            <w:noWrap/>
            <w:vAlign w:val="center"/>
            <w:hideMark/>
          </w:tcPr>
          <w:p w14:paraId="7C94771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2187</w:t>
            </w:r>
          </w:p>
        </w:tc>
        <w:tc>
          <w:tcPr>
            <w:tcW w:w="750" w:type="dxa"/>
            <w:noWrap/>
            <w:vAlign w:val="center"/>
            <w:hideMark/>
          </w:tcPr>
          <w:p w14:paraId="66AA326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5.4</w:t>
            </w:r>
          </w:p>
        </w:tc>
        <w:tc>
          <w:tcPr>
            <w:tcW w:w="1062" w:type="dxa"/>
            <w:gridSpan w:val="2"/>
            <w:noWrap/>
            <w:vAlign w:val="bottom"/>
            <w:hideMark/>
          </w:tcPr>
          <w:p w14:paraId="2A5C935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47.1</w:t>
            </w:r>
          </w:p>
        </w:tc>
        <w:tc>
          <w:tcPr>
            <w:tcW w:w="750" w:type="dxa"/>
            <w:noWrap/>
            <w:vAlign w:val="bottom"/>
            <w:hideMark/>
          </w:tcPr>
          <w:p w14:paraId="3C8CC54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32.0</w:t>
            </w:r>
          </w:p>
        </w:tc>
        <w:tc>
          <w:tcPr>
            <w:tcW w:w="1062" w:type="dxa"/>
            <w:noWrap/>
            <w:vAlign w:val="bottom"/>
            <w:hideMark/>
          </w:tcPr>
          <w:p w14:paraId="7F79CEE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11.3</w:t>
            </w:r>
          </w:p>
        </w:tc>
        <w:tc>
          <w:tcPr>
            <w:tcW w:w="750" w:type="dxa"/>
            <w:gridSpan w:val="2"/>
            <w:noWrap/>
            <w:vAlign w:val="bottom"/>
            <w:hideMark/>
          </w:tcPr>
          <w:p w14:paraId="7F0322A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36.0</w:t>
            </w:r>
          </w:p>
        </w:tc>
        <w:tc>
          <w:tcPr>
            <w:tcW w:w="1062" w:type="dxa"/>
            <w:noWrap/>
            <w:vAlign w:val="center"/>
            <w:hideMark/>
          </w:tcPr>
          <w:p w14:paraId="3656078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5.1</w:t>
            </w:r>
          </w:p>
        </w:tc>
        <w:tc>
          <w:tcPr>
            <w:tcW w:w="743" w:type="dxa"/>
            <w:gridSpan w:val="2"/>
            <w:noWrap/>
            <w:vAlign w:val="bottom"/>
            <w:hideMark/>
          </w:tcPr>
          <w:p w14:paraId="1D6AFD2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44.6</w:t>
            </w:r>
          </w:p>
        </w:tc>
      </w:tr>
      <w:tr w:rsidR="000765CF" w:rsidRPr="00DF6C69" w14:paraId="3FF605A7" w14:textId="77777777" w:rsidTr="000765CF">
        <w:trPr>
          <w:gridBefore w:val="1"/>
          <w:wBefore w:w="289" w:type="dxa"/>
          <w:trHeight w:val="20"/>
        </w:trPr>
        <w:tc>
          <w:tcPr>
            <w:tcW w:w="907" w:type="dxa"/>
            <w:vMerge/>
            <w:shd w:val="clear" w:color="auto" w:fill="E2EFD9" w:themeFill="accent6" w:themeFillTint="33"/>
            <w:noWrap/>
            <w:vAlign w:val="center"/>
            <w:hideMark/>
          </w:tcPr>
          <w:p w14:paraId="7A9284CC"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61FD729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w:t>
            </w:r>
          </w:p>
        </w:tc>
        <w:tc>
          <w:tcPr>
            <w:tcW w:w="1062" w:type="dxa"/>
            <w:noWrap/>
            <w:vAlign w:val="center"/>
            <w:hideMark/>
          </w:tcPr>
          <w:p w14:paraId="53227EB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1780</w:t>
            </w:r>
          </w:p>
        </w:tc>
        <w:tc>
          <w:tcPr>
            <w:tcW w:w="750" w:type="dxa"/>
            <w:noWrap/>
            <w:vAlign w:val="center"/>
            <w:hideMark/>
          </w:tcPr>
          <w:p w14:paraId="6D65487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15.5</w:t>
            </w:r>
          </w:p>
        </w:tc>
        <w:tc>
          <w:tcPr>
            <w:tcW w:w="1062" w:type="dxa"/>
            <w:gridSpan w:val="2"/>
            <w:noWrap/>
            <w:vAlign w:val="bottom"/>
            <w:hideMark/>
          </w:tcPr>
          <w:p w14:paraId="6198F5D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37.6</w:t>
            </w:r>
          </w:p>
        </w:tc>
        <w:tc>
          <w:tcPr>
            <w:tcW w:w="750" w:type="dxa"/>
            <w:noWrap/>
            <w:vAlign w:val="bottom"/>
            <w:hideMark/>
          </w:tcPr>
          <w:p w14:paraId="441BE40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53.0</w:t>
            </w:r>
          </w:p>
        </w:tc>
        <w:tc>
          <w:tcPr>
            <w:tcW w:w="1062" w:type="dxa"/>
            <w:noWrap/>
            <w:vAlign w:val="bottom"/>
            <w:hideMark/>
          </w:tcPr>
          <w:p w14:paraId="7D08308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 xml:space="preserve">3.2 </w:t>
            </w:r>
            <w:r w:rsidRPr="00DF6C69">
              <w:rPr>
                <w:rFonts w:ascii="Times New Roman" w:hAnsi="Times New Roman" w:cs="Times New Roman"/>
                <w:sz w:val="16"/>
                <w:szCs w:val="16"/>
                <w:vertAlign w:val="superscript"/>
              </w:rPr>
              <w:t>(&lt;LOQ)</w:t>
            </w:r>
          </w:p>
        </w:tc>
        <w:tc>
          <w:tcPr>
            <w:tcW w:w="750" w:type="dxa"/>
            <w:gridSpan w:val="2"/>
            <w:noWrap/>
            <w:vAlign w:val="bottom"/>
            <w:hideMark/>
          </w:tcPr>
          <w:p w14:paraId="3E3B275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32.0</w:t>
            </w:r>
          </w:p>
        </w:tc>
        <w:tc>
          <w:tcPr>
            <w:tcW w:w="1062" w:type="dxa"/>
            <w:noWrap/>
            <w:vAlign w:val="center"/>
            <w:hideMark/>
          </w:tcPr>
          <w:p w14:paraId="7E608B7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12.4</w:t>
            </w:r>
          </w:p>
        </w:tc>
        <w:tc>
          <w:tcPr>
            <w:tcW w:w="743" w:type="dxa"/>
            <w:gridSpan w:val="2"/>
            <w:noWrap/>
            <w:vAlign w:val="bottom"/>
            <w:hideMark/>
          </w:tcPr>
          <w:p w14:paraId="58D35F2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63.5</w:t>
            </w:r>
          </w:p>
        </w:tc>
      </w:tr>
      <w:tr w:rsidR="000765CF" w:rsidRPr="00DF6C69" w14:paraId="051A81DF" w14:textId="77777777" w:rsidTr="000765CF">
        <w:trPr>
          <w:gridBefore w:val="1"/>
          <w:wBefore w:w="289" w:type="dxa"/>
          <w:trHeight w:val="20"/>
        </w:trPr>
        <w:tc>
          <w:tcPr>
            <w:tcW w:w="907" w:type="dxa"/>
            <w:vMerge/>
            <w:shd w:val="clear" w:color="auto" w:fill="E2EFD9" w:themeFill="accent6" w:themeFillTint="33"/>
            <w:noWrap/>
            <w:vAlign w:val="center"/>
            <w:hideMark/>
          </w:tcPr>
          <w:p w14:paraId="5C43B122"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2BEF3A8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8</w:t>
            </w:r>
          </w:p>
        </w:tc>
        <w:tc>
          <w:tcPr>
            <w:tcW w:w="1062" w:type="dxa"/>
            <w:noWrap/>
            <w:vAlign w:val="center"/>
            <w:hideMark/>
          </w:tcPr>
          <w:p w14:paraId="13A5D47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1213</w:t>
            </w:r>
          </w:p>
        </w:tc>
        <w:tc>
          <w:tcPr>
            <w:tcW w:w="750" w:type="dxa"/>
            <w:noWrap/>
            <w:vAlign w:val="center"/>
            <w:hideMark/>
          </w:tcPr>
          <w:p w14:paraId="5BD5B22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13.1</w:t>
            </w:r>
          </w:p>
        </w:tc>
        <w:tc>
          <w:tcPr>
            <w:tcW w:w="1062" w:type="dxa"/>
            <w:gridSpan w:val="2"/>
            <w:noWrap/>
            <w:vAlign w:val="bottom"/>
            <w:hideMark/>
          </w:tcPr>
          <w:p w14:paraId="301F52F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21.9</w:t>
            </w:r>
          </w:p>
        </w:tc>
        <w:tc>
          <w:tcPr>
            <w:tcW w:w="750" w:type="dxa"/>
            <w:noWrap/>
            <w:vAlign w:val="bottom"/>
            <w:hideMark/>
          </w:tcPr>
          <w:p w14:paraId="3CBF73D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4.1</w:t>
            </w:r>
          </w:p>
        </w:tc>
        <w:tc>
          <w:tcPr>
            <w:tcW w:w="1062" w:type="dxa"/>
            <w:noWrap/>
            <w:vAlign w:val="bottom"/>
            <w:hideMark/>
          </w:tcPr>
          <w:p w14:paraId="17CB3D2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9.4</w:t>
            </w:r>
          </w:p>
        </w:tc>
        <w:tc>
          <w:tcPr>
            <w:tcW w:w="750" w:type="dxa"/>
            <w:gridSpan w:val="2"/>
            <w:noWrap/>
            <w:vAlign w:val="bottom"/>
            <w:hideMark/>
          </w:tcPr>
          <w:p w14:paraId="6AF67A7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17.5</w:t>
            </w:r>
          </w:p>
        </w:tc>
        <w:tc>
          <w:tcPr>
            <w:tcW w:w="1062" w:type="dxa"/>
            <w:noWrap/>
            <w:vAlign w:val="center"/>
            <w:hideMark/>
          </w:tcPr>
          <w:p w14:paraId="0CC49A3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12.2</w:t>
            </w:r>
          </w:p>
        </w:tc>
        <w:tc>
          <w:tcPr>
            <w:tcW w:w="743" w:type="dxa"/>
            <w:gridSpan w:val="2"/>
            <w:noWrap/>
            <w:vAlign w:val="bottom"/>
            <w:hideMark/>
          </w:tcPr>
          <w:p w14:paraId="6D5C32E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45.6</w:t>
            </w:r>
          </w:p>
        </w:tc>
      </w:tr>
      <w:tr w:rsidR="000765CF" w:rsidRPr="00DF6C69" w14:paraId="1D14005B" w14:textId="77777777" w:rsidTr="000765CF">
        <w:trPr>
          <w:gridBefore w:val="1"/>
          <w:wBefore w:w="289" w:type="dxa"/>
          <w:trHeight w:val="20"/>
        </w:trPr>
        <w:tc>
          <w:tcPr>
            <w:tcW w:w="907" w:type="dxa"/>
            <w:vMerge/>
            <w:shd w:val="clear" w:color="auto" w:fill="E2EFD9" w:themeFill="accent6" w:themeFillTint="33"/>
            <w:noWrap/>
            <w:vAlign w:val="center"/>
            <w:hideMark/>
          </w:tcPr>
          <w:p w14:paraId="64F4FE7C"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25D3B6E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w:t>
            </w:r>
          </w:p>
        </w:tc>
        <w:tc>
          <w:tcPr>
            <w:tcW w:w="1062" w:type="dxa"/>
            <w:noWrap/>
            <w:vAlign w:val="center"/>
            <w:hideMark/>
          </w:tcPr>
          <w:p w14:paraId="461CD6A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1390</w:t>
            </w:r>
          </w:p>
        </w:tc>
        <w:tc>
          <w:tcPr>
            <w:tcW w:w="750" w:type="dxa"/>
            <w:noWrap/>
            <w:vAlign w:val="center"/>
            <w:hideMark/>
          </w:tcPr>
          <w:p w14:paraId="5B63552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14.4</w:t>
            </w:r>
          </w:p>
        </w:tc>
        <w:tc>
          <w:tcPr>
            <w:tcW w:w="1062" w:type="dxa"/>
            <w:gridSpan w:val="2"/>
            <w:noWrap/>
            <w:vAlign w:val="bottom"/>
            <w:hideMark/>
          </w:tcPr>
          <w:p w14:paraId="0CC6918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40.8</w:t>
            </w:r>
          </w:p>
        </w:tc>
        <w:tc>
          <w:tcPr>
            <w:tcW w:w="750" w:type="dxa"/>
            <w:noWrap/>
            <w:vAlign w:val="bottom"/>
            <w:hideMark/>
          </w:tcPr>
          <w:p w14:paraId="38C907F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8.7</w:t>
            </w:r>
          </w:p>
        </w:tc>
        <w:tc>
          <w:tcPr>
            <w:tcW w:w="1062" w:type="dxa"/>
            <w:noWrap/>
            <w:vAlign w:val="bottom"/>
            <w:hideMark/>
          </w:tcPr>
          <w:p w14:paraId="13442DA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8.4</w:t>
            </w:r>
          </w:p>
        </w:tc>
        <w:tc>
          <w:tcPr>
            <w:tcW w:w="750" w:type="dxa"/>
            <w:gridSpan w:val="2"/>
            <w:noWrap/>
            <w:vAlign w:val="bottom"/>
            <w:hideMark/>
          </w:tcPr>
          <w:p w14:paraId="3997669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86.9</w:t>
            </w:r>
          </w:p>
        </w:tc>
        <w:tc>
          <w:tcPr>
            <w:tcW w:w="1062" w:type="dxa"/>
            <w:noWrap/>
            <w:vAlign w:val="center"/>
            <w:hideMark/>
          </w:tcPr>
          <w:p w14:paraId="00474DF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13.2</w:t>
            </w:r>
          </w:p>
        </w:tc>
        <w:tc>
          <w:tcPr>
            <w:tcW w:w="743" w:type="dxa"/>
            <w:gridSpan w:val="2"/>
            <w:noWrap/>
            <w:vAlign w:val="bottom"/>
            <w:hideMark/>
          </w:tcPr>
          <w:p w14:paraId="4A864BB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39.5</w:t>
            </w:r>
          </w:p>
        </w:tc>
      </w:tr>
      <w:tr w:rsidR="000765CF" w:rsidRPr="00DF6C69" w14:paraId="6EA93C2E" w14:textId="77777777" w:rsidTr="000765CF">
        <w:trPr>
          <w:gridBefore w:val="1"/>
          <w:wBefore w:w="289" w:type="dxa"/>
          <w:trHeight w:val="20"/>
        </w:trPr>
        <w:tc>
          <w:tcPr>
            <w:tcW w:w="907" w:type="dxa"/>
            <w:vMerge/>
            <w:shd w:val="clear" w:color="auto" w:fill="E2EFD9" w:themeFill="accent6" w:themeFillTint="33"/>
            <w:noWrap/>
            <w:vAlign w:val="center"/>
            <w:hideMark/>
          </w:tcPr>
          <w:p w14:paraId="235E667F"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778EDBE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w:t>
            </w:r>
          </w:p>
        </w:tc>
        <w:tc>
          <w:tcPr>
            <w:tcW w:w="1062" w:type="dxa"/>
            <w:noWrap/>
            <w:vAlign w:val="center"/>
            <w:hideMark/>
          </w:tcPr>
          <w:p w14:paraId="3E96BE2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1693</w:t>
            </w:r>
          </w:p>
        </w:tc>
        <w:tc>
          <w:tcPr>
            <w:tcW w:w="750" w:type="dxa"/>
            <w:noWrap/>
            <w:vAlign w:val="center"/>
            <w:hideMark/>
          </w:tcPr>
          <w:p w14:paraId="3809AF9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6.7</w:t>
            </w:r>
          </w:p>
        </w:tc>
        <w:tc>
          <w:tcPr>
            <w:tcW w:w="1062" w:type="dxa"/>
            <w:gridSpan w:val="2"/>
            <w:noWrap/>
            <w:vAlign w:val="bottom"/>
            <w:hideMark/>
          </w:tcPr>
          <w:p w14:paraId="66A304E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40.1</w:t>
            </w:r>
          </w:p>
        </w:tc>
        <w:tc>
          <w:tcPr>
            <w:tcW w:w="750" w:type="dxa"/>
            <w:noWrap/>
            <w:vAlign w:val="bottom"/>
            <w:hideMark/>
          </w:tcPr>
          <w:p w14:paraId="16FF2CB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45.0</w:t>
            </w:r>
          </w:p>
        </w:tc>
        <w:tc>
          <w:tcPr>
            <w:tcW w:w="1062" w:type="dxa"/>
            <w:noWrap/>
            <w:vAlign w:val="bottom"/>
            <w:hideMark/>
          </w:tcPr>
          <w:p w14:paraId="56624CE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6.1</w:t>
            </w:r>
          </w:p>
        </w:tc>
        <w:tc>
          <w:tcPr>
            <w:tcW w:w="750" w:type="dxa"/>
            <w:gridSpan w:val="2"/>
            <w:noWrap/>
            <w:vAlign w:val="bottom"/>
            <w:hideMark/>
          </w:tcPr>
          <w:p w14:paraId="142E1D0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9.7</w:t>
            </w:r>
          </w:p>
        </w:tc>
        <w:tc>
          <w:tcPr>
            <w:tcW w:w="1062" w:type="dxa"/>
            <w:noWrap/>
            <w:vAlign w:val="center"/>
            <w:hideMark/>
          </w:tcPr>
          <w:p w14:paraId="481B815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16.4</w:t>
            </w:r>
          </w:p>
        </w:tc>
        <w:tc>
          <w:tcPr>
            <w:tcW w:w="743" w:type="dxa"/>
            <w:gridSpan w:val="2"/>
            <w:noWrap/>
            <w:vAlign w:val="bottom"/>
            <w:hideMark/>
          </w:tcPr>
          <w:p w14:paraId="623D8F2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43.3</w:t>
            </w:r>
          </w:p>
        </w:tc>
      </w:tr>
      <w:tr w:rsidR="000765CF" w:rsidRPr="00DF6C69" w14:paraId="0ACBAEB9" w14:textId="77777777" w:rsidTr="000765CF">
        <w:trPr>
          <w:gridBefore w:val="1"/>
          <w:wBefore w:w="289" w:type="dxa"/>
          <w:trHeight w:val="20"/>
        </w:trPr>
        <w:tc>
          <w:tcPr>
            <w:tcW w:w="907" w:type="dxa"/>
            <w:vMerge w:val="restart"/>
            <w:shd w:val="clear" w:color="auto" w:fill="FBE4D5" w:themeFill="accent2" w:themeFillTint="33"/>
            <w:noWrap/>
            <w:vAlign w:val="center"/>
            <w:hideMark/>
          </w:tcPr>
          <w:p w14:paraId="6D76A45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PCa</w:t>
            </w:r>
          </w:p>
        </w:tc>
        <w:tc>
          <w:tcPr>
            <w:tcW w:w="1203" w:type="dxa"/>
            <w:gridSpan w:val="2"/>
            <w:noWrap/>
            <w:vAlign w:val="center"/>
            <w:hideMark/>
          </w:tcPr>
          <w:p w14:paraId="7B8AE87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11</w:t>
            </w:r>
          </w:p>
        </w:tc>
        <w:tc>
          <w:tcPr>
            <w:tcW w:w="1062" w:type="dxa"/>
            <w:noWrap/>
            <w:vAlign w:val="center"/>
            <w:hideMark/>
          </w:tcPr>
          <w:p w14:paraId="1B0598E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1736</w:t>
            </w:r>
          </w:p>
        </w:tc>
        <w:tc>
          <w:tcPr>
            <w:tcW w:w="750" w:type="dxa"/>
            <w:noWrap/>
            <w:vAlign w:val="center"/>
            <w:hideMark/>
          </w:tcPr>
          <w:p w14:paraId="40C827F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13.0</w:t>
            </w:r>
          </w:p>
        </w:tc>
        <w:tc>
          <w:tcPr>
            <w:tcW w:w="1062" w:type="dxa"/>
            <w:gridSpan w:val="2"/>
            <w:noWrap/>
            <w:vAlign w:val="bottom"/>
            <w:hideMark/>
          </w:tcPr>
          <w:p w14:paraId="59B127B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75.6</w:t>
            </w:r>
          </w:p>
        </w:tc>
        <w:tc>
          <w:tcPr>
            <w:tcW w:w="750" w:type="dxa"/>
            <w:noWrap/>
            <w:vAlign w:val="bottom"/>
            <w:hideMark/>
          </w:tcPr>
          <w:p w14:paraId="7C4D3ED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34.9</w:t>
            </w:r>
          </w:p>
        </w:tc>
        <w:tc>
          <w:tcPr>
            <w:tcW w:w="1062" w:type="dxa"/>
            <w:noWrap/>
            <w:vAlign w:val="bottom"/>
            <w:hideMark/>
          </w:tcPr>
          <w:p w14:paraId="3A6FBFA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4.7</w:t>
            </w:r>
          </w:p>
        </w:tc>
        <w:tc>
          <w:tcPr>
            <w:tcW w:w="750" w:type="dxa"/>
            <w:gridSpan w:val="2"/>
            <w:noWrap/>
            <w:vAlign w:val="bottom"/>
            <w:hideMark/>
          </w:tcPr>
          <w:p w14:paraId="6C1745F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10.5</w:t>
            </w:r>
          </w:p>
        </w:tc>
        <w:tc>
          <w:tcPr>
            <w:tcW w:w="1062" w:type="dxa"/>
            <w:noWrap/>
            <w:vAlign w:val="bottom"/>
            <w:hideMark/>
          </w:tcPr>
          <w:p w14:paraId="53E3598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7.7</w:t>
            </w:r>
          </w:p>
        </w:tc>
        <w:tc>
          <w:tcPr>
            <w:tcW w:w="743" w:type="dxa"/>
            <w:gridSpan w:val="2"/>
            <w:noWrap/>
            <w:vAlign w:val="bottom"/>
            <w:hideMark/>
          </w:tcPr>
          <w:p w14:paraId="53EECA1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20.2</w:t>
            </w:r>
          </w:p>
        </w:tc>
      </w:tr>
      <w:tr w:rsidR="000765CF" w:rsidRPr="00DF6C69" w14:paraId="7B4CBE0B" w14:textId="77777777" w:rsidTr="000765CF">
        <w:trPr>
          <w:gridBefore w:val="1"/>
          <w:wBefore w:w="289" w:type="dxa"/>
          <w:trHeight w:val="20"/>
        </w:trPr>
        <w:tc>
          <w:tcPr>
            <w:tcW w:w="907" w:type="dxa"/>
            <w:vMerge/>
            <w:shd w:val="clear" w:color="auto" w:fill="FBE4D5" w:themeFill="accent2" w:themeFillTint="33"/>
            <w:noWrap/>
            <w:vAlign w:val="center"/>
            <w:hideMark/>
          </w:tcPr>
          <w:p w14:paraId="42FAA4EE"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2496215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w:t>
            </w:r>
          </w:p>
        </w:tc>
        <w:tc>
          <w:tcPr>
            <w:tcW w:w="1062" w:type="dxa"/>
            <w:noWrap/>
            <w:vAlign w:val="center"/>
            <w:hideMark/>
          </w:tcPr>
          <w:p w14:paraId="2E8AE3F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2837</w:t>
            </w:r>
          </w:p>
        </w:tc>
        <w:tc>
          <w:tcPr>
            <w:tcW w:w="750" w:type="dxa"/>
            <w:noWrap/>
            <w:vAlign w:val="center"/>
            <w:hideMark/>
          </w:tcPr>
          <w:p w14:paraId="2159871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6.2</w:t>
            </w:r>
          </w:p>
        </w:tc>
        <w:tc>
          <w:tcPr>
            <w:tcW w:w="1062" w:type="dxa"/>
            <w:gridSpan w:val="2"/>
            <w:noWrap/>
            <w:vAlign w:val="bottom"/>
            <w:hideMark/>
          </w:tcPr>
          <w:p w14:paraId="02A0C5A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6.3</w:t>
            </w:r>
          </w:p>
        </w:tc>
        <w:tc>
          <w:tcPr>
            <w:tcW w:w="750" w:type="dxa"/>
            <w:noWrap/>
            <w:vAlign w:val="bottom"/>
            <w:hideMark/>
          </w:tcPr>
          <w:p w14:paraId="6CCAEC3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25.9</w:t>
            </w:r>
          </w:p>
        </w:tc>
        <w:tc>
          <w:tcPr>
            <w:tcW w:w="1062" w:type="dxa"/>
            <w:noWrap/>
            <w:vAlign w:val="bottom"/>
            <w:hideMark/>
          </w:tcPr>
          <w:p w14:paraId="3FD49FF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19.4</w:t>
            </w:r>
          </w:p>
        </w:tc>
        <w:tc>
          <w:tcPr>
            <w:tcW w:w="750" w:type="dxa"/>
            <w:gridSpan w:val="2"/>
            <w:noWrap/>
            <w:vAlign w:val="bottom"/>
            <w:hideMark/>
          </w:tcPr>
          <w:p w14:paraId="5B09E17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77.2</w:t>
            </w:r>
          </w:p>
        </w:tc>
        <w:tc>
          <w:tcPr>
            <w:tcW w:w="1062" w:type="dxa"/>
            <w:noWrap/>
            <w:vAlign w:val="bottom"/>
            <w:hideMark/>
          </w:tcPr>
          <w:p w14:paraId="251B22B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12.7</w:t>
            </w:r>
          </w:p>
        </w:tc>
        <w:tc>
          <w:tcPr>
            <w:tcW w:w="743" w:type="dxa"/>
            <w:gridSpan w:val="2"/>
            <w:noWrap/>
            <w:vAlign w:val="bottom"/>
            <w:hideMark/>
          </w:tcPr>
          <w:p w14:paraId="1D0F9ED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33.8</w:t>
            </w:r>
          </w:p>
        </w:tc>
      </w:tr>
      <w:tr w:rsidR="000765CF" w:rsidRPr="00DF6C69" w14:paraId="3043FA22" w14:textId="77777777" w:rsidTr="000765CF">
        <w:trPr>
          <w:gridBefore w:val="1"/>
          <w:wBefore w:w="289" w:type="dxa"/>
          <w:trHeight w:val="20"/>
        </w:trPr>
        <w:tc>
          <w:tcPr>
            <w:tcW w:w="907" w:type="dxa"/>
            <w:vMerge/>
            <w:shd w:val="clear" w:color="auto" w:fill="FBE4D5" w:themeFill="accent2" w:themeFillTint="33"/>
            <w:noWrap/>
            <w:vAlign w:val="center"/>
            <w:hideMark/>
          </w:tcPr>
          <w:p w14:paraId="4A23B171"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565B293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w:t>
            </w:r>
          </w:p>
        </w:tc>
        <w:tc>
          <w:tcPr>
            <w:tcW w:w="1062" w:type="dxa"/>
            <w:noWrap/>
            <w:vAlign w:val="center"/>
            <w:hideMark/>
          </w:tcPr>
          <w:p w14:paraId="02493C2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4109</w:t>
            </w:r>
          </w:p>
        </w:tc>
        <w:tc>
          <w:tcPr>
            <w:tcW w:w="750" w:type="dxa"/>
            <w:noWrap/>
            <w:vAlign w:val="center"/>
            <w:hideMark/>
          </w:tcPr>
          <w:p w14:paraId="4E94C8A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5.7</w:t>
            </w:r>
          </w:p>
        </w:tc>
        <w:tc>
          <w:tcPr>
            <w:tcW w:w="1062" w:type="dxa"/>
            <w:gridSpan w:val="2"/>
            <w:noWrap/>
            <w:vAlign w:val="bottom"/>
            <w:hideMark/>
          </w:tcPr>
          <w:p w14:paraId="3CE39D5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48.7</w:t>
            </w:r>
          </w:p>
        </w:tc>
        <w:tc>
          <w:tcPr>
            <w:tcW w:w="750" w:type="dxa"/>
            <w:noWrap/>
            <w:vAlign w:val="bottom"/>
            <w:hideMark/>
          </w:tcPr>
          <w:p w14:paraId="03190E0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32.3</w:t>
            </w:r>
          </w:p>
        </w:tc>
        <w:tc>
          <w:tcPr>
            <w:tcW w:w="1062" w:type="dxa"/>
            <w:noWrap/>
            <w:vAlign w:val="bottom"/>
            <w:hideMark/>
          </w:tcPr>
          <w:p w14:paraId="733C8F3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16.3</w:t>
            </w:r>
          </w:p>
        </w:tc>
        <w:tc>
          <w:tcPr>
            <w:tcW w:w="750" w:type="dxa"/>
            <w:gridSpan w:val="2"/>
            <w:noWrap/>
            <w:vAlign w:val="bottom"/>
            <w:hideMark/>
          </w:tcPr>
          <w:p w14:paraId="75500FC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23.6</w:t>
            </w:r>
          </w:p>
        </w:tc>
        <w:tc>
          <w:tcPr>
            <w:tcW w:w="1062" w:type="dxa"/>
            <w:noWrap/>
            <w:vAlign w:val="bottom"/>
            <w:hideMark/>
          </w:tcPr>
          <w:p w14:paraId="1B7AE09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&lt; 1.4</w:t>
            </w:r>
          </w:p>
        </w:tc>
        <w:tc>
          <w:tcPr>
            <w:tcW w:w="743" w:type="dxa"/>
            <w:gridSpan w:val="2"/>
            <w:noWrap/>
            <w:vAlign w:val="bottom"/>
            <w:hideMark/>
          </w:tcPr>
          <w:p w14:paraId="54071F2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100.0</w:t>
            </w:r>
          </w:p>
        </w:tc>
      </w:tr>
      <w:tr w:rsidR="000765CF" w:rsidRPr="00DF6C69" w14:paraId="1DAE8153" w14:textId="77777777" w:rsidTr="000765CF">
        <w:trPr>
          <w:gridBefore w:val="1"/>
          <w:wBefore w:w="289" w:type="dxa"/>
          <w:trHeight w:val="20"/>
        </w:trPr>
        <w:tc>
          <w:tcPr>
            <w:tcW w:w="907" w:type="dxa"/>
            <w:vMerge/>
            <w:shd w:val="clear" w:color="auto" w:fill="FBE4D5" w:themeFill="accent2" w:themeFillTint="33"/>
            <w:noWrap/>
            <w:vAlign w:val="center"/>
            <w:hideMark/>
          </w:tcPr>
          <w:p w14:paraId="3ADFBCB3"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3456EA6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14</w:t>
            </w:r>
          </w:p>
        </w:tc>
        <w:tc>
          <w:tcPr>
            <w:tcW w:w="1062" w:type="dxa"/>
            <w:noWrap/>
            <w:vAlign w:val="center"/>
            <w:hideMark/>
          </w:tcPr>
          <w:p w14:paraId="056B674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3495</w:t>
            </w:r>
          </w:p>
        </w:tc>
        <w:tc>
          <w:tcPr>
            <w:tcW w:w="750" w:type="dxa"/>
            <w:noWrap/>
            <w:vAlign w:val="center"/>
            <w:hideMark/>
          </w:tcPr>
          <w:p w14:paraId="0466044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15.4</w:t>
            </w:r>
          </w:p>
        </w:tc>
        <w:tc>
          <w:tcPr>
            <w:tcW w:w="1062" w:type="dxa"/>
            <w:gridSpan w:val="2"/>
            <w:noWrap/>
            <w:vAlign w:val="bottom"/>
            <w:hideMark/>
          </w:tcPr>
          <w:p w14:paraId="58BF10C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149.5</w:t>
            </w:r>
          </w:p>
        </w:tc>
        <w:tc>
          <w:tcPr>
            <w:tcW w:w="750" w:type="dxa"/>
            <w:noWrap/>
            <w:vAlign w:val="bottom"/>
            <w:hideMark/>
          </w:tcPr>
          <w:p w14:paraId="34F46FB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20.2</w:t>
            </w:r>
          </w:p>
        </w:tc>
        <w:tc>
          <w:tcPr>
            <w:tcW w:w="1062" w:type="dxa"/>
            <w:noWrap/>
            <w:vAlign w:val="bottom"/>
            <w:hideMark/>
          </w:tcPr>
          <w:p w14:paraId="206EF19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12.7</w:t>
            </w:r>
          </w:p>
        </w:tc>
        <w:tc>
          <w:tcPr>
            <w:tcW w:w="750" w:type="dxa"/>
            <w:gridSpan w:val="2"/>
            <w:noWrap/>
            <w:vAlign w:val="bottom"/>
            <w:hideMark/>
          </w:tcPr>
          <w:p w14:paraId="5B36D81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64.8</w:t>
            </w:r>
          </w:p>
        </w:tc>
        <w:tc>
          <w:tcPr>
            <w:tcW w:w="1062" w:type="dxa"/>
            <w:noWrap/>
            <w:vAlign w:val="bottom"/>
            <w:hideMark/>
          </w:tcPr>
          <w:p w14:paraId="620DBB7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9.6</w:t>
            </w:r>
          </w:p>
        </w:tc>
        <w:tc>
          <w:tcPr>
            <w:tcW w:w="743" w:type="dxa"/>
            <w:gridSpan w:val="2"/>
            <w:noWrap/>
            <w:vAlign w:val="bottom"/>
            <w:hideMark/>
          </w:tcPr>
          <w:p w14:paraId="43DD591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16.7</w:t>
            </w:r>
          </w:p>
        </w:tc>
      </w:tr>
      <w:tr w:rsidR="000765CF" w:rsidRPr="00DF6C69" w14:paraId="2445D0A2" w14:textId="77777777" w:rsidTr="000765CF">
        <w:trPr>
          <w:gridBefore w:val="1"/>
          <w:wBefore w:w="289" w:type="dxa"/>
          <w:trHeight w:val="20"/>
        </w:trPr>
        <w:tc>
          <w:tcPr>
            <w:tcW w:w="907" w:type="dxa"/>
            <w:vMerge/>
            <w:shd w:val="clear" w:color="auto" w:fill="FBE4D5" w:themeFill="accent2" w:themeFillTint="33"/>
            <w:noWrap/>
            <w:vAlign w:val="center"/>
            <w:hideMark/>
          </w:tcPr>
          <w:p w14:paraId="4AA3FDB5"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1048D73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15</w:t>
            </w:r>
          </w:p>
        </w:tc>
        <w:tc>
          <w:tcPr>
            <w:tcW w:w="1062" w:type="dxa"/>
            <w:noWrap/>
            <w:vAlign w:val="center"/>
            <w:hideMark/>
          </w:tcPr>
          <w:p w14:paraId="5574C68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2872</w:t>
            </w:r>
          </w:p>
        </w:tc>
        <w:tc>
          <w:tcPr>
            <w:tcW w:w="750" w:type="dxa"/>
            <w:noWrap/>
            <w:vAlign w:val="center"/>
            <w:hideMark/>
          </w:tcPr>
          <w:p w14:paraId="7BF1CED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11.7</w:t>
            </w:r>
          </w:p>
        </w:tc>
        <w:tc>
          <w:tcPr>
            <w:tcW w:w="1062" w:type="dxa"/>
            <w:gridSpan w:val="2"/>
            <w:noWrap/>
            <w:vAlign w:val="bottom"/>
            <w:hideMark/>
          </w:tcPr>
          <w:p w14:paraId="0698C9C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33.4</w:t>
            </w:r>
          </w:p>
        </w:tc>
        <w:tc>
          <w:tcPr>
            <w:tcW w:w="750" w:type="dxa"/>
            <w:noWrap/>
            <w:vAlign w:val="bottom"/>
            <w:hideMark/>
          </w:tcPr>
          <w:p w14:paraId="2E8094B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17.9</w:t>
            </w:r>
          </w:p>
        </w:tc>
        <w:tc>
          <w:tcPr>
            <w:tcW w:w="1062" w:type="dxa"/>
            <w:noWrap/>
            <w:vAlign w:val="bottom"/>
            <w:hideMark/>
          </w:tcPr>
          <w:p w14:paraId="15D5A1F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17.2</w:t>
            </w:r>
          </w:p>
        </w:tc>
        <w:tc>
          <w:tcPr>
            <w:tcW w:w="750" w:type="dxa"/>
            <w:gridSpan w:val="2"/>
            <w:noWrap/>
            <w:vAlign w:val="bottom"/>
            <w:hideMark/>
          </w:tcPr>
          <w:p w14:paraId="3FB2919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100.0</w:t>
            </w:r>
          </w:p>
        </w:tc>
        <w:tc>
          <w:tcPr>
            <w:tcW w:w="1062" w:type="dxa"/>
            <w:noWrap/>
            <w:vAlign w:val="bottom"/>
            <w:hideMark/>
          </w:tcPr>
          <w:p w14:paraId="4088FF9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5.3</w:t>
            </w:r>
          </w:p>
        </w:tc>
        <w:tc>
          <w:tcPr>
            <w:tcW w:w="743" w:type="dxa"/>
            <w:gridSpan w:val="2"/>
            <w:noWrap/>
            <w:vAlign w:val="bottom"/>
            <w:hideMark/>
          </w:tcPr>
          <w:p w14:paraId="62C114B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68.5</w:t>
            </w:r>
          </w:p>
        </w:tc>
      </w:tr>
      <w:tr w:rsidR="000765CF" w:rsidRPr="00DF6C69" w14:paraId="3491301C" w14:textId="77777777" w:rsidTr="000765CF">
        <w:trPr>
          <w:gridBefore w:val="1"/>
          <w:wBefore w:w="289" w:type="dxa"/>
          <w:trHeight w:val="20"/>
        </w:trPr>
        <w:tc>
          <w:tcPr>
            <w:tcW w:w="907" w:type="dxa"/>
            <w:vMerge/>
            <w:shd w:val="clear" w:color="auto" w:fill="FBE4D5" w:themeFill="accent2" w:themeFillTint="33"/>
            <w:noWrap/>
            <w:vAlign w:val="center"/>
            <w:hideMark/>
          </w:tcPr>
          <w:p w14:paraId="2561AA40"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2ECD131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16</w:t>
            </w:r>
          </w:p>
        </w:tc>
        <w:tc>
          <w:tcPr>
            <w:tcW w:w="1062" w:type="dxa"/>
            <w:noWrap/>
            <w:vAlign w:val="center"/>
            <w:hideMark/>
          </w:tcPr>
          <w:p w14:paraId="0C62624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2528</w:t>
            </w:r>
          </w:p>
        </w:tc>
        <w:tc>
          <w:tcPr>
            <w:tcW w:w="750" w:type="dxa"/>
            <w:noWrap/>
            <w:vAlign w:val="center"/>
            <w:hideMark/>
          </w:tcPr>
          <w:p w14:paraId="3560059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16.2</w:t>
            </w:r>
          </w:p>
        </w:tc>
        <w:tc>
          <w:tcPr>
            <w:tcW w:w="1062" w:type="dxa"/>
            <w:gridSpan w:val="2"/>
            <w:noWrap/>
            <w:vAlign w:val="bottom"/>
            <w:hideMark/>
          </w:tcPr>
          <w:p w14:paraId="3FC46C7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33.5</w:t>
            </w:r>
          </w:p>
        </w:tc>
        <w:tc>
          <w:tcPr>
            <w:tcW w:w="750" w:type="dxa"/>
            <w:noWrap/>
            <w:vAlign w:val="bottom"/>
            <w:hideMark/>
          </w:tcPr>
          <w:p w14:paraId="6D820AE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2.3</w:t>
            </w:r>
          </w:p>
        </w:tc>
        <w:tc>
          <w:tcPr>
            <w:tcW w:w="1062" w:type="dxa"/>
            <w:noWrap/>
            <w:vAlign w:val="bottom"/>
            <w:hideMark/>
          </w:tcPr>
          <w:p w14:paraId="30E98C4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10.5</w:t>
            </w:r>
          </w:p>
        </w:tc>
        <w:tc>
          <w:tcPr>
            <w:tcW w:w="750" w:type="dxa"/>
            <w:gridSpan w:val="2"/>
            <w:noWrap/>
            <w:vAlign w:val="bottom"/>
            <w:hideMark/>
          </w:tcPr>
          <w:p w14:paraId="0AB6339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72.8</w:t>
            </w:r>
          </w:p>
        </w:tc>
        <w:tc>
          <w:tcPr>
            <w:tcW w:w="1062" w:type="dxa"/>
            <w:noWrap/>
            <w:vAlign w:val="bottom"/>
            <w:hideMark/>
          </w:tcPr>
          <w:p w14:paraId="0AE6E90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10.2</w:t>
            </w:r>
          </w:p>
        </w:tc>
        <w:tc>
          <w:tcPr>
            <w:tcW w:w="743" w:type="dxa"/>
            <w:gridSpan w:val="2"/>
            <w:noWrap/>
            <w:vAlign w:val="bottom"/>
            <w:hideMark/>
          </w:tcPr>
          <w:p w14:paraId="57856C1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78.5</w:t>
            </w:r>
          </w:p>
        </w:tc>
      </w:tr>
      <w:tr w:rsidR="000765CF" w:rsidRPr="00DF6C69" w14:paraId="58503093" w14:textId="77777777" w:rsidTr="000765CF">
        <w:trPr>
          <w:gridBefore w:val="1"/>
          <w:wBefore w:w="289" w:type="dxa"/>
          <w:trHeight w:val="20"/>
        </w:trPr>
        <w:tc>
          <w:tcPr>
            <w:tcW w:w="907" w:type="dxa"/>
            <w:vMerge/>
            <w:shd w:val="clear" w:color="auto" w:fill="FBE4D5" w:themeFill="accent2" w:themeFillTint="33"/>
            <w:noWrap/>
            <w:vAlign w:val="center"/>
            <w:hideMark/>
          </w:tcPr>
          <w:p w14:paraId="40EF7604"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3D8F5B1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17</w:t>
            </w:r>
          </w:p>
        </w:tc>
        <w:tc>
          <w:tcPr>
            <w:tcW w:w="1062" w:type="dxa"/>
            <w:noWrap/>
            <w:vAlign w:val="center"/>
            <w:hideMark/>
          </w:tcPr>
          <w:p w14:paraId="3FA70AF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1851</w:t>
            </w:r>
          </w:p>
        </w:tc>
        <w:tc>
          <w:tcPr>
            <w:tcW w:w="750" w:type="dxa"/>
            <w:noWrap/>
            <w:vAlign w:val="center"/>
            <w:hideMark/>
          </w:tcPr>
          <w:p w14:paraId="065CEF7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18.9</w:t>
            </w:r>
          </w:p>
        </w:tc>
        <w:tc>
          <w:tcPr>
            <w:tcW w:w="1062" w:type="dxa"/>
            <w:gridSpan w:val="2"/>
            <w:noWrap/>
            <w:vAlign w:val="bottom"/>
            <w:hideMark/>
          </w:tcPr>
          <w:p w14:paraId="365A74A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60.3</w:t>
            </w:r>
          </w:p>
        </w:tc>
        <w:tc>
          <w:tcPr>
            <w:tcW w:w="750" w:type="dxa"/>
            <w:noWrap/>
            <w:vAlign w:val="bottom"/>
            <w:hideMark/>
          </w:tcPr>
          <w:p w14:paraId="47390F4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87.1</w:t>
            </w:r>
          </w:p>
        </w:tc>
        <w:tc>
          <w:tcPr>
            <w:tcW w:w="1062" w:type="dxa"/>
            <w:noWrap/>
            <w:vAlign w:val="bottom"/>
            <w:hideMark/>
          </w:tcPr>
          <w:p w14:paraId="730B882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8.7</w:t>
            </w:r>
          </w:p>
        </w:tc>
        <w:tc>
          <w:tcPr>
            <w:tcW w:w="750" w:type="dxa"/>
            <w:gridSpan w:val="2"/>
            <w:noWrap/>
            <w:vAlign w:val="bottom"/>
            <w:hideMark/>
          </w:tcPr>
          <w:p w14:paraId="1C743CC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69.5</w:t>
            </w:r>
          </w:p>
        </w:tc>
        <w:tc>
          <w:tcPr>
            <w:tcW w:w="1062" w:type="dxa"/>
            <w:noWrap/>
            <w:vAlign w:val="bottom"/>
            <w:hideMark/>
          </w:tcPr>
          <w:p w14:paraId="324D7A7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27.2</w:t>
            </w:r>
          </w:p>
        </w:tc>
        <w:tc>
          <w:tcPr>
            <w:tcW w:w="743" w:type="dxa"/>
            <w:gridSpan w:val="2"/>
            <w:noWrap/>
            <w:vAlign w:val="bottom"/>
            <w:hideMark/>
          </w:tcPr>
          <w:p w14:paraId="6160C41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63.0</w:t>
            </w:r>
          </w:p>
        </w:tc>
      </w:tr>
      <w:tr w:rsidR="000765CF" w:rsidRPr="00DF6C69" w14:paraId="14878D39" w14:textId="77777777" w:rsidTr="000765CF">
        <w:trPr>
          <w:gridBefore w:val="1"/>
          <w:wBefore w:w="289" w:type="dxa"/>
          <w:trHeight w:val="20"/>
        </w:trPr>
        <w:tc>
          <w:tcPr>
            <w:tcW w:w="907" w:type="dxa"/>
            <w:vMerge/>
            <w:shd w:val="clear" w:color="auto" w:fill="FBE4D5" w:themeFill="accent2" w:themeFillTint="33"/>
            <w:noWrap/>
            <w:vAlign w:val="center"/>
            <w:hideMark/>
          </w:tcPr>
          <w:p w14:paraId="17645F68"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00ACD0C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18</w:t>
            </w:r>
          </w:p>
        </w:tc>
        <w:tc>
          <w:tcPr>
            <w:tcW w:w="1062" w:type="dxa"/>
            <w:noWrap/>
            <w:vAlign w:val="center"/>
            <w:hideMark/>
          </w:tcPr>
          <w:p w14:paraId="00D149E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2479</w:t>
            </w:r>
          </w:p>
        </w:tc>
        <w:tc>
          <w:tcPr>
            <w:tcW w:w="750" w:type="dxa"/>
            <w:noWrap/>
            <w:vAlign w:val="center"/>
            <w:hideMark/>
          </w:tcPr>
          <w:p w14:paraId="780C782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15.2</w:t>
            </w:r>
          </w:p>
        </w:tc>
        <w:tc>
          <w:tcPr>
            <w:tcW w:w="1062" w:type="dxa"/>
            <w:gridSpan w:val="2"/>
            <w:noWrap/>
            <w:vAlign w:val="bottom"/>
            <w:hideMark/>
          </w:tcPr>
          <w:p w14:paraId="1169A08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46.3</w:t>
            </w:r>
          </w:p>
        </w:tc>
        <w:tc>
          <w:tcPr>
            <w:tcW w:w="750" w:type="dxa"/>
            <w:noWrap/>
            <w:vAlign w:val="bottom"/>
            <w:hideMark/>
          </w:tcPr>
          <w:p w14:paraId="1C413DF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13.5</w:t>
            </w:r>
          </w:p>
        </w:tc>
        <w:tc>
          <w:tcPr>
            <w:tcW w:w="1062" w:type="dxa"/>
            <w:noWrap/>
            <w:vAlign w:val="bottom"/>
            <w:hideMark/>
          </w:tcPr>
          <w:p w14:paraId="0DF38A3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23.5</w:t>
            </w:r>
          </w:p>
        </w:tc>
        <w:tc>
          <w:tcPr>
            <w:tcW w:w="750" w:type="dxa"/>
            <w:gridSpan w:val="2"/>
            <w:noWrap/>
            <w:vAlign w:val="bottom"/>
            <w:hideMark/>
          </w:tcPr>
          <w:p w14:paraId="530A5D7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58.2</w:t>
            </w:r>
          </w:p>
        </w:tc>
        <w:tc>
          <w:tcPr>
            <w:tcW w:w="1062" w:type="dxa"/>
            <w:noWrap/>
            <w:vAlign w:val="bottom"/>
            <w:hideMark/>
          </w:tcPr>
          <w:p w14:paraId="4FB1416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&lt; 1.4</w:t>
            </w:r>
          </w:p>
        </w:tc>
        <w:tc>
          <w:tcPr>
            <w:tcW w:w="743" w:type="dxa"/>
            <w:gridSpan w:val="2"/>
            <w:noWrap/>
            <w:vAlign w:val="bottom"/>
            <w:hideMark/>
          </w:tcPr>
          <w:p w14:paraId="5E26E0B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100.0</w:t>
            </w:r>
          </w:p>
        </w:tc>
      </w:tr>
      <w:tr w:rsidR="000765CF" w:rsidRPr="00DF6C69" w14:paraId="629C5346" w14:textId="77777777" w:rsidTr="000765CF">
        <w:trPr>
          <w:gridBefore w:val="1"/>
          <w:wBefore w:w="289" w:type="dxa"/>
          <w:trHeight w:val="20"/>
        </w:trPr>
        <w:tc>
          <w:tcPr>
            <w:tcW w:w="907" w:type="dxa"/>
            <w:vMerge/>
            <w:shd w:val="clear" w:color="auto" w:fill="FBE4D5" w:themeFill="accent2" w:themeFillTint="33"/>
            <w:noWrap/>
            <w:vAlign w:val="center"/>
            <w:hideMark/>
          </w:tcPr>
          <w:p w14:paraId="2F4174C9"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7D2A1BE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19</w:t>
            </w:r>
          </w:p>
        </w:tc>
        <w:tc>
          <w:tcPr>
            <w:tcW w:w="1062" w:type="dxa"/>
            <w:noWrap/>
            <w:vAlign w:val="center"/>
            <w:hideMark/>
          </w:tcPr>
          <w:p w14:paraId="537C974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1940</w:t>
            </w:r>
          </w:p>
        </w:tc>
        <w:tc>
          <w:tcPr>
            <w:tcW w:w="750" w:type="dxa"/>
            <w:noWrap/>
            <w:vAlign w:val="center"/>
            <w:hideMark/>
          </w:tcPr>
          <w:p w14:paraId="6DC4411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15.3</w:t>
            </w:r>
          </w:p>
        </w:tc>
        <w:tc>
          <w:tcPr>
            <w:tcW w:w="1062" w:type="dxa"/>
            <w:gridSpan w:val="2"/>
            <w:noWrap/>
            <w:vAlign w:val="bottom"/>
            <w:hideMark/>
          </w:tcPr>
          <w:p w14:paraId="1D02792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84.5</w:t>
            </w:r>
          </w:p>
        </w:tc>
        <w:tc>
          <w:tcPr>
            <w:tcW w:w="750" w:type="dxa"/>
            <w:noWrap/>
            <w:vAlign w:val="bottom"/>
            <w:hideMark/>
          </w:tcPr>
          <w:p w14:paraId="02EDDC6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47.3</w:t>
            </w:r>
          </w:p>
        </w:tc>
        <w:tc>
          <w:tcPr>
            <w:tcW w:w="1062" w:type="dxa"/>
            <w:noWrap/>
            <w:vAlign w:val="bottom"/>
            <w:hideMark/>
          </w:tcPr>
          <w:p w14:paraId="7A2D271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36.9</w:t>
            </w:r>
          </w:p>
        </w:tc>
        <w:tc>
          <w:tcPr>
            <w:tcW w:w="750" w:type="dxa"/>
            <w:gridSpan w:val="2"/>
            <w:noWrap/>
            <w:vAlign w:val="bottom"/>
            <w:hideMark/>
          </w:tcPr>
          <w:p w14:paraId="3141AF1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58.0</w:t>
            </w:r>
          </w:p>
        </w:tc>
        <w:tc>
          <w:tcPr>
            <w:tcW w:w="1062" w:type="dxa"/>
            <w:noWrap/>
            <w:vAlign w:val="bottom"/>
            <w:hideMark/>
          </w:tcPr>
          <w:p w14:paraId="3FE7015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4.0</w:t>
            </w:r>
          </w:p>
        </w:tc>
        <w:tc>
          <w:tcPr>
            <w:tcW w:w="743" w:type="dxa"/>
            <w:gridSpan w:val="2"/>
            <w:noWrap/>
            <w:vAlign w:val="bottom"/>
            <w:hideMark/>
          </w:tcPr>
          <w:p w14:paraId="1C2C17D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72.4</w:t>
            </w:r>
          </w:p>
        </w:tc>
      </w:tr>
      <w:tr w:rsidR="000765CF" w:rsidRPr="00DF6C69" w14:paraId="59686A0B" w14:textId="77777777" w:rsidTr="000765CF">
        <w:trPr>
          <w:gridBefore w:val="1"/>
          <w:wBefore w:w="289" w:type="dxa"/>
          <w:trHeight w:val="20"/>
        </w:trPr>
        <w:tc>
          <w:tcPr>
            <w:tcW w:w="907" w:type="dxa"/>
            <w:vMerge/>
            <w:shd w:val="clear" w:color="auto" w:fill="FBE4D5" w:themeFill="accent2" w:themeFillTint="33"/>
            <w:noWrap/>
            <w:vAlign w:val="center"/>
            <w:hideMark/>
          </w:tcPr>
          <w:p w14:paraId="2233840A"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2D5D44C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20</w:t>
            </w:r>
          </w:p>
        </w:tc>
        <w:tc>
          <w:tcPr>
            <w:tcW w:w="1062" w:type="dxa"/>
            <w:noWrap/>
            <w:vAlign w:val="center"/>
            <w:hideMark/>
          </w:tcPr>
          <w:p w14:paraId="6E247BA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1789</w:t>
            </w:r>
          </w:p>
        </w:tc>
        <w:tc>
          <w:tcPr>
            <w:tcW w:w="750" w:type="dxa"/>
            <w:noWrap/>
            <w:vAlign w:val="center"/>
            <w:hideMark/>
          </w:tcPr>
          <w:p w14:paraId="08A7BA9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20.6</w:t>
            </w:r>
          </w:p>
        </w:tc>
        <w:tc>
          <w:tcPr>
            <w:tcW w:w="1062" w:type="dxa"/>
            <w:gridSpan w:val="2"/>
            <w:noWrap/>
            <w:vAlign w:val="bottom"/>
            <w:hideMark/>
          </w:tcPr>
          <w:p w14:paraId="25ACEF8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73.8</w:t>
            </w:r>
          </w:p>
        </w:tc>
        <w:tc>
          <w:tcPr>
            <w:tcW w:w="750" w:type="dxa"/>
            <w:noWrap/>
            <w:vAlign w:val="bottom"/>
            <w:hideMark/>
          </w:tcPr>
          <w:p w14:paraId="766D868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82.8</w:t>
            </w:r>
          </w:p>
        </w:tc>
        <w:tc>
          <w:tcPr>
            <w:tcW w:w="1062" w:type="dxa"/>
            <w:noWrap/>
            <w:vAlign w:val="bottom"/>
            <w:hideMark/>
          </w:tcPr>
          <w:p w14:paraId="62CFA2C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7.3</w:t>
            </w:r>
          </w:p>
        </w:tc>
        <w:tc>
          <w:tcPr>
            <w:tcW w:w="750" w:type="dxa"/>
            <w:gridSpan w:val="2"/>
            <w:noWrap/>
            <w:vAlign w:val="bottom"/>
            <w:hideMark/>
          </w:tcPr>
          <w:p w14:paraId="52A4276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35.5</w:t>
            </w:r>
          </w:p>
        </w:tc>
        <w:tc>
          <w:tcPr>
            <w:tcW w:w="1062" w:type="dxa"/>
            <w:noWrap/>
            <w:vAlign w:val="bottom"/>
            <w:hideMark/>
          </w:tcPr>
          <w:p w14:paraId="7E893B7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8.0</w:t>
            </w:r>
          </w:p>
        </w:tc>
        <w:tc>
          <w:tcPr>
            <w:tcW w:w="743" w:type="dxa"/>
            <w:gridSpan w:val="2"/>
            <w:noWrap/>
            <w:vAlign w:val="bottom"/>
            <w:hideMark/>
          </w:tcPr>
          <w:p w14:paraId="71BC21C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6.9</w:t>
            </w:r>
          </w:p>
        </w:tc>
      </w:tr>
      <w:tr w:rsidR="000765CF" w:rsidRPr="00DF6C69" w14:paraId="55142AF2" w14:textId="77777777" w:rsidTr="000765CF">
        <w:trPr>
          <w:gridBefore w:val="1"/>
          <w:wBefore w:w="289" w:type="dxa"/>
          <w:trHeight w:val="20"/>
        </w:trPr>
        <w:tc>
          <w:tcPr>
            <w:tcW w:w="907" w:type="dxa"/>
            <w:vMerge/>
            <w:shd w:val="clear" w:color="auto" w:fill="FBE4D5" w:themeFill="accent2" w:themeFillTint="33"/>
            <w:noWrap/>
            <w:vAlign w:val="center"/>
            <w:hideMark/>
          </w:tcPr>
          <w:p w14:paraId="15B8FBFE"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74A80A8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21</w:t>
            </w:r>
          </w:p>
        </w:tc>
        <w:tc>
          <w:tcPr>
            <w:tcW w:w="1062" w:type="dxa"/>
            <w:noWrap/>
            <w:vAlign w:val="center"/>
            <w:hideMark/>
          </w:tcPr>
          <w:p w14:paraId="6DA7B86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2292</w:t>
            </w:r>
          </w:p>
        </w:tc>
        <w:tc>
          <w:tcPr>
            <w:tcW w:w="750" w:type="dxa"/>
            <w:noWrap/>
            <w:vAlign w:val="center"/>
            <w:hideMark/>
          </w:tcPr>
          <w:p w14:paraId="565B050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13.1</w:t>
            </w:r>
          </w:p>
        </w:tc>
        <w:tc>
          <w:tcPr>
            <w:tcW w:w="1062" w:type="dxa"/>
            <w:gridSpan w:val="2"/>
            <w:noWrap/>
            <w:vAlign w:val="bottom"/>
            <w:hideMark/>
          </w:tcPr>
          <w:p w14:paraId="7CDD299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59.4</w:t>
            </w:r>
          </w:p>
        </w:tc>
        <w:tc>
          <w:tcPr>
            <w:tcW w:w="750" w:type="dxa"/>
            <w:noWrap/>
            <w:vAlign w:val="bottom"/>
            <w:hideMark/>
          </w:tcPr>
          <w:p w14:paraId="4B90B72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77.9</w:t>
            </w:r>
          </w:p>
        </w:tc>
        <w:tc>
          <w:tcPr>
            <w:tcW w:w="1062" w:type="dxa"/>
            <w:noWrap/>
            <w:vAlign w:val="bottom"/>
            <w:hideMark/>
          </w:tcPr>
          <w:p w14:paraId="09D0445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9.7</w:t>
            </w:r>
          </w:p>
        </w:tc>
        <w:tc>
          <w:tcPr>
            <w:tcW w:w="750" w:type="dxa"/>
            <w:gridSpan w:val="2"/>
            <w:noWrap/>
            <w:vAlign w:val="bottom"/>
            <w:hideMark/>
          </w:tcPr>
          <w:p w14:paraId="15DA954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50.2</w:t>
            </w:r>
          </w:p>
        </w:tc>
        <w:tc>
          <w:tcPr>
            <w:tcW w:w="1062" w:type="dxa"/>
            <w:noWrap/>
            <w:vAlign w:val="bottom"/>
            <w:hideMark/>
          </w:tcPr>
          <w:p w14:paraId="7D9D65D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12.8</w:t>
            </w:r>
          </w:p>
        </w:tc>
        <w:tc>
          <w:tcPr>
            <w:tcW w:w="743" w:type="dxa"/>
            <w:gridSpan w:val="2"/>
            <w:noWrap/>
            <w:vAlign w:val="bottom"/>
            <w:hideMark/>
          </w:tcPr>
          <w:p w14:paraId="1A58A08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41.6</w:t>
            </w:r>
          </w:p>
        </w:tc>
      </w:tr>
      <w:tr w:rsidR="000765CF" w:rsidRPr="00DF6C69" w14:paraId="1A4623A1" w14:textId="77777777" w:rsidTr="000765CF">
        <w:trPr>
          <w:gridBefore w:val="1"/>
          <w:wBefore w:w="289" w:type="dxa"/>
          <w:trHeight w:val="20"/>
        </w:trPr>
        <w:tc>
          <w:tcPr>
            <w:tcW w:w="907" w:type="dxa"/>
            <w:vMerge/>
            <w:shd w:val="clear" w:color="auto" w:fill="FBE4D5" w:themeFill="accent2" w:themeFillTint="33"/>
            <w:noWrap/>
            <w:vAlign w:val="center"/>
            <w:hideMark/>
          </w:tcPr>
          <w:p w14:paraId="01C06B12"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4DD84D4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22</w:t>
            </w:r>
          </w:p>
        </w:tc>
        <w:tc>
          <w:tcPr>
            <w:tcW w:w="1062" w:type="dxa"/>
            <w:noWrap/>
            <w:vAlign w:val="center"/>
            <w:hideMark/>
          </w:tcPr>
          <w:p w14:paraId="7E18ADE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1503</w:t>
            </w:r>
          </w:p>
        </w:tc>
        <w:tc>
          <w:tcPr>
            <w:tcW w:w="750" w:type="dxa"/>
            <w:noWrap/>
            <w:vAlign w:val="center"/>
            <w:hideMark/>
          </w:tcPr>
          <w:p w14:paraId="13D447F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w:t>
            </w:r>
          </w:p>
        </w:tc>
        <w:tc>
          <w:tcPr>
            <w:tcW w:w="1062" w:type="dxa"/>
            <w:gridSpan w:val="2"/>
            <w:noWrap/>
            <w:vAlign w:val="bottom"/>
            <w:hideMark/>
          </w:tcPr>
          <w:p w14:paraId="51DAA36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75.0</w:t>
            </w:r>
          </w:p>
        </w:tc>
        <w:tc>
          <w:tcPr>
            <w:tcW w:w="750" w:type="dxa"/>
            <w:noWrap/>
            <w:vAlign w:val="bottom"/>
            <w:hideMark/>
          </w:tcPr>
          <w:p w14:paraId="4BBC89B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13.8</w:t>
            </w:r>
          </w:p>
        </w:tc>
        <w:tc>
          <w:tcPr>
            <w:tcW w:w="1062" w:type="dxa"/>
            <w:noWrap/>
            <w:vAlign w:val="bottom"/>
            <w:hideMark/>
          </w:tcPr>
          <w:p w14:paraId="1AFC8B7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10.2</w:t>
            </w:r>
          </w:p>
        </w:tc>
        <w:tc>
          <w:tcPr>
            <w:tcW w:w="750" w:type="dxa"/>
            <w:gridSpan w:val="2"/>
            <w:noWrap/>
            <w:vAlign w:val="bottom"/>
            <w:hideMark/>
          </w:tcPr>
          <w:p w14:paraId="657E7D5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33.7</w:t>
            </w:r>
          </w:p>
        </w:tc>
        <w:tc>
          <w:tcPr>
            <w:tcW w:w="1062" w:type="dxa"/>
            <w:noWrap/>
            <w:vAlign w:val="bottom"/>
            <w:hideMark/>
          </w:tcPr>
          <w:p w14:paraId="409A4B4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11.3</w:t>
            </w:r>
          </w:p>
        </w:tc>
        <w:tc>
          <w:tcPr>
            <w:tcW w:w="743" w:type="dxa"/>
            <w:gridSpan w:val="2"/>
            <w:noWrap/>
            <w:vAlign w:val="bottom"/>
            <w:hideMark/>
          </w:tcPr>
          <w:p w14:paraId="7A473EE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100.0</w:t>
            </w:r>
          </w:p>
        </w:tc>
      </w:tr>
      <w:tr w:rsidR="000765CF" w:rsidRPr="00DF6C69" w14:paraId="7F27BAAB" w14:textId="77777777" w:rsidTr="000765CF">
        <w:trPr>
          <w:gridBefore w:val="1"/>
          <w:wBefore w:w="289" w:type="dxa"/>
          <w:trHeight w:val="20"/>
        </w:trPr>
        <w:tc>
          <w:tcPr>
            <w:tcW w:w="907" w:type="dxa"/>
            <w:vMerge/>
            <w:shd w:val="clear" w:color="auto" w:fill="FBE4D5" w:themeFill="accent2" w:themeFillTint="33"/>
            <w:noWrap/>
            <w:vAlign w:val="center"/>
            <w:hideMark/>
          </w:tcPr>
          <w:p w14:paraId="0FD19203"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75DB2B3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23</w:t>
            </w:r>
          </w:p>
        </w:tc>
        <w:tc>
          <w:tcPr>
            <w:tcW w:w="1062" w:type="dxa"/>
            <w:noWrap/>
            <w:vAlign w:val="center"/>
            <w:hideMark/>
          </w:tcPr>
          <w:p w14:paraId="7416E58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1947</w:t>
            </w:r>
          </w:p>
        </w:tc>
        <w:tc>
          <w:tcPr>
            <w:tcW w:w="750" w:type="dxa"/>
            <w:noWrap/>
            <w:vAlign w:val="center"/>
            <w:hideMark/>
          </w:tcPr>
          <w:p w14:paraId="2D705D9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6.3</w:t>
            </w:r>
          </w:p>
        </w:tc>
        <w:tc>
          <w:tcPr>
            <w:tcW w:w="1062" w:type="dxa"/>
            <w:gridSpan w:val="2"/>
            <w:noWrap/>
            <w:vAlign w:val="bottom"/>
            <w:hideMark/>
          </w:tcPr>
          <w:p w14:paraId="4AC217F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68.2</w:t>
            </w:r>
          </w:p>
        </w:tc>
        <w:tc>
          <w:tcPr>
            <w:tcW w:w="750" w:type="dxa"/>
            <w:noWrap/>
            <w:vAlign w:val="bottom"/>
            <w:hideMark/>
          </w:tcPr>
          <w:p w14:paraId="131EDAA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48.3</w:t>
            </w:r>
          </w:p>
        </w:tc>
        <w:tc>
          <w:tcPr>
            <w:tcW w:w="1062" w:type="dxa"/>
            <w:noWrap/>
            <w:vAlign w:val="bottom"/>
            <w:hideMark/>
          </w:tcPr>
          <w:p w14:paraId="21B692F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7.5</w:t>
            </w:r>
          </w:p>
        </w:tc>
        <w:tc>
          <w:tcPr>
            <w:tcW w:w="750" w:type="dxa"/>
            <w:gridSpan w:val="2"/>
            <w:noWrap/>
            <w:vAlign w:val="bottom"/>
            <w:hideMark/>
          </w:tcPr>
          <w:p w14:paraId="7431730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39.2</w:t>
            </w:r>
          </w:p>
        </w:tc>
        <w:tc>
          <w:tcPr>
            <w:tcW w:w="1062" w:type="dxa"/>
            <w:noWrap/>
            <w:vAlign w:val="bottom"/>
            <w:hideMark/>
          </w:tcPr>
          <w:p w14:paraId="28160D0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9.6</w:t>
            </w:r>
          </w:p>
        </w:tc>
        <w:tc>
          <w:tcPr>
            <w:tcW w:w="743" w:type="dxa"/>
            <w:gridSpan w:val="2"/>
            <w:noWrap/>
            <w:vAlign w:val="bottom"/>
            <w:hideMark/>
          </w:tcPr>
          <w:p w14:paraId="70FEEF1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25.3</w:t>
            </w:r>
          </w:p>
        </w:tc>
      </w:tr>
      <w:tr w:rsidR="000765CF" w:rsidRPr="00DF6C69" w14:paraId="1C6F4779" w14:textId="77777777" w:rsidTr="000765CF">
        <w:trPr>
          <w:gridBefore w:val="1"/>
          <w:wBefore w:w="289" w:type="dxa"/>
          <w:trHeight w:val="20"/>
        </w:trPr>
        <w:tc>
          <w:tcPr>
            <w:tcW w:w="907" w:type="dxa"/>
            <w:vMerge/>
            <w:shd w:val="clear" w:color="auto" w:fill="FBE4D5" w:themeFill="accent2" w:themeFillTint="33"/>
            <w:noWrap/>
            <w:vAlign w:val="center"/>
            <w:hideMark/>
          </w:tcPr>
          <w:p w14:paraId="323126A3"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hideMark/>
          </w:tcPr>
          <w:p w14:paraId="22A4001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24</w:t>
            </w:r>
          </w:p>
        </w:tc>
        <w:tc>
          <w:tcPr>
            <w:tcW w:w="1062" w:type="dxa"/>
            <w:noWrap/>
            <w:vAlign w:val="center"/>
            <w:hideMark/>
          </w:tcPr>
          <w:p w14:paraId="08A3AFF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2162</w:t>
            </w:r>
          </w:p>
        </w:tc>
        <w:tc>
          <w:tcPr>
            <w:tcW w:w="750" w:type="dxa"/>
            <w:noWrap/>
            <w:vAlign w:val="center"/>
            <w:hideMark/>
          </w:tcPr>
          <w:p w14:paraId="0AA2997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6.7</w:t>
            </w:r>
          </w:p>
        </w:tc>
        <w:tc>
          <w:tcPr>
            <w:tcW w:w="1062" w:type="dxa"/>
            <w:gridSpan w:val="2"/>
            <w:noWrap/>
            <w:vAlign w:val="bottom"/>
            <w:hideMark/>
          </w:tcPr>
          <w:p w14:paraId="1AE6DC1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56.0</w:t>
            </w:r>
          </w:p>
        </w:tc>
        <w:tc>
          <w:tcPr>
            <w:tcW w:w="750" w:type="dxa"/>
            <w:noWrap/>
            <w:vAlign w:val="bottom"/>
            <w:hideMark/>
          </w:tcPr>
          <w:p w14:paraId="259691D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38.6</w:t>
            </w:r>
          </w:p>
        </w:tc>
        <w:tc>
          <w:tcPr>
            <w:tcW w:w="1062" w:type="dxa"/>
            <w:noWrap/>
            <w:vAlign w:val="bottom"/>
            <w:hideMark/>
          </w:tcPr>
          <w:p w14:paraId="1C648D2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6.1</w:t>
            </w:r>
          </w:p>
        </w:tc>
        <w:tc>
          <w:tcPr>
            <w:tcW w:w="750" w:type="dxa"/>
            <w:gridSpan w:val="2"/>
            <w:noWrap/>
            <w:vAlign w:val="bottom"/>
            <w:hideMark/>
          </w:tcPr>
          <w:p w14:paraId="58884B5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38.8</w:t>
            </w:r>
          </w:p>
        </w:tc>
        <w:tc>
          <w:tcPr>
            <w:tcW w:w="1062" w:type="dxa"/>
            <w:noWrap/>
            <w:vAlign w:val="bottom"/>
            <w:hideMark/>
          </w:tcPr>
          <w:p w14:paraId="7FC0171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&lt; 1.4</w:t>
            </w:r>
          </w:p>
        </w:tc>
        <w:tc>
          <w:tcPr>
            <w:tcW w:w="743" w:type="dxa"/>
            <w:gridSpan w:val="2"/>
            <w:noWrap/>
            <w:vAlign w:val="bottom"/>
            <w:hideMark/>
          </w:tcPr>
          <w:p w14:paraId="07427AD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100.0</w:t>
            </w:r>
          </w:p>
        </w:tc>
      </w:tr>
      <w:tr w:rsidR="000765CF" w:rsidRPr="00DF6C69" w14:paraId="22E42432" w14:textId="77777777" w:rsidTr="000765CF">
        <w:trPr>
          <w:gridBefore w:val="1"/>
          <w:wBefore w:w="289" w:type="dxa"/>
          <w:trHeight w:val="20"/>
        </w:trPr>
        <w:tc>
          <w:tcPr>
            <w:tcW w:w="907" w:type="dxa"/>
            <w:vMerge/>
            <w:shd w:val="clear" w:color="auto" w:fill="FBE4D5" w:themeFill="accent2" w:themeFillTint="33"/>
            <w:noWrap/>
            <w:vAlign w:val="center"/>
          </w:tcPr>
          <w:p w14:paraId="7415BDBA"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tcPr>
          <w:p w14:paraId="011C816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25</w:t>
            </w:r>
          </w:p>
        </w:tc>
        <w:tc>
          <w:tcPr>
            <w:tcW w:w="1062" w:type="dxa"/>
            <w:noWrap/>
            <w:vAlign w:val="center"/>
          </w:tcPr>
          <w:p w14:paraId="3D9E325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5410</w:t>
            </w:r>
          </w:p>
        </w:tc>
        <w:tc>
          <w:tcPr>
            <w:tcW w:w="750" w:type="dxa"/>
            <w:noWrap/>
            <w:vAlign w:val="center"/>
          </w:tcPr>
          <w:p w14:paraId="78FE74E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14.4</w:t>
            </w:r>
          </w:p>
        </w:tc>
        <w:tc>
          <w:tcPr>
            <w:tcW w:w="1062" w:type="dxa"/>
            <w:gridSpan w:val="2"/>
            <w:noWrap/>
            <w:vAlign w:val="bottom"/>
          </w:tcPr>
          <w:p w14:paraId="54D858F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62.5</w:t>
            </w:r>
          </w:p>
        </w:tc>
        <w:tc>
          <w:tcPr>
            <w:tcW w:w="750" w:type="dxa"/>
            <w:noWrap/>
            <w:vAlign w:val="bottom"/>
          </w:tcPr>
          <w:p w14:paraId="0AD94C9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54.2</w:t>
            </w:r>
          </w:p>
        </w:tc>
        <w:tc>
          <w:tcPr>
            <w:tcW w:w="1062" w:type="dxa"/>
            <w:noWrap/>
            <w:vAlign w:val="bottom"/>
          </w:tcPr>
          <w:p w14:paraId="4D5C801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9.0</w:t>
            </w:r>
          </w:p>
        </w:tc>
        <w:tc>
          <w:tcPr>
            <w:tcW w:w="750" w:type="dxa"/>
            <w:gridSpan w:val="2"/>
            <w:noWrap/>
            <w:vAlign w:val="bottom"/>
          </w:tcPr>
          <w:p w14:paraId="70ABE65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18.5</w:t>
            </w:r>
          </w:p>
        </w:tc>
        <w:tc>
          <w:tcPr>
            <w:tcW w:w="1062" w:type="dxa"/>
            <w:noWrap/>
            <w:vAlign w:val="bottom"/>
          </w:tcPr>
          <w:p w14:paraId="0DB1C4C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13.6</w:t>
            </w:r>
          </w:p>
        </w:tc>
        <w:tc>
          <w:tcPr>
            <w:tcW w:w="743" w:type="dxa"/>
            <w:gridSpan w:val="2"/>
            <w:noWrap/>
            <w:vAlign w:val="bottom"/>
          </w:tcPr>
          <w:p w14:paraId="77D78A5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63.4</w:t>
            </w:r>
          </w:p>
        </w:tc>
      </w:tr>
      <w:tr w:rsidR="000765CF" w:rsidRPr="00DF6C69" w14:paraId="7B49062C" w14:textId="77777777" w:rsidTr="000765CF">
        <w:trPr>
          <w:gridBefore w:val="1"/>
          <w:wBefore w:w="289" w:type="dxa"/>
          <w:trHeight w:val="20"/>
        </w:trPr>
        <w:tc>
          <w:tcPr>
            <w:tcW w:w="907" w:type="dxa"/>
            <w:vMerge/>
            <w:shd w:val="clear" w:color="auto" w:fill="FBE4D5" w:themeFill="accent2" w:themeFillTint="33"/>
            <w:noWrap/>
            <w:vAlign w:val="center"/>
          </w:tcPr>
          <w:p w14:paraId="254D694F" w14:textId="77777777" w:rsidR="000765CF" w:rsidRPr="00DF6C69" w:rsidRDefault="000765CF" w:rsidP="000765CF">
            <w:pPr>
              <w:jc w:val="center"/>
              <w:rPr>
                <w:rFonts w:ascii="Times New Roman" w:hAnsi="Times New Roman" w:cs="Times New Roman"/>
                <w:sz w:val="16"/>
                <w:szCs w:val="16"/>
              </w:rPr>
            </w:pPr>
          </w:p>
        </w:tc>
        <w:tc>
          <w:tcPr>
            <w:tcW w:w="1203" w:type="dxa"/>
            <w:gridSpan w:val="2"/>
            <w:noWrap/>
            <w:vAlign w:val="center"/>
          </w:tcPr>
          <w:p w14:paraId="25CDB8B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26</w:t>
            </w:r>
          </w:p>
        </w:tc>
        <w:tc>
          <w:tcPr>
            <w:tcW w:w="1062" w:type="dxa"/>
            <w:noWrap/>
            <w:vAlign w:val="center"/>
          </w:tcPr>
          <w:p w14:paraId="6033329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4152</w:t>
            </w:r>
          </w:p>
        </w:tc>
        <w:tc>
          <w:tcPr>
            <w:tcW w:w="750" w:type="dxa"/>
            <w:noWrap/>
            <w:vAlign w:val="center"/>
          </w:tcPr>
          <w:p w14:paraId="2728D85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10.2</w:t>
            </w:r>
          </w:p>
        </w:tc>
        <w:tc>
          <w:tcPr>
            <w:tcW w:w="1062" w:type="dxa"/>
            <w:gridSpan w:val="2"/>
            <w:noWrap/>
            <w:vAlign w:val="bottom"/>
          </w:tcPr>
          <w:p w14:paraId="64FF993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61.7</w:t>
            </w:r>
          </w:p>
        </w:tc>
        <w:tc>
          <w:tcPr>
            <w:tcW w:w="750" w:type="dxa"/>
            <w:noWrap/>
            <w:vAlign w:val="bottom"/>
          </w:tcPr>
          <w:p w14:paraId="3CA6454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91.9</w:t>
            </w:r>
          </w:p>
        </w:tc>
        <w:tc>
          <w:tcPr>
            <w:tcW w:w="1062" w:type="dxa"/>
            <w:noWrap/>
            <w:vAlign w:val="bottom"/>
          </w:tcPr>
          <w:p w14:paraId="51BD5EC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14.3</w:t>
            </w:r>
          </w:p>
        </w:tc>
        <w:tc>
          <w:tcPr>
            <w:tcW w:w="750" w:type="dxa"/>
            <w:gridSpan w:val="2"/>
            <w:noWrap/>
            <w:vAlign w:val="bottom"/>
          </w:tcPr>
          <w:p w14:paraId="68EA074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59.0</w:t>
            </w:r>
          </w:p>
        </w:tc>
        <w:tc>
          <w:tcPr>
            <w:tcW w:w="1062" w:type="dxa"/>
            <w:noWrap/>
            <w:vAlign w:val="bottom"/>
          </w:tcPr>
          <w:p w14:paraId="7525385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22.2</w:t>
            </w:r>
          </w:p>
        </w:tc>
        <w:tc>
          <w:tcPr>
            <w:tcW w:w="743" w:type="dxa"/>
            <w:gridSpan w:val="2"/>
            <w:noWrap/>
            <w:vAlign w:val="bottom"/>
          </w:tcPr>
          <w:p w14:paraId="2FEEE80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24.1</w:t>
            </w:r>
          </w:p>
        </w:tc>
      </w:tr>
      <w:tr w:rsidR="000765CF" w:rsidRPr="00DF6C69" w14:paraId="09049715" w14:textId="77777777" w:rsidTr="000765CF">
        <w:trPr>
          <w:gridBefore w:val="1"/>
          <w:wBefore w:w="289" w:type="dxa"/>
          <w:trHeight w:val="20"/>
        </w:trPr>
        <w:tc>
          <w:tcPr>
            <w:tcW w:w="9351" w:type="dxa"/>
            <w:gridSpan w:val="14"/>
            <w:shd w:val="clear" w:color="auto" w:fill="D9E2F3" w:themeFill="accent1" w:themeFillTint="33"/>
            <w:noWrap/>
            <w:vAlign w:val="center"/>
            <w:hideMark/>
          </w:tcPr>
          <w:p w14:paraId="3B7EC2D1" w14:textId="77777777" w:rsidR="000765CF" w:rsidRPr="00DF6C69" w:rsidRDefault="000765CF" w:rsidP="000765CF">
            <w:pPr>
              <w:jc w:val="center"/>
              <w:rPr>
                <w:rFonts w:ascii="Times New Roman" w:hAnsi="Times New Roman" w:cs="Times New Roman"/>
                <w:b/>
                <w:sz w:val="16"/>
                <w:szCs w:val="16"/>
              </w:rPr>
            </w:pPr>
            <w:r w:rsidRPr="00DF6C69">
              <w:rPr>
                <w:rFonts w:ascii="Times New Roman" w:hAnsi="Times New Roman" w:cs="Times New Roman"/>
                <w:b/>
                <w:sz w:val="16"/>
                <w:szCs w:val="16"/>
              </w:rPr>
              <w:t xml:space="preserve">Overall results </w:t>
            </w:r>
          </w:p>
        </w:tc>
      </w:tr>
      <w:tr w:rsidR="000765CF" w:rsidRPr="00DF6C69" w14:paraId="66EA39FB" w14:textId="77777777" w:rsidTr="000765CF">
        <w:trPr>
          <w:gridBefore w:val="1"/>
          <w:wBefore w:w="289" w:type="dxa"/>
          <w:trHeight w:val="20"/>
        </w:trPr>
        <w:tc>
          <w:tcPr>
            <w:tcW w:w="2110" w:type="dxa"/>
            <w:gridSpan w:val="3"/>
            <w:shd w:val="clear" w:color="auto" w:fill="D9E2F3" w:themeFill="accent1" w:themeFillTint="33"/>
            <w:noWrap/>
            <w:vAlign w:val="center"/>
            <w:hideMark/>
          </w:tcPr>
          <w:p w14:paraId="1024BB3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Grand average (µM)</w:t>
            </w:r>
          </w:p>
        </w:tc>
        <w:tc>
          <w:tcPr>
            <w:tcW w:w="1812" w:type="dxa"/>
            <w:gridSpan w:val="2"/>
            <w:noWrap/>
            <w:vAlign w:val="center"/>
            <w:hideMark/>
          </w:tcPr>
          <w:p w14:paraId="6C2F553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2421</w:t>
            </w:r>
          </w:p>
        </w:tc>
        <w:tc>
          <w:tcPr>
            <w:tcW w:w="1812" w:type="dxa"/>
            <w:gridSpan w:val="3"/>
            <w:noWrap/>
            <w:vAlign w:val="center"/>
            <w:hideMark/>
          </w:tcPr>
          <w:p w14:paraId="6EE430A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53.7</w:t>
            </w:r>
          </w:p>
        </w:tc>
        <w:tc>
          <w:tcPr>
            <w:tcW w:w="1812" w:type="dxa"/>
            <w:gridSpan w:val="3"/>
            <w:noWrap/>
            <w:vAlign w:val="center"/>
            <w:hideMark/>
          </w:tcPr>
          <w:p w14:paraId="432C9B6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11.7</w:t>
            </w:r>
          </w:p>
        </w:tc>
        <w:tc>
          <w:tcPr>
            <w:tcW w:w="1805" w:type="dxa"/>
            <w:gridSpan w:val="3"/>
            <w:noWrap/>
            <w:vAlign w:val="center"/>
            <w:hideMark/>
          </w:tcPr>
          <w:p w14:paraId="215221D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10.6</w:t>
            </w:r>
          </w:p>
        </w:tc>
      </w:tr>
      <w:tr w:rsidR="000765CF" w:rsidRPr="00DF6C69" w14:paraId="00F3D1C9" w14:textId="77777777" w:rsidTr="000765CF">
        <w:trPr>
          <w:gridBefore w:val="1"/>
          <w:wBefore w:w="289" w:type="dxa"/>
          <w:trHeight w:val="20"/>
        </w:trPr>
        <w:tc>
          <w:tcPr>
            <w:tcW w:w="2110" w:type="dxa"/>
            <w:gridSpan w:val="3"/>
            <w:shd w:val="clear" w:color="auto" w:fill="D9E2F3" w:themeFill="accent1" w:themeFillTint="33"/>
            <w:noWrap/>
            <w:vAlign w:val="center"/>
            <w:hideMark/>
          </w:tcPr>
          <w:p w14:paraId="42BF477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Grand median (µM)</w:t>
            </w:r>
          </w:p>
        </w:tc>
        <w:tc>
          <w:tcPr>
            <w:tcW w:w="1812" w:type="dxa"/>
            <w:gridSpan w:val="2"/>
            <w:noWrap/>
            <w:vAlign w:val="center"/>
            <w:hideMark/>
          </w:tcPr>
          <w:p w14:paraId="3F24C48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2072</w:t>
            </w:r>
          </w:p>
        </w:tc>
        <w:tc>
          <w:tcPr>
            <w:tcW w:w="1812" w:type="dxa"/>
            <w:gridSpan w:val="3"/>
            <w:noWrap/>
            <w:vAlign w:val="center"/>
            <w:hideMark/>
          </w:tcPr>
          <w:p w14:paraId="0093EF9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47.9</w:t>
            </w:r>
          </w:p>
        </w:tc>
        <w:tc>
          <w:tcPr>
            <w:tcW w:w="1812" w:type="dxa"/>
            <w:gridSpan w:val="3"/>
            <w:noWrap/>
            <w:vAlign w:val="center"/>
            <w:hideMark/>
          </w:tcPr>
          <w:p w14:paraId="465A71E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c>
          <w:tcPr>
            <w:tcW w:w="1805" w:type="dxa"/>
            <w:gridSpan w:val="3"/>
            <w:noWrap/>
            <w:vAlign w:val="center"/>
            <w:hideMark/>
          </w:tcPr>
          <w:p w14:paraId="16D192A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9.9</w:t>
            </w:r>
          </w:p>
        </w:tc>
      </w:tr>
      <w:tr w:rsidR="000765CF" w:rsidRPr="00DF6C69" w14:paraId="713AF30E" w14:textId="77777777" w:rsidTr="000765CF">
        <w:trPr>
          <w:gridBefore w:val="1"/>
          <w:wBefore w:w="289" w:type="dxa"/>
          <w:trHeight w:val="20"/>
        </w:trPr>
        <w:tc>
          <w:tcPr>
            <w:tcW w:w="2110" w:type="dxa"/>
            <w:gridSpan w:val="3"/>
            <w:shd w:val="clear" w:color="auto" w:fill="D9E2F3" w:themeFill="accent1" w:themeFillTint="33"/>
            <w:noWrap/>
            <w:vAlign w:val="center"/>
            <w:hideMark/>
          </w:tcPr>
          <w:p w14:paraId="24C3B99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Grand std. dev. (µM)</w:t>
            </w:r>
          </w:p>
        </w:tc>
        <w:tc>
          <w:tcPr>
            <w:tcW w:w="1812" w:type="dxa"/>
            <w:gridSpan w:val="2"/>
            <w:noWrap/>
            <w:vAlign w:val="center"/>
            <w:hideMark/>
          </w:tcPr>
          <w:p w14:paraId="03B3270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952</w:t>
            </w:r>
          </w:p>
        </w:tc>
        <w:tc>
          <w:tcPr>
            <w:tcW w:w="1812" w:type="dxa"/>
            <w:gridSpan w:val="3"/>
            <w:noWrap/>
            <w:vAlign w:val="center"/>
            <w:hideMark/>
          </w:tcPr>
          <w:p w14:paraId="0AED08B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26.4</w:t>
            </w:r>
          </w:p>
        </w:tc>
        <w:tc>
          <w:tcPr>
            <w:tcW w:w="1812" w:type="dxa"/>
            <w:gridSpan w:val="3"/>
            <w:noWrap/>
            <w:vAlign w:val="center"/>
            <w:hideMark/>
          </w:tcPr>
          <w:p w14:paraId="4274AD3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7.0</w:t>
            </w:r>
          </w:p>
        </w:tc>
        <w:tc>
          <w:tcPr>
            <w:tcW w:w="1805" w:type="dxa"/>
            <w:gridSpan w:val="3"/>
            <w:noWrap/>
            <w:vAlign w:val="center"/>
            <w:hideMark/>
          </w:tcPr>
          <w:p w14:paraId="1125C67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6.0</w:t>
            </w:r>
          </w:p>
        </w:tc>
      </w:tr>
      <w:tr w:rsidR="000765CF" w:rsidRPr="00DF6C69" w14:paraId="3FA0081D" w14:textId="77777777" w:rsidTr="000765CF">
        <w:trPr>
          <w:gridBefore w:val="1"/>
          <w:wBefore w:w="289" w:type="dxa"/>
          <w:trHeight w:val="20"/>
        </w:trPr>
        <w:tc>
          <w:tcPr>
            <w:tcW w:w="2110" w:type="dxa"/>
            <w:gridSpan w:val="3"/>
            <w:shd w:val="clear" w:color="auto" w:fill="D9E2F3" w:themeFill="accent1" w:themeFillTint="33"/>
            <w:noWrap/>
            <w:vAlign w:val="center"/>
            <w:hideMark/>
          </w:tcPr>
          <w:p w14:paraId="7D8B52A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Grand std. error (µM)</w:t>
            </w:r>
          </w:p>
        </w:tc>
        <w:tc>
          <w:tcPr>
            <w:tcW w:w="1812" w:type="dxa"/>
            <w:gridSpan w:val="2"/>
            <w:noWrap/>
            <w:vAlign w:val="center"/>
            <w:hideMark/>
          </w:tcPr>
          <w:p w14:paraId="64EEA02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186.8</w:t>
            </w:r>
          </w:p>
        </w:tc>
        <w:tc>
          <w:tcPr>
            <w:tcW w:w="1812" w:type="dxa"/>
            <w:gridSpan w:val="3"/>
            <w:noWrap/>
            <w:vAlign w:val="center"/>
            <w:hideMark/>
          </w:tcPr>
          <w:p w14:paraId="318360D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5.2</w:t>
            </w:r>
          </w:p>
        </w:tc>
        <w:tc>
          <w:tcPr>
            <w:tcW w:w="1812" w:type="dxa"/>
            <w:gridSpan w:val="3"/>
            <w:noWrap/>
            <w:vAlign w:val="center"/>
            <w:hideMark/>
          </w:tcPr>
          <w:p w14:paraId="182631E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1.4</w:t>
            </w:r>
          </w:p>
        </w:tc>
        <w:tc>
          <w:tcPr>
            <w:tcW w:w="1805" w:type="dxa"/>
            <w:gridSpan w:val="3"/>
            <w:noWrap/>
            <w:vAlign w:val="center"/>
            <w:hideMark/>
          </w:tcPr>
          <w:p w14:paraId="0C554E0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w:t>
            </w:r>
          </w:p>
        </w:tc>
      </w:tr>
      <w:tr w:rsidR="000765CF" w:rsidRPr="00DF6C69" w14:paraId="7BBE71DB" w14:textId="77777777" w:rsidTr="000765CF">
        <w:trPr>
          <w:gridBefore w:val="1"/>
          <w:wBefore w:w="289" w:type="dxa"/>
          <w:trHeight w:val="20"/>
        </w:trPr>
        <w:tc>
          <w:tcPr>
            <w:tcW w:w="2110" w:type="dxa"/>
            <w:gridSpan w:val="3"/>
            <w:shd w:val="clear" w:color="auto" w:fill="D9E2F3" w:themeFill="accent1" w:themeFillTint="33"/>
            <w:noWrap/>
            <w:vAlign w:val="center"/>
          </w:tcPr>
          <w:p w14:paraId="79640DA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Range (µM)</w:t>
            </w:r>
          </w:p>
        </w:tc>
        <w:tc>
          <w:tcPr>
            <w:tcW w:w="1812" w:type="dxa"/>
            <w:gridSpan w:val="2"/>
            <w:noWrap/>
            <w:vAlign w:val="center"/>
          </w:tcPr>
          <w:p w14:paraId="0E6BFC8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1213 – 5421</w:t>
            </w:r>
          </w:p>
        </w:tc>
        <w:tc>
          <w:tcPr>
            <w:tcW w:w="1812" w:type="dxa"/>
            <w:gridSpan w:val="3"/>
            <w:noWrap/>
            <w:vAlign w:val="center"/>
          </w:tcPr>
          <w:p w14:paraId="5FC3D0D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6.3 – 149.5</w:t>
            </w:r>
          </w:p>
        </w:tc>
        <w:tc>
          <w:tcPr>
            <w:tcW w:w="1812" w:type="dxa"/>
            <w:gridSpan w:val="3"/>
            <w:noWrap/>
            <w:vAlign w:val="center"/>
          </w:tcPr>
          <w:p w14:paraId="762F7D0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2.3 – 36.9</w:t>
            </w:r>
          </w:p>
        </w:tc>
        <w:tc>
          <w:tcPr>
            <w:tcW w:w="1805" w:type="dxa"/>
            <w:gridSpan w:val="3"/>
            <w:noWrap/>
            <w:vAlign w:val="center"/>
          </w:tcPr>
          <w:p w14:paraId="16DB725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1.7 – 27.2</w:t>
            </w:r>
          </w:p>
        </w:tc>
      </w:tr>
      <w:tr w:rsidR="000765CF" w:rsidRPr="00DF6C69" w14:paraId="1DF40372" w14:textId="77777777" w:rsidTr="000765CF">
        <w:trPr>
          <w:gridBefore w:val="1"/>
          <w:wBefore w:w="289" w:type="dxa"/>
          <w:trHeight w:val="20"/>
        </w:trPr>
        <w:tc>
          <w:tcPr>
            <w:tcW w:w="2110" w:type="dxa"/>
            <w:gridSpan w:val="3"/>
            <w:shd w:val="clear" w:color="auto" w:fill="D9E2F3" w:themeFill="accent1" w:themeFillTint="33"/>
            <w:noWrap/>
            <w:vAlign w:val="center"/>
          </w:tcPr>
          <w:p w14:paraId="5422E13C" w14:textId="77777777" w:rsidR="000765CF" w:rsidRPr="00DF6C69" w:rsidRDefault="000765CF" w:rsidP="000765CF">
            <w:pPr>
              <w:jc w:val="center"/>
              <w:rPr>
                <w:rFonts w:ascii="Times New Roman" w:hAnsi="Times New Roman" w:cs="Times New Roman"/>
                <w:sz w:val="16"/>
                <w:szCs w:val="16"/>
              </w:rPr>
            </w:pPr>
            <w:proofErr w:type="spellStart"/>
            <w:r w:rsidRPr="00DF6C69">
              <w:rPr>
                <w:rFonts w:ascii="Times New Roman" w:hAnsi="Times New Roman" w:cs="Times New Roman"/>
                <w:sz w:val="16"/>
                <w:szCs w:val="16"/>
              </w:rPr>
              <w:t>Avg.envir</w:t>
            </w:r>
            <w:proofErr w:type="spellEnd"/>
            <w:r w:rsidRPr="00DF6C69">
              <w:rPr>
                <w:rFonts w:ascii="Times New Roman" w:hAnsi="Times New Roman" w:cs="Times New Roman"/>
                <w:sz w:val="16"/>
                <w:szCs w:val="16"/>
              </w:rPr>
              <w:t>. Temp. (</w:t>
            </w:r>
            <w:r w:rsidRPr="00DF6C69">
              <w:rPr>
                <w:rFonts w:ascii="Times New Roman" w:hAnsi="Times New Roman" w:cs="Times New Roman"/>
                <w:sz w:val="16"/>
                <w:szCs w:val="16"/>
                <w:vertAlign w:val="superscript"/>
              </w:rPr>
              <w:t>o</w:t>
            </w:r>
            <w:r w:rsidRPr="00DF6C69">
              <w:rPr>
                <w:rFonts w:ascii="Times New Roman" w:hAnsi="Times New Roman" w:cs="Times New Roman"/>
                <w:sz w:val="16"/>
                <w:szCs w:val="16"/>
              </w:rPr>
              <w:t>C)</w:t>
            </w:r>
          </w:p>
        </w:tc>
        <w:tc>
          <w:tcPr>
            <w:tcW w:w="1812" w:type="dxa"/>
            <w:gridSpan w:val="2"/>
            <w:noWrap/>
            <w:vAlign w:val="center"/>
          </w:tcPr>
          <w:p w14:paraId="59278C3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27.3 ± 1.0</w:t>
            </w:r>
          </w:p>
        </w:tc>
        <w:tc>
          <w:tcPr>
            <w:tcW w:w="1812" w:type="dxa"/>
            <w:gridSpan w:val="3"/>
            <w:noWrap/>
            <w:vAlign w:val="center"/>
          </w:tcPr>
          <w:p w14:paraId="5D3C115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26.4 ± 1.3</w:t>
            </w:r>
          </w:p>
        </w:tc>
        <w:tc>
          <w:tcPr>
            <w:tcW w:w="1812" w:type="dxa"/>
            <w:gridSpan w:val="3"/>
            <w:noWrap/>
            <w:vAlign w:val="center"/>
          </w:tcPr>
          <w:p w14:paraId="6473441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26.3 ± 0.9</w:t>
            </w:r>
          </w:p>
        </w:tc>
        <w:tc>
          <w:tcPr>
            <w:tcW w:w="1805" w:type="dxa"/>
            <w:gridSpan w:val="3"/>
            <w:noWrap/>
            <w:vAlign w:val="center"/>
          </w:tcPr>
          <w:p w14:paraId="3508641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25.9 ± 1.2</w:t>
            </w:r>
          </w:p>
        </w:tc>
      </w:tr>
      <w:tr w:rsidR="000765CF" w:rsidRPr="00DF6C69" w14:paraId="1F49E9E1" w14:textId="77777777" w:rsidTr="000765CF">
        <w:trPr>
          <w:gridBefore w:val="1"/>
          <w:wBefore w:w="289" w:type="dxa"/>
          <w:trHeight w:val="20"/>
        </w:trPr>
        <w:tc>
          <w:tcPr>
            <w:tcW w:w="2110" w:type="dxa"/>
            <w:gridSpan w:val="3"/>
            <w:shd w:val="clear" w:color="auto" w:fill="D9E2F3" w:themeFill="accent1" w:themeFillTint="33"/>
            <w:noWrap/>
            <w:vAlign w:val="center"/>
          </w:tcPr>
          <w:p w14:paraId="3534FE63" w14:textId="77777777" w:rsidR="000765CF" w:rsidRPr="00DF6C69" w:rsidRDefault="000765CF" w:rsidP="000765CF">
            <w:pPr>
              <w:jc w:val="center"/>
              <w:rPr>
                <w:rFonts w:ascii="Times New Roman" w:hAnsi="Times New Roman" w:cs="Times New Roman"/>
                <w:sz w:val="16"/>
                <w:szCs w:val="16"/>
              </w:rPr>
            </w:pPr>
            <w:proofErr w:type="spellStart"/>
            <w:r w:rsidRPr="00DF6C69">
              <w:rPr>
                <w:rFonts w:ascii="Times New Roman" w:hAnsi="Times New Roman" w:cs="Times New Roman"/>
                <w:sz w:val="16"/>
                <w:szCs w:val="16"/>
              </w:rPr>
              <w:t>Avg.envir</w:t>
            </w:r>
            <w:proofErr w:type="spellEnd"/>
            <w:r w:rsidRPr="00DF6C69">
              <w:rPr>
                <w:rFonts w:ascii="Times New Roman" w:hAnsi="Times New Roman" w:cs="Times New Roman"/>
                <w:sz w:val="16"/>
                <w:szCs w:val="16"/>
              </w:rPr>
              <w:t xml:space="preserve"> hum. (%)</w:t>
            </w:r>
          </w:p>
        </w:tc>
        <w:tc>
          <w:tcPr>
            <w:tcW w:w="1812" w:type="dxa"/>
            <w:gridSpan w:val="2"/>
            <w:noWrap/>
            <w:vAlign w:val="center"/>
          </w:tcPr>
          <w:p w14:paraId="4D0FEAD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52.6 ± 5.0</w:t>
            </w:r>
          </w:p>
        </w:tc>
        <w:tc>
          <w:tcPr>
            <w:tcW w:w="1812" w:type="dxa"/>
            <w:gridSpan w:val="3"/>
            <w:noWrap/>
            <w:vAlign w:val="center"/>
          </w:tcPr>
          <w:p w14:paraId="76B2046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49.5 ± 7.8</w:t>
            </w:r>
          </w:p>
        </w:tc>
        <w:tc>
          <w:tcPr>
            <w:tcW w:w="1812" w:type="dxa"/>
            <w:gridSpan w:val="3"/>
            <w:noWrap/>
            <w:vAlign w:val="center"/>
          </w:tcPr>
          <w:p w14:paraId="265F3D9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44.4 ± 9.0</w:t>
            </w:r>
          </w:p>
        </w:tc>
        <w:tc>
          <w:tcPr>
            <w:tcW w:w="1805" w:type="dxa"/>
            <w:gridSpan w:val="3"/>
            <w:noWrap/>
            <w:vAlign w:val="center"/>
          </w:tcPr>
          <w:p w14:paraId="2ECA3B1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42.2 ± 10.5</w:t>
            </w:r>
          </w:p>
        </w:tc>
      </w:tr>
      <w:tr w:rsidR="000765CF" w:rsidRPr="00DF6C69" w14:paraId="4298905B" w14:textId="77777777" w:rsidTr="000765CF">
        <w:trPr>
          <w:gridBefore w:val="1"/>
          <w:wBefore w:w="289" w:type="dxa"/>
          <w:trHeight w:val="20"/>
        </w:trPr>
        <w:tc>
          <w:tcPr>
            <w:tcW w:w="2110" w:type="dxa"/>
            <w:gridSpan w:val="3"/>
            <w:vMerge w:val="restart"/>
            <w:shd w:val="clear" w:color="auto" w:fill="D9E2F3" w:themeFill="accent1" w:themeFillTint="33"/>
            <w:noWrap/>
            <w:vAlign w:val="center"/>
          </w:tcPr>
          <w:p w14:paraId="719E0E4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Cross-correlation Matrix</w:t>
            </w:r>
          </w:p>
        </w:tc>
        <w:tc>
          <w:tcPr>
            <w:tcW w:w="1812" w:type="dxa"/>
            <w:gridSpan w:val="2"/>
            <w:noWrap/>
          </w:tcPr>
          <w:p w14:paraId="5796230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c>
          <w:tcPr>
            <w:tcW w:w="1812" w:type="dxa"/>
            <w:gridSpan w:val="3"/>
            <w:noWrap/>
          </w:tcPr>
          <w:p w14:paraId="35CA21E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0.17</w:t>
            </w:r>
          </w:p>
        </w:tc>
        <w:tc>
          <w:tcPr>
            <w:tcW w:w="1812" w:type="dxa"/>
            <w:gridSpan w:val="3"/>
            <w:noWrap/>
          </w:tcPr>
          <w:p w14:paraId="26835F6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0.17</w:t>
            </w:r>
          </w:p>
        </w:tc>
        <w:tc>
          <w:tcPr>
            <w:tcW w:w="1805" w:type="dxa"/>
            <w:gridSpan w:val="3"/>
            <w:noWrap/>
          </w:tcPr>
          <w:p w14:paraId="18EFCD0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0.05</w:t>
            </w:r>
          </w:p>
        </w:tc>
      </w:tr>
      <w:tr w:rsidR="000765CF" w:rsidRPr="00DF6C69" w14:paraId="0DD9AE89" w14:textId="77777777" w:rsidTr="000765CF">
        <w:trPr>
          <w:gridBefore w:val="1"/>
          <w:wBefore w:w="289" w:type="dxa"/>
          <w:trHeight w:val="20"/>
        </w:trPr>
        <w:tc>
          <w:tcPr>
            <w:tcW w:w="2110" w:type="dxa"/>
            <w:gridSpan w:val="3"/>
            <w:vMerge/>
            <w:shd w:val="clear" w:color="auto" w:fill="D9E2F3" w:themeFill="accent1" w:themeFillTint="33"/>
            <w:noWrap/>
            <w:vAlign w:val="center"/>
          </w:tcPr>
          <w:p w14:paraId="71E6C999" w14:textId="77777777" w:rsidR="000765CF" w:rsidRPr="00DF6C69" w:rsidRDefault="000765CF" w:rsidP="000765CF">
            <w:pPr>
              <w:jc w:val="center"/>
              <w:rPr>
                <w:rFonts w:ascii="Times New Roman" w:hAnsi="Times New Roman" w:cs="Times New Roman"/>
                <w:sz w:val="16"/>
                <w:szCs w:val="16"/>
              </w:rPr>
            </w:pPr>
          </w:p>
        </w:tc>
        <w:tc>
          <w:tcPr>
            <w:tcW w:w="1812" w:type="dxa"/>
            <w:gridSpan w:val="2"/>
            <w:noWrap/>
          </w:tcPr>
          <w:p w14:paraId="3DD0EAE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0.17</w:t>
            </w:r>
          </w:p>
        </w:tc>
        <w:tc>
          <w:tcPr>
            <w:tcW w:w="1812" w:type="dxa"/>
            <w:gridSpan w:val="3"/>
            <w:noWrap/>
          </w:tcPr>
          <w:p w14:paraId="12D1086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c>
          <w:tcPr>
            <w:tcW w:w="1812" w:type="dxa"/>
            <w:gridSpan w:val="3"/>
            <w:noWrap/>
          </w:tcPr>
          <w:p w14:paraId="783CE2E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0.08</w:t>
            </w:r>
          </w:p>
        </w:tc>
        <w:tc>
          <w:tcPr>
            <w:tcW w:w="1805" w:type="dxa"/>
            <w:gridSpan w:val="3"/>
            <w:noWrap/>
          </w:tcPr>
          <w:p w14:paraId="52D9F00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-0.08</w:t>
            </w:r>
          </w:p>
        </w:tc>
      </w:tr>
      <w:tr w:rsidR="000765CF" w:rsidRPr="00DF6C69" w14:paraId="162CD205" w14:textId="77777777" w:rsidTr="000765CF">
        <w:trPr>
          <w:gridBefore w:val="1"/>
          <w:wBefore w:w="289" w:type="dxa"/>
          <w:trHeight w:val="20"/>
        </w:trPr>
        <w:tc>
          <w:tcPr>
            <w:tcW w:w="2110" w:type="dxa"/>
            <w:gridSpan w:val="3"/>
            <w:vMerge/>
            <w:shd w:val="clear" w:color="auto" w:fill="D9E2F3" w:themeFill="accent1" w:themeFillTint="33"/>
            <w:noWrap/>
            <w:vAlign w:val="center"/>
          </w:tcPr>
          <w:p w14:paraId="73097284" w14:textId="77777777" w:rsidR="000765CF" w:rsidRPr="00DF6C69" w:rsidRDefault="000765CF" w:rsidP="000765CF">
            <w:pPr>
              <w:jc w:val="center"/>
              <w:rPr>
                <w:rFonts w:ascii="Times New Roman" w:hAnsi="Times New Roman" w:cs="Times New Roman"/>
                <w:sz w:val="16"/>
                <w:szCs w:val="16"/>
              </w:rPr>
            </w:pPr>
          </w:p>
        </w:tc>
        <w:tc>
          <w:tcPr>
            <w:tcW w:w="1812" w:type="dxa"/>
            <w:gridSpan w:val="2"/>
            <w:noWrap/>
          </w:tcPr>
          <w:p w14:paraId="4C7B2D5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0.17</w:t>
            </w:r>
          </w:p>
        </w:tc>
        <w:tc>
          <w:tcPr>
            <w:tcW w:w="1812" w:type="dxa"/>
            <w:gridSpan w:val="3"/>
            <w:noWrap/>
          </w:tcPr>
          <w:p w14:paraId="2C88028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0.08</w:t>
            </w:r>
          </w:p>
        </w:tc>
        <w:tc>
          <w:tcPr>
            <w:tcW w:w="1812" w:type="dxa"/>
            <w:gridSpan w:val="3"/>
            <w:noWrap/>
          </w:tcPr>
          <w:p w14:paraId="78D6DD2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c>
          <w:tcPr>
            <w:tcW w:w="1805" w:type="dxa"/>
            <w:gridSpan w:val="3"/>
            <w:noWrap/>
          </w:tcPr>
          <w:p w14:paraId="65EED34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-0.27</w:t>
            </w:r>
          </w:p>
        </w:tc>
      </w:tr>
      <w:tr w:rsidR="000765CF" w:rsidRPr="00DF6C69" w14:paraId="5DA1217A" w14:textId="77777777" w:rsidTr="000765CF">
        <w:trPr>
          <w:gridBefore w:val="1"/>
          <w:wBefore w:w="289" w:type="dxa"/>
          <w:trHeight w:val="20"/>
        </w:trPr>
        <w:tc>
          <w:tcPr>
            <w:tcW w:w="2110" w:type="dxa"/>
            <w:gridSpan w:val="3"/>
            <w:vMerge/>
            <w:shd w:val="clear" w:color="auto" w:fill="D9E2F3" w:themeFill="accent1" w:themeFillTint="33"/>
            <w:noWrap/>
            <w:vAlign w:val="center"/>
          </w:tcPr>
          <w:p w14:paraId="5081C143" w14:textId="77777777" w:rsidR="000765CF" w:rsidRPr="00DF6C69" w:rsidRDefault="000765CF" w:rsidP="000765CF">
            <w:pPr>
              <w:jc w:val="center"/>
              <w:rPr>
                <w:rFonts w:ascii="Times New Roman" w:hAnsi="Times New Roman" w:cs="Times New Roman"/>
                <w:sz w:val="16"/>
                <w:szCs w:val="16"/>
              </w:rPr>
            </w:pPr>
          </w:p>
        </w:tc>
        <w:tc>
          <w:tcPr>
            <w:tcW w:w="1812" w:type="dxa"/>
            <w:gridSpan w:val="2"/>
            <w:noWrap/>
          </w:tcPr>
          <w:p w14:paraId="1CE0111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0.05</w:t>
            </w:r>
          </w:p>
        </w:tc>
        <w:tc>
          <w:tcPr>
            <w:tcW w:w="1812" w:type="dxa"/>
            <w:gridSpan w:val="3"/>
            <w:noWrap/>
          </w:tcPr>
          <w:p w14:paraId="5AFB77F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-0.08</w:t>
            </w:r>
          </w:p>
        </w:tc>
        <w:tc>
          <w:tcPr>
            <w:tcW w:w="1812" w:type="dxa"/>
            <w:gridSpan w:val="3"/>
            <w:noWrap/>
          </w:tcPr>
          <w:p w14:paraId="7C3620C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-0.27</w:t>
            </w:r>
          </w:p>
        </w:tc>
        <w:tc>
          <w:tcPr>
            <w:tcW w:w="1805" w:type="dxa"/>
            <w:gridSpan w:val="3"/>
            <w:noWrap/>
          </w:tcPr>
          <w:p w14:paraId="43959C7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r>
      <w:tr w:rsidR="000765CF" w:rsidRPr="00DF6C69" w14:paraId="30BDA67C" w14:textId="77777777" w:rsidTr="000765CF">
        <w:trPr>
          <w:gridBefore w:val="1"/>
          <w:wBefore w:w="289" w:type="dxa"/>
          <w:trHeight w:val="20"/>
        </w:trPr>
        <w:tc>
          <w:tcPr>
            <w:tcW w:w="9351" w:type="dxa"/>
            <w:gridSpan w:val="14"/>
            <w:shd w:val="clear" w:color="auto" w:fill="E2EFD9" w:themeFill="accent6" w:themeFillTint="33"/>
            <w:noWrap/>
            <w:vAlign w:val="center"/>
            <w:hideMark/>
          </w:tcPr>
          <w:p w14:paraId="098E3CC2" w14:textId="77777777" w:rsidR="000765CF" w:rsidRPr="00DF6C69" w:rsidRDefault="000765CF" w:rsidP="000765CF">
            <w:pPr>
              <w:jc w:val="center"/>
              <w:rPr>
                <w:rFonts w:ascii="Times New Roman" w:hAnsi="Times New Roman" w:cs="Times New Roman"/>
                <w:b/>
                <w:sz w:val="16"/>
                <w:szCs w:val="16"/>
              </w:rPr>
            </w:pPr>
            <w:r w:rsidRPr="00DF6C69">
              <w:rPr>
                <w:rFonts w:ascii="Times New Roman" w:hAnsi="Times New Roman" w:cs="Times New Roman"/>
                <w:b/>
                <w:sz w:val="16"/>
                <w:szCs w:val="16"/>
              </w:rPr>
              <w:t xml:space="preserve">non-PCa group </w:t>
            </w:r>
          </w:p>
        </w:tc>
      </w:tr>
      <w:tr w:rsidR="000765CF" w:rsidRPr="00DF6C69" w14:paraId="78328398" w14:textId="77777777" w:rsidTr="000765CF">
        <w:trPr>
          <w:gridBefore w:val="1"/>
          <w:wBefore w:w="289" w:type="dxa"/>
          <w:trHeight w:val="20"/>
        </w:trPr>
        <w:tc>
          <w:tcPr>
            <w:tcW w:w="2110" w:type="dxa"/>
            <w:gridSpan w:val="3"/>
            <w:shd w:val="clear" w:color="auto" w:fill="E2EFD9" w:themeFill="accent6" w:themeFillTint="33"/>
            <w:noWrap/>
            <w:vAlign w:val="center"/>
            <w:hideMark/>
          </w:tcPr>
          <w:p w14:paraId="76A8ABE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non-</w:t>
            </w: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 xml:space="preserve"> average (µM)</w:t>
            </w:r>
          </w:p>
        </w:tc>
        <w:tc>
          <w:tcPr>
            <w:tcW w:w="1812" w:type="dxa"/>
            <w:gridSpan w:val="2"/>
            <w:noWrap/>
            <w:vAlign w:val="center"/>
            <w:hideMark/>
          </w:tcPr>
          <w:p w14:paraId="3FD69F7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1984</w:t>
            </w:r>
          </w:p>
        </w:tc>
        <w:tc>
          <w:tcPr>
            <w:tcW w:w="1812" w:type="dxa"/>
            <w:gridSpan w:val="3"/>
            <w:noWrap/>
            <w:vAlign w:val="center"/>
            <w:hideMark/>
          </w:tcPr>
          <w:p w14:paraId="27B18D0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40.2</w:t>
            </w:r>
          </w:p>
        </w:tc>
        <w:tc>
          <w:tcPr>
            <w:tcW w:w="1812" w:type="dxa"/>
            <w:gridSpan w:val="3"/>
            <w:noWrap/>
            <w:vAlign w:val="center"/>
            <w:hideMark/>
          </w:tcPr>
          <w:p w14:paraId="617B05E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c>
          <w:tcPr>
            <w:tcW w:w="1805" w:type="dxa"/>
            <w:gridSpan w:val="3"/>
            <w:noWrap/>
            <w:vAlign w:val="center"/>
            <w:hideMark/>
          </w:tcPr>
          <w:p w14:paraId="479D4A2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11.5</w:t>
            </w:r>
          </w:p>
        </w:tc>
      </w:tr>
      <w:tr w:rsidR="000765CF" w:rsidRPr="00DF6C69" w14:paraId="39F271DB" w14:textId="77777777" w:rsidTr="000765CF">
        <w:trPr>
          <w:gridBefore w:val="1"/>
          <w:wBefore w:w="289" w:type="dxa"/>
          <w:trHeight w:val="20"/>
        </w:trPr>
        <w:tc>
          <w:tcPr>
            <w:tcW w:w="2110" w:type="dxa"/>
            <w:gridSpan w:val="3"/>
            <w:shd w:val="clear" w:color="auto" w:fill="E2EFD9" w:themeFill="accent6" w:themeFillTint="33"/>
            <w:noWrap/>
            <w:vAlign w:val="center"/>
            <w:hideMark/>
          </w:tcPr>
          <w:p w14:paraId="44EF5EB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non-</w:t>
            </w: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 xml:space="preserve"> median (µM)</w:t>
            </w:r>
          </w:p>
        </w:tc>
        <w:tc>
          <w:tcPr>
            <w:tcW w:w="1812" w:type="dxa"/>
            <w:gridSpan w:val="2"/>
            <w:noWrap/>
            <w:vAlign w:val="center"/>
            <w:hideMark/>
          </w:tcPr>
          <w:p w14:paraId="2E11A67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1966</w:t>
            </w:r>
          </w:p>
        </w:tc>
        <w:tc>
          <w:tcPr>
            <w:tcW w:w="1812" w:type="dxa"/>
            <w:gridSpan w:val="3"/>
            <w:noWrap/>
            <w:vAlign w:val="center"/>
            <w:hideMark/>
          </w:tcPr>
          <w:p w14:paraId="762BF31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39.8</w:t>
            </w:r>
          </w:p>
        </w:tc>
        <w:tc>
          <w:tcPr>
            <w:tcW w:w="1812" w:type="dxa"/>
            <w:gridSpan w:val="3"/>
            <w:noWrap/>
            <w:vAlign w:val="center"/>
            <w:hideMark/>
          </w:tcPr>
          <w:p w14:paraId="0F1A1E6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9.0</w:t>
            </w:r>
          </w:p>
        </w:tc>
        <w:tc>
          <w:tcPr>
            <w:tcW w:w="1805" w:type="dxa"/>
            <w:gridSpan w:val="3"/>
            <w:noWrap/>
            <w:vAlign w:val="center"/>
            <w:hideMark/>
          </w:tcPr>
          <w:p w14:paraId="780D869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12.3</w:t>
            </w:r>
          </w:p>
        </w:tc>
      </w:tr>
      <w:tr w:rsidR="000765CF" w:rsidRPr="00DF6C69" w14:paraId="59000828" w14:textId="77777777" w:rsidTr="000765CF">
        <w:trPr>
          <w:gridBefore w:val="1"/>
          <w:wBefore w:w="289" w:type="dxa"/>
          <w:trHeight w:val="20"/>
        </w:trPr>
        <w:tc>
          <w:tcPr>
            <w:tcW w:w="2110" w:type="dxa"/>
            <w:gridSpan w:val="3"/>
            <w:shd w:val="clear" w:color="auto" w:fill="E2EFD9" w:themeFill="accent6" w:themeFillTint="33"/>
            <w:noWrap/>
            <w:vAlign w:val="center"/>
            <w:hideMark/>
          </w:tcPr>
          <w:p w14:paraId="2506AE3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non-</w:t>
            </w: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 xml:space="preserve"> std (µM)</w:t>
            </w:r>
          </w:p>
        </w:tc>
        <w:tc>
          <w:tcPr>
            <w:tcW w:w="1812" w:type="dxa"/>
            <w:gridSpan w:val="2"/>
            <w:noWrap/>
            <w:vAlign w:val="center"/>
            <w:hideMark/>
          </w:tcPr>
          <w:p w14:paraId="0C56045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527</w:t>
            </w:r>
          </w:p>
        </w:tc>
        <w:tc>
          <w:tcPr>
            <w:tcW w:w="1812" w:type="dxa"/>
            <w:gridSpan w:val="3"/>
            <w:noWrap/>
            <w:vAlign w:val="center"/>
            <w:hideMark/>
          </w:tcPr>
          <w:p w14:paraId="5AF061D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11.2</w:t>
            </w:r>
          </w:p>
        </w:tc>
        <w:tc>
          <w:tcPr>
            <w:tcW w:w="1812" w:type="dxa"/>
            <w:gridSpan w:val="3"/>
            <w:noWrap/>
            <w:vAlign w:val="center"/>
            <w:hideMark/>
          </w:tcPr>
          <w:p w14:paraId="52E5EA0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4.1</w:t>
            </w:r>
          </w:p>
        </w:tc>
        <w:tc>
          <w:tcPr>
            <w:tcW w:w="1805" w:type="dxa"/>
            <w:gridSpan w:val="3"/>
            <w:noWrap/>
            <w:vAlign w:val="center"/>
            <w:hideMark/>
          </w:tcPr>
          <w:p w14:paraId="594F79C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4.3</w:t>
            </w:r>
          </w:p>
        </w:tc>
      </w:tr>
      <w:tr w:rsidR="000765CF" w:rsidRPr="00DF6C69" w14:paraId="72D378F1" w14:textId="77777777" w:rsidTr="000765CF">
        <w:trPr>
          <w:gridBefore w:val="1"/>
          <w:wBefore w:w="289" w:type="dxa"/>
          <w:trHeight w:val="20"/>
        </w:trPr>
        <w:tc>
          <w:tcPr>
            <w:tcW w:w="2110" w:type="dxa"/>
            <w:gridSpan w:val="3"/>
            <w:shd w:val="clear" w:color="auto" w:fill="E2EFD9" w:themeFill="accent6" w:themeFillTint="33"/>
            <w:noWrap/>
            <w:vAlign w:val="center"/>
            <w:hideMark/>
          </w:tcPr>
          <w:p w14:paraId="7145D53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non-</w:t>
            </w: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 xml:space="preserve"> std error (µM)</w:t>
            </w:r>
          </w:p>
        </w:tc>
        <w:tc>
          <w:tcPr>
            <w:tcW w:w="1812" w:type="dxa"/>
            <w:gridSpan w:val="2"/>
            <w:noWrap/>
            <w:vAlign w:val="center"/>
            <w:hideMark/>
          </w:tcPr>
          <w:p w14:paraId="1F10EA3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166.6</w:t>
            </w:r>
          </w:p>
        </w:tc>
        <w:tc>
          <w:tcPr>
            <w:tcW w:w="1812" w:type="dxa"/>
            <w:gridSpan w:val="3"/>
            <w:noWrap/>
            <w:vAlign w:val="center"/>
            <w:hideMark/>
          </w:tcPr>
          <w:p w14:paraId="66F6B81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3.5</w:t>
            </w:r>
          </w:p>
        </w:tc>
        <w:tc>
          <w:tcPr>
            <w:tcW w:w="1812" w:type="dxa"/>
            <w:gridSpan w:val="3"/>
            <w:noWrap/>
            <w:vAlign w:val="center"/>
            <w:hideMark/>
          </w:tcPr>
          <w:p w14:paraId="22004DD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w:t>
            </w:r>
          </w:p>
        </w:tc>
        <w:tc>
          <w:tcPr>
            <w:tcW w:w="1805" w:type="dxa"/>
            <w:gridSpan w:val="3"/>
            <w:noWrap/>
            <w:vAlign w:val="center"/>
            <w:hideMark/>
          </w:tcPr>
          <w:p w14:paraId="00B675D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1.4</w:t>
            </w:r>
          </w:p>
        </w:tc>
      </w:tr>
      <w:tr w:rsidR="000765CF" w:rsidRPr="00DF6C69" w14:paraId="27DCF27A" w14:textId="77777777" w:rsidTr="000765CF">
        <w:trPr>
          <w:gridBefore w:val="1"/>
          <w:wBefore w:w="289" w:type="dxa"/>
          <w:trHeight w:val="20"/>
        </w:trPr>
        <w:tc>
          <w:tcPr>
            <w:tcW w:w="2110" w:type="dxa"/>
            <w:gridSpan w:val="3"/>
            <w:shd w:val="clear" w:color="auto" w:fill="E2EFD9" w:themeFill="accent6" w:themeFillTint="33"/>
            <w:noWrap/>
            <w:vAlign w:val="center"/>
          </w:tcPr>
          <w:p w14:paraId="35D3AC7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Range (µM)</w:t>
            </w:r>
          </w:p>
        </w:tc>
        <w:tc>
          <w:tcPr>
            <w:tcW w:w="1812" w:type="dxa"/>
            <w:gridSpan w:val="2"/>
            <w:noWrap/>
            <w:vAlign w:val="center"/>
          </w:tcPr>
          <w:p w14:paraId="148C1A7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1213 - 3167</w:t>
            </w:r>
          </w:p>
        </w:tc>
        <w:tc>
          <w:tcPr>
            <w:tcW w:w="1812" w:type="dxa"/>
            <w:gridSpan w:val="3"/>
            <w:noWrap/>
            <w:vAlign w:val="center"/>
          </w:tcPr>
          <w:p w14:paraId="5DDEFFE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21.9 – 67.1</w:t>
            </w:r>
          </w:p>
        </w:tc>
        <w:tc>
          <w:tcPr>
            <w:tcW w:w="1812" w:type="dxa"/>
            <w:gridSpan w:val="3"/>
            <w:noWrap/>
            <w:vAlign w:val="center"/>
          </w:tcPr>
          <w:p w14:paraId="4F0CD44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 xml:space="preserve">2.3 – 15.4 </w:t>
            </w:r>
          </w:p>
        </w:tc>
        <w:tc>
          <w:tcPr>
            <w:tcW w:w="1805" w:type="dxa"/>
            <w:gridSpan w:val="3"/>
            <w:noWrap/>
            <w:vAlign w:val="center"/>
          </w:tcPr>
          <w:p w14:paraId="3A3895F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5.1 – 18.8</w:t>
            </w:r>
          </w:p>
        </w:tc>
      </w:tr>
      <w:tr w:rsidR="000765CF" w:rsidRPr="00DF6C69" w14:paraId="492BDBDB" w14:textId="77777777" w:rsidTr="000765CF">
        <w:trPr>
          <w:gridBefore w:val="1"/>
          <w:wBefore w:w="289" w:type="dxa"/>
          <w:trHeight w:val="20"/>
        </w:trPr>
        <w:tc>
          <w:tcPr>
            <w:tcW w:w="2110" w:type="dxa"/>
            <w:gridSpan w:val="3"/>
            <w:vMerge w:val="restart"/>
            <w:shd w:val="clear" w:color="auto" w:fill="E2EFD9" w:themeFill="accent6" w:themeFillTint="33"/>
            <w:noWrap/>
            <w:vAlign w:val="center"/>
          </w:tcPr>
          <w:p w14:paraId="624F0770"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Cross-correlation Matrix</w:t>
            </w:r>
          </w:p>
        </w:tc>
        <w:tc>
          <w:tcPr>
            <w:tcW w:w="1812" w:type="dxa"/>
            <w:gridSpan w:val="2"/>
            <w:noWrap/>
          </w:tcPr>
          <w:p w14:paraId="0CDD3AB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c>
          <w:tcPr>
            <w:tcW w:w="1812" w:type="dxa"/>
            <w:gridSpan w:val="3"/>
            <w:noWrap/>
          </w:tcPr>
          <w:p w14:paraId="1E224EF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0.38</w:t>
            </w:r>
          </w:p>
        </w:tc>
        <w:tc>
          <w:tcPr>
            <w:tcW w:w="1812" w:type="dxa"/>
            <w:gridSpan w:val="3"/>
            <w:noWrap/>
          </w:tcPr>
          <w:p w14:paraId="253BC3A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0.17</w:t>
            </w:r>
          </w:p>
        </w:tc>
        <w:tc>
          <w:tcPr>
            <w:tcW w:w="1805" w:type="dxa"/>
            <w:gridSpan w:val="3"/>
            <w:noWrap/>
          </w:tcPr>
          <w:p w14:paraId="00CCBAE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0.09</w:t>
            </w:r>
          </w:p>
        </w:tc>
      </w:tr>
      <w:tr w:rsidR="000765CF" w:rsidRPr="00DF6C69" w14:paraId="766E6EA2" w14:textId="77777777" w:rsidTr="000765CF">
        <w:trPr>
          <w:gridBefore w:val="1"/>
          <w:wBefore w:w="289" w:type="dxa"/>
          <w:trHeight w:val="20"/>
        </w:trPr>
        <w:tc>
          <w:tcPr>
            <w:tcW w:w="2110" w:type="dxa"/>
            <w:gridSpan w:val="3"/>
            <w:vMerge/>
            <w:shd w:val="clear" w:color="auto" w:fill="E2EFD9" w:themeFill="accent6" w:themeFillTint="33"/>
            <w:noWrap/>
            <w:vAlign w:val="center"/>
          </w:tcPr>
          <w:p w14:paraId="329E3E85" w14:textId="77777777" w:rsidR="000765CF" w:rsidRPr="00DF6C69" w:rsidRDefault="000765CF" w:rsidP="000765CF">
            <w:pPr>
              <w:jc w:val="center"/>
              <w:rPr>
                <w:rFonts w:ascii="Times New Roman" w:hAnsi="Times New Roman" w:cs="Times New Roman"/>
                <w:sz w:val="16"/>
                <w:szCs w:val="16"/>
              </w:rPr>
            </w:pPr>
          </w:p>
        </w:tc>
        <w:tc>
          <w:tcPr>
            <w:tcW w:w="1812" w:type="dxa"/>
            <w:gridSpan w:val="2"/>
            <w:noWrap/>
          </w:tcPr>
          <w:p w14:paraId="7BD1511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0.38</w:t>
            </w:r>
          </w:p>
        </w:tc>
        <w:tc>
          <w:tcPr>
            <w:tcW w:w="1812" w:type="dxa"/>
            <w:gridSpan w:val="3"/>
            <w:noWrap/>
          </w:tcPr>
          <w:p w14:paraId="2820412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c>
          <w:tcPr>
            <w:tcW w:w="1812" w:type="dxa"/>
            <w:gridSpan w:val="3"/>
            <w:noWrap/>
          </w:tcPr>
          <w:p w14:paraId="7870941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0.18</w:t>
            </w:r>
          </w:p>
        </w:tc>
        <w:tc>
          <w:tcPr>
            <w:tcW w:w="1805" w:type="dxa"/>
            <w:gridSpan w:val="3"/>
            <w:noWrap/>
          </w:tcPr>
          <w:p w14:paraId="11EE1A2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-0.32</w:t>
            </w:r>
          </w:p>
        </w:tc>
      </w:tr>
      <w:tr w:rsidR="000765CF" w:rsidRPr="00DF6C69" w14:paraId="70DD7504" w14:textId="77777777" w:rsidTr="000765CF">
        <w:trPr>
          <w:gridBefore w:val="1"/>
          <w:wBefore w:w="289" w:type="dxa"/>
          <w:trHeight w:val="20"/>
        </w:trPr>
        <w:tc>
          <w:tcPr>
            <w:tcW w:w="2110" w:type="dxa"/>
            <w:gridSpan w:val="3"/>
            <w:vMerge/>
            <w:shd w:val="clear" w:color="auto" w:fill="E2EFD9" w:themeFill="accent6" w:themeFillTint="33"/>
            <w:noWrap/>
            <w:vAlign w:val="center"/>
          </w:tcPr>
          <w:p w14:paraId="05973198" w14:textId="77777777" w:rsidR="000765CF" w:rsidRPr="00DF6C69" w:rsidRDefault="000765CF" w:rsidP="000765CF">
            <w:pPr>
              <w:jc w:val="center"/>
              <w:rPr>
                <w:rFonts w:ascii="Times New Roman" w:hAnsi="Times New Roman" w:cs="Times New Roman"/>
                <w:sz w:val="16"/>
                <w:szCs w:val="16"/>
              </w:rPr>
            </w:pPr>
          </w:p>
        </w:tc>
        <w:tc>
          <w:tcPr>
            <w:tcW w:w="1812" w:type="dxa"/>
            <w:gridSpan w:val="2"/>
            <w:noWrap/>
          </w:tcPr>
          <w:p w14:paraId="145647B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0.17</w:t>
            </w:r>
          </w:p>
        </w:tc>
        <w:tc>
          <w:tcPr>
            <w:tcW w:w="1812" w:type="dxa"/>
            <w:gridSpan w:val="3"/>
            <w:noWrap/>
          </w:tcPr>
          <w:p w14:paraId="4D09495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0.18</w:t>
            </w:r>
          </w:p>
        </w:tc>
        <w:tc>
          <w:tcPr>
            <w:tcW w:w="1812" w:type="dxa"/>
            <w:gridSpan w:val="3"/>
            <w:noWrap/>
          </w:tcPr>
          <w:p w14:paraId="784F41A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c>
          <w:tcPr>
            <w:tcW w:w="1805" w:type="dxa"/>
            <w:gridSpan w:val="3"/>
            <w:noWrap/>
          </w:tcPr>
          <w:p w14:paraId="1395B21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0.02</w:t>
            </w:r>
          </w:p>
        </w:tc>
      </w:tr>
      <w:tr w:rsidR="000765CF" w:rsidRPr="00DF6C69" w14:paraId="7A52B62B" w14:textId="77777777" w:rsidTr="000765CF">
        <w:trPr>
          <w:gridBefore w:val="1"/>
          <w:wBefore w:w="289" w:type="dxa"/>
          <w:trHeight w:val="20"/>
        </w:trPr>
        <w:tc>
          <w:tcPr>
            <w:tcW w:w="2110" w:type="dxa"/>
            <w:gridSpan w:val="3"/>
            <w:vMerge/>
            <w:shd w:val="clear" w:color="auto" w:fill="E2EFD9" w:themeFill="accent6" w:themeFillTint="33"/>
            <w:noWrap/>
            <w:vAlign w:val="center"/>
          </w:tcPr>
          <w:p w14:paraId="7ADF0CCA" w14:textId="77777777" w:rsidR="000765CF" w:rsidRPr="00DF6C69" w:rsidRDefault="000765CF" w:rsidP="000765CF">
            <w:pPr>
              <w:jc w:val="center"/>
              <w:rPr>
                <w:rFonts w:ascii="Times New Roman" w:hAnsi="Times New Roman" w:cs="Times New Roman"/>
                <w:sz w:val="16"/>
                <w:szCs w:val="16"/>
              </w:rPr>
            </w:pPr>
          </w:p>
        </w:tc>
        <w:tc>
          <w:tcPr>
            <w:tcW w:w="1812" w:type="dxa"/>
            <w:gridSpan w:val="2"/>
            <w:noWrap/>
          </w:tcPr>
          <w:p w14:paraId="59FAA8C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0.09</w:t>
            </w:r>
          </w:p>
        </w:tc>
        <w:tc>
          <w:tcPr>
            <w:tcW w:w="1812" w:type="dxa"/>
            <w:gridSpan w:val="3"/>
            <w:noWrap/>
          </w:tcPr>
          <w:p w14:paraId="0029BCD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-0.32</w:t>
            </w:r>
          </w:p>
        </w:tc>
        <w:tc>
          <w:tcPr>
            <w:tcW w:w="1812" w:type="dxa"/>
            <w:gridSpan w:val="3"/>
            <w:noWrap/>
          </w:tcPr>
          <w:p w14:paraId="5C3DBF0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0.02</w:t>
            </w:r>
          </w:p>
        </w:tc>
        <w:tc>
          <w:tcPr>
            <w:tcW w:w="1805" w:type="dxa"/>
            <w:gridSpan w:val="3"/>
            <w:noWrap/>
          </w:tcPr>
          <w:p w14:paraId="47D610E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r>
      <w:tr w:rsidR="000765CF" w:rsidRPr="00DF6C69" w14:paraId="38826CB6" w14:textId="77777777" w:rsidTr="000765CF">
        <w:trPr>
          <w:gridBefore w:val="1"/>
          <w:wBefore w:w="289" w:type="dxa"/>
          <w:trHeight w:val="20"/>
        </w:trPr>
        <w:tc>
          <w:tcPr>
            <w:tcW w:w="9351" w:type="dxa"/>
            <w:gridSpan w:val="14"/>
            <w:shd w:val="clear" w:color="auto" w:fill="FBE4D5" w:themeFill="accent2" w:themeFillTint="33"/>
            <w:noWrap/>
            <w:vAlign w:val="center"/>
            <w:hideMark/>
          </w:tcPr>
          <w:p w14:paraId="52238A6E" w14:textId="77777777" w:rsidR="000765CF" w:rsidRPr="00DF6C69" w:rsidRDefault="000765CF" w:rsidP="000765CF">
            <w:pPr>
              <w:jc w:val="center"/>
              <w:rPr>
                <w:rFonts w:ascii="Times New Roman" w:hAnsi="Times New Roman" w:cs="Times New Roman"/>
                <w:b/>
                <w:sz w:val="16"/>
                <w:szCs w:val="16"/>
              </w:rPr>
            </w:pPr>
            <w:r w:rsidRPr="00DF6C69">
              <w:rPr>
                <w:rFonts w:ascii="Times New Roman" w:hAnsi="Times New Roman" w:cs="Times New Roman"/>
                <w:b/>
                <w:sz w:val="16"/>
                <w:szCs w:val="16"/>
              </w:rPr>
              <w:t xml:space="preserve">PCa group </w:t>
            </w:r>
          </w:p>
        </w:tc>
      </w:tr>
      <w:tr w:rsidR="000765CF" w:rsidRPr="00DF6C69" w14:paraId="26B5849C" w14:textId="77777777" w:rsidTr="000765CF">
        <w:trPr>
          <w:gridBefore w:val="1"/>
          <w:wBefore w:w="289" w:type="dxa"/>
          <w:trHeight w:val="20"/>
        </w:trPr>
        <w:tc>
          <w:tcPr>
            <w:tcW w:w="2110" w:type="dxa"/>
            <w:gridSpan w:val="3"/>
            <w:shd w:val="clear" w:color="auto" w:fill="FBE4D5" w:themeFill="accent2" w:themeFillTint="33"/>
            <w:noWrap/>
            <w:vAlign w:val="center"/>
            <w:hideMark/>
          </w:tcPr>
          <w:p w14:paraId="7E915848" w14:textId="77777777" w:rsidR="000765CF" w:rsidRPr="00DF6C69" w:rsidRDefault="000765CF" w:rsidP="000765CF">
            <w:pPr>
              <w:jc w:val="center"/>
              <w:rPr>
                <w:rFonts w:ascii="Times New Roman" w:hAnsi="Times New Roman" w:cs="Times New Roman"/>
                <w:sz w:val="16"/>
                <w:szCs w:val="16"/>
              </w:rPr>
            </w:pP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 xml:space="preserve"> </w:t>
            </w:r>
            <w:proofErr w:type="gramStart"/>
            <w:r w:rsidRPr="00DF6C69">
              <w:rPr>
                <w:rFonts w:ascii="Times New Roman" w:hAnsi="Times New Roman" w:cs="Times New Roman"/>
                <w:sz w:val="16"/>
                <w:szCs w:val="16"/>
              </w:rPr>
              <w:t>average  (</w:t>
            </w:r>
            <w:proofErr w:type="gramEnd"/>
            <w:r w:rsidRPr="00DF6C69">
              <w:rPr>
                <w:rFonts w:ascii="Times New Roman" w:hAnsi="Times New Roman" w:cs="Times New Roman"/>
                <w:sz w:val="16"/>
                <w:szCs w:val="16"/>
              </w:rPr>
              <w:t>µM)</w:t>
            </w:r>
          </w:p>
        </w:tc>
        <w:tc>
          <w:tcPr>
            <w:tcW w:w="1812" w:type="dxa"/>
            <w:gridSpan w:val="2"/>
            <w:noWrap/>
            <w:vAlign w:val="center"/>
            <w:hideMark/>
          </w:tcPr>
          <w:p w14:paraId="28F4BE0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2694</w:t>
            </w:r>
          </w:p>
        </w:tc>
        <w:tc>
          <w:tcPr>
            <w:tcW w:w="1812" w:type="dxa"/>
            <w:gridSpan w:val="3"/>
            <w:noWrap/>
            <w:vAlign w:val="center"/>
            <w:hideMark/>
          </w:tcPr>
          <w:p w14:paraId="502A5CA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62.2</w:t>
            </w:r>
          </w:p>
        </w:tc>
        <w:tc>
          <w:tcPr>
            <w:tcW w:w="1812" w:type="dxa"/>
            <w:gridSpan w:val="3"/>
            <w:noWrap/>
            <w:vAlign w:val="center"/>
            <w:hideMark/>
          </w:tcPr>
          <w:p w14:paraId="0431F55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13.4</w:t>
            </w:r>
          </w:p>
        </w:tc>
        <w:tc>
          <w:tcPr>
            <w:tcW w:w="1805" w:type="dxa"/>
            <w:gridSpan w:val="3"/>
            <w:noWrap/>
            <w:vAlign w:val="center"/>
            <w:hideMark/>
          </w:tcPr>
          <w:p w14:paraId="0B9D258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r>
      <w:tr w:rsidR="000765CF" w:rsidRPr="00DF6C69" w14:paraId="6A5DF8B0" w14:textId="77777777" w:rsidTr="000765CF">
        <w:trPr>
          <w:gridBefore w:val="1"/>
          <w:wBefore w:w="289" w:type="dxa"/>
          <w:trHeight w:val="20"/>
        </w:trPr>
        <w:tc>
          <w:tcPr>
            <w:tcW w:w="2110" w:type="dxa"/>
            <w:gridSpan w:val="3"/>
            <w:shd w:val="clear" w:color="auto" w:fill="FBE4D5" w:themeFill="accent2" w:themeFillTint="33"/>
            <w:noWrap/>
            <w:vAlign w:val="center"/>
            <w:hideMark/>
          </w:tcPr>
          <w:p w14:paraId="1CAD22F9" w14:textId="77777777" w:rsidR="000765CF" w:rsidRPr="00DF6C69" w:rsidRDefault="000765CF" w:rsidP="000765CF">
            <w:pPr>
              <w:jc w:val="center"/>
              <w:rPr>
                <w:rFonts w:ascii="Times New Roman" w:hAnsi="Times New Roman" w:cs="Times New Roman"/>
                <w:sz w:val="16"/>
                <w:szCs w:val="16"/>
              </w:rPr>
            </w:pP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 xml:space="preserve"> median (µM)</w:t>
            </w:r>
          </w:p>
        </w:tc>
        <w:tc>
          <w:tcPr>
            <w:tcW w:w="1812" w:type="dxa"/>
            <w:gridSpan w:val="2"/>
            <w:noWrap/>
            <w:vAlign w:val="center"/>
            <w:hideMark/>
          </w:tcPr>
          <w:p w14:paraId="39237D2E"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2386</w:t>
            </w:r>
          </w:p>
        </w:tc>
        <w:tc>
          <w:tcPr>
            <w:tcW w:w="1812" w:type="dxa"/>
            <w:gridSpan w:val="3"/>
            <w:noWrap/>
            <w:vAlign w:val="center"/>
            <w:hideMark/>
          </w:tcPr>
          <w:p w14:paraId="2186159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61.0</w:t>
            </w:r>
          </w:p>
        </w:tc>
        <w:tc>
          <w:tcPr>
            <w:tcW w:w="1812" w:type="dxa"/>
            <w:gridSpan w:val="3"/>
            <w:noWrap/>
            <w:vAlign w:val="center"/>
            <w:hideMark/>
          </w:tcPr>
          <w:p w14:paraId="2FF63CE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10.4</w:t>
            </w:r>
          </w:p>
        </w:tc>
        <w:tc>
          <w:tcPr>
            <w:tcW w:w="1805" w:type="dxa"/>
            <w:gridSpan w:val="3"/>
            <w:noWrap/>
            <w:vAlign w:val="center"/>
            <w:hideMark/>
          </w:tcPr>
          <w:p w14:paraId="148C6DD3"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9.7</w:t>
            </w:r>
          </w:p>
        </w:tc>
      </w:tr>
      <w:tr w:rsidR="000765CF" w:rsidRPr="00DF6C69" w14:paraId="57DAAA80" w14:textId="77777777" w:rsidTr="000765CF">
        <w:trPr>
          <w:gridBefore w:val="1"/>
          <w:wBefore w:w="289" w:type="dxa"/>
          <w:trHeight w:val="20"/>
        </w:trPr>
        <w:tc>
          <w:tcPr>
            <w:tcW w:w="2110" w:type="dxa"/>
            <w:gridSpan w:val="3"/>
            <w:shd w:val="clear" w:color="auto" w:fill="FBE4D5" w:themeFill="accent2" w:themeFillTint="33"/>
            <w:noWrap/>
            <w:vAlign w:val="center"/>
            <w:hideMark/>
          </w:tcPr>
          <w:p w14:paraId="321A6B41" w14:textId="77777777" w:rsidR="000765CF" w:rsidRPr="00DF6C69" w:rsidRDefault="000765CF" w:rsidP="000765CF">
            <w:pPr>
              <w:jc w:val="center"/>
              <w:rPr>
                <w:rFonts w:ascii="Times New Roman" w:hAnsi="Times New Roman" w:cs="Times New Roman"/>
                <w:sz w:val="16"/>
                <w:szCs w:val="16"/>
              </w:rPr>
            </w:pP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 xml:space="preserve"> std. dev. (µM)</w:t>
            </w:r>
          </w:p>
        </w:tc>
        <w:tc>
          <w:tcPr>
            <w:tcW w:w="1812" w:type="dxa"/>
            <w:gridSpan w:val="2"/>
            <w:noWrap/>
            <w:vAlign w:val="center"/>
            <w:hideMark/>
          </w:tcPr>
          <w:p w14:paraId="3A9164F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1052</w:t>
            </w:r>
          </w:p>
        </w:tc>
        <w:tc>
          <w:tcPr>
            <w:tcW w:w="1812" w:type="dxa"/>
            <w:gridSpan w:val="3"/>
            <w:noWrap/>
            <w:vAlign w:val="center"/>
            <w:hideMark/>
          </w:tcPr>
          <w:p w14:paraId="76DC4FF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29.5</w:t>
            </w:r>
          </w:p>
        </w:tc>
        <w:tc>
          <w:tcPr>
            <w:tcW w:w="1812" w:type="dxa"/>
            <w:gridSpan w:val="3"/>
            <w:noWrap/>
            <w:vAlign w:val="center"/>
            <w:hideMark/>
          </w:tcPr>
          <w:p w14:paraId="7CF3D16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7.9</w:t>
            </w:r>
          </w:p>
        </w:tc>
        <w:tc>
          <w:tcPr>
            <w:tcW w:w="1805" w:type="dxa"/>
            <w:gridSpan w:val="3"/>
            <w:noWrap/>
            <w:vAlign w:val="center"/>
            <w:hideMark/>
          </w:tcPr>
          <w:p w14:paraId="30B62C9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6.9</w:t>
            </w:r>
          </w:p>
        </w:tc>
      </w:tr>
      <w:tr w:rsidR="000765CF" w:rsidRPr="00DF6C69" w14:paraId="7588743B" w14:textId="77777777" w:rsidTr="000765CF">
        <w:trPr>
          <w:gridBefore w:val="1"/>
          <w:wBefore w:w="289" w:type="dxa"/>
          <w:trHeight w:val="20"/>
        </w:trPr>
        <w:tc>
          <w:tcPr>
            <w:tcW w:w="2110" w:type="dxa"/>
            <w:gridSpan w:val="3"/>
            <w:shd w:val="clear" w:color="auto" w:fill="FBE4D5" w:themeFill="accent2" w:themeFillTint="33"/>
            <w:noWrap/>
            <w:vAlign w:val="center"/>
            <w:hideMark/>
          </w:tcPr>
          <w:p w14:paraId="7ACBC910" w14:textId="77777777" w:rsidR="000765CF" w:rsidRPr="00DF6C69" w:rsidRDefault="000765CF" w:rsidP="000765CF">
            <w:pPr>
              <w:jc w:val="center"/>
              <w:rPr>
                <w:rFonts w:ascii="Times New Roman" w:hAnsi="Times New Roman" w:cs="Times New Roman"/>
                <w:sz w:val="16"/>
                <w:szCs w:val="16"/>
              </w:rPr>
            </w:pP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 xml:space="preserve"> std error (µM)</w:t>
            </w:r>
          </w:p>
        </w:tc>
        <w:tc>
          <w:tcPr>
            <w:tcW w:w="1812" w:type="dxa"/>
            <w:gridSpan w:val="2"/>
            <w:noWrap/>
            <w:vAlign w:val="center"/>
            <w:hideMark/>
          </w:tcPr>
          <w:p w14:paraId="76ED5F7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263.0</w:t>
            </w:r>
          </w:p>
        </w:tc>
        <w:tc>
          <w:tcPr>
            <w:tcW w:w="1812" w:type="dxa"/>
            <w:gridSpan w:val="3"/>
            <w:noWrap/>
            <w:vAlign w:val="center"/>
            <w:hideMark/>
          </w:tcPr>
          <w:p w14:paraId="0B749E1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7.4</w:t>
            </w:r>
          </w:p>
        </w:tc>
        <w:tc>
          <w:tcPr>
            <w:tcW w:w="1812" w:type="dxa"/>
            <w:gridSpan w:val="3"/>
            <w:noWrap/>
            <w:vAlign w:val="center"/>
            <w:hideMark/>
          </w:tcPr>
          <w:p w14:paraId="13E2B3C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2.0</w:t>
            </w:r>
          </w:p>
        </w:tc>
        <w:tc>
          <w:tcPr>
            <w:tcW w:w="1805" w:type="dxa"/>
            <w:gridSpan w:val="3"/>
            <w:noWrap/>
            <w:vAlign w:val="center"/>
            <w:hideMark/>
          </w:tcPr>
          <w:p w14:paraId="7B187D3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1.7</w:t>
            </w:r>
          </w:p>
        </w:tc>
      </w:tr>
      <w:tr w:rsidR="000765CF" w:rsidRPr="00DF6C69" w14:paraId="5D553D14" w14:textId="77777777" w:rsidTr="000765CF">
        <w:trPr>
          <w:gridBefore w:val="1"/>
          <w:wBefore w:w="289" w:type="dxa"/>
          <w:trHeight w:val="20"/>
        </w:trPr>
        <w:tc>
          <w:tcPr>
            <w:tcW w:w="2110" w:type="dxa"/>
            <w:gridSpan w:val="3"/>
            <w:shd w:val="clear" w:color="auto" w:fill="FBE4D5" w:themeFill="accent2" w:themeFillTint="33"/>
            <w:noWrap/>
            <w:vAlign w:val="center"/>
          </w:tcPr>
          <w:p w14:paraId="0EDFDFC4"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Range (µM)</w:t>
            </w:r>
          </w:p>
        </w:tc>
        <w:tc>
          <w:tcPr>
            <w:tcW w:w="1812" w:type="dxa"/>
            <w:gridSpan w:val="2"/>
            <w:noWrap/>
            <w:vAlign w:val="center"/>
          </w:tcPr>
          <w:p w14:paraId="3D981E1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1503 - 5410</w:t>
            </w:r>
          </w:p>
        </w:tc>
        <w:tc>
          <w:tcPr>
            <w:tcW w:w="1812" w:type="dxa"/>
            <w:gridSpan w:val="3"/>
            <w:noWrap/>
            <w:vAlign w:val="center"/>
          </w:tcPr>
          <w:p w14:paraId="0FC6776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6.3 – 149.5</w:t>
            </w:r>
          </w:p>
        </w:tc>
        <w:tc>
          <w:tcPr>
            <w:tcW w:w="1812" w:type="dxa"/>
            <w:gridSpan w:val="3"/>
            <w:noWrap/>
            <w:vAlign w:val="center"/>
          </w:tcPr>
          <w:p w14:paraId="4BDF5C3F"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4.7 - 36.9</w:t>
            </w:r>
          </w:p>
        </w:tc>
        <w:tc>
          <w:tcPr>
            <w:tcW w:w="1805" w:type="dxa"/>
            <w:gridSpan w:val="3"/>
            <w:noWrap/>
            <w:vAlign w:val="center"/>
          </w:tcPr>
          <w:p w14:paraId="52E2AEB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1.7 – 27.2</w:t>
            </w:r>
          </w:p>
        </w:tc>
      </w:tr>
      <w:tr w:rsidR="000765CF" w:rsidRPr="00DF6C69" w14:paraId="645F49E4" w14:textId="77777777" w:rsidTr="000765CF">
        <w:trPr>
          <w:gridBefore w:val="1"/>
          <w:wBefore w:w="289" w:type="dxa"/>
          <w:trHeight w:val="20"/>
        </w:trPr>
        <w:tc>
          <w:tcPr>
            <w:tcW w:w="2110" w:type="dxa"/>
            <w:gridSpan w:val="3"/>
            <w:vMerge w:val="restart"/>
            <w:shd w:val="clear" w:color="auto" w:fill="FBE4D5" w:themeFill="accent2" w:themeFillTint="33"/>
            <w:noWrap/>
            <w:vAlign w:val="center"/>
          </w:tcPr>
          <w:p w14:paraId="2A15149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Cross-correlation Matrix</w:t>
            </w:r>
          </w:p>
        </w:tc>
        <w:tc>
          <w:tcPr>
            <w:tcW w:w="1812" w:type="dxa"/>
            <w:gridSpan w:val="2"/>
            <w:noWrap/>
          </w:tcPr>
          <w:p w14:paraId="05C4978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c>
          <w:tcPr>
            <w:tcW w:w="1812" w:type="dxa"/>
            <w:gridSpan w:val="3"/>
            <w:noWrap/>
          </w:tcPr>
          <w:p w14:paraId="61F64E1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-0.02</w:t>
            </w:r>
          </w:p>
        </w:tc>
        <w:tc>
          <w:tcPr>
            <w:tcW w:w="1812" w:type="dxa"/>
            <w:gridSpan w:val="3"/>
            <w:noWrap/>
          </w:tcPr>
          <w:p w14:paraId="411DC036"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0.05</w:t>
            </w:r>
          </w:p>
        </w:tc>
        <w:tc>
          <w:tcPr>
            <w:tcW w:w="1805" w:type="dxa"/>
            <w:gridSpan w:val="3"/>
            <w:noWrap/>
          </w:tcPr>
          <w:p w14:paraId="2D63AFE2"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0.11</w:t>
            </w:r>
          </w:p>
        </w:tc>
      </w:tr>
      <w:tr w:rsidR="000765CF" w:rsidRPr="00DF6C69" w14:paraId="2617A79F" w14:textId="77777777" w:rsidTr="000765CF">
        <w:trPr>
          <w:gridBefore w:val="1"/>
          <w:wBefore w:w="289" w:type="dxa"/>
          <w:trHeight w:val="20"/>
        </w:trPr>
        <w:tc>
          <w:tcPr>
            <w:tcW w:w="2110" w:type="dxa"/>
            <w:gridSpan w:val="3"/>
            <w:vMerge/>
            <w:shd w:val="clear" w:color="auto" w:fill="FBE4D5" w:themeFill="accent2" w:themeFillTint="33"/>
            <w:noWrap/>
            <w:vAlign w:val="center"/>
          </w:tcPr>
          <w:p w14:paraId="36A29309" w14:textId="77777777" w:rsidR="000765CF" w:rsidRPr="00DF6C69" w:rsidRDefault="000765CF" w:rsidP="000765CF">
            <w:pPr>
              <w:jc w:val="center"/>
              <w:rPr>
                <w:rFonts w:ascii="Times New Roman" w:hAnsi="Times New Roman" w:cs="Times New Roman"/>
                <w:sz w:val="16"/>
                <w:szCs w:val="16"/>
              </w:rPr>
            </w:pPr>
          </w:p>
        </w:tc>
        <w:tc>
          <w:tcPr>
            <w:tcW w:w="1812" w:type="dxa"/>
            <w:gridSpan w:val="2"/>
            <w:noWrap/>
          </w:tcPr>
          <w:p w14:paraId="15EF86A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-0.02</w:t>
            </w:r>
          </w:p>
        </w:tc>
        <w:tc>
          <w:tcPr>
            <w:tcW w:w="1812" w:type="dxa"/>
            <w:gridSpan w:val="3"/>
            <w:noWrap/>
          </w:tcPr>
          <w:p w14:paraId="210C977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c>
          <w:tcPr>
            <w:tcW w:w="1812" w:type="dxa"/>
            <w:gridSpan w:val="3"/>
            <w:noWrap/>
          </w:tcPr>
          <w:p w14:paraId="7B1BAD4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-0.08</w:t>
            </w:r>
          </w:p>
        </w:tc>
        <w:tc>
          <w:tcPr>
            <w:tcW w:w="1805" w:type="dxa"/>
            <w:gridSpan w:val="3"/>
            <w:noWrap/>
          </w:tcPr>
          <w:p w14:paraId="6FD3A96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0.01</w:t>
            </w:r>
          </w:p>
        </w:tc>
      </w:tr>
      <w:tr w:rsidR="000765CF" w:rsidRPr="00DF6C69" w14:paraId="4EAA9209" w14:textId="77777777" w:rsidTr="000765CF">
        <w:trPr>
          <w:gridBefore w:val="1"/>
          <w:wBefore w:w="289" w:type="dxa"/>
          <w:trHeight w:val="20"/>
        </w:trPr>
        <w:tc>
          <w:tcPr>
            <w:tcW w:w="2110" w:type="dxa"/>
            <w:gridSpan w:val="3"/>
            <w:vMerge/>
            <w:shd w:val="clear" w:color="auto" w:fill="FBE4D5" w:themeFill="accent2" w:themeFillTint="33"/>
            <w:noWrap/>
            <w:vAlign w:val="center"/>
          </w:tcPr>
          <w:p w14:paraId="74863D53" w14:textId="77777777" w:rsidR="000765CF" w:rsidRPr="00DF6C69" w:rsidRDefault="000765CF" w:rsidP="000765CF">
            <w:pPr>
              <w:jc w:val="center"/>
              <w:rPr>
                <w:rFonts w:ascii="Times New Roman" w:hAnsi="Times New Roman" w:cs="Times New Roman"/>
                <w:sz w:val="16"/>
                <w:szCs w:val="16"/>
              </w:rPr>
            </w:pPr>
          </w:p>
        </w:tc>
        <w:tc>
          <w:tcPr>
            <w:tcW w:w="1812" w:type="dxa"/>
            <w:gridSpan w:val="2"/>
            <w:noWrap/>
          </w:tcPr>
          <w:p w14:paraId="5CEB8CB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0.05</w:t>
            </w:r>
          </w:p>
        </w:tc>
        <w:tc>
          <w:tcPr>
            <w:tcW w:w="1812" w:type="dxa"/>
            <w:gridSpan w:val="3"/>
            <w:noWrap/>
          </w:tcPr>
          <w:p w14:paraId="53813FBC"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-0.08</w:t>
            </w:r>
          </w:p>
        </w:tc>
        <w:tc>
          <w:tcPr>
            <w:tcW w:w="1812" w:type="dxa"/>
            <w:gridSpan w:val="3"/>
            <w:noWrap/>
          </w:tcPr>
          <w:p w14:paraId="2076FC8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c>
          <w:tcPr>
            <w:tcW w:w="1805" w:type="dxa"/>
            <w:gridSpan w:val="3"/>
            <w:noWrap/>
          </w:tcPr>
          <w:p w14:paraId="0FC333E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-0.30</w:t>
            </w:r>
          </w:p>
        </w:tc>
      </w:tr>
      <w:tr w:rsidR="000765CF" w:rsidRPr="00DF6C69" w14:paraId="3CE77781" w14:textId="77777777" w:rsidTr="000765CF">
        <w:trPr>
          <w:gridBefore w:val="1"/>
          <w:wBefore w:w="289" w:type="dxa"/>
          <w:trHeight w:val="20"/>
        </w:trPr>
        <w:tc>
          <w:tcPr>
            <w:tcW w:w="2110" w:type="dxa"/>
            <w:gridSpan w:val="3"/>
            <w:vMerge/>
            <w:shd w:val="clear" w:color="auto" w:fill="FBE4D5" w:themeFill="accent2" w:themeFillTint="33"/>
            <w:noWrap/>
            <w:vAlign w:val="center"/>
          </w:tcPr>
          <w:p w14:paraId="00B145CE" w14:textId="77777777" w:rsidR="000765CF" w:rsidRPr="00DF6C69" w:rsidRDefault="000765CF" w:rsidP="000765CF">
            <w:pPr>
              <w:jc w:val="center"/>
              <w:rPr>
                <w:rFonts w:ascii="Times New Roman" w:hAnsi="Times New Roman" w:cs="Times New Roman"/>
                <w:sz w:val="16"/>
                <w:szCs w:val="16"/>
              </w:rPr>
            </w:pPr>
          </w:p>
        </w:tc>
        <w:tc>
          <w:tcPr>
            <w:tcW w:w="1812" w:type="dxa"/>
            <w:gridSpan w:val="2"/>
            <w:noWrap/>
          </w:tcPr>
          <w:p w14:paraId="2BCF9DD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0.11</w:t>
            </w:r>
          </w:p>
        </w:tc>
        <w:tc>
          <w:tcPr>
            <w:tcW w:w="1812" w:type="dxa"/>
            <w:gridSpan w:val="3"/>
            <w:noWrap/>
          </w:tcPr>
          <w:p w14:paraId="56E72F2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0.01</w:t>
            </w:r>
          </w:p>
        </w:tc>
        <w:tc>
          <w:tcPr>
            <w:tcW w:w="1812" w:type="dxa"/>
            <w:gridSpan w:val="3"/>
            <w:noWrap/>
          </w:tcPr>
          <w:p w14:paraId="7E09B02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-0.30</w:t>
            </w:r>
          </w:p>
        </w:tc>
        <w:tc>
          <w:tcPr>
            <w:tcW w:w="1805" w:type="dxa"/>
            <w:gridSpan w:val="3"/>
            <w:noWrap/>
          </w:tcPr>
          <w:p w14:paraId="54B84979"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1.00</w:t>
            </w:r>
          </w:p>
        </w:tc>
      </w:tr>
      <w:tr w:rsidR="000765CF" w:rsidRPr="00DF6C69" w14:paraId="3BC7FE9B" w14:textId="77777777" w:rsidTr="000765CF">
        <w:trPr>
          <w:gridBefore w:val="1"/>
          <w:wBefore w:w="289" w:type="dxa"/>
          <w:trHeight w:val="20"/>
        </w:trPr>
        <w:tc>
          <w:tcPr>
            <w:tcW w:w="9351" w:type="dxa"/>
            <w:gridSpan w:val="14"/>
            <w:shd w:val="clear" w:color="auto" w:fill="D9E2F3" w:themeFill="accent1" w:themeFillTint="33"/>
            <w:noWrap/>
            <w:vAlign w:val="center"/>
            <w:hideMark/>
          </w:tcPr>
          <w:p w14:paraId="16E073D2" w14:textId="77777777" w:rsidR="000765CF" w:rsidRPr="00DF6C69" w:rsidRDefault="000765CF" w:rsidP="000765CF">
            <w:pPr>
              <w:jc w:val="center"/>
              <w:rPr>
                <w:rFonts w:ascii="Times New Roman" w:hAnsi="Times New Roman" w:cs="Times New Roman"/>
                <w:b/>
                <w:sz w:val="16"/>
                <w:szCs w:val="16"/>
              </w:rPr>
            </w:pPr>
            <w:r w:rsidRPr="00DF6C69">
              <w:rPr>
                <w:rFonts w:ascii="Times New Roman" w:hAnsi="Times New Roman" w:cs="Times New Roman"/>
                <w:b/>
                <w:sz w:val="16"/>
                <w:szCs w:val="16"/>
              </w:rPr>
              <w:t xml:space="preserve">Univariate analysis </w:t>
            </w:r>
          </w:p>
        </w:tc>
      </w:tr>
      <w:tr w:rsidR="000765CF" w:rsidRPr="00DF6C69" w14:paraId="02C56DB5" w14:textId="77777777" w:rsidTr="00620BBB">
        <w:trPr>
          <w:gridBefore w:val="1"/>
          <w:wBefore w:w="289" w:type="dxa"/>
          <w:trHeight w:val="20"/>
        </w:trPr>
        <w:tc>
          <w:tcPr>
            <w:tcW w:w="2110" w:type="dxa"/>
            <w:gridSpan w:val="3"/>
            <w:tcBorders>
              <w:bottom w:val="single" w:sz="4" w:space="0" w:color="auto"/>
            </w:tcBorders>
            <w:shd w:val="clear" w:color="auto" w:fill="D9E2F3" w:themeFill="accent1" w:themeFillTint="33"/>
            <w:noWrap/>
            <w:vAlign w:val="center"/>
          </w:tcPr>
          <w:p w14:paraId="03727B96" w14:textId="77777777" w:rsidR="000765CF" w:rsidRPr="00DF6C69" w:rsidRDefault="000765CF" w:rsidP="000765CF">
            <w:pPr>
              <w:jc w:val="center"/>
              <w:rPr>
                <w:rFonts w:ascii="Times New Roman" w:hAnsi="Times New Roman" w:cs="Times New Roman"/>
                <w:sz w:val="16"/>
                <w:szCs w:val="16"/>
              </w:rPr>
            </w:pP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/non-</w:t>
            </w: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 xml:space="preserve"> (average)</w:t>
            </w:r>
          </w:p>
        </w:tc>
        <w:tc>
          <w:tcPr>
            <w:tcW w:w="1812" w:type="dxa"/>
            <w:gridSpan w:val="2"/>
            <w:tcBorders>
              <w:bottom w:val="single" w:sz="4" w:space="0" w:color="auto"/>
            </w:tcBorders>
            <w:noWrap/>
            <w:vAlign w:val="center"/>
          </w:tcPr>
          <w:p w14:paraId="59FBEC1A"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1.36</w:t>
            </w:r>
          </w:p>
        </w:tc>
        <w:tc>
          <w:tcPr>
            <w:tcW w:w="1812" w:type="dxa"/>
            <w:gridSpan w:val="3"/>
            <w:tcBorders>
              <w:bottom w:val="single" w:sz="4" w:space="0" w:color="auto"/>
            </w:tcBorders>
            <w:noWrap/>
            <w:vAlign w:val="center"/>
          </w:tcPr>
          <w:p w14:paraId="309D8DA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1.55</w:t>
            </w:r>
          </w:p>
        </w:tc>
        <w:tc>
          <w:tcPr>
            <w:tcW w:w="1812" w:type="dxa"/>
            <w:gridSpan w:val="3"/>
            <w:tcBorders>
              <w:bottom w:val="single" w:sz="4" w:space="0" w:color="auto"/>
            </w:tcBorders>
            <w:noWrap/>
            <w:vAlign w:val="center"/>
          </w:tcPr>
          <w:p w14:paraId="274FB182" w14:textId="5CD5CA32"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w:t>
            </w:r>
            <w:r w:rsidR="00237C82" w:rsidRPr="00DF6C69">
              <w:rPr>
                <w:rFonts w:ascii="Times New Roman" w:hAnsi="Times New Roman" w:cs="Times New Roman"/>
                <w:sz w:val="16"/>
                <w:szCs w:val="16"/>
              </w:rPr>
              <w:t>34</w:t>
            </w:r>
          </w:p>
        </w:tc>
        <w:tc>
          <w:tcPr>
            <w:tcW w:w="1805" w:type="dxa"/>
            <w:gridSpan w:val="3"/>
            <w:tcBorders>
              <w:bottom w:val="single" w:sz="4" w:space="0" w:color="auto"/>
            </w:tcBorders>
            <w:noWrap/>
            <w:vAlign w:val="center"/>
          </w:tcPr>
          <w:p w14:paraId="37599567"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0.87</w:t>
            </w:r>
          </w:p>
        </w:tc>
      </w:tr>
      <w:tr w:rsidR="000765CF" w:rsidRPr="00DF6C69" w14:paraId="35F8BE0C" w14:textId="77777777" w:rsidTr="000765CF">
        <w:trPr>
          <w:gridBefore w:val="1"/>
          <w:wBefore w:w="289" w:type="dxa"/>
          <w:trHeight w:val="20"/>
        </w:trPr>
        <w:tc>
          <w:tcPr>
            <w:tcW w:w="2110" w:type="dxa"/>
            <w:gridSpan w:val="3"/>
            <w:shd w:val="clear" w:color="auto" w:fill="D9E2F3" w:themeFill="accent1" w:themeFillTint="33"/>
            <w:noWrap/>
            <w:vAlign w:val="center"/>
            <w:hideMark/>
          </w:tcPr>
          <w:p w14:paraId="6B0E71B2" w14:textId="77777777" w:rsidR="000765CF" w:rsidRPr="00DF6C69" w:rsidRDefault="000765CF" w:rsidP="000765CF">
            <w:pPr>
              <w:jc w:val="center"/>
              <w:rPr>
                <w:rFonts w:ascii="Times New Roman" w:hAnsi="Times New Roman" w:cs="Times New Roman"/>
                <w:sz w:val="16"/>
                <w:szCs w:val="16"/>
              </w:rPr>
            </w:pP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/non-</w:t>
            </w:r>
            <w:proofErr w:type="spellStart"/>
            <w:r w:rsidRPr="00DF6C69">
              <w:rPr>
                <w:rFonts w:ascii="Times New Roman" w:hAnsi="Times New Roman" w:cs="Times New Roman"/>
                <w:sz w:val="16"/>
                <w:szCs w:val="16"/>
              </w:rPr>
              <w:t>Pca</w:t>
            </w:r>
            <w:proofErr w:type="spellEnd"/>
            <w:r w:rsidRPr="00DF6C69">
              <w:rPr>
                <w:rFonts w:ascii="Times New Roman" w:hAnsi="Times New Roman" w:cs="Times New Roman"/>
                <w:sz w:val="16"/>
                <w:szCs w:val="16"/>
              </w:rPr>
              <w:t xml:space="preserve"> (median)</w:t>
            </w:r>
          </w:p>
        </w:tc>
        <w:tc>
          <w:tcPr>
            <w:tcW w:w="1812" w:type="dxa"/>
            <w:gridSpan w:val="2"/>
            <w:noWrap/>
            <w:vAlign w:val="center"/>
            <w:hideMark/>
          </w:tcPr>
          <w:p w14:paraId="242CBBA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1.21</w:t>
            </w:r>
          </w:p>
        </w:tc>
        <w:tc>
          <w:tcPr>
            <w:tcW w:w="1812" w:type="dxa"/>
            <w:gridSpan w:val="3"/>
            <w:noWrap/>
            <w:vAlign w:val="center"/>
            <w:hideMark/>
          </w:tcPr>
          <w:p w14:paraId="63285F3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1.53</w:t>
            </w:r>
          </w:p>
        </w:tc>
        <w:tc>
          <w:tcPr>
            <w:tcW w:w="1812" w:type="dxa"/>
            <w:gridSpan w:val="3"/>
            <w:noWrap/>
            <w:vAlign w:val="center"/>
            <w:hideMark/>
          </w:tcPr>
          <w:p w14:paraId="1ED9C7D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1.15</w:t>
            </w:r>
          </w:p>
        </w:tc>
        <w:tc>
          <w:tcPr>
            <w:tcW w:w="1805" w:type="dxa"/>
            <w:gridSpan w:val="3"/>
            <w:noWrap/>
            <w:vAlign w:val="center"/>
            <w:hideMark/>
          </w:tcPr>
          <w:p w14:paraId="23D4CE3D"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0.78</w:t>
            </w:r>
          </w:p>
        </w:tc>
      </w:tr>
      <w:tr w:rsidR="000765CF" w:rsidRPr="00DF6C69" w14:paraId="629FCEFD" w14:textId="77777777" w:rsidTr="00620BBB">
        <w:trPr>
          <w:gridBefore w:val="1"/>
          <w:wBefore w:w="289" w:type="dxa"/>
          <w:trHeight w:val="20"/>
        </w:trPr>
        <w:tc>
          <w:tcPr>
            <w:tcW w:w="2110" w:type="dxa"/>
            <w:gridSpan w:val="3"/>
            <w:tcBorders>
              <w:bottom w:val="single" w:sz="4" w:space="0" w:color="auto"/>
            </w:tcBorders>
            <w:shd w:val="clear" w:color="auto" w:fill="D9E2F3" w:themeFill="accent1" w:themeFillTint="33"/>
            <w:noWrap/>
            <w:vAlign w:val="center"/>
            <w:hideMark/>
          </w:tcPr>
          <w:p w14:paraId="229F9B9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t-test (p value)</w:t>
            </w:r>
          </w:p>
        </w:tc>
        <w:tc>
          <w:tcPr>
            <w:tcW w:w="1812" w:type="dxa"/>
            <w:gridSpan w:val="2"/>
            <w:tcBorders>
              <w:bottom w:val="single" w:sz="4" w:space="0" w:color="auto"/>
            </w:tcBorders>
            <w:noWrap/>
            <w:vAlign w:val="center"/>
            <w:hideMark/>
          </w:tcPr>
          <w:p w14:paraId="601FCEE8"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0.03</w:t>
            </w:r>
          </w:p>
        </w:tc>
        <w:tc>
          <w:tcPr>
            <w:tcW w:w="1812" w:type="dxa"/>
            <w:gridSpan w:val="3"/>
            <w:tcBorders>
              <w:bottom w:val="single" w:sz="4" w:space="0" w:color="auto"/>
            </w:tcBorders>
            <w:noWrap/>
            <w:vAlign w:val="center"/>
            <w:hideMark/>
          </w:tcPr>
          <w:p w14:paraId="3F519431"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0.02</w:t>
            </w:r>
          </w:p>
        </w:tc>
        <w:tc>
          <w:tcPr>
            <w:tcW w:w="1812" w:type="dxa"/>
            <w:gridSpan w:val="3"/>
            <w:tcBorders>
              <w:bottom w:val="single" w:sz="4" w:space="0" w:color="auto"/>
            </w:tcBorders>
            <w:noWrap/>
            <w:vAlign w:val="center"/>
            <w:hideMark/>
          </w:tcPr>
          <w:p w14:paraId="37AEE395"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0.06</w:t>
            </w:r>
          </w:p>
        </w:tc>
        <w:tc>
          <w:tcPr>
            <w:tcW w:w="1805" w:type="dxa"/>
            <w:gridSpan w:val="3"/>
            <w:tcBorders>
              <w:bottom w:val="single" w:sz="4" w:space="0" w:color="auto"/>
            </w:tcBorders>
            <w:noWrap/>
            <w:vAlign w:val="center"/>
            <w:hideMark/>
          </w:tcPr>
          <w:p w14:paraId="4B5DA56B" w14:textId="77777777" w:rsidR="000765CF" w:rsidRPr="00DF6C69" w:rsidRDefault="000765CF" w:rsidP="000765CF">
            <w:pPr>
              <w:jc w:val="center"/>
              <w:rPr>
                <w:rFonts w:ascii="Times New Roman" w:hAnsi="Times New Roman" w:cs="Times New Roman"/>
                <w:sz w:val="16"/>
                <w:szCs w:val="16"/>
              </w:rPr>
            </w:pPr>
            <w:r w:rsidRPr="00DF6C69">
              <w:rPr>
                <w:rFonts w:ascii="Times New Roman" w:hAnsi="Times New Roman" w:cs="Times New Roman"/>
                <w:sz w:val="16"/>
                <w:szCs w:val="16"/>
              </w:rPr>
              <w:t>0.27</w:t>
            </w:r>
          </w:p>
        </w:tc>
      </w:tr>
      <w:tr w:rsidR="0089054D" w:rsidRPr="00DF6C69" w14:paraId="6AF7B644" w14:textId="77777777" w:rsidTr="00620BBB">
        <w:trPr>
          <w:gridBefore w:val="1"/>
          <w:wBefore w:w="289" w:type="dxa"/>
          <w:trHeight w:val="20"/>
        </w:trPr>
        <w:tc>
          <w:tcPr>
            <w:tcW w:w="2110" w:type="dxa"/>
            <w:gridSpan w:val="3"/>
            <w:tcBorders>
              <w:top w:val="single" w:sz="4" w:space="0" w:color="auto"/>
              <w:left w:val="nil"/>
              <w:bottom w:val="nil"/>
              <w:right w:val="nil"/>
            </w:tcBorders>
            <w:shd w:val="clear" w:color="auto" w:fill="auto"/>
            <w:noWrap/>
            <w:vAlign w:val="center"/>
          </w:tcPr>
          <w:p w14:paraId="07A4198E" w14:textId="77777777" w:rsidR="0089054D" w:rsidRPr="00DF6C69" w:rsidRDefault="0089054D" w:rsidP="000765CF">
            <w:pPr>
              <w:jc w:val="center"/>
              <w:rPr>
                <w:rFonts w:ascii="Times New Roman" w:hAnsi="Times New Roman" w:cs="Times New Roman"/>
                <w:sz w:val="16"/>
                <w:szCs w:val="16"/>
              </w:rPr>
            </w:pPr>
          </w:p>
          <w:p w14:paraId="4EDC28A6" w14:textId="77777777" w:rsidR="0089054D" w:rsidRPr="00DF6C69" w:rsidRDefault="0089054D" w:rsidP="000765CF">
            <w:pPr>
              <w:jc w:val="center"/>
              <w:rPr>
                <w:rFonts w:ascii="Times New Roman" w:hAnsi="Times New Roman" w:cs="Times New Roman"/>
                <w:sz w:val="16"/>
                <w:szCs w:val="16"/>
              </w:rPr>
            </w:pPr>
          </w:p>
          <w:p w14:paraId="5D843A16" w14:textId="77777777" w:rsidR="0089054D" w:rsidRPr="00DF6C69" w:rsidRDefault="0089054D" w:rsidP="000765CF">
            <w:pPr>
              <w:jc w:val="center"/>
              <w:rPr>
                <w:rFonts w:ascii="Times New Roman" w:hAnsi="Times New Roman" w:cs="Times New Roman"/>
                <w:sz w:val="16"/>
                <w:szCs w:val="16"/>
              </w:rPr>
            </w:pPr>
          </w:p>
          <w:p w14:paraId="361D810C" w14:textId="6F10406B" w:rsidR="0089054D" w:rsidRPr="00DF6C69" w:rsidRDefault="0089054D" w:rsidP="000765CF">
            <w:pPr>
              <w:jc w:val="center"/>
              <w:rPr>
                <w:rFonts w:ascii="Times New Roman" w:hAnsi="Times New Roman" w:cs="Times New Roman"/>
                <w:sz w:val="16"/>
                <w:szCs w:val="16"/>
              </w:rPr>
            </w:pPr>
          </w:p>
        </w:tc>
        <w:tc>
          <w:tcPr>
            <w:tcW w:w="1812" w:type="dxa"/>
            <w:gridSpan w:val="2"/>
            <w:tcBorders>
              <w:top w:val="single" w:sz="4" w:space="0" w:color="auto"/>
              <w:left w:val="nil"/>
              <w:bottom w:val="nil"/>
              <w:right w:val="nil"/>
            </w:tcBorders>
            <w:shd w:val="clear" w:color="auto" w:fill="auto"/>
            <w:noWrap/>
            <w:vAlign w:val="center"/>
          </w:tcPr>
          <w:p w14:paraId="669E289C" w14:textId="77777777" w:rsidR="0089054D" w:rsidRPr="00DF6C69" w:rsidRDefault="0089054D" w:rsidP="000765CF">
            <w:pPr>
              <w:jc w:val="center"/>
              <w:rPr>
                <w:rFonts w:ascii="Times New Roman" w:hAnsi="Times New Roman" w:cs="Times New Roman"/>
                <w:sz w:val="16"/>
                <w:szCs w:val="16"/>
              </w:rPr>
            </w:pPr>
          </w:p>
          <w:p w14:paraId="0B25D194" w14:textId="77777777" w:rsidR="00237C82" w:rsidRPr="00DF6C69" w:rsidRDefault="00237C82" w:rsidP="000765CF">
            <w:pPr>
              <w:jc w:val="center"/>
              <w:rPr>
                <w:rFonts w:ascii="Times New Roman" w:hAnsi="Times New Roman" w:cs="Times New Roman"/>
                <w:sz w:val="16"/>
                <w:szCs w:val="16"/>
              </w:rPr>
            </w:pPr>
          </w:p>
          <w:p w14:paraId="3D99440B" w14:textId="77777777" w:rsidR="00237C82" w:rsidRPr="00DF6C69" w:rsidRDefault="00237C82" w:rsidP="000765CF">
            <w:pPr>
              <w:jc w:val="center"/>
              <w:rPr>
                <w:rFonts w:ascii="Times New Roman" w:hAnsi="Times New Roman" w:cs="Times New Roman"/>
                <w:sz w:val="16"/>
                <w:szCs w:val="16"/>
              </w:rPr>
            </w:pPr>
          </w:p>
          <w:p w14:paraId="79F88864" w14:textId="77777777" w:rsidR="00237C82" w:rsidRPr="00DF6C69" w:rsidRDefault="00237C82" w:rsidP="000765CF">
            <w:pPr>
              <w:jc w:val="center"/>
              <w:rPr>
                <w:rFonts w:ascii="Times New Roman" w:hAnsi="Times New Roman" w:cs="Times New Roman"/>
                <w:sz w:val="16"/>
                <w:szCs w:val="16"/>
              </w:rPr>
            </w:pPr>
          </w:p>
          <w:p w14:paraId="24EC6CA6" w14:textId="55C176D4" w:rsidR="00237C82" w:rsidRPr="00DF6C69" w:rsidRDefault="00237C82" w:rsidP="000765CF">
            <w:pPr>
              <w:jc w:val="center"/>
              <w:rPr>
                <w:rFonts w:ascii="Times New Roman" w:hAnsi="Times New Roman" w:cs="Times New Roman"/>
                <w:sz w:val="16"/>
                <w:szCs w:val="16"/>
              </w:rPr>
            </w:pPr>
          </w:p>
        </w:tc>
        <w:tc>
          <w:tcPr>
            <w:tcW w:w="1812" w:type="dxa"/>
            <w:gridSpan w:val="3"/>
            <w:tcBorders>
              <w:top w:val="single" w:sz="4" w:space="0" w:color="auto"/>
              <w:left w:val="nil"/>
              <w:bottom w:val="nil"/>
              <w:right w:val="nil"/>
            </w:tcBorders>
            <w:shd w:val="clear" w:color="auto" w:fill="auto"/>
            <w:noWrap/>
            <w:vAlign w:val="center"/>
          </w:tcPr>
          <w:p w14:paraId="1D10D421" w14:textId="77777777" w:rsidR="0089054D" w:rsidRPr="00DF6C69" w:rsidRDefault="0089054D" w:rsidP="000765CF">
            <w:pPr>
              <w:jc w:val="center"/>
              <w:rPr>
                <w:rFonts w:ascii="Times New Roman" w:hAnsi="Times New Roman" w:cs="Times New Roman"/>
                <w:sz w:val="16"/>
                <w:szCs w:val="16"/>
              </w:rPr>
            </w:pPr>
          </w:p>
        </w:tc>
        <w:tc>
          <w:tcPr>
            <w:tcW w:w="1812" w:type="dxa"/>
            <w:gridSpan w:val="3"/>
            <w:tcBorders>
              <w:top w:val="single" w:sz="4" w:space="0" w:color="auto"/>
              <w:left w:val="nil"/>
              <w:bottom w:val="nil"/>
              <w:right w:val="nil"/>
            </w:tcBorders>
            <w:shd w:val="clear" w:color="auto" w:fill="auto"/>
            <w:noWrap/>
            <w:vAlign w:val="center"/>
          </w:tcPr>
          <w:p w14:paraId="29A6B5D4" w14:textId="77777777" w:rsidR="0089054D" w:rsidRPr="00DF6C69" w:rsidRDefault="0089054D" w:rsidP="000765CF">
            <w:pPr>
              <w:jc w:val="center"/>
              <w:rPr>
                <w:rFonts w:ascii="Times New Roman" w:hAnsi="Times New Roman" w:cs="Times New Roman"/>
                <w:sz w:val="16"/>
                <w:szCs w:val="16"/>
              </w:rPr>
            </w:pPr>
          </w:p>
        </w:tc>
        <w:tc>
          <w:tcPr>
            <w:tcW w:w="1805" w:type="dxa"/>
            <w:gridSpan w:val="3"/>
            <w:tcBorders>
              <w:top w:val="single" w:sz="4" w:space="0" w:color="auto"/>
              <w:left w:val="nil"/>
              <w:bottom w:val="nil"/>
              <w:right w:val="nil"/>
            </w:tcBorders>
            <w:shd w:val="clear" w:color="auto" w:fill="auto"/>
            <w:noWrap/>
            <w:vAlign w:val="center"/>
          </w:tcPr>
          <w:p w14:paraId="7B9A568F" w14:textId="77777777" w:rsidR="0089054D" w:rsidRPr="00DF6C69" w:rsidRDefault="0089054D" w:rsidP="000765CF">
            <w:pPr>
              <w:jc w:val="center"/>
              <w:rPr>
                <w:rFonts w:ascii="Times New Roman" w:hAnsi="Times New Roman" w:cs="Times New Roman"/>
                <w:sz w:val="16"/>
                <w:szCs w:val="16"/>
              </w:rPr>
            </w:pPr>
          </w:p>
        </w:tc>
      </w:tr>
      <w:tr w:rsidR="00C466C3" w:rsidRPr="00DF6C69" w14:paraId="5F3AB600" w14:textId="77777777" w:rsidTr="00076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6" w:type="dxa"/>
        </w:trPr>
        <w:tc>
          <w:tcPr>
            <w:tcW w:w="2376" w:type="dxa"/>
            <w:gridSpan w:val="3"/>
            <w:vAlign w:val="center"/>
          </w:tcPr>
          <w:p w14:paraId="6B0819D5" w14:textId="2659AF5C"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lastRenderedPageBreak/>
              <w:t>R</w:t>
            </w:r>
            <w:r w:rsidR="00C466C3" w:rsidRPr="00DF6C69">
              <w:rPr>
                <w:rFonts w:ascii="Times New Roman" w:hAnsi="Times New Roman" w:cs="Times New Roman"/>
                <w:sz w:val="16"/>
                <w:szCs w:val="16"/>
              </w:rPr>
              <w:t xml:space="preserve"> = 1</w:t>
            </w:r>
          </w:p>
          <w:p w14:paraId="30D3E229"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623052A6" wp14:editId="72DF9E24">
                  <wp:extent cx="1368000" cy="1509585"/>
                  <wp:effectExtent l="0" t="0" r="3810" b="0"/>
                  <wp:docPr id="14350" name="Picture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447" r="28240"/>
                          <a:stretch/>
                        </pic:blipFill>
                        <pic:spPr bwMode="auto">
                          <a:xfrm>
                            <a:off x="0" y="0"/>
                            <a:ext cx="1368000" cy="15095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4"/>
            <w:vAlign w:val="center"/>
          </w:tcPr>
          <w:p w14:paraId="4B981A62" w14:textId="01551791"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0.17</w:t>
            </w:r>
          </w:p>
          <w:p w14:paraId="2538F320"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07C2C43E" wp14:editId="55EF270F">
                  <wp:extent cx="1368000" cy="1505024"/>
                  <wp:effectExtent l="0" t="0" r="3810" b="0"/>
                  <wp:docPr id="14351" name="Picture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6448" r="28103"/>
                          <a:stretch/>
                        </pic:blipFill>
                        <pic:spPr bwMode="auto">
                          <a:xfrm>
                            <a:off x="0" y="0"/>
                            <a:ext cx="1368000" cy="15050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4"/>
            <w:vAlign w:val="center"/>
          </w:tcPr>
          <w:p w14:paraId="14D3DE15" w14:textId="19371468"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0.17</w:t>
            </w:r>
          </w:p>
          <w:p w14:paraId="1EFB7BBC" w14:textId="77777777" w:rsidR="00C466C3" w:rsidRPr="00DF6C69" w:rsidRDefault="00C466C3" w:rsidP="00DD17C4">
            <w:pPr>
              <w:jc w:val="center"/>
              <w:rPr>
                <w:rFonts w:ascii="Times New Roman" w:hAnsi="Times New Roman" w:cs="Times New Roman"/>
                <w:b/>
                <w:sz w:val="20"/>
                <w:szCs w:val="20"/>
              </w:rPr>
            </w:pPr>
            <w:r w:rsidRPr="00DF6C69">
              <w:rPr>
                <w:rFonts w:ascii="Times New Roman" w:hAnsi="Times New Roman" w:cs="Times New Roman"/>
                <w:noProof/>
                <w:sz w:val="20"/>
                <w:szCs w:val="20"/>
                <w:lang w:eastAsia="en-GB"/>
              </w:rPr>
              <w:drawing>
                <wp:inline distT="0" distB="0" distL="0" distR="0" wp14:anchorId="52BA4E8D" wp14:editId="50646AD6">
                  <wp:extent cx="1368000" cy="1505038"/>
                  <wp:effectExtent l="0" t="0" r="3810" b="0"/>
                  <wp:docPr id="14354" name="Picture 1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6585" r="27965"/>
                          <a:stretch/>
                        </pic:blipFill>
                        <pic:spPr bwMode="auto">
                          <a:xfrm>
                            <a:off x="0" y="0"/>
                            <a:ext cx="1368000" cy="15050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3"/>
            <w:vAlign w:val="center"/>
          </w:tcPr>
          <w:p w14:paraId="30C6A64D" w14:textId="08ABF4DC"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0.05</w:t>
            </w:r>
          </w:p>
          <w:p w14:paraId="4FE6AAFE"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376377FF" wp14:editId="7DFF4CD2">
                  <wp:extent cx="1368000" cy="1505024"/>
                  <wp:effectExtent l="0" t="0" r="3810" b="0"/>
                  <wp:docPr id="14356" name="Picture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6448" r="28103"/>
                          <a:stretch/>
                        </pic:blipFill>
                        <pic:spPr bwMode="auto">
                          <a:xfrm>
                            <a:off x="0" y="0"/>
                            <a:ext cx="1368000" cy="15050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66C3" w:rsidRPr="00DF6C69" w14:paraId="4A831794" w14:textId="77777777" w:rsidTr="00076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6" w:type="dxa"/>
        </w:trPr>
        <w:tc>
          <w:tcPr>
            <w:tcW w:w="2376" w:type="dxa"/>
            <w:gridSpan w:val="3"/>
            <w:vAlign w:val="center"/>
          </w:tcPr>
          <w:p w14:paraId="6A651522"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(a)</w:t>
            </w:r>
          </w:p>
        </w:tc>
        <w:tc>
          <w:tcPr>
            <w:tcW w:w="2376" w:type="dxa"/>
            <w:gridSpan w:val="4"/>
            <w:vAlign w:val="center"/>
          </w:tcPr>
          <w:p w14:paraId="42E8B236"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(b)</w:t>
            </w:r>
          </w:p>
        </w:tc>
        <w:tc>
          <w:tcPr>
            <w:tcW w:w="2376" w:type="dxa"/>
            <w:gridSpan w:val="4"/>
            <w:vAlign w:val="center"/>
          </w:tcPr>
          <w:p w14:paraId="74099AEE"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(c)</w:t>
            </w:r>
          </w:p>
        </w:tc>
        <w:tc>
          <w:tcPr>
            <w:tcW w:w="2376" w:type="dxa"/>
            <w:gridSpan w:val="3"/>
            <w:vAlign w:val="center"/>
          </w:tcPr>
          <w:p w14:paraId="2F898A15"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(d)</w:t>
            </w:r>
          </w:p>
        </w:tc>
      </w:tr>
      <w:tr w:rsidR="00C466C3" w:rsidRPr="00DF6C69" w14:paraId="37701DEC" w14:textId="77777777" w:rsidTr="00076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6" w:type="dxa"/>
        </w:trPr>
        <w:tc>
          <w:tcPr>
            <w:tcW w:w="2376" w:type="dxa"/>
            <w:gridSpan w:val="3"/>
            <w:vAlign w:val="center"/>
          </w:tcPr>
          <w:p w14:paraId="222C5B57" w14:textId="5C4540AB"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0.17</w:t>
            </w:r>
          </w:p>
          <w:p w14:paraId="1AB8D287"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463316AA" wp14:editId="30F953B2">
                  <wp:extent cx="1368000" cy="1508050"/>
                  <wp:effectExtent l="0" t="0" r="3810" b="0"/>
                  <wp:docPr id="14357" name="Picture 1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420" r="28203"/>
                          <a:stretch/>
                        </pic:blipFill>
                        <pic:spPr bwMode="auto">
                          <a:xfrm>
                            <a:off x="0" y="0"/>
                            <a:ext cx="1368000" cy="1508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4"/>
            <w:vAlign w:val="center"/>
          </w:tcPr>
          <w:p w14:paraId="3F71482E" w14:textId="473D3B53"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1</w:t>
            </w:r>
          </w:p>
          <w:p w14:paraId="77EADCF5"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680CA8A1" wp14:editId="48AE27F1">
                  <wp:extent cx="1368000" cy="1504099"/>
                  <wp:effectExtent l="0" t="0" r="3810" b="1270"/>
                  <wp:docPr id="14359" name="Picture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423" r="28080"/>
                          <a:stretch/>
                        </pic:blipFill>
                        <pic:spPr bwMode="auto">
                          <a:xfrm>
                            <a:off x="0" y="0"/>
                            <a:ext cx="1368000" cy="15040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4"/>
            <w:vAlign w:val="center"/>
          </w:tcPr>
          <w:p w14:paraId="082B9174" w14:textId="57414800"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0.08</w:t>
            </w:r>
          </w:p>
          <w:p w14:paraId="0A77B8BB"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5C3F2144" wp14:editId="7CEC09F0">
                  <wp:extent cx="1368000" cy="1512125"/>
                  <wp:effectExtent l="0" t="0" r="3810" b="0"/>
                  <wp:docPr id="14360" name="Picture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6542" r="28203"/>
                          <a:stretch/>
                        </pic:blipFill>
                        <pic:spPr bwMode="auto">
                          <a:xfrm>
                            <a:off x="0" y="0"/>
                            <a:ext cx="1368000" cy="1512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3"/>
            <w:vAlign w:val="center"/>
          </w:tcPr>
          <w:p w14:paraId="2DF68A25" w14:textId="111643E7"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-0.08</w:t>
            </w:r>
          </w:p>
          <w:p w14:paraId="661E675C"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06462D09" wp14:editId="4D3A54A9">
                  <wp:extent cx="1368000" cy="1513306"/>
                  <wp:effectExtent l="0" t="0" r="3810" b="0"/>
                  <wp:docPr id="14361" name="Picture 1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6504" r="28263"/>
                          <a:stretch/>
                        </pic:blipFill>
                        <pic:spPr bwMode="auto">
                          <a:xfrm>
                            <a:off x="0" y="0"/>
                            <a:ext cx="1368000" cy="15133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66C3" w:rsidRPr="00DF6C69" w14:paraId="4A98FC7A" w14:textId="77777777" w:rsidTr="00076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6" w:type="dxa"/>
        </w:trPr>
        <w:tc>
          <w:tcPr>
            <w:tcW w:w="2376" w:type="dxa"/>
            <w:gridSpan w:val="3"/>
            <w:vAlign w:val="center"/>
          </w:tcPr>
          <w:p w14:paraId="6338B6FB"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(e)</w:t>
            </w:r>
          </w:p>
        </w:tc>
        <w:tc>
          <w:tcPr>
            <w:tcW w:w="2376" w:type="dxa"/>
            <w:gridSpan w:val="4"/>
            <w:vAlign w:val="center"/>
          </w:tcPr>
          <w:p w14:paraId="11D0A9A2"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(f)</w:t>
            </w:r>
          </w:p>
        </w:tc>
        <w:tc>
          <w:tcPr>
            <w:tcW w:w="2376" w:type="dxa"/>
            <w:gridSpan w:val="4"/>
            <w:vAlign w:val="center"/>
          </w:tcPr>
          <w:p w14:paraId="0D08554A"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(g)</w:t>
            </w:r>
          </w:p>
        </w:tc>
        <w:tc>
          <w:tcPr>
            <w:tcW w:w="2376" w:type="dxa"/>
            <w:gridSpan w:val="3"/>
            <w:vAlign w:val="center"/>
          </w:tcPr>
          <w:p w14:paraId="13BCBC85"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(h)</w:t>
            </w:r>
          </w:p>
        </w:tc>
      </w:tr>
      <w:tr w:rsidR="00C466C3" w:rsidRPr="00DF6C69" w14:paraId="1F3C85FB" w14:textId="77777777" w:rsidTr="00076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6" w:type="dxa"/>
        </w:trPr>
        <w:tc>
          <w:tcPr>
            <w:tcW w:w="2376" w:type="dxa"/>
            <w:gridSpan w:val="3"/>
            <w:vAlign w:val="center"/>
          </w:tcPr>
          <w:p w14:paraId="6A1ABD11" w14:textId="040DFE05"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0.17</w:t>
            </w:r>
          </w:p>
          <w:p w14:paraId="1ED432D5"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51CEBF8B" wp14:editId="039723C6">
                  <wp:extent cx="1368000" cy="1506266"/>
                  <wp:effectExtent l="0" t="0" r="3810" b="0"/>
                  <wp:docPr id="14362" name="Picture 1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6399" r="28157"/>
                          <a:stretch/>
                        </pic:blipFill>
                        <pic:spPr bwMode="auto">
                          <a:xfrm>
                            <a:off x="0" y="0"/>
                            <a:ext cx="1368000" cy="15062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4"/>
            <w:vAlign w:val="center"/>
          </w:tcPr>
          <w:p w14:paraId="4DAEE04F" w14:textId="75E52904"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0.08</w:t>
            </w:r>
          </w:p>
          <w:p w14:paraId="48E002C0"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58440219" wp14:editId="44116880">
                  <wp:extent cx="1368000" cy="1506175"/>
                  <wp:effectExtent l="0" t="0" r="3810" b="0"/>
                  <wp:docPr id="14363" name="Picture 1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6502" r="28050"/>
                          <a:stretch/>
                        </pic:blipFill>
                        <pic:spPr bwMode="auto">
                          <a:xfrm>
                            <a:off x="0" y="0"/>
                            <a:ext cx="1368000" cy="15061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4"/>
            <w:vAlign w:val="center"/>
          </w:tcPr>
          <w:p w14:paraId="54D6679A" w14:textId="48F39C51"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1</w:t>
            </w:r>
          </w:p>
          <w:p w14:paraId="40514F58"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6AE2D428" wp14:editId="1AF204AF">
                  <wp:extent cx="1368000" cy="1516876"/>
                  <wp:effectExtent l="0" t="0" r="3810" b="7620"/>
                  <wp:docPr id="14364" name="Picture 1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6610" r="28263"/>
                          <a:stretch/>
                        </pic:blipFill>
                        <pic:spPr bwMode="auto">
                          <a:xfrm>
                            <a:off x="0" y="0"/>
                            <a:ext cx="1368000" cy="15168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3"/>
            <w:vAlign w:val="center"/>
          </w:tcPr>
          <w:p w14:paraId="0A5DB8FD" w14:textId="2C9239BE"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-0.27</w:t>
            </w:r>
          </w:p>
          <w:p w14:paraId="488E8977"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51AA74AE" wp14:editId="134B1F84">
                  <wp:extent cx="1368000" cy="1513356"/>
                  <wp:effectExtent l="0" t="0" r="3810" b="0"/>
                  <wp:docPr id="14365" name="Picture 1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6612" r="28157"/>
                          <a:stretch/>
                        </pic:blipFill>
                        <pic:spPr bwMode="auto">
                          <a:xfrm>
                            <a:off x="0" y="0"/>
                            <a:ext cx="1368000" cy="15133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66C3" w:rsidRPr="00DF6C69" w14:paraId="3B45184F" w14:textId="77777777" w:rsidTr="00076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6" w:type="dxa"/>
        </w:trPr>
        <w:tc>
          <w:tcPr>
            <w:tcW w:w="2376" w:type="dxa"/>
            <w:gridSpan w:val="3"/>
            <w:vAlign w:val="center"/>
          </w:tcPr>
          <w:p w14:paraId="6FECA94D"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(i)</w:t>
            </w:r>
          </w:p>
        </w:tc>
        <w:tc>
          <w:tcPr>
            <w:tcW w:w="2376" w:type="dxa"/>
            <w:gridSpan w:val="4"/>
            <w:vAlign w:val="center"/>
          </w:tcPr>
          <w:p w14:paraId="6527D4E0"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(j)</w:t>
            </w:r>
          </w:p>
        </w:tc>
        <w:tc>
          <w:tcPr>
            <w:tcW w:w="2376" w:type="dxa"/>
            <w:gridSpan w:val="4"/>
            <w:vAlign w:val="center"/>
          </w:tcPr>
          <w:p w14:paraId="441E706A"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(k)</w:t>
            </w:r>
          </w:p>
        </w:tc>
        <w:tc>
          <w:tcPr>
            <w:tcW w:w="2376" w:type="dxa"/>
            <w:gridSpan w:val="3"/>
            <w:vAlign w:val="center"/>
          </w:tcPr>
          <w:p w14:paraId="5ECB6095"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sz w:val="20"/>
                <w:szCs w:val="20"/>
              </w:rPr>
              <w:t xml:space="preserve">      (l)</w:t>
            </w:r>
          </w:p>
        </w:tc>
      </w:tr>
      <w:tr w:rsidR="00C466C3" w:rsidRPr="00DF6C69" w14:paraId="2D8C0A45" w14:textId="77777777" w:rsidTr="00076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6" w:type="dxa"/>
        </w:trPr>
        <w:tc>
          <w:tcPr>
            <w:tcW w:w="2376" w:type="dxa"/>
            <w:gridSpan w:val="3"/>
            <w:vAlign w:val="center"/>
          </w:tcPr>
          <w:p w14:paraId="64C262EB" w14:textId="10E52D23"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0.05</w:t>
            </w:r>
          </w:p>
          <w:p w14:paraId="1059B182"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4404B86F" wp14:editId="04245DFC">
                  <wp:extent cx="1368000" cy="1513306"/>
                  <wp:effectExtent l="0" t="0" r="3810" b="0"/>
                  <wp:docPr id="14366" name="Picture 14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6504" r="28263"/>
                          <a:stretch/>
                        </pic:blipFill>
                        <pic:spPr bwMode="auto">
                          <a:xfrm>
                            <a:off x="0" y="0"/>
                            <a:ext cx="1368000" cy="15133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4"/>
            <w:vAlign w:val="center"/>
          </w:tcPr>
          <w:p w14:paraId="5BFB7D6D" w14:textId="278587BF"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-0.08</w:t>
            </w:r>
          </w:p>
          <w:p w14:paraId="5A079716"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02362FFE" wp14:editId="73DBD386">
                  <wp:extent cx="1368000" cy="1516876"/>
                  <wp:effectExtent l="0" t="0" r="3810" b="762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6610" r="28263"/>
                          <a:stretch/>
                        </pic:blipFill>
                        <pic:spPr bwMode="auto">
                          <a:xfrm>
                            <a:off x="0" y="0"/>
                            <a:ext cx="1368000" cy="15168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4"/>
            <w:vAlign w:val="center"/>
          </w:tcPr>
          <w:p w14:paraId="703C14AF" w14:textId="747F2F2F"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-0.27</w:t>
            </w:r>
          </w:p>
          <w:p w14:paraId="4BF27AC7"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534EBAFC" wp14:editId="0E683755">
                  <wp:extent cx="1368000" cy="1516876"/>
                  <wp:effectExtent l="0" t="0" r="3810" b="762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6610" r="28263"/>
                          <a:stretch/>
                        </pic:blipFill>
                        <pic:spPr bwMode="auto">
                          <a:xfrm>
                            <a:off x="0" y="0"/>
                            <a:ext cx="1368000" cy="15168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6" w:type="dxa"/>
            <w:gridSpan w:val="3"/>
            <w:vAlign w:val="center"/>
          </w:tcPr>
          <w:p w14:paraId="305D1237" w14:textId="557CEA69" w:rsidR="00C466C3" w:rsidRPr="00DF6C69" w:rsidRDefault="000765CF" w:rsidP="00DD17C4">
            <w:pPr>
              <w:rPr>
                <w:rFonts w:ascii="Times New Roman" w:hAnsi="Times New Roman" w:cs="Times New Roman"/>
                <w:sz w:val="16"/>
                <w:szCs w:val="16"/>
              </w:rPr>
            </w:pPr>
            <w:r w:rsidRPr="00DF6C69">
              <w:rPr>
                <w:rFonts w:ascii="Times New Roman" w:hAnsi="Times New Roman" w:cs="Times New Roman"/>
                <w:sz w:val="16"/>
                <w:szCs w:val="16"/>
              </w:rPr>
              <w:t>R</w:t>
            </w:r>
            <w:r w:rsidR="00C466C3" w:rsidRPr="00DF6C69">
              <w:rPr>
                <w:rFonts w:ascii="Times New Roman" w:hAnsi="Times New Roman" w:cs="Times New Roman"/>
                <w:sz w:val="16"/>
                <w:szCs w:val="16"/>
              </w:rPr>
              <w:t xml:space="preserve"> = 1</w:t>
            </w:r>
          </w:p>
          <w:p w14:paraId="7D908D5C" w14:textId="77777777" w:rsidR="00C466C3" w:rsidRPr="00DF6C69" w:rsidRDefault="00C466C3" w:rsidP="00DD17C4">
            <w:pPr>
              <w:jc w:val="center"/>
              <w:rPr>
                <w:rFonts w:ascii="Times New Roman" w:hAnsi="Times New Roman" w:cs="Times New Roman"/>
                <w:sz w:val="20"/>
                <w:szCs w:val="20"/>
              </w:rPr>
            </w:pPr>
            <w:r w:rsidRPr="00DF6C69">
              <w:rPr>
                <w:rFonts w:ascii="Times New Roman" w:hAnsi="Times New Roman" w:cs="Times New Roman"/>
                <w:noProof/>
                <w:sz w:val="20"/>
                <w:szCs w:val="20"/>
                <w:lang w:eastAsia="en-GB"/>
              </w:rPr>
              <w:drawing>
                <wp:inline distT="0" distB="0" distL="0" distR="0" wp14:anchorId="4F1F6CED" wp14:editId="03A2B105">
                  <wp:extent cx="1368000" cy="1524158"/>
                  <wp:effectExtent l="0" t="0" r="3810"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6719" r="28370"/>
                          <a:stretch/>
                        </pic:blipFill>
                        <pic:spPr bwMode="auto">
                          <a:xfrm>
                            <a:off x="0" y="0"/>
                            <a:ext cx="1368000" cy="15241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66C3" w:rsidRPr="00DF6C69" w14:paraId="220A42D4" w14:textId="77777777" w:rsidTr="00076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6" w:type="dxa"/>
          <w:trHeight w:val="354"/>
        </w:trPr>
        <w:tc>
          <w:tcPr>
            <w:tcW w:w="2376" w:type="dxa"/>
            <w:gridSpan w:val="3"/>
          </w:tcPr>
          <w:p w14:paraId="7072B8AE" w14:textId="396A7C8B" w:rsidR="00C466C3" w:rsidRPr="00DF6C69" w:rsidRDefault="000765CF" w:rsidP="000765CF">
            <w:pPr>
              <w:jc w:val="center"/>
              <w:rPr>
                <w:rFonts w:ascii="Times New Roman" w:hAnsi="Times New Roman" w:cs="Times New Roman"/>
                <w:sz w:val="20"/>
                <w:szCs w:val="20"/>
              </w:rPr>
            </w:pPr>
            <w:r w:rsidRPr="00DF6C69">
              <w:rPr>
                <w:rFonts w:ascii="Times New Roman" w:hAnsi="Times New Roman" w:cs="Times New Roman"/>
                <w:sz w:val="20"/>
                <w:szCs w:val="20"/>
              </w:rPr>
              <w:t xml:space="preserve">          </w:t>
            </w:r>
            <w:r w:rsidR="00C466C3" w:rsidRPr="00DF6C69">
              <w:rPr>
                <w:rFonts w:ascii="Times New Roman" w:hAnsi="Times New Roman" w:cs="Times New Roman"/>
                <w:sz w:val="20"/>
                <w:szCs w:val="20"/>
              </w:rPr>
              <w:t>(m)</w:t>
            </w:r>
          </w:p>
        </w:tc>
        <w:tc>
          <w:tcPr>
            <w:tcW w:w="2376" w:type="dxa"/>
            <w:gridSpan w:val="4"/>
          </w:tcPr>
          <w:p w14:paraId="7C23CD37" w14:textId="14DE7731" w:rsidR="00C466C3" w:rsidRPr="00DF6C69" w:rsidRDefault="000765CF" w:rsidP="000765CF">
            <w:pPr>
              <w:jc w:val="center"/>
              <w:rPr>
                <w:rFonts w:ascii="Times New Roman" w:hAnsi="Times New Roman" w:cs="Times New Roman"/>
                <w:sz w:val="20"/>
                <w:szCs w:val="20"/>
              </w:rPr>
            </w:pPr>
            <w:r w:rsidRPr="00DF6C69">
              <w:rPr>
                <w:rFonts w:ascii="Times New Roman" w:hAnsi="Times New Roman" w:cs="Times New Roman"/>
                <w:sz w:val="20"/>
                <w:szCs w:val="20"/>
              </w:rPr>
              <w:t xml:space="preserve">         </w:t>
            </w:r>
            <w:r w:rsidR="00C466C3" w:rsidRPr="00DF6C69">
              <w:rPr>
                <w:rFonts w:ascii="Times New Roman" w:hAnsi="Times New Roman" w:cs="Times New Roman"/>
                <w:sz w:val="20"/>
                <w:szCs w:val="20"/>
              </w:rPr>
              <w:t>(n)</w:t>
            </w:r>
          </w:p>
        </w:tc>
        <w:tc>
          <w:tcPr>
            <w:tcW w:w="2376" w:type="dxa"/>
            <w:gridSpan w:val="4"/>
          </w:tcPr>
          <w:p w14:paraId="0484A74D" w14:textId="012F0FA7" w:rsidR="00C466C3" w:rsidRPr="00DF6C69" w:rsidRDefault="000765CF" w:rsidP="000765CF">
            <w:pPr>
              <w:jc w:val="center"/>
              <w:rPr>
                <w:rFonts w:ascii="Times New Roman" w:hAnsi="Times New Roman" w:cs="Times New Roman"/>
                <w:sz w:val="20"/>
                <w:szCs w:val="20"/>
              </w:rPr>
            </w:pPr>
            <w:r w:rsidRPr="00DF6C69">
              <w:rPr>
                <w:rFonts w:ascii="Times New Roman" w:hAnsi="Times New Roman" w:cs="Times New Roman"/>
                <w:sz w:val="20"/>
                <w:szCs w:val="20"/>
              </w:rPr>
              <w:t xml:space="preserve">         </w:t>
            </w:r>
            <w:r w:rsidR="00C466C3" w:rsidRPr="00DF6C69">
              <w:rPr>
                <w:rFonts w:ascii="Times New Roman" w:hAnsi="Times New Roman" w:cs="Times New Roman"/>
                <w:sz w:val="20"/>
                <w:szCs w:val="20"/>
              </w:rPr>
              <w:t>(o)</w:t>
            </w:r>
          </w:p>
        </w:tc>
        <w:tc>
          <w:tcPr>
            <w:tcW w:w="2376" w:type="dxa"/>
            <w:gridSpan w:val="3"/>
          </w:tcPr>
          <w:p w14:paraId="7012F33C" w14:textId="1F8A8D67" w:rsidR="00C466C3" w:rsidRPr="00DF6C69" w:rsidRDefault="000765CF" w:rsidP="000765CF">
            <w:pPr>
              <w:jc w:val="center"/>
              <w:rPr>
                <w:rFonts w:ascii="Times New Roman" w:hAnsi="Times New Roman" w:cs="Times New Roman"/>
                <w:sz w:val="20"/>
                <w:szCs w:val="20"/>
              </w:rPr>
            </w:pPr>
            <w:r w:rsidRPr="00DF6C69">
              <w:rPr>
                <w:rFonts w:ascii="Times New Roman" w:hAnsi="Times New Roman" w:cs="Times New Roman"/>
                <w:sz w:val="20"/>
                <w:szCs w:val="20"/>
              </w:rPr>
              <w:t xml:space="preserve">           </w:t>
            </w:r>
            <w:r w:rsidR="00C466C3" w:rsidRPr="00DF6C69">
              <w:rPr>
                <w:rFonts w:ascii="Times New Roman" w:hAnsi="Times New Roman" w:cs="Times New Roman"/>
                <w:sz w:val="20"/>
                <w:szCs w:val="20"/>
              </w:rPr>
              <w:t>(p)</w:t>
            </w:r>
          </w:p>
        </w:tc>
      </w:tr>
    </w:tbl>
    <w:p w14:paraId="3F1BE218" w14:textId="1C2D1162" w:rsidR="00C466C3" w:rsidRPr="00DF6C69" w:rsidRDefault="00C466C3" w:rsidP="00511FB3">
      <w:pPr>
        <w:pStyle w:val="Caption"/>
      </w:pPr>
      <w:bookmarkStart w:id="30" w:name="_Ref38298723"/>
      <w:r w:rsidRPr="00DF6C69">
        <w:t xml:space="preserve">Figure </w:t>
      </w:r>
      <w:fldSimple w:instr=" SEQ Figure \* ARABIC ">
        <w:r w:rsidR="00645E46" w:rsidRPr="00DF6C69">
          <w:rPr>
            <w:noProof/>
          </w:rPr>
          <w:t>6</w:t>
        </w:r>
      </w:fldSimple>
      <w:bookmarkEnd w:id="30"/>
      <w:r w:rsidR="00A261F3" w:rsidRPr="00DF6C69">
        <w:t>.</w:t>
      </w:r>
      <w:r w:rsidRPr="00DF6C69">
        <w:t xml:space="preserve"> (a)-(p) Scatter plots for all the metabolite combinations</w:t>
      </w:r>
      <w:r w:rsidR="00CB51E6" w:rsidRPr="00DF6C69">
        <w:t xml:space="preserve">. Metabolites were quantified using the platform. </w:t>
      </w:r>
      <w:r w:rsidRPr="00DF6C69">
        <w:t xml:space="preserve">Concentrations </w:t>
      </w:r>
      <w:r w:rsidR="00CB51E6" w:rsidRPr="00DF6C69">
        <w:t xml:space="preserve">were </w:t>
      </w:r>
      <w:r w:rsidRPr="00DF6C69">
        <w:t xml:space="preserve">normalized to the respective grand average. Blue markers: non-PCa samples. Red markers: PCa samples. Cross-correlation values are referred to the overall dataset.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8"/>
      </w:tblGrid>
      <w:tr w:rsidR="00173E7A" w:rsidRPr="00DF6C69" w14:paraId="78006A68" w14:textId="77777777" w:rsidTr="00173E7A">
        <w:trPr>
          <w:jc w:val="center"/>
        </w:trPr>
        <w:tc>
          <w:tcPr>
            <w:tcW w:w="4388" w:type="dxa"/>
            <w:hideMark/>
          </w:tcPr>
          <w:p w14:paraId="178365AE" w14:textId="77777777" w:rsidR="00173E7A" w:rsidRPr="00DF6C69" w:rsidRDefault="00173E7A">
            <w:pPr>
              <w:pStyle w:val="table"/>
              <w:jc w:val="center"/>
              <w:rPr>
                <w:sz w:val="16"/>
                <w:szCs w:val="16"/>
                <w:lang w:eastAsia="en-US"/>
              </w:rPr>
            </w:pPr>
            <w:r w:rsidRPr="00DF6C69">
              <w:rPr>
                <w:sz w:val="16"/>
                <w:szCs w:val="16"/>
                <w:lang w:eastAsia="en-US"/>
              </w:rPr>
              <w:lastRenderedPageBreak/>
              <w:t>R = 0.67</w:t>
            </w:r>
          </w:p>
          <w:p w14:paraId="26E07CEF" w14:textId="0EB7FCFA" w:rsidR="00173E7A" w:rsidRPr="00DF6C69" w:rsidRDefault="00173E7A">
            <w:pPr>
              <w:pStyle w:val="table"/>
              <w:jc w:val="center"/>
              <w:rPr>
                <w:lang w:eastAsia="en-US"/>
              </w:rPr>
            </w:pPr>
            <w:r w:rsidRPr="00DF6C69">
              <w:rPr>
                <w:noProof/>
                <w:lang w:eastAsia="en-US"/>
              </w:rPr>
              <w:drawing>
                <wp:inline distT="0" distB="0" distL="0" distR="0" wp14:anchorId="1335D030" wp14:editId="11D7612F">
                  <wp:extent cx="1603375" cy="161480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2" cstate="print">
                            <a:extLst>
                              <a:ext uri="{28A0092B-C50C-407E-A947-70E740481C1C}">
                                <a14:useLocalDpi xmlns:a14="http://schemas.microsoft.com/office/drawing/2010/main" val="0"/>
                              </a:ext>
                            </a:extLst>
                          </a:blip>
                          <a:srcRect l="14345" t="4939" r="19398"/>
                          <a:stretch>
                            <a:fillRect/>
                          </a:stretch>
                        </pic:blipFill>
                        <pic:spPr bwMode="auto">
                          <a:xfrm>
                            <a:off x="0" y="0"/>
                            <a:ext cx="1603375" cy="1614805"/>
                          </a:xfrm>
                          <a:prstGeom prst="rect">
                            <a:avLst/>
                          </a:prstGeom>
                          <a:noFill/>
                          <a:ln>
                            <a:noFill/>
                          </a:ln>
                        </pic:spPr>
                      </pic:pic>
                    </a:graphicData>
                  </a:graphic>
                </wp:inline>
              </w:drawing>
            </w:r>
          </w:p>
        </w:tc>
        <w:tc>
          <w:tcPr>
            <w:tcW w:w="4388" w:type="dxa"/>
            <w:vAlign w:val="bottom"/>
            <w:hideMark/>
          </w:tcPr>
          <w:p w14:paraId="0D25A38F" w14:textId="5FEB851F" w:rsidR="00173E7A" w:rsidRPr="00DF6C69" w:rsidRDefault="00173E7A">
            <w:pPr>
              <w:pStyle w:val="table"/>
              <w:jc w:val="center"/>
              <w:rPr>
                <w:lang w:eastAsia="en-US"/>
              </w:rPr>
            </w:pPr>
            <w:r w:rsidRPr="00DF6C69">
              <w:rPr>
                <w:noProof/>
                <w:lang w:eastAsia="en-US"/>
              </w:rPr>
              <w:drawing>
                <wp:inline distT="0" distB="0" distL="0" distR="0" wp14:anchorId="12806FF9" wp14:editId="57DD4D4E">
                  <wp:extent cx="1775460" cy="172783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8"/>
                          <pic:cNvPicPr>
                            <a:picLocks noChangeAspect="1" noChangeArrowheads="1"/>
                          </pic:cNvPicPr>
                        </pic:nvPicPr>
                        <pic:blipFill>
                          <a:blip r:embed="rId33" cstate="print">
                            <a:extLst>
                              <a:ext uri="{28A0092B-C50C-407E-A947-70E740481C1C}">
                                <a14:useLocalDpi xmlns:a14="http://schemas.microsoft.com/office/drawing/2010/main" val="0"/>
                              </a:ext>
                            </a:extLst>
                          </a:blip>
                          <a:srcRect l="14452" t="5128" r="16949"/>
                          <a:stretch>
                            <a:fillRect/>
                          </a:stretch>
                        </pic:blipFill>
                        <pic:spPr bwMode="auto">
                          <a:xfrm>
                            <a:off x="0" y="0"/>
                            <a:ext cx="1775460" cy="1727835"/>
                          </a:xfrm>
                          <a:prstGeom prst="rect">
                            <a:avLst/>
                          </a:prstGeom>
                          <a:noFill/>
                          <a:ln>
                            <a:noFill/>
                          </a:ln>
                        </pic:spPr>
                      </pic:pic>
                    </a:graphicData>
                  </a:graphic>
                </wp:inline>
              </w:drawing>
            </w:r>
          </w:p>
        </w:tc>
      </w:tr>
      <w:tr w:rsidR="00173E7A" w:rsidRPr="00DF6C69" w14:paraId="08AC0E23" w14:textId="77777777" w:rsidTr="00173E7A">
        <w:trPr>
          <w:trHeight w:val="418"/>
          <w:jc w:val="center"/>
        </w:trPr>
        <w:tc>
          <w:tcPr>
            <w:tcW w:w="4388" w:type="dxa"/>
            <w:hideMark/>
          </w:tcPr>
          <w:p w14:paraId="42FF003B" w14:textId="77777777" w:rsidR="00173E7A" w:rsidRPr="00DF6C69" w:rsidRDefault="00173E7A">
            <w:pPr>
              <w:pStyle w:val="table"/>
              <w:jc w:val="center"/>
              <w:rPr>
                <w:lang w:eastAsia="en-US"/>
              </w:rPr>
            </w:pPr>
            <w:r w:rsidRPr="00DF6C69">
              <w:rPr>
                <w:lang w:eastAsia="en-US"/>
              </w:rPr>
              <w:t xml:space="preserve">    (a)</w:t>
            </w:r>
          </w:p>
        </w:tc>
        <w:tc>
          <w:tcPr>
            <w:tcW w:w="4388" w:type="dxa"/>
            <w:hideMark/>
          </w:tcPr>
          <w:p w14:paraId="4BB8B95D" w14:textId="77777777" w:rsidR="00173E7A" w:rsidRPr="00DF6C69" w:rsidRDefault="00173E7A">
            <w:pPr>
              <w:pStyle w:val="table"/>
              <w:jc w:val="center"/>
              <w:rPr>
                <w:lang w:eastAsia="en-US"/>
              </w:rPr>
            </w:pPr>
            <w:r w:rsidRPr="00DF6C69">
              <w:rPr>
                <w:lang w:eastAsia="en-US"/>
              </w:rPr>
              <w:t xml:space="preserve">    (b)</w:t>
            </w:r>
          </w:p>
        </w:tc>
      </w:tr>
      <w:tr w:rsidR="00173E7A" w:rsidRPr="00DF6C69" w14:paraId="683FB4B4" w14:textId="77777777" w:rsidTr="00173E7A">
        <w:trPr>
          <w:jc w:val="center"/>
        </w:trPr>
        <w:tc>
          <w:tcPr>
            <w:tcW w:w="4388" w:type="dxa"/>
            <w:hideMark/>
          </w:tcPr>
          <w:p w14:paraId="4BA71707" w14:textId="77777777" w:rsidR="00173E7A" w:rsidRPr="00DF6C69" w:rsidRDefault="00173E7A">
            <w:pPr>
              <w:pStyle w:val="table"/>
              <w:jc w:val="center"/>
              <w:rPr>
                <w:sz w:val="16"/>
                <w:szCs w:val="16"/>
                <w:lang w:eastAsia="en-US"/>
              </w:rPr>
            </w:pPr>
            <w:r w:rsidRPr="00DF6C69">
              <w:rPr>
                <w:sz w:val="16"/>
                <w:szCs w:val="16"/>
                <w:lang w:eastAsia="en-US"/>
              </w:rPr>
              <w:t>R = 0.83</w:t>
            </w:r>
          </w:p>
          <w:p w14:paraId="642B37DD" w14:textId="6620172A" w:rsidR="00173E7A" w:rsidRPr="00DF6C69" w:rsidRDefault="00173E7A">
            <w:pPr>
              <w:pStyle w:val="table"/>
              <w:jc w:val="center"/>
              <w:rPr>
                <w:lang w:eastAsia="en-US"/>
              </w:rPr>
            </w:pPr>
            <w:r w:rsidRPr="00DF6C69">
              <w:rPr>
                <w:noProof/>
                <w:lang w:eastAsia="en-US"/>
              </w:rPr>
              <w:drawing>
                <wp:inline distT="0" distB="0" distL="0" distR="0" wp14:anchorId="64544F37" wp14:editId="68A391DF">
                  <wp:extent cx="1614805" cy="1614805"/>
                  <wp:effectExtent l="0" t="0" r="444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4" cstate="print">
                            <a:extLst>
                              <a:ext uri="{28A0092B-C50C-407E-A947-70E740481C1C}">
                                <a14:useLocalDpi xmlns:a14="http://schemas.microsoft.com/office/drawing/2010/main" val="0"/>
                              </a:ext>
                            </a:extLst>
                          </a:blip>
                          <a:srcRect l="14207" t="4854" r="19115"/>
                          <a:stretch>
                            <a:fillRect/>
                          </a:stretch>
                        </pic:blipFill>
                        <pic:spPr bwMode="auto">
                          <a:xfrm>
                            <a:off x="0" y="0"/>
                            <a:ext cx="1614805" cy="1614805"/>
                          </a:xfrm>
                          <a:prstGeom prst="rect">
                            <a:avLst/>
                          </a:prstGeom>
                          <a:noFill/>
                          <a:ln>
                            <a:noFill/>
                          </a:ln>
                        </pic:spPr>
                      </pic:pic>
                    </a:graphicData>
                  </a:graphic>
                </wp:inline>
              </w:drawing>
            </w:r>
          </w:p>
        </w:tc>
        <w:tc>
          <w:tcPr>
            <w:tcW w:w="4388" w:type="dxa"/>
            <w:vAlign w:val="bottom"/>
            <w:hideMark/>
          </w:tcPr>
          <w:p w14:paraId="690B0EB2" w14:textId="5BCAB43A" w:rsidR="00173E7A" w:rsidRPr="00DF6C69" w:rsidRDefault="00173E7A">
            <w:pPr>
              <w:pStyle w:val="table"/>
              <w:jc w:val="center"/>
              <w:rPr>
                <w:lang w:eastAsia="en-US"/>
              </w:rPr>
            </w:pPr>
            <w:r w:rsidRPr="00DF6C69">
              <w:rPr>
                <w:noProof/>
                <w:lang w:eastAsia="en-US"/>
              </w:rPr>
              <w:drawing>
                <wp:inline distT="0" distB="0" distL="0" distR="0" wp14:anchorId="116FCDD2" wp14:editId="3ED0654B">
                  <wp:extent cx="1757680" cy="17221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4"/>
                          <pic:cNvPicPr>
                            <a:picLocks noChangeAspect="1" noChangeArrowheads="1"/>
                          </pic:cNvPicPr>
                        </pic:nvPicPr>
                        <pic:blipFill>
                          <a:blip r:embed="rId35" cstate="print">
                            <a:extLst>
                              <a:ext uri="{28A0092B-C50C-407E-A947-70E740481C1C}">
                                <a14:useLocalDpi xmlns:a14="http://schemas.microsoft.com/office/drawing/2010/main" val="0"/>
                              </a:ext>
                            </a:extLst>
                          </a:blip>
                          <a:srcRect l="15883" t="4318" r="18892" b="2"/>
                          <a:stretch>
                            <a:fillRect/>
                          </a:stretch>
                        </pic:blipFill>
                        <pic:spPr bwMode="auto">
                          <a:xfrm>
                            <a:off x="0" y="0"/>
                            <a:ext cx="1757680" cy="1722120"/>
                          </a:xfrm>
                          <a:prstGeom prst="rect">
                            <a:avLst/>
                          </a:prstGeom>
                          <a:noFill/>
                          <a:ln>
                            <a:noFill/>
                          </a:ln>
                        </pic:spPr>
                      </pic:pic>
                    </a:graphicData>
                  </a:graphic>
                </wp:inline>
              </w:drawing>
            </w:r>
          </w:p>
        </w:tc>
      </w:tr>
      <w:tr w:rsidR="00173E7A" w:rsidRPr="00DF6C69" w14:paraId="454C439D" w14:textId="77777777" w:rsidTr="00173E7A">
        <w:trPr>
          <w:trHeight w:val="405"/>
          <w:jc w:val="center"/>
        </w:trPr>
        <w:tc>
          <w:tcPr>
            <w:tcW w:w="4388" w:type="dxa"/>
            <w:hideMark/>
          </w:tcPr>
          <w:p w14:paraId="6F0448C3" w14:textId="77777777" w:rsidR="00173E7A" w:rsidRPr="00DF6C69" w:rsidRDefault="00173E7A">
            <w:pPr>
              <w:pStyle w:val="table"/>
              <w:jc w:val="center"/>
              <w:rPr>
                <w:lang w:eastAsia="en-US"/>
              </w:rPr>
            </w:pPr>
            <w:r w:rsidRPr="00DF6C69">
              <w:rPr>
                <w:lang w:eastAsia="en-US"/>
              </w:rPr>
              <w:t xml:space="preserve">    (c)</w:t>
            </w:r>
          </w:p>
        </w:tc>
        <w:tc>
          <w:tcPr>
            <w:tcW w:w="4388" w:type="dxa"/>
            <w:hideMark/>
          </w:tcPr>
          <w:p w14:paraId="126845D9" w14:textId="77777777" w:rsidR="00173E7A" w:rsidRPr="00DF6C69" w:rsidRDefault="00173E7A">
            <w:pPr>
              <w:pStyle w:val="table"/>
              <w:jc w:val="center"/>
              <w:rPr>
                <w:lang w:eastAsia="en-US"/>
              </w:rPr>
            </w:pPr>
            <w:r w:rsidRPr="00DF6C69">
              <w:rPr>
                <w:lang w:eastAsia="en-US"/>
              </w:rPr>
              <w:t xml:space="preserve">     (d)</w:t>
            </w:r>
          </w:p>
        </w:tc>
      </w:tr>
      <w:tr w:rsidR="00173E7A" w:rsidRPr="00DF6C69" w14:paraId="26BB0127" w14:textId="77777777" w:rsidTr="00173E7A">
        <w:trPr>
          <w:jc w:val="center"/>
        </w:trPr>
        <w:tc>
          <w:tcPr>
            <w:tcW w:w="4388" w:type="dxa"/>
            <w:hideMark/>
          </w:tcPr>
          <w:p w14:paraId="19CAB734" w14:textId="367C92B5" w:rsidR="00173E7A" w:rsidRPr="00DF6C69" w:rsidRDefault="00173E7A">
            <w:pPr>
              <w:pStyle w:val="table"/>
              <w:jc w:val="center"/>
              <w:rPr>
                <w:sz w:val="16"/>
                <w:szCs w:val="16"/>
                <w:lang w:eastAsia="en-US"/>
              </w:rPr>
            </w:pPr>
            <w:r w:rsidRPr="00DF6C69">
              <w:rPr>
                <w:sz w:val="16"/>
                <w:szCs w:val="16"/>
                <w:lang w:eastAsia="en-US"/>
              </w:rPr>
              <w:t>R = 0.80 (vs. MS</w:t>
            </w:r>
            <w:r w:rsidR="008E4AC5" w:rsidRPr="00DF6C69">
              <w:rPr>
                <w:sz w:val="16"/>
                <w:szCs w:val="16"/>
                <w:lang w:eastAsia="en-US"/>
              </w:rPr>
              <w:t>/</w:t>
            </w:r>
            <w:r w:rsidRPr="00DF6C69">
              <w:rPr>
                <w:sz w:val="16"/>
                <w:szCs w:val="16"/>
                <w:lang w:eastAsia="en-US"/>
              </w:rPr>
              <w:t>MS)</w:t>
            </w:r>
          </w:p>
          <w:p w14:paraId="10E2FF37" w14:textId="1FBF56C9" w:rsidR="00173E7A" w:rsidRPr="00DF6C69" w:rsidRDefault="00FF1B7E">
            <w:pPr>
              <w:pStyle w:val="table"/>
              <w:jc w:val="center"/>
              <w:rPr>
                <w:lang w:eastAsia="en-US"/>
              </w:rPr>
            </w:pPr>
            <w:r w:rsidRPr="00DF6C69">
              <w:rPr>
                <w:noProof/>
                <w:lang w:eastAsia="en-US"/>
              </w:rPr>
              <mc:AlternateContent>
                <mc:Choice Requires="wps">
                  <w:drawing>
                    <wp:anchor distT="45720" distB="45720" distL="114300" distR="114300" simplePos="0" relativeHeight="251661312" behindDoc="0" locked="0" layoutInCell="1" allowOverlap="1" wp14:anchorId="1EF9DF8C" wp14:editId="5A157142">
                      <wp:simplePos x="0" y="0"/>
                      <wp:positionH relativeFrom="column">
                        <wp:posOffset>1574959</wp:posOffset>
                      </wp:positionH>
                      <wp:positionV relativeFrom="paragraph">
                        <wp:posOffset>353060</wp:posOffset>
                      </wp:positionV>
                      <wp:extent cx="611981" cy="185261"/>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81" cy="185261"/>
                              </a:xfrm>
                              <a:prstGeom prst="rect">
                                <a:avLst/>
                              </a:prstGeom>
                              <a:noFill/>
                              <a:ln w="9525">
                                <a:noFill/>
                                <a:miter lim="800000"/>
                                <a:headEnd/>
                                <a:tailEnd/>
                              </a:ln>
                            </wps:spPr>
                            <wps:txbx>
                              <w:txbxContent>
                                <w:p w14:paraId="289B2710" w14:textId="08C60495" w:rsidR="009B2EB9" w:rsidRPr="00FF1B7E" w:rsidRDefault="009B2EB9" w:rsidP="00FF1B7E">
                                  <w:pPr>
                                    <w:spacing w:after="0"/>
                                    <w:rPr>
                                      <w:rFonts w:ascii="Helvetica" w:hAnsi="Helvetica"/>
                                      <w:sz w:val="10"/>
                                      <w:szCs w:val="10"/>
                                    </w:rPr>
                                  </w:pPr>
                                  <w:r w:rsidRPr="00FF1B7E">
                                    <w:rPr>
                                      <w:rFonts w:ascii="Helvetica" w:hAnsi="Helvetica"/>
                                      <w:sz w:val="10"/>
                                      <w:szCs w:val="10"/>
                                    </w:rPr>
                                    <w:t>(MS/MS)</w:t>
                                  </w:r>
                                </w:p>
                                <w:p w14:paraId="63F36784" w14:textId="77777777" w:rsidR="009B2EB9" w:rsidRDefault="009B2E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F9DF8C" id="_x0000_t202" coordsize="21600,21600" o:spt="202" path="m,l,21600r21600,l21600,xe">
                      <v:stroke joinstyle="miter"/>
                      <v:path gradientshapeok="t" o:connecttype="rect"/>
                    </v:shapetype>
                    <v:shape id="Text Box 2" o:spid="_x0000_s1026" type="#_x0000_t202" style="position:absolute;left:0;text-align:left;margin-left:124pt;margin-top:27.8pt;width:48.2pt;height:14.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" filled="f" stroked="f">
                      <v:textbox>
                        <w:txbxContent>
                          <w:p w14:paraId="289B2710" w14:textId="08C60495" w:rsidR="009B2EB9" w:rsidRPr="00FF1B7E" w:rsidRDefault="009B2EB9" w:rsidP="00FF1B7E">
                            <w:pPr>
                              <w:spacing w:after="0"/>
                              <w:rPr>
                                <w:rFonts w:ascii="Helvetica" w:hAnsi="Helvetica"/>
                                <w:sz w:val="10"/>
                                <w:szCs w:val="10"/>
                              </w:rPr>
                            </w:pPr>
                            <w:r w:rsidRPr="00FF1B7E">
                              <w:rPr>
                                <w:rFonts w:ascii="Helvetica" w:hAnsi="Helvetica"/>
                                <w:sz w:val="10"/>
                                <w:szCs w:val="10"/>
                              </w:rPr>
                              <w:t>(MS/MS)</w:t>
                            </w:r>
                          </w:p>
                          <w:p w14:paraId="63F36784" w14:textId="77777777" w:rsidR="009B2EB9" w:rsidRDefault="009B2EB9"/>
                        </w:txbxContent>
                      </v:textbox>
                    </v:shape>
                  </w:pict>
                </mc:Fallback>
              </mc:AlternateContent>
            </w:r>
            <w:r w:rsidRPr="00DF6C69">
              <w:rPr>
                <w:noProof/>
                <w:lang w:eastAsia="en-US"/>
              </w:rPr>
              <mc:AlternateContent>
                <mc:Choice Requires="wps">
                  <w:drawing>
                    <wp:anchor distT="0" distB="0" distL="114300" distR="114300" simplePos="0" relativeHeight="251660288" behindDoc="0" locked="0" layoutInCell="1" allowOverlap="1" wp14:anchorId="47017756" wp14:editId="20CA4814">
                      <wp:simplePos x="0" y="0"/>
                      <wp:positionH relativeFrom="column">
                        <wp:posOffset>1649889</wp:posOffset>
                      </wp:positionH>
                      <wp:positionV relativeFrom="paragraph">
                        <wp:posOffset>422275</wp:posOffset>
                      </wp:positionV>
                      <wp:extent cx="273844" cy="69056"/>
                      <wp:effectExtent l="0" t="0" r="12065" b="26670"/>
                      <wp:wrapNone/>
                      <wp:docPr id="8" name="Rectangle 8"/>
                      <wp:cNvGraphicFramePr/>
                      <a:graphic xmlns:a="http://schemas.openxmlformats.org/drawingml/2006/main">
                        <a:graphicData uri="http://schemas.microsoft.com/office/word/2010/wordprocessingShape">
                          <wps:wsp>
                            <wps:cNvSpPr/>
                            <wps:spPr>
                              <a:xfrm>
                                <a:off x="0" y="0"/>
                                <a:ext cx="273844" cy="690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B8D5DF" id="Rectangle 8" o:spid="_x0000_s1026" style="position:absolute;margin-left:129.9pt;margin-top:33.25pt;width:21.55pt;height:5.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" fillcolor="white [3212]" strokecolor="white [3212]" strokeweight="1pt"/>
                  </w:pict>
                </mc:Fallback>
              </mc:AlternateContent>
            </w:r>
            <w:r w:rsidR="00173E7A" w:rsidRPr="00DF6C69">
              <w:rPr>
                <w:noProof/>
                <w:lang w:eastAsia="en-US"/>
              </w:rPr>
              <w:drawing>
                <wp:inline distT="0" distB="0" distL="0" distR="0" wp14:anchorId="0937A6CB" wp14:editId="60237A3B">
                  <wp:extent cx="1614805" cy="1614805"/>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6" cstate="print">
                            <a:extLst>
                              <a:ext uri="{28A0092B-C50C-407E-A947-70E740481C1C}">
                                <a14:useLocalDpi xmlns:a14="http://schemas.microsoft.com/office/drawing/2010/main" val="0"/>
                              </a:ext>
                            </a:extLst>
                          </a:blip>
                          <a:srcRect l="14482" t="5029" r="18988"/>
                          <a:stretch>
                            <a:fillRect/>
                          </a:stretch>
                        </pic:blipFill>
                        <pic:spPr bwMode="auto">
                          <a:xfrm>
                            <a:off x="0" y="0"/>
                            <a:ext cx="1614805" cy="1614805"/>
                          </a:xfrm>
                          <a:prstGeom prst="rect">
                            <a:avLst/>
                          </a:prstGeom>
                          <a:noFill/>
                          <a:ln>
                            <a:noFill/>
                          </a:ln>
                        </pic:spPr>
                      </pic:pic>
                    </a:graphicData>
                  </a:graphic>
                </wp:inline>
              </w:drawing>
            </w:r>
          </w:p>
        </w:tc>
        <w:tc>
          <w:tcPr>
            <w:tcW w:w="4388" w:type="dxa"/>
            <w:hideMark/>
          </w:tcPr>
          <w:p w14:paraId="6F6592BB" w14:textId="4D257597" w:rsidR="00173E7A" w:rsidRPr="00DF6C69" w:rsidRDefault="00173E7A">
            <w:pPr>
              <w:pStyle w:val="table"/>
              <w:jc w:val="center"/>
              <w:rPr>
                <w:lang w:eastAsia="en-US"/>
              </w:rPr>
            </w:pPr>
            <w:r w:rsidRPr="00DF6C69">
              <w:rPr>
                <w:noProof/>
                <w:lang w:eastAsia="en-US"/>
              </w:rPr>
              <w:drawing>
                <wp:inline distT="0" distB="0" distL="0" distR="0" wp14:anchorId="37066162" wp14:editId="785E1A57">
                  <wp:extent cx="1793240" cy="1722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4"/>
                          <pic:cNvPicPr>
                            <a:picLocks noChangeAspect="1" noChangeArrowheads="1"/>
                          </pic:cNvPicPr>
                        </pic:nvPicPr>
                        <pic:blipFill>
                          <a:blip r:embed="rId37" cstate="print">
                            <a:extLst>
                              <a:ext uri="{28A0092B-C50C-407E-A947-70E740481C1C}">
                                <a14:useLocalDpi xmlns:a14="http://schemas.microsoft.com/office/drawing/2010/main" val="0"/>
                              </a:ext>
                            </a:extLst>
                          </a:blip>
                          <a:srcRect l="15968" t="6750" r="19310"/>
                          <a:stretch>
                            <a:fillRect/>
                          </a:stretch>
                        </pic:blipFill>
                        <pic:spPr bwMode="auto">
                          <a:xfrm>
                            <a:off x="0" y="0"/>
                            <a:ext cx="1793240" cy="1722120"/>
                          </a:xfrm>
                          <a:prstGeom prst="rect">
                            <a:avLst/>
                          </a:prstGeom>
                          <a:noFill/>
                          <a:ln>
                            <a:noFill/>
                          </a:ln>
                        </pic:spPr>
                      </pic:pic>
                    </a:graphicData>
                  </a:graphic>
                </wp:inline>
              </w:drawing>
            </w:r>
          </w:p>
        </w:tc>
      </w:tr>
      <w:tr w:rsidR="00173E7A" w:rsidRPr="00DF6C69" w14:paraId="07F0A5C6" w14:textId="77777777" w:rsidTr="00173E7A">
        <w:trPr>
          <w:trHeight w:val="392"/>
          <w:jc w:val="center"/>
        </w:trPr>
        <w:tc>
          <w:tcPr>
            <w:tcW w:w="4388" w:type="dxa"/>
            <w:hideMark/>
          </w:tcPr>
          <w:p w14:paraId="6F27FA53" w14:textId="77777777" w:rsidR="00173E7A" w:rsidRPr="00DF6C69" w:rsidRDefault="00173E7A">
            <w:pPr>
              <w:pStyle w:val="table"/>
              <w:jc w:val="center"/>
              <w:rPr>
                <w:lang w:eastAsia="en-US"/>
              </w:rPr>
            </w:pPr>
            <w:r w:rsidRPr="00DF6C69">
              <w:rPr>
                <w:lang w:eastAsia="en-US"/>
              </w:rPr>
              <w:t xml:space="preserve">     (e)</w:t>
            </w:r>
          </w:p>
        </w:tc>
        <w:tc>
          <w:tcPr>
            <w:tcW w:w="4388" w:type="dxa"/>
            <w:hideMark/>
          </w:tcPr>
          <w:p w14:paraId="6BBB3517" w14:textId="77777777" w:rsidR="00173E7A" w:rsidRPr="00DF6C69" w:rsidRDefault="00173E7A">
            <w:pPr>
              <w:pStyle w:val="table"/>
              <w:jc w:val="center"/>
              <w:rPr>
                <w:lang w:eastAsia="en-US"/>
              </w:rPr>
            </w:pPr>
            <w:r w:rsidRPr="00DF6C69">
              <w:rPr>
                <w:lang w:eastAsia="en-US"/>
              </w:rPr>
              <w:t xml:space="preserve">       (f)</w:t>
            </w:r>
          </w:p>
        </w:tc>
      </w:tr>
      <w:tr w:rsidR="00173E7A" w:rsidRPr="00DF6C69" w14:paraId="5526F3C0" w14:textId="77777777" w:rsidTr="00173E7A">
        <w:trPr>
          <w:trHeight w:val="392"/>
          <w:jc w:val="center"/>
        </w:trPr>
        <w:tc>
          <w:tcPr>
            <w:tcW w:w="4388" w:type="dxa"/>
            <w:hideMark/>
          </w:tcPr>
          <w:p w14:paraId="36145E7E" w14:textId="77777777" w:rsidR="00173E7A" w:rsidRPr="00DF6C69" w:rsidRDefault="00173E7A">
            <w:pPr>
              <w:pStyle w:val="table"/>
              <w:jc w:val="center"/>
              <w:rPr>
                <w:sz w:val="16"/>
                <w:szCs w:val="16"/>
                <w:lang w:eastAsia="en-US"/>
              </w:rPr>
            </w:pPr>
            <w:r w:rsidRPr="00DF6C69">
              <w:rPr>
                <w:sz w:val="16"/>
                <w:szCs w:val="16"/>
                <w:lang w:eastAsia="en-US"/>
              </w:rPr>
              <w:t>R = 0.67</w:t>
            </w:r>
          </w:p>
          <w:p w14:paraId="4679DF24" w14:textId="701DF6E3" w:rsidR="00173E7A" w:rsidRPr="00DF6C69" w:rsidRDefault="00173E7A">
            <w:pPr>
              <w:pStyle w:val="table"/>
              <w:jc w:val="center"/>
              <w:rPr>
                <w:lang w:eastAsia="en-US"/>
              </w:rPr>
            </w:pPr>
            <w:r w:rsidRPr="00DF6C69">
              <w:rPr>
                <w:noProof/>
                <w:lang w:eastAsia="en-US"/>
              </w:rPr>
              <w:drawing>
                <wp:inline distT="0" distB="0" distL="0" distR="0" wp14:anchorId="0AD2C9D1" wp14:editId="327FE917">
                  <wp:extent cx="1614805" cy="1614805"/>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8" cstate="print">
                            <a:extLst>
                              <a:ext uri="{28A0092B-C50C-407E-A947-70E740481C1C}">
                                <a14:useLocalDpi xmlns:a14="http://schemas.microsoft.com/office/drawing/2010/main" val="0"/>
                              </a:ext>
                            </a:extLst>
                          </a:blip>
                          <a:srcRect l="14207" t="5119" r="19373"/>
                          <a:stretch>
                            <a:fillRect/>
                          </a:stretch>
                        </pic:blipFill>
                        <pic:spPr bwMode="auto">
                          <a:xfrm>
                            <a:off x="0" y="0"/>
                            <a:ext cx="1614805" cy="1614805"/>
                          </a:xfrm>
                          <a:prstGeom prst="rect">
                            <a:avLst/>
                          </a:prstGeom>
                          <a:noFill/>
                          <a:ln>
                            <a:noFill/>
                          </a:ln>
                        </pic:spPr>
                      </pic:pic>
                    </a:graphicData>
                  </a:graphic>
                </wp:inline>
              </w:drawing>
            </w:r>
          </w:p>
        </w:tc>
        <w:tc>
          <w:tcPr>
            <w:tcW w:w="4388" w:type="dxa"/>
            <w:hideMark/>
          </w:tcPr>
          <w:p w14:paraId="4C7239F9" w14:textId="18626208" w:rsidR="00173E7A" w:rsidRPr="00DF6C69" w:rsidRDefault="00173E7A">
            <w:pPr>
              <w:pStyle w:val="table"/>
              <w:jc w:val="center"/>
              <w:rPr>
                <w:lang w:eastAsia="en-US"/>
              </w:rPr>
            </w:pPr>
            <w:r w:rsidRPr="00DF6C69">
              <w:rPr>
                <w:noProof/>
                <w:lang w:eastAsia="en-US"/>
              </w:rPr>
              <w:drawing>
                <wp:inline distT="0" distB="0" distL="0" distR="0" wp14:anchorId="539508E7" wp14:editId="32C05AA6">
                  <wp:extent cx="1745615" cy="172212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6"/>
                          <pic:cNvPicPr>
                            <a:picLocks noChangeAspect="1" noChangeArrowheads="1"/>
                          </pic:cNvPicPr>
                        </pic:nvPicPr>
                        <pic:blipFill>
                          <a:blip r:embed="rId39" cstate="print">
                            <a:extLst>
                              <a:ext uri="{28A0092B-C50C-407E-A947-70E740481C1C}">
                                <a14:useLocalDpi xmlns:a14="http://schemas.microsoft.com/office/drawing/2010/main" val="0"/>
                              </a:ext>
                            </a:extLst>
                          </a:blip>
                          <a:srcRect l="16138" t="6384" r="20775"/>
                          <a:stretch>
                            <a:fillRect/>
                          </a:stretch>
                        </pic:blipFill>
                        <pic:spPr bwMode="auto">
                          <a:xfrm>
                            <a:off x="0" y="0"/>
                            <a:ext cx="1745615" cy="1722120"/>
                          </a:xfrm>
                          <a:prstGeom prst="rect">
                            <a:avLst/>
                          </a:prstGeom>
                          <a:noFill/>
                          <a:ln>
                            <a:noFill/>
                          </a:ln>
                        </pic:spPr>
                      </pic:pic>
                    </a:graphicData>
                  </a:graphic>
                </wp:inline>
              </w:drawing>
            </w:r>
          </w:p>
        </w:tc>
      </w:tr>
      <w:tr w:rsidR="00173E7A" w:rsidRPr="00DF6C69" w14:paraId="7E687F70" w14:textId="77777777" w:rsidTr="00173E7A">
        <w:trPr>
          <w:trHeight w:val="365"/>
          <w:jc w:val="center"/>
        </w:trPr>
        <w:tc>
          <w:tcPr>
            <w:tcW w:w="4388" w:type="dxa"/>
            <w:hideMark/>
          </w:tcPr>
          <w:p w14:paraId="5261F4F9" w14:textId="77777777" w:rsidR="00173E7A" w:rsidRPr="00DF6C69" w:rsidRDefault="00173E7A">
            <w:pPr>
              <w:pStyle w:val="table"/>
              <w:jc w:val="center"/>
              <w:rPr>
                <w:lang w:eastAsia="en-US"/>
              </w:rPr>
            </w:pPr>
            <w:r w:rsidRPr="00DF6C69">
              <w:rPr>
                <w:lang w:eastAsia="en-US"/>
              </w:rPr>
              <w:t xml:space="preserve">       (g)</w:t>
            </w:r>
          </w:p>
        </w:tc>
        <w:tc>
          <w:tcPr>
            <w:tcW w:w="4388" w:type="dxa"/>
            <w:hideMark/>
          </w:tcPr>
          <w:p w14:paraId="12FFE7B3" w14:textId="77777777" w:rsidR="00173E7A" w:rsidRPr="00DF6C69" w:rsidRDefault="00173E7A">
            <w:pPr>
              <w:pStyle w:val="table"/>
              <w:jc w:val="center"/>
              <w:rPr>
                <w:lang w:eastAsia="en-US"/>
              </w:rPr>
            </w:pPr>
            <w:r w:rsidRPr="00DF6C69">
              <w:rPr>
                <w:lang w:eastAsia="en-US"/>
              </w:rPr>
              <w:t xml:space="preserve">       (h)</w:t>
            </w:r>
          </w:p>
        </w:tc>
      </w:tr>
    </w:tbl>
    <w:p w14:paraId="7C3C7095" w14:textId="39C76892" w:rsidR="00C466C3" w:rsidRPr="00DF6C69" w:rsidRDefault="00173E7A" w:rsidP="000765CF">
      <w:pPr>
        <w:pStyle w:val="Caption"/>
        <w:rPr>
          <w:rFonts w:ascii="Times New Roman" w:hAnsi="Times New Roman"/>
        </w:rPr>
      </w:pPr>
      <w:bookmarkStart w:id="31" w:name="_Ref41315119"/>
      <w:r w:rsidRPr="00DF6C69">
        <w:t xml:space="preserve">Figure </w:t>
      </w:r>
      <w:fldSimple w:instr=" SEQ Figure \* ARABIC ">
        <w:r w:rsidR="00645E46" w:rsidRPr="00DF6C69">
          <w:rPr>
            <w:noProof/>
          </w:rPr>
          <w:t>7</w:t>
        </w:r>
      </w:fldSimple>
      <w:bookmarkEnd w:id="31"/>
      <w:r w:rsidR="00A261F3" w:rsidRPr="00DF6C69">
        <w:t>.</w:t>
      </w:r>
      <w:r w:rsidRPr="00DF6C69">
        <w:t xml:space="preserve"> Normalised metabolite levels measured with this platform compared with</w:t>
      </w:r>
      <w:r w:rsidR="00DF707F" w:rsidRPr="00DF6C69">
        <w:t xml:space="preserve"> reference measurements.</w:t>
      </w:r>
      <w:r w:rsidRPr="00DF6C69">
        <w:t xml:space="preserve"> (a),(b) LAA</w:t>
      </w:r>
      <w:r w:rsidR="00DF707F" w:rsidRPr="00DF6C69">
        <w:t xml:space="preserve"> (reference: commercial</w:t>
      </w:r>
      <w:r w:rsidR="008E4AC5" w:rsidRPr="00DF6C69">
        <w:t xml:space="preserve"> </w:t>
      </w:r>
      <w:r w:rsidR="00DF707F" w:rsidRPr="00DF6C69">
        <w:t>kit ab65347 by Abcam);</w:t>
      </w:r>
      <w:r w:rsidRPr="00DF6C69">
        <w:t xml:space="preserve"> (c)(d), glutamate</w:t>
      </w:r>
      <w:r w:rsidR="00DF707F" w:rsidRPr="00DF6C69">
        <w:t xml:space="preserve"> (reference: commercial kit ab138883 by Abcam);</w:t>
      </w:r>
      <w:r w:rsidRPr="00DF6C69">
        <w:t xml:space="preserve"> (e)(f) choline </w:t>
      </w:r>
      <w:r w:rsidR="00DF707F" w:rsidRPr="00DF6C69">
        <w:t>(references: (</w:t>
      </w:r>
      <w:proofErr w:type="spellStart"/>
      <w:r w:rsidR="00DF707F" w:rsidRPr="00DF6C69">
        <w:t>i</w:t>
      </w:r>
      <w:proofErr w:type="spellEnd"/>
      <w:r w:rsidR="00DF707F" w:rsidRPr="00DF6C69">
        <w:t xml:space="preserve">) commercial kit ab219944 by Abcam and (ii) </w:t>
      </w:r>
      <w:r w:rsidR="0027403C" w:rsidRPr="00DF6C69">
        <w:t>ultra-performance liquid chromatography-tandem mass spectrometry</w:t>
      </w:r>
      <w:r w:rsidR="00DF707F" w:rsidRPr="00DF6C69">
        <w:t xml:space="preserve">;  </w:t>
      </w:r>
      <w:r w:rsidRPr="00DF6C69">
        <w:t>(g)(h) sarcosine</w:t>
      </w:r>
      <w:r w:rsidR="00DF707F" w:rsidRPr="00DF6C69">
        <w:t xml:space="preserve"> </w:t>
      </w:r>
      <w:r w:rsidRPr="00DF6C69">
        <w:t xml:space="preserve"> </w:t>
      </w:r>
      <w:r w:rsidR="00DF707F" w:rsidRPr="00DF6C69">
        <w:t xml:space="preserve">(reference: commercial kit ab65338 by Abcam). </w:t>
      </w:r>
    </w:p>
    <w:p w14:paraId="3C97B641" w14:textId="348EBA61" w:rsidR="005924B0" w:rsidRPr="00DF6C69" w:rsidRDefault="005924B0" w:rsidP="00ED009F">
      <w:pPr>
        <w:pStyle w:val="Heading3"/>
        <w:numPr>
          <w:ilvl w:val="0"/>
          <w:numId w:val="0"/>
        </w:numPr>
        <w:ind w:left="720" w:hanging="720"/>
      </w:pPr>
      <w:bookmarkStart w:id="32" w:name="_Toc41997383"/>
      <w:r w:rsidRPr="00DF6C69">
        <w:lastRenderedPageBreak/>
        <w:t xml:space="preserve">References of supplementary </w:t>
      </w:r>
      <w:r w:rsidR="00C642ED" w:rsidRPr="00DF6C69">
        <w:t>information</w:t>
      </w:r>
      <w:bookmarkEnd w:id="32"/>
    </w:p>
    <w:p w14:paraId="020D041A" w14:textId="015283A7" w:rsidR="00847C65" w:rsidRPr="00DF6C69" w:rsidRDefault="005924B0"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18"/>
        </w:rPr>
        <w:fldChar w:fldCharType="begin" w:fldLock="1"/>
      </w:r>
      <w:r w:rsidRPr="00DF6C69">
        <w:rPr>
          <w:rFonts w:cs="Times New Roman"/>
          <w:sz w:val="18"/>
          <w:szCs w:val="18"/>
        </w:rPr>
        <w:instrText xml:space="preserve">ADDIN Mendeley Bibliography CSL_BIBLIOGRAPHY </w:instrText>
      </w:r>
      <w:r w:rsidRPr="00DF6C69">
        <w:rPr>
          <w:rFonts w:cs="Times New Roman"/>
          <w:sz w:val="18"/>
          <w:szCs w:val="18"/>
        </w:rPr>
        <w:fldChar w:fldCharType="separate"/>
      </w:r>
      <w:r w:rsidR="00847C65" w:rsidRPr="00DF6C69">
        <w:rPr>
          <w:rFonts w:cs="Times New Roman"/>
          <w:sz w:val="18"/>
          <w:szCs w:val="24"/>
        </w:rPr>
        <w:t>[1]</w:t>
      </w:r>
      <w:r w:rsidR="00847C65" w:rsidRPr="00DF6C69">
        <w:rPr>
          <w:rFonts w:cs="Times New Roman"/>
          <w:sz w:val="18"/>
          <w:szCs w:val="24"/>
        </w:rPr>
        <w:tab/>
        <w:t xml:space="preserve">D. S. Wishart, “Emerging applications of metabolomics in drug discovery and precision medicine,” </w:t>
      </w:r>
      <w:r w:rsidR="00847C65" w:rsidRPr="00DF6C69">
        <w:rPr>
          <w:rFonts w:cs="Times New Roman"/>
          <w:i/>
          <w:iCs/>
          <w:sz w:val="18"/>
          <w:szCs w:val="24"/>
        </w:rPr>
        <w:t>Nat. Rev. Drug Discov.</w:t>
      </w:r>
      <w:r w:rsidR="00847C65" w:rsidRPr="00DF6C69">
        <w:rPr>
          <w:rFonts w:cs="Times New Roman"/>
          <w:sz w:val="18"/>
          <w:szCs w:val="24"/>
        </w:rPr>
        <w:t>, vol. 15, no. 7, pp. 473–484, 2016, doi: 10.1038/nrd.2016.32.</w:t>
      </w:r>
    </w:p>
    <w:p w14:paraId="4863171C"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[2]</w:t>
      </w:r>
      <w:r w:rsidRPr="00DF6C69">
        <w:rPr>
          <w:rFonts w:cs="Times New Roman"/>
          <w:sz w:val="18"/>
          <w:szCs w:val="24"/>
        </w:rPr>
        <w:tab/>
        <w:t xml:space="preserve">G. D. Dakubo, </w:t>
      </w:r>
      <w:r w:rsidRPr="00DF6C69">
        <w:rPr>
          <w:rFonts w:cs="Times New Roman"/>
          <w:i/>
          <w:iCs/>
          <w:sz w:val="18"/>
          <w:szCs w:val="24"/>
        </w:rPr>
        <w:t>Cancer Biomarkers in Body Fluids</w:t>
      </w:r>
      <w:r w:rsidRPr="00DF6C69">
        <w:rPr>
          <w:rFonts w:cs="Times New Roman"/>
          <w:sz w:val="18"/>
          <w:szCs w:val="24"/>
        </w:rPr>
        <w:t>. Springer International Publishing, 2017.</w:t>
      </w:r>
    </w:p>
    <w:p w14:paraId="1C7A79D3"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[3]</w:t>
      </w:r>
      <w:r w:rsidRPr="00DF6C69">
        <w:rPr>
          <w:rFonts w:cs="Times New Roman"/>
          <w:sz w:val="18"/>
          <w:szCs w:val="24"/>
        </w:rPr>
        <w:tab/>
        <w:t xml:space="preserve">A. B. Leichtle </w:t>
      </w:r>
      <w:r w:rsidRPr="00DF6C69">
        <w:rPr>
          <w:rFonts w:cs="Times New Roman"/>
          <w:i/>
          <w:iCs/>
          <w:sz w:val="18"/>
          <w:szCs w:val="24"/>
        </w:rPr>
        <w:t>et al.</w:t>
      </w:r>
      <w:r w:rsidRPr="00DF6C69">
        <w:rPr>
          <w:rFonts w:cs="Times New Roman"/>
          <w:sz w:val="18"/>
          <w:szCs w:val="24"/>
        </w:rPr>
        <w:t xml:space="preserve">, “Pancreatic carcinoma, pancreatitis, and healthy controls: Metabolite models in a three-class diagnostic dilemma,” </w:t>
      </w:r>
      <w:r w:rsidRPr="00DF6C69">
        <w:rPr>
          <w:rFonts w:cs="Times New Roman"/>
          <w:i/>
          <w:iCs/>
          <w:sz w:val="18"/>
          <w:szCs w:val="24"/>
        </w:rPr>
        <w:t>Metabolomics</w:t>
      </w:r>
      <w:r w:rsidRPr="00DF6C69">
        <w:rPr>
          <w:rFonts w:cs="Times New Roman"/>
          <w:sz w:val="18"/>
          <w:szCs w:val="24"/>
        </w:rPr>
        <w:t>, vol. 9, no. 3, pp. 677–687, Jun. 2013, doi: 10.1007/s11306-012-0476-7.</w:t>
      </w:r>
    </w:p>
    <w:p w14:paraId="21A0464E"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[4]</w:t>
      </w:r>
      <w:r w:rsidRPr="00DF6C69">
        <w:rPr>
          <w:rFonts w:cs="Times New Roman"/>
          <w:sz w:val="18"/>
          <w:szCs w:val="24"/>
        </w:rPr>
        <w:tab/>
        <w:t xml:space="preserve">L. Wang </w:t>
      </w:r>
      <w:r w:rsidRPr="00DF6C69">
        <w:rPr>
          <w:rFonts w:cs="Times New Roman"/>
          <w:i/>
          <w:iCs/>
          <w:sz w:val="18"/>
          <w:szCs w:val="24"/>
        </w:rPr>
        <w:t>et al.</w:t>
      </w:r>
      <w:r w:rsidRPr="00DF6C69">
        <w:rPr>
          <w:rFonts w:cs="Times New Roman"/>
          <w:sz w:val="18"/>
          <w:szCs w:val="24"/>
        </w:rPr>
        <w:t xml:space="preserve">, “1H-NMR based metabonomic profiling of human esophageal cancer tissue,” </w:t>
      </w:r>
      <w:r w:rsidRPr="00DF6C69">
        <w:rPr>
          <w:rFonts w:cs="Times New Roman"/>
          <w:i/>
          <w:iCs/>
          <w:sz w:val="18"/>
          <w:szCs w:val="24"/>
        </w:rPr>
        <w:t>Mol. Cancer</w:t>
      </w:r>
      <w:r w:rsidRPr="00DF6C69">
        <w:rPr>
          <w:rFonts w:cs="Times New Roman"/>
          <w:sz w:val="18"/>
          <w:szCs w:val="24"/>
        </w:rPr>
        <w:t>, vol. 12, no. 1, p. 25, Apr. 2013, doi: 10.1186/1476-4598-12-25.</w:t>
      </w:r>
    </w:p>
    <w:p w14:paraId="1CB5F016"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[5]</w:t>
      </w:r>
      <w:r w:rsidRPr="00DF6C69">
        <w:rPr>
          <w:rFonts w:cs="Times New Roman"/>
          <w:sz w:val="18"/>
          <w:szCs w:val="24"/>
        </w:rPr>
        <w:tab/>
        <w:t xml:space="preserve">J. Shen, L. Yan, S. Liu, C. B. Ambrosone, and H. Zhao, “Plasma metabolomic profiles in breast cancer patients and healthy controls: By race and tumor receptor subtypes,” </w:t>
      </w:r>
      <w:r w:rsidRPr="00DF6C69">
        <w:rPr>
          <w:rFonts w:cs="Times New Roman"/>
          <w:i/>
          <w:iCs/>
          <w:sz w:val="18"/>
          <w:szCs w:val="24"/>
        </w:rPr>
        <w:t>Transl. Oncol.</w:t>
      </w:r>
      <w:r w:rsidRPr="00DF6C69">
        <w:rPr>
          <w:rFonts w:cs="Times New Roman"/>
          <w:sz w:val="18"/>
          <w:szCs w:val="24"/>
        </w:rPr>
        <w:t>, vol. 6, no. 6, pp. 757–765, 2013, doi: 10.1593/tlo.13619.</w:t>
      </w:r>
    </w:p>
    <w:p w14:paraId="0AC835FE"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[6]</w:t>
      </w:r>
      <w:r w:rsidRPr="00DF6C69">
        <w:rPr>
          <w:rFonts w:cs="Times New Roman"/>
          <w:sz w:val="18"/>
          <w:szCs w:val="24"/>
        </w:rPr>
        <w:tab/>
        <w:t xml:space="preserve">C. Oakman </w:t>
      </w:r>
      <w:r w:rsidRPr="00DF6C69">
        <w:rPr>
          <w:rFonts w:cs="Times New Roman"/>
          <w:i/>
          <w:iCs/>
          <w:sz w:val="18"/>
          <w:szCs w:val="24"/>
        </w:rPr>
        <w:t>et al.</w:t>
      </w:r>
      <w:r w:rsidRPr="00DF6C69">
        <w:rPr>
          <w:rFonts w:cs="Times New Roman"/>
          <w:sz w:val="18"/>
          <w:szCs w:val="24"/>
        </w:rPr>
        <w:t xml:space="preserve">, “Identification of a serum-detectable metabolomic fingerprint potentially correlated with the presence of micrometastatic disease in early breast cancer patients at varying risks of disease relapse by traditional prognostic methods,” </w:t>
      </w:r>
      <w:r w:rsidRPr="00DF6C69">
        <w:rPr>
          <w:rFonts w:cs="Times New Roman"/>
          <w:i/>
          <w:iCs/>
          <w:sz w:val="18"/>
          <w:szCs w:val="24"/>
        </w:rPr>
        <w:t>Ann. Oncol.</w:t>
      </w:r>
      <w:r w:rsidRPr="00DF6C69">
        <w:rPr>
          <w:rFonts w:cs="Times New Roman"/>
          <w:sz w:val="18"/>
          <w:szCs w:val="24"/>
        </w:rPr>
        <w:t>, vol. 22, no. 6, pp. 1295–1301, 2011, doi: 10.1093/annonc/mdq606.</w:t>
      </w:r>
    </w:p>
    <w:p w14:paraId="3DCBF504"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[7]</w:t>
      </w:r>
      <w:r w:rsidRPr="00DF6C69">
        <w:rPr>
          <w:rFonts w:cs="Times New Roman"/>
          <w:sz w:val="18"/>
          <w:szCs w:val="24"/>
        </w:rPr>
        <w:tab/>
        <w:t xml:space="preserve">Y. Li, X. Song, X. Zhao, L. Zou, and G. Xu, “Serum metabolic profiling study of lung cancer using ultra high performance liquid chromatography/quadrupole time-of-flight mass spectrometry,” </w:t>
      </w:r>
      <w:r w:rsidRPr="00DF6C69">
        <w:rPr>
          <w:rFonts w:cs="Times New Roman"/>
          <w:i/>
          <w:iCs/>
          <w:sz w:val="18"/>
          <w:szCs w:val="24"/>
        </w:rPr>
        <w:t>J. Chromatogr. B Anal. Technol. Biomed. Life Sci.</w:t>
      </w:r>
      <w:r w:rsidRPr="00DF6C69">
        <w:rPr>
          <w:rFonts w:cs="Times New Roman"/>
          <w:sz w:val="18"/>
          <w:szCs w:val="24"/>
        </w:rPr>
        <w:t>, vol. 966, pp. 147–153, Sep. 2014, doi: 10.1016/j.jchromb.2014.04.047.</w:t>
      </w:r>
    </w:p>
    <w:p w14:paraId="54836694"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[8]</w:t>
      </w:r>
      <w:r w:rsidRPr="00DF6C69">
        <w:rPr>
          <w:rFonts w:cs="Times New Roman"/>
          <w:sz w:val="18"/>
          <w:szCs w:val="24"/>
        </w:rPr>
        <w:tab/>
        <w:t xml:space="preserve">W. Lv and T. Yang, “Identification of possible biomarkers for breast cancer from free fatty acid profiles determined by GC-MS and multivariate statistical analysis,” </w:t>
      </w:r>
      <w:r w:rsidRPr="00DF6C69">
        <w:rPr>
          <w:rFonts w:cs="Times New Roman"/>
          <w:i/>
          <w:iCs/>
          <w:sz w:val="18"/>
          <w:szCs w:val="24"/>
        </w:rPr>
        <w:t>Clin. Biochem.</w:t>
      </w:r>
      <w:r w:rsidRPr="00DF6C69">
        <w:rPr>
          <w:rFonts w:cs="Times New Roman"/>
          <w:sz w:val="18"/>
          <w:szCs w:val="24"/>
        </w:rPr>
        <w:t>, vol. 45, no. 1–2, pp. 127–133, Jan. 2012, doi: 10.1016/j.clinbiochem.2011.10.011.</w:t>
      </w:r>
    </w:p>
    <w:p w14:paraId="50032A95"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[9]</w:t>
      </w:r>
      <w:r w:rsidRPr="00DF6C69">
        <w:rPr>
          <w:rFonts w:cs="Times New Roman"/>
          <w:sz w:val="18"/>
          <w:szCs w:val="24"/>
        </w:rPr>
        <w:tab/>
        <w:t xml:space="preserve">L. Tenori </w:t>
      </w:r>
      <w:r w:rsidRPr="00DF6C69">
        <w:rPr>
          <w:rFonts w:cs="Times New Roman"/>
          <w:i/>
          <w:iCs/>
          <w:sz w:val="18"/>
          <w:szCs w:val="24"/>
        </w:rPr>
        <w:t>et al.</w:t>
      </w:r>
      <w:r w:rsidRPr="00DF6C69">
        <w:rPr>
          <w:rFonts w:cs="Times New Roman"/>
          <w:sz w:val="18"/>
          <w:szCs w:val="24"/>
        </w:rPr>
        <w:t xml:space="preserve">, “Serum metabolomic profiles evaluated after surgery may identify patients with oestrogen receptor negative early breast cancer at increased risk of disease recurrence. Results from a retrospective study,” </w:t>
      </w:r>
      <w:r w:rsidRPr="00DF6C69">
        <w:rPr>
          <w:rFonts w:cs="Times New Roman"/>
          <w:i/>
          <w:iCs/>
          <w:sz w:val="18"/>
          <w:szCs w:val="24"/>
        </w:rPr>
        <w:t>Mol. Oncol.</w:t>
      </w:r>
      <w:r w:rsidRPr="00DF6C69">
        <w:rPr>
          <w:rFonts w:cs="Times New Roman"/>
          <w:sz w:val="18"/>
          <w:szCs w:val="24"/>
        </w:rPr>
        <w:t>, vol. 9, no. 1, pp. 128–139, Jan. 2015, doi: 10.1016/j.molonc.2014.07.012.</w:t>
      </w:r>
    </w:p>
    <w:p w14:paraId="248588C5"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[10]</w:t>
      </w:r>
      <w:r w:rsidRPr="00DF6C69">
        <w:rPr>
          <w:rFonts w:cs="Times New Roman"/>
          <w:sz w:val="18"/>
          <w:szCs w:val="24"/>
        </w:rPr>
        <w:tab/>
        <w:t xml:space="preserve">J. Budczies </w:t>
      </w:r>
      <w:r w:rsidRPr="00DF6C69">
        <w:rPr>
          <w:rFonts w:cs="Times New Roman"/>
          <w:i/>
          <w:iCs/>
          <w:sz w:val="18"/>
          <w:szCs w:val="24"/>
        </w:rPr>
        <w:t>et al.</w:t>
      </w:r>
      <w:r w:rsidRPr="00DF6C69">
        <w:rPr>
          <w:rFonts w:cs="Times New Roman"/>
          <w:sz w:val="18"/>
          <w:szCs w:val="24"/>
        </w:rPr>
        <w:t xml:space="preserve">, “Comparative metabolomics of estrogen receptor positive and estrogen receptor negative breast cancer: Alterations in glutamine and beta-alanine metabolism,” </w:t>
      </w:r>
      <w:r w:rsidRPr="00DF6C69">
        <w:rPr>
          <w:rFonts w:cs="Times New Roman"/>
          <w:i/>
          <w:iCs/>
          <w:sz w:val="18"/>
          <w:szCs w:val="24"/>
        </w:rPr>
        <w:t>J. Proteomics</w:t>
      </w:r>
      <w:r w:rsidRPr="00DF6C69">
        <w:rPr>
          <w:rFonts w:cs="Times New Roman"/>
          <w:sz w:val="18"/>
          <w:szCs w:val="24"/>
        </w:rPr>
        <w:t>, vol. 94, pp. 279–288, Dec. 2013, doi: 10.1016/j.jprot.2013.10.002.</w:t>
      </w:r>
    </w:p>
    <w:p w14:paraId="31DCC3F6"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[11]</w:t>
      </w:r>
      <w:r w:rsidRPr="00DF6C69">
        <w:rPr>
          <w:rFonts w:cs="Times New Roman"/>
          <w:sz w:val="18"/>
          <w:szCs w:val="24"/>
        </w:rPr>
        <w:tab/>
        <w:t xml:space="preserve">N. Lefort </w:t>
      </w:r>
      <w:r w:rsidRPr="00DF6C69">
        <w:rPr>
          <w:rFonts w:cs="Times New Roman"/>
          <w:i/>
          <w:iCs/>
          <w:sz w:val="18"/>
          <w:szCs w:val="24"/>
        </w:rPr>
        <w:t>et al.</w:t>
      </w:r>
      <w:r w:rsidRPr="00DF6C69">
        <w:rPr>
          <w:rFonts w:cs="Times New Roman"/>
          <w:sz w:val="18"/>
          <w:szCs w:val="24"/>
        </w:rPr>
        <w:t xml:space="preserve">, “1H NMR metabolomics analysis of the effect of dichloroacetate and allopurinol on breast cancers,” </w:t>
      </w:r>
      <w:r w:rsidRPr="00DF6C69">
        <w:rPr>
          <w:rFonts w:cs="Times New Roman"/>
          <w:i/>
          <w:iCs/>
          <w:sz w:val="18"/>
          <w:szCs w:val="24"/>
        </w:rPr>
        <w:t>J. Pharm. Biomed. Anal.</w:t>
      </w:r>
      <w:r w:rsidRPr="00DF6C69">
        <w:rPr>
          <w:rFonts w:cs="Times New Roman"/>
          <w:sz w:val="18"/>
          <w:szCs w:val="24"/>
        </w:rPr>
        <w:t>, vol. 93, pp. 77–85, 2014, doi: 10.1016/j.jpba.2013.08.017.</w:t>
      </w:r>
    </w:p>
    <w:p w14:paraId="7D567866"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[12]</w:t>
      </w:r>
      <w:r w:rsidRPr="00DF6C69">
        <w:rPr>
          <w:rFonts w:cs="Times New Roman"/>
          <w:sz w:val="18"/>
          <w:szCs w:val="24"/>
        </w:rPr>
        <w:tab/>
        <w:t xml:space="preserve">A. S. Krall, S. Xu, T. G. Graeber, D. Braas, and H. R. Christofk, “Asparagine promotes cancer cell proliferation through use as an amino acid exchange factor,” </w:t>
      </w:r>
      <w:r w:rsidRPr="00DF6C69">
        <w:rPr>
          <w:rFonts w:cs="Times New Roman"/>
          <w:i/>
          <w:iCs/>
          <w:sz w:val="18"/>
          <w:szCs w:val="24"/>
        </w:rPr>
        <w:t>Nat. Commun.</w:t>
      </w:r>
      <w:r w:rsidRPr="00DF6C69">
        <w:rPr>
          <w:rFonts w:cs="Times New Roman"/>
          <w:sz w:val="18"/>
          <w:szCs w:val="24"/>
        </w:rPr>
        <w:t>, vol. 7, pp. 1–13, Apr. 2016, doi: 10.1038/ncomms11457.</w:t>
      </w:r>
    </w:p>
    <w:p w14:paraId="7955DE8E"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[13]</w:t>
      </w:r>
      <w:r w:rsidRPr="00DF6C69">
        <w:rPr>
          <w:rFonts w:cs="Times New Roman"/>
          <w:sz w:val="18"/>
          <w:szCs w:val="24"/>
        </w:rPr>
        <w:tab/>
        <w:t xml:space="preserve">S. R. V. Knott </w:t>
      </w:r>
      <w:r w:rsidRPr="00DF6C69">
        <w:rPr>
          <w:rFonts w:cs="Times New Roman"/>
          <w:i/>
          <w:iCs/>
          <w:sz w:val="18"/>
          <w:szCs w:val="24"/>
        </w:rPr>
        <w:t>et al.</w:t>
      </w:r>
      <w:r w:rsidRPr="00DF6C69">
        <w:rPr>
          <w:rFonts w:cs="Times New Roman"/>
          <w:sz w:val="18"/>
          <w:szCs w:val="24"/>
        </w:rPr>
        <w:t xml:space="preserve">, “Asparagine bioavailability governs metastasis in a model of breast cancer,” </w:t>
      </w:r>
      <w:r w:rsidRPr="00DF6C69">
        <w:rPr>
          <w:rFonts w:cs="Times New Roman"/>
          <w:i/>
          <w:iCs/>
          <w:sz w:val="18"/>
          <w:szCs w:val="24"/>
        </w:rPr>
        <w:t>Nature</w:t>
      </w:r>
      <w:r w:rsidRPr="00DF6C69">
        <w:rPr>
          <w:rFonts w:cs="Times New Roman"/>
          <w:sz w:val="18"/>
          <w:szCs w:val="24"/>
        </w:rPr>
        <w:t>, vol. 554, no. 7692, pp. 378–381, Feb. 2018, doi: 10.1038/nature25465.</w:t>
      </w:r>
    </w:p>
    <w:p w14:paraId="6E47F760"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[14]</w:t>
      </w:r>
      <w:r w:rsidRPr="00DF6C69">
        <w:rPr>
          <w:rFonts w:cs="Times New Roman"/>
          <w:sz w:val="18"/>
          <w:szCs w:val="24"/>
        </w:rPr>
        <w:tab/>
        <w:t xml:space="preserve">H. Nam, B. C. Chung, Y. Kim, K. Y. Lee, and D. Lee, “Combining tissue transcriptomics and urine metabolomics for breast cancer biomarker identification,” </w:t>
      </w:r>
      <w:r w:rsidRPr="00DF6C69">
        <w:rPr>
          <w:rFonts w:cs="Times New Roman"/>
          <w:i/>
          <w:iCs/>
          <w:sz w:val="18"/>
          <w:szCs w:val="24"/>
        </w:rPr>
        <w:t>Bioinformatics</w:t>
      </w:r>
      <w:r w:rsidRPr="00DF6C69">
        <w:rPr>
          <w:rFonts w:cs="Times New Roman"/>
          <w:sz w:val="18"/>
          <w:szCs w:val="24"/>
        </w:rPr>
        <w:t>, vol. 25, no. 23, pp. 3151–3157, Sep. 2009, doi: 10.1093/bioinformatics/btp558.</w:t>
      </w:r>
    </w:p>
    <w:p w14:paraId="59EA1F93"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[15]</w:t>
      </w:r>
      <w:r w:rsidRPr="00DF6C69">
        <w:rPr>
          <w:rFonts w:cs="Times New Roman"/>
          <w:sz w:val="18"/>
          <w:szCs w:val="24"/>
        </w:rPr>
        <w:tab/>
        <w:t xml:space="preserve">A. Zhang, H. Sun, G. Yan, P. Wang, Y. Han, and X. Wang, “Metabolomics in diagnosis and biomarker discovery of colorectal cancer,” </w:t>
      </w:r>
      <w:r w:rsidRPr="00DF6C69">
        <w:rPr>
          <w:rFonts w:cs="Times New Roman"/>
          <w:i/>
          <w:iCs/>
          <w:sz w:val="18"/>
          <w:szCs w:val="24"/>
        </w:rPr>
        <w:t>Cancer Lett.</w:t>
      </w:r>
      <w:r w:rsidRPr="00DF6C69">
        <w:rPr>
          <w:rFonts w:cs="Times New Roman"/>
          <w:sz w:val="18"/>
          <w:szCs w:val="24"/>
        </w:rPr>
        <w:t>, vol. 345, no. 1, pp. 17–20, Apr. 2014, doi: 10.1016/j.canlet.2013.11.011.</w:t>
      </w:r>
    </w:p>
    <w:p w14:paraId="05CA346E"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[16]</w:t>
      </w:r>
      <w:r w:rsidRPr="00DF6C69">
        <w:rPr>
          <w:rFonts w:cs="Times New Roman"/>
          <w:sz w:val="18"/>
          <w:szCs w:val="24"/>
        </w:rPr>
        <w:tab/>
        <w:t xml:space="preserve">A. B. Leichtle </w:t>
      </w:r>
      <w:r w:rsidRPr="00DF6C69">
        <w:rPr>
          <w:rFonts w:cs="Times New Roman"/>
          <w:i/>
          <w:iCs/>
          <w:sz w:val="18"/>
          <w:szCs w:val="24"/>
        </w:rPr>
        <w:t>et al.</w:t>
      </w:r>
      <w:r w:rsidRPr="00DF6C69">
        <w:rPr>
          <w:rFonts w:cs="Times New Roman"/>
          <w:sz w:val="18"/>
          <w:szCs w:val="24"/>
        </w:rPr>
        <w:t xml:space="preserve">, “Serum amino acid profiles and their alterations in colorectal cancer,” </w:t>
      </w:r>
      <w:r w:rsidRPr="00DF6C69">
        <w:rPr>
          <w:rFonts w:cs="Times New Roman"/>
          <w:i/>
          <w:iCs/>
          <w:sz w:val="18"/>
          <w:szCs w:val="24"/>
        </w:rPr>
        <w:t>Metabolomics</w:t>
      </w:r>
      <w:r w:rsidRPr="00DF6C69">
        <w:rPr>
          <w:rFonts w:cs="Times New Roman"/>
          <w:sz w:val="18"/>
          <w:szCs w:val="24"/>
        </w:rPr>
        <w:t>, vol. 8, no. 4, pp. 643–653, Aug. 2012, doi: 10.1007/s11306-011-0357-5.</w:t>
      </w:r>
    </w:p>
    <w:p w14:paraId="394A1443"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[17]</w:t>
      </w:r>
      <w:r w:rsidRPr="00DF6C69">
        <w:rPr>
          <w:rFonts w:cs="Times New Roman"/>
          <w:sz w:val="18"/>
          <w:szCs w:val="24"/>
        </w:rPr>
        <w:tab/>
        <w:t xml:space="preserve">H. Wang, V. K. Tso, C. M. Slupsky, and R. N. Fedorak, “Metabolomics and detection of colorectal cancer in humans: A systematic review,” </w:t>
      </w:r>
      <w:r w:rsidRPr="00DF6C69">
        <w:rPr>
          <w:rFonts w:cs="Times New Roman"/>
          <w:i/>
          <w:iCs/>
          <w:sz w:val="18"/>
          <w:szCs w:val="24"/>
        </w:rPr>
        <w:t>Future Oncology</w:t>
      </w:r>
      <w:r w:rsidRPr="00DF6C69">
        <w:rPr>
          <w:rFonts w:cs="Times New Roman"/>
          <w:sz w:val="18"/>
          <w:szCs w:val="24"/>
        </w:rPr>
        <w:t>, vol. 6, no. 9. pp. 1395–1406, Sep. 2010, doi: 10.2217/fon.10.107.</w:t>
      </w:r>
    </w:p>
    <w:p w14:paraId="69F81FEF"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[18]</w:t>
      </w:r>
      <w:r w:rsidRPr="00DF6C69">
        <w:rPr>
          <w:rFonts w:cs="Times New Roman"/>
          <w:sz w:val="18"/>
          <w:szCs w:val="24"/>
        </w:rPr>
        <w:tab/>
        <w:t xml:space="preserve">Y. Qiu </w:t>
      </w:r>
      <w:r w:rsidRPr="00DF6C69">
        <w:rPr>
          <w:rFonts w:cs="Times New Roman"/>
          <w:i/>
          <w:iCs/>
          <w:sz w:val="18"/>
          <w:szCs w:val="24"/>
        </w:rPr>
        <w:t>et al.</w:t>
      </w:r>
      <w:r w:rsidRPr="00DF6C69">
        <w:rPr>
          <w:rFonts w:cs="Times New Roman"/>
          <w:sz w:val="18"/>
          <w:szCs w:val="24"/>
        </w:rPr>
        <w:t xml:space="preserve">, “Serum metabolite profiling of human colorectal cancer using GC-TOFMS and UPLC-QTOFMS,” </w:t>
      </w:r>
      <w:r w:rsidRPr="00DF6C69">
        <w:rPr>
          <w:rFonts w:cs="Times New Roman"/>
          <w:i/>
          <w:iCs/>
          <w:sz w:val="18"/>
          <w:szCs w:val="24"/>
        </w:rPr>
        <w:t>J. Proteome Res.</w:t>
      </w:r>
      <w:r w:rsidRPr="00DF6C69">
        <w:rPr>
          <w:rFonts w:cs="Times New Roman"/>
          <w:sz w:val="18"/>
          <w:szCs w:val="24"/>
        </w:rPr>
        <w:t>, vol. 8, no. 10, pp. 4844–4850, 2009, doi: 10.1021/pr9004162.</w:t>
      </w:r>
    </w:p>
    <w:p w14:paraId="6EEE0C9B"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[19]</w:t>
      </w:r>
      <w:r w:rsidRPr="00DF6C69">
        <w:rPr>
          <w:rFonts w:cs="Times New Roman"/>
          <w:sz w:val="18"/>
          <w:szCs w:val="24"/>
        </w:rPr>
        <w:tab/>
        <w:t xml:space="preserve">A. Huang, D. Fuchs, B. Widner, C. Glover, D. C. Henderson, and T. G. Allen-Mersh, “Tryptophan and quality of life in colorectal cancer,” in </w:t>
      </w:r>
      <w:r w:rsidRPr="00DF6C69">
        <w:rPr>
          <w:rFonts w:cs="Times New Roman"/>
          <w:i/>
          <w:iCs/>
          <w:sz w:val="18"/>
          <w:szCs w:val="24"/>
        </w:rPr>
        <w:t>Advances in Experimental Medicine and Biology</w:t>
      </w:r>
      <w:r w:rsidRPr="00DF6C69">
        <w:rPr>
          <w:rFonts w:cs="Times New Roman"/>
          <w:sz w:val="18"/>
          <w:szCs w:val="24"/>
        </w:rPr>
        <w:t>, 2003, vol. 527, pp. 353–358, doi: 10.1007/978-1-4615-0135-0_39.</w:t>
      </w:r>
    </w:p>
    <w:p w14:paraId="3D668F05"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[20]</w:t>
      </w:r>
      <w:r w:rsidRPr="00DF6C69">
        <w:rPr>
          <w:rFonts w:cs="Times New Roman"/>
          <w:sz w:val="18"/>
          <w:szCs w:val="24"/>
        </w:rPr>
        <w:tab/>
        <w:t xml:space="preserve">S. A. Ritchie </w:t>
      </w:r>
      <w:r w:rsidRPr="00DF6C69">
        <w:rPr>
          <w:rFonts w:cs="Times New Roman"/>
          <w:i/>
          <w:iCs/>
          <w:sz w:val="18"/>
          <w:szCs w:val="24"/>
        </w:rPr>
        <w:t>et al.</w:t>
      </w:r>
      <w:r w:rsidRPr="00DF6C69">
        <w:rPr>
          <w:rFonts w:cs="Times New Roman"/>
          <w:sz w:val="18"/>
          <w:szCs w:val="24"/>
        </w:rPr>
        <w:t xml:space="preserve">, “Reduced levels of hydroxylated, polyunsaturated ultra long-chain fatty acids in the serum of colorectal cancer patients: Implications for early screening and detection,” </w:t>
      </w:r>
      <w:r w:rsidRPr="00DF6C69">
        <w:rPr>
          <w:rFonts w:cs="Times New Roman"/>
          <w:i/>
          <w:iCs/>
          <w:sz w:val="18"/>
          <w:szCs w:val="24"/>
        </w:rPr>
        <w:t>BMC Med.</w:t>
      </w:r>
      <w:r w:rsidRPr="00DF6C69">
        <w:rPr>
          <w:rFonts w:cs="Times New Roman"/>
          <w:sz w:val="18"/>
          <w:szCs w:val="24"/>
        </w:rPr>
        <w:t>, vol. 8, Feb. 2010, doi: 10.1186/1741-7015-8-13.</w:t>
      </w:r>
    </w:p>
    <w:p w14:paraId="22897E45"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[21]</w:t>
      </w:r>
      <w:r w:rsidRPr="00DF6C69">
        <w:rPr>
          <w:rFonts w:cs="Times New Roman"/>
          <w:sz w:val="18"/>
          <w:szCs w:val="24"/>
        </w:rPr>
        <w:tab/>
        <w:t xml:space="preserve">B. Jiménez </w:t>
      </w:r>
      <w:r w:rsidRPr="00DF6C69">
        <w:rPr>
          <w:rFonts w:cs="Times New Roman"/>
          <w:i/>
          <w:iCs/>
          <w:sz w:val="18"/>
          <w:szCs w:val="24"/>
        </w:rPr>
        <w:t>et al.</w:t>
      </w:r>
      <w:r w:rsidRPr="00DF6C69">
        <w:rPr>
          <w:rFonts w:cs="Times New Roman"/>
          <w:sz w:val="18"/>
          <w:szCs w:val="24"/>
        </w:rPr>
        <w:t xml:space="preserve">, “1H HR-MAS NMR spectroscopy of tumor-induced local metabolic ‘field-effects’ enables colorectal cancer staging and prognostication,” </w:t>
      </w:r>
      <w:r w:rsidRPr="00DF6C69">
        <w:rPr>
          <w:rFonts w:cs="Times New Roman"/>
          <w:i/>
          <w:iCs/>
          <w:sz w:val="18"/>
          <w:szCs w:val="24"/>
        </w:rPr>
        <w:t>J. Proteome Res.</w:t>
      </w:r>
      <w:r w:rsidRPr="00DF6C69">
        <w:rPr>
          <w:rFonts w:cs="Times New Roman"/>
          <w:sz w:val="18"/>
          <w:szCs w:val="24"/>
        </w:rPr>
        <w:t>, vol. 12, no. 2, pp. 959–968, Feb. 2013, doi: 10.1021/pr3010106.</w:t>
      </w:r>
    </w:p>
    <w:p w14:paraId="0FBDF389"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[22]</w:t>
      </w:r>
      <w:r w:rsidRPr="00DF6C69">
        <w:rPr>
          <w:rFonts w:cs="Times New Roman"/>
          <w:sz w:val="18"/>
          <w:szCs w:val="24"/>
        </w:rPr>
        <w:tab/>
        <w:t xml:space="preserve">K. Raina, K. Ravichandran, S. Rajamanickam, K. M. Huber, N. J. Serkova, and R. Agarwal, “Inositol hexaphosphate inhibits tumor growth, vascularity, and metabolism in TRAMP mice: A multiparametric magnetic resonance study,” </w:t>
      </w:r>
      <w:r w:rsidRPr="00DF6C69">
        <w:rPr>
          <w:rFonts w:cs="Times New Roman"/>
          <w:i/>
          <w:iCs/>
          <w:sz w:val="18"/>
          <w:szCs w:val="24"/>
        </w:rPr>
        <w:t>Cancer Prev. Res.</w:t>
      </w:r>
      <w:r w:rsidRPr="00DF6C69">
        <w:rPr>
          <w:rFonts w:cs="Times New Roman"/>
          <w:sz w:val="18"/>
          <w:szCs w:val="24"/>
        </w:rPr>
        <w:t>, vol. 6, no. 1, pp. 40–50, Jan. 2013, doi: 10.1158/1940-6207.CAPR-12-0387.</w:t>
      </w:r>
    </w:p>
    <w:p w14:paraId="053499C7"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[23]</w:t>
      </w:r>
      <w:r w:rsidRPr="00DF6C69">
        <w:rPr>
          <w:rFonts w:cs="Times New Roman"/>
          <w:sz w:val="18"/>
          <w:szCs w:val="24"/>
        </w:rPr>
        <w:tab/>
        <w:t xml:space="preserve">G. F. Giskeødegård </w:t>
      </w:r>
      <w:r w:rsidRPr="00DF6C69">
        <w:rPr>
          <w:rFonts w:cs="Times New Roman"/>
          <w:i/>
          <w:iCs/>
          <w:sz w:val="18"/>
          <w:szCs w:val="24"/>
        </w:rPr>
        <w:t>et al.</w:t>
      </w:r>
      <w:r w:rsidRPr="00DF6C69">
        <w:rPr>
          <w:rFonts w:cs="Times New Roman"/>
          <w:sz w:val="18"/>
          <w:szCs w:val="24"/>
        </w:rPr>
        <w:t xml:space="preserve">, “Spermine and Citrate as Metabolic Biomarkers for Assessing Prostate Cancer Aggressiveness,” </w:t>
      </w:r>
      <w:r w:rsidRPr="00DF6C69">
        <w:rPr>
          <w:rFonts w:cs="Times New Roman"/>
          <w:i/>
          <w:iCs/>
          <w:sz w:val="18"/>
          <w:szCs w:val="24"/>
        </w:rPr>
        <w:t>PLoS One</w:t>
      </w:r>
      <w:r w:rsidRPr="00DF6C69">
        <w:rPr>
          <w:rFonts w:cs="Times New Roman"/>
          <w:sz w:val="18"/>
          <w:szCs w:val="24"/>
        </w:rPr>
        <w:t>, vol. 8, no. 4, Apr. 2013, doi: 10.1371/journal.pone.0062375.</w:t>
      </w:r>
    </w:p>
    <w:p w14:paraId="4DFC13F3"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[24]</w:t>
      </w:r>
      <w:r w:rsidRPr="00DF6C69">
        <w:rPr>
          <w:rFonts w:cs="Times New Roman"/>
          <w:sz w:val="18"/>
          <w:szCs w:val="24"/>
        </w:rPr>
        <w:tab/>
        <w:t xml:space="preserve">J. E. McDunn </w:t>
      </w:r>
      <w:r w:rsidRPr="00DF6C69">
        <w:rPr>
          <w:rFonts w:cs="Times New Roman"/>
          <w:i/>
          <w:iCs/>
          <w:sz w:val="18"/>
          <w:szCs w:val="24"/>
        </w:rPr>
        <w:t>et al.</w:t>
      </w:r>
      <w:r w:rsidRPr="00DF6C69">
        <w:rPr>
          <w:rFonts w:cs="Times New Roman"/>
          <w:sz w:val="18"/>
          <w:szCs w:val="24"/>
        </w:rPr>
        <w:t xml:space="preserve">, “Metabolomic signatures of aggressive prostate cancer,” </w:t>
      </w:r>
      <w:r w:rsidRPr="00DF6C69">
        <w:rPr>
          <w:rFonts w:cs="Times New Roman"/>
          <w:i/>
          <w:iCs/>
          <w:sz w:val="18"/>
          <w:szCs w:val="24"/>
        </w:rPr>
        <w:t>Prostate</w:t>
      </w:r>
      <w:r w:rsidRPr="00DF6C69">
        <w:rPr>
          <w:rFonts w:cs="Times New Roman"/>
          <w:sz w:val="18"/>
          <w:szCs w:val="24"/>
        </w:rPr>
        <w:t>, vol. 73, no. 14, pp. 1547–1560, Oct. 2013, doi: 10.1002/pros.22704.</w:t>
      </w:r>
    </w:p>
    <w:p w14:paraId="5A963501"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[25]</w:t>
      </w:r>
      <w:r w:rsidRPr="00DF6C69">
        <w:rPr>
          <w:rFonts w:cs="Times New Roman"/>
          <w:sz w:val="18"/>
          <w:szCs w:val="24"/>
        </w:rPr>
        <w:tab/>
        <w:t xml:space="preserve">O. F. Bathe </w:t>
      </w:r>
      <w:r w:rsidRPr="00DF6C69">
        <w:rPr>
          <w:rFonts w:cs="Times New Roman"/>
          <w:i/>
          <w:iCs/>
          <w:sz w:val="18"/>
          <w:szCs w:val="24"/>
        </w:rPr>
        <w:t>et al.</w:t>
      </w:r>
      <w:r w:rsidRPr="00DF6C69">
        <w:rPr>
          <w:rFonts w:cs="Times New Roman"/>
          <w:sz w:val="18"/>
          <w:szCs w:val="24"/>
        </w:rPr>
        <w:t xml:space="preserve">, “Feasibility of identifying pancreatic cancer based on serum metabolomics,” </w:t>
      </w:r>
      <w:r w:rsidRPr="00DF6C69">
        <w:rPr>
          <w:rFonts w:cs="Times New Roman"/>
          <w:i/>
          <w:iCs/>
          <w:sz w:val="18"/>
          <w:szCs w:val="24"/>
        </w:rPr>
        <w:t>Cancer Epidemiol. Biomarkers Prev.</w:t>
      </w:r>
      <w:r w:rsidRPr="00DF6C69">
        <w:rPr>
          <w:rFonts w:cs="Times New Roman"/>
          <w:sz w:val="18"/>
          <w:szCs w:val="24"/>
        </w:rPr>
        <w:t>, vol. 20, no. 1, pp. 140–147, 2011, doi: 10.1158/1055-9965.EPI-10-0712.</w:t>
      </w:r>
    </w:p>
    <w:p w14:paraId="4F7C5E80"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lastRenderedPageBreak/>
        <w:t>[26]</w:t>
      </w:r>
      <w:r w:rsidRPr="00DF6C69">
        <w:rPr>
          <w:rFonts w:cs="Times New Roman"/>
          <w:sz w:val="18"/>
          <w:szCs w:val="24"/>
        </w:rPr>
        <w:tab/>
        <w:t xml:space="preserve">D. O. Yang, J. Xu, H. Huang, and Z. Chen, “Metabolomic profiling of serum from human pancreatic cancer patients Using 1 H NMR spectroscopy and principal component analysis,” </w:t>
      </w:r>
      <w:r w:rsidRPr="00DF6C69">
        <w:rPr>
          <w:rFonts w:cs="Times New Roman"/>
          <w:i/>
          <w:iCs/>
          <w:sz w:val="18"/>
          <w:szCs w:val="24"/>
        </w:rPr>
        <w:t>Appl. Biochem. Biotechnol.</w:t>
      </w:r>
      <w:r w:rsidRPr="00DF6C69">
        <w:rPr>
          <w:rFonts w:cs="Times New Roman"/>
          <w:sz w:val="18"/>
          <w:szCs w:val="24"/>
        </w:rPr>
        <w:t>, vol. 165, no. 1, pp. 148–154, 2011, doi: 10.1007/s12010-011-9240-0.</w:t>
      </w:r>
    </w:p>
    <w:p w14:paraId="714226FE"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[27]</w:t>
      </w:r>
      <w:r w:rsidRPr="00DF6C69">
        <w:rPr>
          <w:rFonts w:cs="Times New Roman"/>
          <w:sz w:val="18"/>
          <w:szCs w:val="24"/>
        </w:rPr>
        <w:tab/>
        <w:t xml:space="preserve">L. Zhang </w:t>
      </w:r>
      <w:r w:rsidRPr="00DF6C69">
        <w:rPr>
          <w:rFonts w:cs="Times New Roman"/>
          <w:i/>
          <w:iCs/>
          <w:sz w:val="18"/>
          <w:szCs w:val="24"/>
        </w:rPr>
        <w:t>et al.</w:t>
      </w:r>
      <w:r w:rsidRPr="00DF6C69">
        <w:rPr>
          <w:rFonts w:cs="Times New Roman"/>
          <w:sz w:val="18"/>
          <w:szCs w:val="24"/>
        </w:rPr>
        <w:t xml:space="preserve">, “Distinguishing pancreatic cancer from chronic pancreatitis and healthy individuals by 1H nuclear magnetic resonance-based metabonomic profiles,” </w:t>
      </w:r>
      <w:r w:rsidRPr="00DF6C69">
        <w:rPr>
          <w:rFonts w:cs="Times New Roman"/>
          <w:i/>
          <w:iCs/>
          <w:sz w:val="18"/>
          <w:szCs w:val="24"/>
        </w:rPr>
        <w:t>Clin. Biochem.</w:t>
      </w:r>
      <w:r w:rsidRPr="00DF6C69">
        <w:rPr>
          <w:rFonts w:cs="Times New Roman"/>
          <w:sz w:val="18"/>
          <w:szCs w:val="24"/>
        </w:rPr>
        <w:t>, vol. 45, no. 13–14, pp. 1064–1069, Sep. 2012, doi: 10.1016/j.clinbiochem.2012.05.012.</w:t>
      </w:r>
    </w:p>
    <w:p w14:paraId="11DEDDF4"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[28]</w:t>
      </w:r>
      <w:r w:rsidRPr="00DF6C69">
        <w:rPr>
          <w:rFonts w:cs="Times New Roman"/>
          <w:sz w:val="18"/>
          <w:szCs w:val="24"/>
        </w:rPr>
        <w:tab/>
        <w:t xml:space="preserve">S. Chen </w:t>
      </w:r>
      <w:r w:rsidRPr="00DF6C69">
        <w:rPr>
          <w:rFonts w:cs="Times New Roman"/>
          <w:i/>
          <w:iCs/>
          <w:sz w:val="18"/>
          <w:szCs w:val="24"/>
        </w:rPr>
        <w:t>et al.</w:t>
      </w:r>
      <w:r w:rsidRPr="00DF6C69">
        <w:rPr>
          <w:rFonts w:cs="Times New Roman"/>
          <w:sz w:val="18"/>
          <w:szCs w:val="24"/>
        </w:rPr>
        <w:t xml:space="preserve">, “Pseudotargeted metabolomics method and its application in serum biomarker discovery for hepatocellular carcinoma based on ultra high-performance liquid chromatography/triple quadrupole mass spectrometry,” </w:t>
      </w:r>
      <w:r w:rsidRPr="00DF6C69">
        <w:rPr>
          <w:rFonts w:cs="Times New Roman"/>
          <w:i/>
          <w:iCs/>
          <w:sz w:val="18"/>
          <w:szCs w:val="24"/>
        </w:rPr>
        <w:t>Anal. Chem.</w:t>
      </w:r>
      <w:r w:rsidRPr="00DF6C69">
        <w:rPr>
          <w:rFonts w:cs="Times New Roman"/>
          <w:sz w:val="18"/>
          <w:szCs w:val="24"/>
        </w:rPr>
        <w:t>, vol. 85, no. 17, pp. 8326–8333, 2013, doi: 10.1021/ac4016787.</w:t>
      </w:r>
    </w:p>
    <w:p w14:paraId="2DF5A0E6"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[29]</w:t>
      </w:r>
      <w:r w:rsidRPr="00DF6C69">
        <w:rPr>
          <w:rFonts w:cs="Times New Roman"/>
          <w:sz w:val="18"/>
          <w:szCs w:val="24"/>
        </w:rPr>
        <w:tab/>
        <w:t xml:space="preserve">S. Urayama, W. Zou, K. Brooks, and V. Tolstikov, “Comprehensive mass spectrometry based metabolic profiling of blood plasma reveals potent discriminatory classifiers of pancreatic cancer,” </w:t>
      </w:r>
      <w:r w:rsidRPr="00DF6C69">
        <w:rPr>
          <w:rFonts w:cs="Times New Roman"/>
          <w:i/>
          <w:iCs/>
          <w:sz w:val="18"/>
          <w:szCs w:val="24"/>
        </w:rPr>
        <w:t>Rapid Commun. Mass Spectrom.</w:t>
      </w:r>
      <w:r w:rsidRPr="00DF6C69">
        <w:rPr>
          <w:rFonts w:cs="Times New Roman"/>
          <w:sz w:val="18"/>
          <w:szCs w:val="24"/>
        </w:rPr>
        <w:t>, vol. 24, no. 5, pp. 613–620, Mar. 2010, doi: 10.1002/rcm.4420.</w:t>
      </w:r>
    </w:p>
    <w:p w14:paraId="432A676E"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[30]</w:t>
      </w:r>
      <w:r w:rsidRPr="00DF6C69">
        <w:rPr>
          <w:rFonts w:cs="Times New Roman"/>
          <w:sz w:val="18"/>
          <w:szCs w:val="24"/>
        </w:rPr>
        <w:tab/>
        <w:t xml:space="preserve">J. F. Xiao </w:t>
      </w:r>
      <w:r w:rsidRPr="00DF6C69">
        <w:rPr>
          <w:rFonts w:cs="Times New Roman"/>
          <w:i/>
          <w:iCs/>
          <w:sz w:val="18"/>
          <w:szCs w:val="24"/>
        </w:rPr>
        <w:t>et al.</w:t>
      </w:r>
      <w:r w:rsidRPr="00DF6C69">
        <w:rPr>
          <w:rFonts w:cs="Times New Roman"/>
          <w:sz w:val="18"/>
          <w:szCs w:val="24"/>
        </w:rPr>
        <w:t xml:space="preserve">, “LC-MS based serum metabolomics for identification of hepatocellular carcinoma biomarkers in Egyptian cohort,” </w:t>
      </w:r>
      <w:r w:rsidRPr="00DF6C69">
        <w:rPr>
          <w:rFonts w:cs="Times New Roman"/>
          <w:i/>
          <w:iCs/>
          <w:sz w:val="18"/>
          <w:szCs w:val="24"/>
        </w:rPr>
        <w:t>J. Proteome Res.</w:t>
      </w:r>
      <w:r w:rsidRPr="00DF6C69">
        <w:rPr>
          <w:rFonts w:cs="Times New Roman"/>
          <w:sz w:val="18"/>
          <w:szCs w:val="24"/>
        </w:rPr>
        <w:t>, vol. 11, no. 12, pp. 5914–5923, Dec. 2012, doi: 10.1021/pr300673x.</w:t>
      </w:r>
    </w:p>
    <w:p w14:paraId="4CCEB290"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[31]</w:t>
      </w:r>
      <w:r w:rsidRPr="00DF6C69">
        <w:rPr>
          <w:rFonts w:cs="Times New Roman"/>
          <w:sz w:val="18"/>
          <w:szCs w:val="24"/>
        </w:rPr>
        <w:tab/>
        <w:t xml:space="preserve">S. A. Ritchie </w:t>
      </w:r>
      <w:r w:rsidRPr="00DF6C69">
        <w:rPr>
          <w:rFonts w:cs="Times New Roman"/>
          <w:i/>
          <w:iCs/>
          <w:sz w:val="18"/>
          <w:szCs w:val="24"/>
        </w:rPr>
        <w:t>et al.</w:t>
      </w:r>
      <w:r w:rsidRPr="00DF6C69">
        <w:rPr>
          <w:rFonts w:cs="Times New Roman"/>
          <w:sz w:val="18"/>
          <w:szCs w:val="24"/>
        </w:rPr>
        <w:t xml:space="preserve">, “Metabolic system alterations in pancreatic cancer patient serum: Potential for early detection,” </w:t>
      </w:r>
      <w:r w:rsidRPr="00DF6C69">
        <w:rPr>
          <w:rFonts w:cs="Times New Roman"/>
          <w:i/>
          <w:iCs/>
          <w:sz w:val="18"/>
          <w:szCs w:val="24"/>
        </w:rPr>
        <w:t>BMC Cancer</w:t>
      </w:r>
      <w:r w:rsidRPr="00DF6C69">
        <w:rPr>
          <w:rFonts w:cs="Times New Roman"/>
          <w:sz w:val="18"/>
          <w:szCs w:val="24"/>
        </w:rPr>
        <w:t>, vol. 13, Sep. 2013, doi: 10.1186/1471-2407-13-416.</w:t>
      </w:r>
    </w:p>
    <w:p w14:paraId="30A522B8"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[32]</w:t>
      </w:r>
      <w:r w:rsidRPr="00DF6C69">
        <w:rPr>
          <w:rFonts w:cs="Times New Roman"/>
          <w:sz w:val="18"/>
          <w:szCs w:val="24"/>
        </w:rPr>
        <w:tab/>
        <w:t xml:space="preserve">P. Tripathi </w:t>
      </w:r>
      <w:r w:rsidRPr="00DF6C69">
        <w:rPr>
          <w:rFonts w:cs="Times New Roman"/>
          <w:i/>
          <w:iCs/>
          <w:sz w:val="18"/>
          <w:szCs w:val="24"/>
        </w:rPr>
        <w:t>et al.</w:t>
      </w:r>
      <w:r w:rsidRPr="00DF6C69">
        <w:rPr>
          <w:rFonts w:cs="Times New Roman"/>
          <w:sz w:val="18"/>
          <w:szCs w:val="24"/>
        </w:rPr>
        <w:t xml:space="preserve">, “Delineating metabolic signatures of head and neck squamous cell carcinoma: Phospholipase A2, a potential therapeutic target,” </w:t>
      </w:r>
      <w:r w:rsidRPr="00DF6C69">
        <w:rPr>
          <w:rFonts w:cs="Times New Roman"/>
          <w:i/>
          <w:iCs/>
          <w:sz w:val="18"/>
          <w:szCs w:val="24"/>
        </w:rPr>
        <w:t>Int. J. Biochem. Cell Biol.</w:t>
      </w:r>
      <w:r w:rsidRPr="00DF6C69">
        <w:rPr>
          <w:rFonts w:cs="Times New Roman"/>
          <w:sz w:val="18"/>
          <w:szCs w:val="24"/>
        </w:rPr>
        <w:t>, vol. 44, no. 11, pp. 1852–1861, Nov. 2012, doi: 10.1016/j.biocel.2012.06.025.</w:t>
      </w:r>
    </w:p>
    <w:p w14:paraId="4A31AF9B"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[33]</w:t>
      </w:r>
      <w:r w:rsidRPr="00DF6C69">
        <w:rPr>
          <w:rFonts w:cs="Times New Roman"/>
          <w:sz w:val="18"/>
          <w:szCs w:val="24"/>
        </w:rPr>
        <w:tab/>
        <w:t xml:space="preserve">J. D. Clarke </w:t>
      </w:r>
      <w:r w:rsidRPr="00DF6C69">
        <w:rPr>
          <w:rFonts w:cs="Times New Roman"/>
          <w:i/>
          <w:iCs/>
          <w:sz w:val="18"/>
          <w:szCs w:val="24"/>
        </w:rPr>
        <w:t>et al.</w:t>
      </w:r>
      <w:r w:rsidRPr="00DF6C69">
        <w:rPr>
          <w:rFonts w:cs="Times New Roman"/>
          <w:sz w:val="18"/>
          <w:szCs w:val="24"/>
        </w:rPr>
        <w:t xml:space="preserve">, “Characterization of hepatocellular carcinoma related genes and metabolites in human nonalcoholic fatty liver disease,” </w:t>
      </w:r>
      <w:r w:rsidRPr="00DF6C69">
        <w:rPr>
          <w:rFonts w:cs="Times New Roman"/>
          <w:i/>
          <w:iCs/>
          <w:sz w:val="18"/>
          <w:szCs w:val="24"/>
        </w:rPr>
        <w:t>Dig. Dis. Sci.</w:t>
      </w:r>
      <w:r w:rsidRPr="00DF6C69">
        <w:rPr>
          <w:rFonts w:cs="Times New Roman"/>
          <w:sz w:val="18"/>
          <w:szCs w:val="24"/>
        </w:rPr>
        <w:t>, vol. 59, no. 2, pp. 365–374, Feb. 2014, doi: 10.1007/s10620-013-2873-9.</w:t>
      </w:r>
    </w:p>
    <w:p w14:paraId="6F2AA113"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[34]</w:t>
      </w:r>
      <w:r w:rsidRPr="00DF6C69">
        <w:rPr>
          <w:rFonts w:cs="Times New Roman"/>
          <w:sz w:val="18"/>
          <w:szCs w:val="24"/>
        </w:rPr>
        <w:tab/>
        <w:t xml:space="preserve">H. Wen </w:t>
      </w:r>
      <w:r w:rsidRPr="00DF6C69">
        <w:rPr>
          <w:rFonts w:cs="Times New Roman"/>
          <w:i/>
          <w:iCs/>
          <w:sz w:val="18"/>
          <w:szCs w:val="24"/>
        </w:rPr>
        <w:t>et al.</w:t>
      </w:r>
      <w:r w:rsidRPr="00DF6C69">
        <w:rPr>
          <w:rFonts w:cs="Times New Roman"/>
          <w:sz w:val="18"/>
          <w:szCs w:val="24"/>
        </w:rPr>
        <w:t xml:space="preserve">, “A new NMR-based metabolomics approach for the diagnosis of biliary tract cancer,” </w:t>
      </w:r>
      <w:r w:rsidRPr="00DF6C69">
        <w:rPr>
          <w:rFonts w:cs="Times New Roman"/>
          <w:i/>
          <w:iCs/>
          <w:sz w:val="18"/>
          <w:szCs w:val="24"/>
        </w:rPr>
        <w:t>J. Hepatol.</w:t>
      </w:r>
      <w:r w:rsidRPr="00DF6C69">
        <w:rPr>
          <w:rFonts w:cs="Times New Roman"/>
          <w:sz w:val="18"/>
          <w:szCs w:val="24"/>
        </w:rPr>
        <w:t>, vol. 52, no. 2, pp. 228–233, Feb. 2010, doi: 10.1016/j.jhep.2009.11.002.</w:t>
      </w:r>
    </w:p>
    <w:p w14:paraId="517258F4"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[35]</w:t>
      </w:r>
      <w:r w:rsidRPr="00DF6C69">
        <w:rPr>
          <w:rFonts w:cs="Times New Roman"/>
          <w:sz w:val="18"/>
          <w:szCs w:val="24"/>
        </w:rPr>
        <w:tab/>
        <w:t xml:space="preserve">X. H. He </w:t>
      </w:r>
      <w:r w:rsidRPr="00DF6C69">
        <w:rPr>
          <w:rFonts w:cs="Times New Roman"/>
          <w:i/>
          <w:iCs/>
          <w:sz w:val="18"/>
          <w:szCs w:val="24"/>
        </w:rPr>
        <w:t>et al.</w:t>
      </w:r>
      <w:r w:rsidRPr="00DF6C69">
        <w:rPr>
          <w:rFonts w:cs="Times New Roman"/>
          <w:sz w:val="18"/>
          <w:szCs w:val="24"/>
        </w:rPr>
        <w:t xml:space="preserve">, “Metabonomic studies of pancreatic cancer response to radiotherapy in a mouse xenograft model using magnetic resonance spectroscopy and principal components analysis,” </w:t>
      </w:r>
      <w:r w:rsidRPr="00DF6C69">
        <w:rPr>
          <w:rFonts w:cs="Times New Roman"/>
          <w:i/>
          <w:iCs/>
          <w:sz w:val="18"/>
          <w:szCs w:val="24"/>
        </w:rPr>
        <w:t>World J. Gastroenterol.</w:t>
      </w:r>
      <w:r w:rsidRPr="00DF6C69">
        <w:rPr>
          <w:rFonts w:cs="Times New Roman"/>
          <w:sz w:val="18"/>
          <w:szCs w:val="24"/>
        </w:rPr>
        <w:t>, vol. 19, no. 26, pp. 4200–4208, Jul. 2013, doi: 10.3748/wjg.v19.i26.4200.</w:t>
      </w:r>
    </w:p>
    <w:p w14:paraId="2ACB56A5"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[36]</w:t>
      </w:r>
      <w:r w:rsidRPr="00DF6C69">
        <w:rPr>
          <w:rFonts w:cs="Times New Roman"/>
          <w:sz w:val="18"/>
          <w:szCs w:val="24"/>
        </w:rPr>
        <w:tab/>
        <w:t xml:space="preserve">T. Zhang </w:t>
      </w:r>
      <w:r w:rsidRPr="00DF6C69">
        <w:rPr>
          <w:rFonts w:cs="Times New Roman"/>
          <w:i/>
          <w:iCs/>
          <w:sz w:val="18"/>
          <w:szCs w:val="24"/>
        </w:rPr>
        <w:t>et al.</w:t>
      </w:r>
      <w:r w:rsidRPr="00DF6C69">
        <w:rPr>
          <w:rFonts w:cs="Times New Roman"/>
          <w:sz w:val="18"/>
          <w:szCs w:val="24"/>
        </w:rPr>
        <w:t xml:space="preserve">, “Discrimination between malignant and benign ovarian tumors by plasma metabolomic profiling using ultra performance liquid chromatography/mass spectrometry,” </w:t>
      </w:r>
      <w:r w:rsidRPr="00DF6C69">
        <w:rPr>
          <w:rFonts w:cs="Times New Roman"/>
          <w:i/>
          <w:iCs/>
          <w:sz w:val="18"/>
          <w:szCs w:val="24"/>
        </w:rPr>
        <w:t>Clin. Chim. Acta</w:t>
      </w:r>
      <w:r w:rsidRPr="00DF6C69">
        <w:rPr>
          <w:rFonts w:cs="Times New Roman"/>
          <w:sz w:val="18"/>
          <w:szCs w:val="24"/>
        </w:rPr>
        <w:t>, vol. 413, no. 9–10, pp. 861–868, May 2012, doi: 10.1016/j.cca.2012.01.026.</w:t>
      </w:r>
    </w:p>
    <w:p w14:paraId="55C7AECA"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[37]</w:t>
      </w:r>
      <w:r w:rsidRPr="00DF6C69">
        <w:rPr>
          <w:rFonts w:cs="Times New Roman"/>
          <w:sz w:val="18"/>
          <w:szCs w:val="24"/>
        </w:rPr>
        <w:tab/>
        <w:t xml:space="preserve">W. Struck, D. Siluk, A. Yumba-Mpanga, M. Markuszewski, R. Kaliszan, and M. J. Markuszewski, “Liquid chromatography tandem mass spectrometry study of urinary nucleosides as potential cancer markers,” </w:t>
      </w:r>
      <w:r w:rsidRPr="00DF6C69">
        <w:rPr>
          <w:rFonts w:cs="Times New Roman"/>
          <w:i/>
          <w:iCs/>
          <w:sz w:val="18"/>
          <w:szCs w:val="24"/>
        </w:rPr>
        <w:t>J. Chromatogr. A</w:t>
      </w:r>
      <w:r w:rsidRPr="00DF6C69">
        <w:rPr>
          <w:rFonts w:cs="Times New Roman"/>
          <w:sz w:val="18"/>
          <w:szCs w:val="24"/>
        </w:rPr>
        <w:t>, vol. 1283, pp. 122–131, Mar. 2013, doi: 10.1016/j.chroma.2013.01.111.</w:t>
      </w:r>
    </w:p>
    <w:p w14:paraId="688953B9"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[38]</w:t>
      </w:r>
      <w:r w:rsidRPr="00DF6C69">
        <w:rPr>
          <w:rFonts w:cs="Times New Roman"/>
          <w:sz w:val="18"/>
          <w:szCs w:val="24"/>
        </w:rPr>
        <w:tab/>
        <w:t xml:space="preserve">J. V. Alberice </w:t>
      </w:r>
      <w:r w:rsidRPr="00DF6C69">
        <w:rPr>
          <w:rFonts w:cs="Times New Roman"/>
          <w:i/>
          <w:iCs/>
          <w:sz w:val="18"/>
          <w:szCs w:val="24"/>
        </w:rPr>
        <w:t>et al.</w:t>
      </w:r>
      <w:r w:rsidRPr="00DF6C69">
        <w:rPr>
          <w:rFonts w:cs="Times New Roman"/>
          <w:sz w:val="18"/>
          <w:szCs w:val="24"/>
        </w:rPr>
        <w:t xml:space="preserve">, “Searching for urine biomarkers of bladder cancer recurrence using a liquid chromatography-mass spectrometry and capillary electrophoresis-mass spectrometry metabolomics approach,” </w:t>
      </w:r>
      <w:r w:rsidRPr="00DF6C69">
        <w:rPr>
          <w:rFonts w:cs="Times New Roman"/>
          <w:i/>
          <w:iCs/>
          <w:sz w:val="18"/>
          <w:szCs w:val="24"/>
        </w:rPr>
        <w:t>J. Chromatogr. A</w:t>
      </w:r>
      <w:r w:rsidRPr="00DF6C69">
        <w:rPr>
          <w:rFonts w:cs="Times New Roman"/>
          <w:sz w:val="18"/>
          <w:szCs w:val="24"/>
        </w:rPr>
        <w:t>, vol. 1318, pp. 163–170, Nov. 2013, doi: 10.1016/j.chroma.2013.10.002.</w:t>
      </w:r>
    </w:p>
    <w:p w14:paraId="775DBFF6"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[39]</w:t>
      </w:r>
      <w:r w:rsidRPr="00DF6C69">
        <w:rPr>
          <w:rFonts w:cs="Times New Roman"/>
          <w:sz w:val="18"/>
          <w:szCs w:val="24"/>
        </w:rPr>
        <w:tab/>
        <w:t xml:space="preserve">P. Tripathi </w:t>
      </w:r>
      <w:r w:rsidRPr="00DF6C69">
        <w:rPr>
          <w:rFonts w:cs="Times New Roman"/>
          <w:i/>
          <w:iCs/>
          <w:sz w:val="18"/>
          <w:szCs w:val="24"/>
        </w:rPr>
        <w:t>et al.</w:t>
      </w:r>
      <w:r w:rsidRPr="00DF6C69">
        <w:rPr>
          <w:rFonts w:cs="Times New Roman"/>
          <w:sz w:val="18"/>
          <w:szCs w:val="24"/>
        </w:rPr>
        <w:t xml:space="preserve">, “HR-MAS NMR tissue metabolomic signatures cross-validated by mass spectrometry distinguish bladder cancer from benign disease,” </w:t>
      </w:r>
      <w:r w:rsidRPr="00DF6C69">
        <w:rPr>
          <w:rFonts w:cs="Times New Roman"/>
          <w:i/>
          <w:iCs/>
          <w:sz w:val="18"/>
          <w:szCs w:val="24"/>
        </w:rPr>
        <w:t>J. Proteome Res.</w:t>
      </w:r>
      <w:r w:rsidRPr="00DF6C69">
        <w:rPr>
          <w:rFonts w:cs="Times New Roman"/>
          <w:sz w:val="18"/>
          <w:szCs w:val="24"/>
        </w:rPr>
        <w:t>, vol. 12, no. 7, pp. 3519–3528, Jul. 2013, doi: 10.1021/pr4004135.</w:t>
      </w:r>
    </w:p>
    <w:p w14:paraId="629A45D0"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[40]</w:t>
      </w:r>
      <w:r w:rsidRPr="00DF6C69">
        <w:rPr>
          <w:rFonts w:cs="Times New Roman"/>
          <w:sz w:val="18"/>
          <w:szCs w:val="24"/>
        </w:rPr>
        <w:tab/>
        <w:t xml:space="preserve">J. Huang </w:t>
      </w:r>
      <w:r w:rsidRPr="00DF6C69">
        <w:rPr>
          <w:rFonts w:cs="Times New Roman"/>
          <w:i/>
          <w:iCs/>
          <w:sz w:val="18"/>
          <w:szCs w:val="24"/>
        </w:rPr>
        <w:t>et al.</w:t>
      </w:r>
      <w:r w:rsidRPr="00DF6C69">
        <w:rPr>
          <w:rFonts w:cs="Times New Roman"/>
          <w:sz w:val="18"/>
          <w:szCs w:val="24"/>
        </w:rPr>
        <w:t xml:space="preserve">, “Serum metabolomic profiling of prostate cancer risk in the prostate, lung, colorectal, and ovarian cancer screening trial,” </w:t>
      </w:r>
      <w:r w:rsidRPr="00DF6C69">
        <w:rPr>
          <w:rFonts w:cs="Times New Roman"/>
          <w:i/>
          <w:iCs/>
          <w:sz w:val="18"/>
          <w:szCs w:val="24"/>
        </w:rPr>
        <w:t>Br. J. Cancer</w:t>
      </w:r>
      <w:r w:rsidRPr="00DF6C69">
        <w:rPr>
          <w:rFonts w:cs="Times New Roman"/>
          <w:sz w:val="18"/>
          <w:szCs w:val="24"/>
        </w:rPr>
        <w:t>, vol. 115, no. 9, pp. 1087–1095, Oct. 2016, doi: 10.1038/bjc.2016.305.</w:t>
      </w:r>
    </w:p>
    <w:p w14:paraId="537529BB"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[41]</w:t>
      </w:r>
      <w:r w:rsidRPr="00DF6C69">
        <w:rPr>
          <w:rFonts w:cs="Times New Roman"/>
          <w:sz w:val="18"/>
          <w:szCs w:val="24"/>
        </w:rPr>
        <w:tab/>
        <w:t xml:space="preserve">M. Kdadra, S. Höckner, H. Leung, W. Kremer, and E. Schiffer, “Metabolomics biomarkers of prostate cancer: A systematic review,” </w:t>
      </w:r>
      <w:r w:rsidRPr="00DF6C69">
        <w:rPr>
          <w:rFonts w:cs="Times New Roman"/>
          <w:i/>
          <w:iCs/>
          <w:sz w:val="18"/>
          <w:szCs w:val="24"/>
        </w:rPr>
        <w:t>Diagnostics</w:t>
      </w:r>
      <w:r w:rsidRPr="00DF6C69">
        <w:rPr>
          <w:rFonts w:cs="Times New Roman"/>
          <w:sz w:val="18"/>
          <w:szCs w:val="24"/>
        </w:rPr>
        <w:t>, vol. 9, no. 1, pp. 1–44, Feb. 2019, doi: 10.3390/diagnostics9010021.</w:t>
      </w:r>
    </w:p>
    <w:p w14:paraId="50CEDDB9"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[42]</w:t>
      </w:r>
      <w:r w:rsidRPr="00DF6C69">
        <w:rPr>
          <w:rFonts w:cs="Times New Roman"/>
          <w:sz w:val="18"/>
          <w:szCs w:val="24"/>
        </w:rPr>
        <w:tab/>
        <w:t xml:space="preserve">R. S. Kelly, M. G. V. Heiden, E. Giovannucci, and L. A. Mucci, “Metabolomic biomarkers of prostate cancer: Prediction, diagnosis, progression, prognosis, and recurrence,” </w:t>
      </w:r>
      <w:r w:rsidRPr="00DF6C69">
        <w:rPr>
          <w:rFonts w:cs="Times New Roman"/>
          <w:i/>
          <w:iCs/>
          <w:sz w:val="18"/>
          <w:szCs w:val="24"/>
        </w:rPr>
        <w:t>Cancer Epidemiol. Biomarkers Prev.</w:t>
      </w:r>
      <w:r w:rsidRPr="00DF6C69">
        <w:rPr>
          <w:rFonts w:cs="Times New Roman"/>
          <w:sz w:val="18"/>
          <w:szCs w:val="24"/>
        </w:rPr>
        <w:t>, vol. 25, no. 6, pp. 887–906, Jun. 2016, doi: 10.1158/1055-9965.EPI-15-1223.</w:t>
      </w:r>
    </w:p>
    <w:p w14:paraId="2B1CE68A"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[43]</w:t>
      </w:r>
      <w:r w:rsidRPr="00DF6C69">
        <w:rPr>
          <w:rFonts w:cs="Times New Roman"/>
          <w:sz w:val="18"/>
          <w:szCs w:val="24"/>
        </w:rPr>
        <w:tab/>
        <w:t xml:space="preserve">G. F. Giskeødegård </w:t>
      </w:r>
      <w:r w:rsidRPr="00DF6C69">
        <w:rPr>
          <w:rFonts w:cs="Times New Roman"/>
          <w:i/>
          <w:iCs/>
          <w:sz w:val="18"/>
          <w:szCs w:val="24"/>
        </w:rPr>
        <w:t>et al.</w:t>
      </w:r>
      <w:r w:rsidRPr="00DF6C69">
        <w:rPr>
          <w:rFonts w:cs="Times New Roman"/>
          <w:sz w:val="18"/>
          <w:szCs w:val="24"/>
        </w:rPr>
        <w:t xml:space="preserve">, “Metabolic markers in blood can separate prostate cancer from benign prostatic hyperplasia,” </w:t>
      </w:r>
      <w:r w:rsidRPr="00DF6C69">
        <w:rPr>
          <w:rFonts w:cs="Times New Roman"/>
          <w:i/>
          <w:iCs/>
          <w:sz w:val="18"/>
          <w:szCs w:val="24"/>
        </w:rPr>
        <w:t>Br. J. Cancer</w:t>
      </w:r>
      <w:r w:rsidRPr="00DF6C69">
        <w:rPr>
          <w:rFonts w:cs="Times New Roman"/>
          <w:sz w:val="18"/>
          <w:szCs w:val="24"/>
        </w:rPr>
        <w:t>, vol. 113, no. 12, pp. 1712–1719, Dec. 2015, doi: 10.1038/bjc.2015.411.</w:t>
      </w:r>
    </w:p>
    <w:p w14:paraId="0EC4F7EE"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[44]</w:t>
      </w:r>
      <w:r w:rsidRPr="00DF6C69">
        <w:rPr>
          <w:rFonts w:cs="Times New Roman"/>
          <w:sz w:val="18"/>
          <w:szCs w:val="24"/>
        </w:rPr>
        <w:tab/>
        <w:t xml:space="preserve">M. Johansson </w:t>
      </w:r>
      <w:r w:rsidRPr="00DF6C69">
        <w:rPr>
          <w:rFonts w:cs="Times New Roman"/>
          <w:i/>
          <w:iCs/>
          <w:sz w:val="18"/>
          <w:szCs w:val="24"/>
        </w:rPr>
        <w:t>et al.</w:t>
      </w:r>
      <w:r w:rsidRPr="00DF6C69">
        <w:rPr>
          <w:rFonts w:cs="Times New Roman"/>
          <w:sz w:val="18"/>
          <w:szCs w:val="24"/>
        </w:rPr>
        <w:t xml:space="preserve">, “One-carbon metabolism and prostate cancer risk: Prospective investigation of seven circulating B vitamins and metabolites,” </w:t>
      </w:r>
      <w:r w:rsidRPr="00DF6C69">
        <w:rPr>
          <w:rFonts w:cs="Times New Roman"/>
          <w:i/>
          <w:iCs/>
          <w:sz w:val="18"/>
          <w:szCs w:val="24"/>
        </w:rPr>
        <w:t>Cancer Epidemiol. Biomarkers Prev.</w:t>
      </w:r>
      <w:r w:rsidRPr="00DF6C69">
        <w:rPr>
          <w:rFonts w:cs="Times New Roman"/>
          <w:sz w:val="18"/>
          <w:szCs w:val="24"/>
        </w:rPr>
        <w:t>, vol. 18, no. 5, pp. 1538–1543, May 2009, doi: 10.1158/1055-9965.EPI-08-1193.</w:t>
      </w:r>
    </w:p>
    <w:p w14:paraId="356816FD"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[45]</w:t>
      </w:r>
      <w:r w:rsidRPr="00DF6C69">
        <w:rPr>
          <w:rFonts w:cs="Times New Roman"/>
          <w:sz w:val="18"/>
          <w:szCs w:val="24"/>
        </w:rPr>
        <w:tab/>
        <w:t xml:space="preserve">C. Myers </w:t>
      </w:r>
      <w:r w:rsidRPr="00DF6C69">
        <w:rPr>
          <w:rFonts w:cs="Times New Roman"/>
          <w:i/>
          <w:iCs/>
          <w:sz w:val="18"/>
          <w:szCs w:val="24"/>
        </w:rPr>
        <w:t>et al.</w:t>
      </w:r>
      <w:r w:rsidRPr="00DF6C69">
        <w:rPr>
          <w:rFonts w:cs="Times New Roman"/>
          <w:sz w:val="18"/>
          <w:szCs w:val="24"/>
        </w:rPr>
        <w:t xml:space="preserve">, “Suramin: A novel growth factor antagonist with activity in hormone- refractory metastatic prostate cancer,” </w:t>
      </w:r>
      <w:r w:rsidRPr="00DF6C69">
        <w:rPr>
          <w:rFonts w:cs="Times New Roman"/>
          <w:i/>
          <w:iCs/>
          <w:sz w:val="18"/>
          <w:szCs w:val="24"/>
        </w:rPr>
        <w:t>J. Clin. Oncol.</w:t>
      </w:r>
      <w:r w:rsidRPr="00DF6C69">
        <w:rPr>
          <w:rFonts w:cs="Times New Roman"/>
          <w:sz w:val="18"/>
          <w:szCs w:val="24"/>
        </w:rPr>
        <w:t>, vol. 10, no. 6, pp. 881–889, 1992, doi: 10.1200/JCO.1992.10.6.881.</w:t>
      </w:r>
    </w:p>
    <w:p w14:paraId="7546C438"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[46]</w:t>
      </w:r>
      <w:r w:rsidRPr="00DF6C69">
        <w:rPr>
          <w:rFonts w:cs="Times New Roman"/>
          <w:sz w:val="18"/>
          <w:szCs w:val="24"/>
        </w:rPr>
        <w:tab/>
        <w:t xml:space="preserve">S. J. Weinstein, K. Mackrain, R. Z. Stolzenberg-Solomon, J. Selhub, J. Virtamo, and D. Albanes, “Serum creatinine and prostate cancer risk in a prospective study,” </w:t>
      </w:r>
      <w:r w:rsidRPr="00DF6C69">
        <w:rPr>
          <w:rFonts w:cs="Times New Roman"/>
          <w:i/>
          <w:iCs/>
          <w:sz w:val="18"/>
          <w:szCs w:val="24"/>
        </w:rPr>
        <w:t>Cancer Epidemiol. Biomarkers Prev.</w:t>
      </w:r>
      <w:r w:rsidRPr="00DF6C69">
        <w:rPr>
          <w:rFonts w:cs="Times New Roman"/>
          <w:sz w:val="18"/>
          <w:szCs w:val="24"/>
        </w:rPr>
        <w:t>, vol. 18, no. 10, pp. 2643–2649, Oct. 2009, doi: 10.1158/1055-9965.EPI-09-0322.</w:t>
      </w:r>
    </w:p>
    <w:p w14:paraId="36E29028"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[47]</w:t>
      </w:r>
      <w:r w:rsidRPr="00DF6C69">
        <w:rPr>
          <w:rFonts w:cs="Times New Roman"/>
          <w:sz w:val="18"/>
          <w:szCs w:val="24"/>
        </w:rPr>
        <w:tab/>
        <w:t xml:space="preserve">P. M. Quilty </w:t>
      </w:r>
      <w:r w:rsidRPr="00DF6C69">
        <w:rPr>
          <w:rFonts w:cs="Times New Roman"/>
          <w:i/>
          <w:iCs/>
          <w:sz w:val="18"/>
          <w:szCs w:val="24"/>
        </w:rPr>
        <w:t>et al.</w:t>
      </w:r>
      <w:r w:rsidRPr="00DF6C69">
        <w:rPr>
          <w:rFonts w:cs="Times New Roman"/>
          <w:sz w:val="18"/>
          <w:szCs w:val="24"/>
        </w:rPr>
        <w:t xml:space="preserve">, “A comparison of the palliative effects of strontium-89 and external beam radiotherapy in metastatic prostate cancer,” </w:t>
      </w:r>
      <w:r w:rsidRPr="00DF6C69">
        <w:rPr>
          <w:rFonts w:cs="Times New Roman"/>
          <w:i/>
          <w:iCs/>
          <w:sz w:val="18"/>
          <w:szCs w:val="24"/>
        </w:rPr>
        <w:t>Radiother. Oncol.</w:t>
      </w:r>
      <w:r w:rsidRPr="00DF6C69">
        <w:rPr>
          <w:rFonts w:cs="Times New Roman"/>
          <w:sz w:val="18"/>
          <w:szCs w:val="24"/>
        </w:rPr>
        <w:t>, vol. 31, no. 1, pp. 33–40, 1994, doi: 10.1016/0167-8140(94)90411-1.</w:t>
      </w:r>
    </w:p>
    <w:p w14:paraId="2CC11318"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[48]</w:t>
      </w:r>
      <w:r w:rsidRPr="00DF6C69">
        <w:rPr>
          <w:rFonts w:cs="Times New Roman"/>
          <w:sz w:val="18"/>
          <w:szCs w:val="24"/>
        </w:rPr>
        <w:tab/>
        <w:t xml:space="preserve">A. C. Ogilvie, J. C. Van Der Mijn, M. J. Kuiper, C. E. H. Siegert, A. E. Wassenaar, and C. J. M. Van Noesel, “Lactic Acidosis in Prostate Cancer: Consider the Warburg Effect Keywords Mutation · p53 mutations · PIK3CA mutations · PTEN mutations · IDH1 mutations · Prostate cancer · Lactic acidosis · Warburg effect · Metabolic reprogramming · Case report,” </w:t>
      </w:r>
      <w:r w:rsidRPr="00DF6C69">
        <w:rPr>
          <w:rFonts w:cs="Times New Roman"/>
          <w:i/>
          <w:iCs/>
          <w:sz w:val="18"/>
          <w:szCs w:val="24"/>
        </w:rPr>
        <w:t>Case Rep Oncol</w:t>
      </w:r>
      <w:r w:rsidRPr="00DF6C69">
        <w:rPr>
          <w:rFonts w:cs="Times New Roman"/>
          <w:sz w:val="18"/>
          <w:szCs w:val="24"/>
        </w:rPr>
        <w:t>, vol. 10, pp. 1085–1091, 2017, doi: 10.1159/000485242.</w:t>
      </w:r>
    </w:p>
    <w:p w14:paraId="06063AEA"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[49]</w:t>
      </w:r>
      <w:r w:rsidRPr="00DF6C69">
        <w:rPr>
          <w:rFonts w:cs="Times New Roman"/>
          <w:sz w:val="18"/>
          <w:szCs w:val="24"/>
        </w:rPr>
        <w:tab/>
        <w:t xml:space="preserve">K. Fabyan, A. Holtzclaw, and J. Sherner, “PROSTATE LACTATE: A CASE OF SEVERE LACTIC ACIDOSIS WITH AN INTERESTING MECHANISM OF ACTION,” </w:t>
      </w:r>
      <w:r w:rsidRPr="00DF6C69">
        <w:rPr>
          <w:rFonts w:cs="Times New Roman"/>
          <w:i/>
          <w:iCs/>
          <w:sz w:val="18"/>
          <w:szCs w:val="24"/>
        </w:rPr>
        <w:t>Chest</w:t>
      </w:r>
      <w:r w:rsidRPr="00DF6C69">
        <w:rPr>
          <w:rFonts w:cs="Times New Roman"/>
          <w:sz w:val="18"/>
          <w:szCs w:val="24"/>
        </w:rPr>
        <w:t xml:space="preserve">, vol. 156, no. 4, p. A2105, Oct. 2019, doi: </w:t>
      </w:r>
      <w:r w:rsidRPr="00DF6C69">
        <w:rPr>
          <w:rFonts w:cs="Times New Roman"/>
          <w:sz w:val="18"/>
          <w:szCs w:val="24"/>
        </w:rPr>
        <w:lastRenderedPageBreak/>
        <w:t>10.1016/j.chest.2019.08.2050.</w:t>
      </w:r>
    </w:p>
    <w:p w14:paraId="380EE984"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[50]</w:t>
      </w:r>
      <w:r w:rsidRPr="00DF6C69">
        <w:rPr>
          <w:rFonts w:cs="Times New Roman"/>
          <w:sz w:val="18"/>
          <w:szCs w:val="24"/>
        </w:rPr>
        <w:tab/>
        <w:t xml:space="preserve">B. J. Trock, “Application of metabolomics to prostate cancer,” </w:t>
      </w:r>
      <w:r w:rsidRPr="00DF6C69">
        <w:rPr>
          <w:rFonts w:cs="Times New Roman"/>
          <w:i/>
          <w:iCs/>
          <w:sz w:val="18"/>
          <w:szCs w:val="24"/>
        </w:rPr>
        <w:t>Urologic Oncology: Seminars and Original Investigations</w:t>
      </w:r>
      <w:r w:rsidRPr="00DF6C69">
        <w:rPr>
          <w:rFonts w:cs="Times New Roman"/>
          <w:sz w:val="18"/>
          <w:szCs w:val="24"/>
        </w:rPr>
        <w:t>, vol. 29, no. 5. pp. 572–581, Sep. 2011, doi: 10.1016/j.urolonc.2011.08.002.</w:t>
      </w:r>
    </w:p>
    <w:p w14:paraId="2F2143DF"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[51]</w:t>
      </w:r>
      <w:r w:rsidRPr="00DF6C69">
        <w:rPr>
          <w:rFonts w:cs="Times New Roman"/>
          <w:sz w:val="18"/>
          <w:szCs w:val="24"/>
        </w:rPr>
        <w:tab/>
        <w:t xml:space="preserve">A. Sreekumar </w:t>
      </w:r>
      <w:r w:rsidRPr="00DF6C69">
        <w:rPr>
          <w:rFonts w:cs="Times New Roman"/>
          <w:i/>
          <w:iCs/>
          <w:sz w:val="18"/>
          <w:szCs w:val="24"/>
        </w:rPr>
        <w:t>et al.</w:t>
      </w:r>
      <w:r w:rsidRPr="00DF6C69">
        <w:rPr>
          <w:rFonts w:cs="Times New Roman"/>
          <w:sz w:val="18"/>
          <w:szCs w:val="24"/>
        </w:rPr>
        <w:t xml:space="preserve">, “Metabolomic profiles delineate potential role for sarcosine in prostate cancer progression,” </w:t>
      </w:r>
      <w:r w:rsidRPr="00DF6C69">
        <w:rPr>
          <w:rFonts w:cs="Times New Roman"/>
          <w:i/>
          <w:iCs/>
          <w:sz w:val="18"/>
          <w:szCs w:val="24"/>
        </w:rPr>
        <w:t>Nature</w:t>
      </w:r>
      <w:r w:rsidRPr="00DF6C69">
        <w:rPr>
          <w:rFonts w:cs="Times New Roman"/>
          <w:sz w:val="18"/>
          <w:szCs w:val="24"/>
        </w:rPr>
        <w:t>, vol. 457, no. 7231, pp. 910–914, Feb. 2009, doi: 10.1038/nature07762.</w:t>
      </w:r>
    </w:p>
    <w:p w14:paraId="2A359077"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[52]</w:t>
      </w:r>
      <w:r w:rsidRPr="00DF6C69">
        <w:rPr>
          <w:rFonts w:cs="Times New Roman"/>
          <w:sz w:val="18"/>
          <w:szCs w:val="24"/>
        </w:rPr>
        <w:tab/>
        <w:t xml:space="preserve">E. Thysell </w:t>
      </w:r>
      <w:r w:rsidRPr="00DF6C69">
        <w:rPr>
          <w:rFonts w:cs="Times New Roman"/>
          <w:i/>
          <w:iCs/>
          <w:sz w:val="18"/>
          <w:szCs w:val="24"/>
        </w:rPr>
        <w:t>et al.</w:t>
      </w:r>
      <w:r w:rsidRPr="00DF6C69">
        <w:rPr>
          <w:rFonts w:cs="Times New Roman"/>
          <w:sz w:val="18"/>
          <w:szCs w:val="24"/>
        </w:rPr>
        <w:t xml:space="preserve">, “Metabolomic characterization of human prostate cancer bone metastases reveals increased levels of cholesterol,” </w:t>
      </w:r>
      <w:r w:rsidRPr="00DF6C69">
        <w:rPr>
          <w:rFonts w:cs="Times New Roman"/>
          <w:i/>
          <w:iCs/>
          <w:sz w:val="18"/>
          <w:szCs w:val="24"/>
        </w:rPr>
        <w:t>PLoS One</w:t>
      </w:r>
      <w:r w:rsidRPr="00DF6C69">
        <w:rPr>
          <w:rFonts w:cs="Times New Roman"/>
          <w:sz w:val="18"/>
          <w:szCs w:val="24"/>
        </w:rPr>
        <w:t>, vol. 5, no. 12, 2010, doi: 10.1371/journal.pone.0014175.</w:t>
      </w:r>
    </w:p>
    <w:p w14:paraId="63F3DF86"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[53]</w:t>
      </w:r>
      <w:r w:rsidRPr="00DF6C69">
        <w:rPr>
          <w:rFonts w:cs="Times New Roman"/>
          <w:sz w:val="18"/>
          <w:szCs w:val="24"/>
        </w:rPr>
        <w:tab/>
        <w:t xml:space="preserve">J. W. Locasale, “Serine, glycine and one-carbon units: Cancer metabolism in full circle,” </w:t>
      </w:r>
      <w:r w:rsidRPr="00DF6C69">
        <w:rPr>
          <w:rFonts w:cs="Times New Roman"/>
          <w:i/>
          <w:iCs/>
          <w:sz w:val="18"/>
          <w:szCs w:val="24"/>
        </w:rPr>
        <w:t>Nature Reviews Cancer</w:t>
      </w:r>
      <w:r w:rsidRPr="00DF6C69">
        <w:rPr>
          <w:rFonts w:cs="Times New Roman"/>
          <w:sz w:val="18"/>
          <w:szCs w:val="24"/>
        </w:rPr>
        <w:t>, vol. 13, no. 8. pp. 572–583, Aug. 2013, doi: 10.1038/nrc3557.</w:t>
      </w:r>
    </w:p>
    <w:p w14:paraId="1DD2FDA9"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[54]</w:t>
      </w:r>
      <w:r w:rsidRPr="00DF6C69">
        <w:rPr>
          <w:rFonts w:cs="Times New Roman"/>
          <w:sz w:val="18"/>
          <w:szCs w:val="24"/>
        </w:rPr>
        <w:tab/>
        <w:t xml:space="preserve">X. Zhang </w:t>
      </w:r>
      <w:r w:rsidRPr="00DF6C69">
        <w:rPr>
          <w:rFonts w:cs="Times New Roman"/>
          <w:i/>
          <w:iCs/>
          <w:sz w:val="18"/>
          <w:szCs w:val="24"/>
        </w:rPr>
        <w:t>et al.</w:t>
      </w:r>
      <w:r w:rsidRPr="00DF6C69">
        <w:rPr>
          <w:rFonts w:cs="Times New Roman"/>
          <w:sz w:val="18"/>
          <w:szCs w:val="24"/>
        </w:rPr>
        <w:t xml:space="preserve">, “Metabolic signatures of esophageal cancer: NMR-based metabolomics and UHPLC-based focused metabolomics of blood serum,” </w:t>
      </w:r>
      <w:r w:rsidRPr="00DF6C69">
        <w:rPr>
          <w:rFonts w:cs="Times New Roman"/>
          <w:i/>
          <w:iCs/>
          <w:sz w:val="18"/>
          <w:szCs w:val="24"/>
        </w:rPr>
        <w:t>Biochim. Biophys. Acta - Mol. Basis Dis.</w:t>
      </w:r>
      <w:r w:rsidRPr="00DF6C69">
        <w:rPr>
          <w:rFonts w:cs="Times New Roman"/>
          <w:sz w:val="18"/>
          <w:szCs w:val="24"/>
        </w:rPr>
        <w:t>, vol. 1832, no. 8, pp. 1207–1216, Aug. 2013, doi: 10.1016/j.bbadis.2013.03.009.</w:t>
      </w:r>
    </w:p>
    <w:p w14:paraId="4259F80A"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[55]</w:t>
      </w:r>
      <w:r w:rsidRPr="00DF6C69">
        <w:rPr>
          <w:rFonts w:cs="Times New Roman"/>
          <w:sz w:val="18"/>
          <w:szCs w:val="24"/>
        </w:rPr>
        <w:tab/>
        <w:t xml:space="preserve">J. Zhang </w:t>
      </w:r>
      <w:r w:rsidRPr="00DF6C69">
        <w:rPr>
          <w:rFonts w:cs="Times New Roman"/>
          <w:i/>
          <w:iCs/>
          <w:sz w:val="18"/>
          <w:szCs w:val="24"/>
        </w:rPr>
        <w:t>et al.</w:t>
      </w:r>
      <w:r w:rsidRPr="00DF6C69">
        <w:rPr>
          <w:rFonts w:cs="Times New Roman"/>
          <w:sz w:val="18"/>
          <w:szCs w:val="24"/>
        </w:rPr>
        <w:t xml:space="preserve">, “Esophageal Cancer Metabolite Biomarkers Detected by LC-MS and NMR Methods,” </w:t>
      </w:r>
      <w:r w:rsidRPr="00DF6C69">
        <w:rPr>
          <w:rFonts w:cs="Times New Roman"/>
          <w:i/>
          <w:iCs/>
          <w:sz w:val="18"/>
          <w:szCs w:val="24"/>
        </w:rPr>
        <w:t>PLoS One</w:t>
      </w:r>
      <w:r w:rsidRPr="00DF6C69">
        <w:rPr>
          <w:rFonts w:cs="Times New Roman"/>
          <w:sz w:val="18"/>
          <w:szCs w:val="24"/>
        </w:rPr>
        <w:t>, vol. 7, no. 1, p. e30181, Jan. 2012, doi: 10.1371/journal.pone.0030181.</w:t>
      </w:r>
    </w:p>
    <w:p w14:paraId="108D6197"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[56]</w:t>
      </w:r>
      <w:r w:rsidRPr="00DF6C69">
        <w:rPr>
          <w:rFonts w:cs="Times New Roman"/>
          <w:sz w:val="18"/>
          <w:szCs w:val="24"/>
        </w:rPr>
        <w:tab/>
        <w:t xml:space="preserve">T. Wiggins, S. Kumar, S. R. Markar, S. Antonowicz, and G. B. Hanna, “Tyrosine, phenylalanine, and tryptophan in gastroesophageal malignancy: A systematic review,” </w:t>
      </w:r>
      <w:r w:rsidRPr="00DF6C69">
        <w:rPr>
          <w:rFonts w:cs="Times New Roman"/>
          <w:i/>
          <w:iCs/>
          <w:sz w:val="18"/>
          <w:szCs w:val="24"/>
        </w:rPr>
        <w:t>Cancer Epidemiol. Biomarkers Prev.</w:t>
      </w:r>
      <w:r w:rsidRPr="00DF6C69">
        <w:rPr>
          <w:rFonts w:cs="Times New Roman"/>
          <w:sz w:val="18"/>
          <w:szCs w:val="24"/>
        </w:rPr>
        <w:t>, vol. 24, no. 1, pp. 32–38, Jan. 2015, doi: 10.1158/1055-9965.EPI-14-0980.</w:t>
      </w:r>
    </w:p>
    <w:p w14:paraId="1AE59C0C"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[57]</w:t>
      </w:r>
      <w:r w:rsidRPr="00DF6C69">
        <w:rPr>
          <w:rFonts w:cs="Times New Roman"/>
          <w:sz w:val="18"/>
          <w:szCs w:val="24"/>
        </w:rPr>
        <w:tab/>
        <w:t xml:space="preserve">Q. Y. </w:t>
      </w:r>
      <w:r w:rsidRPr="00DF6C69">
        <w:rPr>
          <w:rFonts w:cs="Times New Roman"/>
          <w:i/>
          <w:iCs/>
          <w:sz w:val="18"/>
          <w:szCs w:val="24"/>
        </w:rPr>
        <w:t>et al.</w:t>
      </w:r>
      <w:r w:rsidRPr="00DF6C69">
        <w:rPr>
          <w:rFonts w:cs="Times New Roman"/>
          <w:sz w:val="18"/>
          <w:szCs w:val="24"/>
        </w:rPr>
        <w:t xml:space="preserve">, “A distinct metabolic signature of human colorectal cancer with prognostic potential,” </w:t>
      </w:r>
      <w:r w:rsidRPr="00DF6C69">
        <w:rPr>
          <w:rFonts w:cs="Times New Roman"/>
          <w:i/>
          <w:iCs/>
          <w:sz w:val="18"/>
          <w:szCs w:val="24"/>
        </w:rPr>
        <w:t>Clin. Cancer Res.</w:t>
      </w:r>
      <w:r w:rsidRPr="00DF6C69">
        <w:rPr>
          <w:rFonts w:cs="Times New Roman"/>
          <w:sz w:val="18"/>
          <w:szCs w:val="24"/>
        </w:rPr>
        <w:t>, vol. 20, no. 8, pp. 2136–2146, 2014, doi: 10.1158/1078-0432.CCR-13-1939 LK  - http://resolver.ebscohost.com/openurl?sid=EMBASE&amp;issn=15573265&amp;id=doi:10.1158%2F1078-0432.CCR-13-1939&amp;atitle=A+distinct+metabolic+signature+of+human+colorectal+cancer+with+prognostic+potential&amp;stitle=Clin.+Cancer+Res.&amp;title=Clinical+Cancer+Research&amp;volume=20&amp;issue=8&amp;spage=2136&amp;epage=2146&amp;aulast=Qiu&amp;aufirst=Yunping&amp;auinit=Y.&amp;aufull=Qiu+Y.&amp;coden=CCREF&amp;isbn=&amp;pages=2136-2146&amp;date=2014&amp;auinit1=Y&amp;auinitm=.</w:t>
      </w:r>
    </w:p>
    <w:p w14:paraId="75A0490E"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[58]</w:t>
      </w:r>
      <w:r w:rsidRPr="00DF6C69">
        <w:rPr>
          <w:rFonts w:cs="Times New Roman"/>
          <w:sz w:val="18"/>
          <w:szCs w:val="24"/>
        </w:rPr>
        <w:tab/>
        <w:t xml:space="preserve">K. Yonezawa </w:t>
      </w:r>
      <w:r w:rsidRPr="00DF6C69">
        <w:rPr>
          <w:rFonts w:cs="Times New Roman"/>
          <w:i/>
          <w:iCs/>
          <w:sz w:val="18"/>
          <w:szCs w:val="24"/>
        </w:rPr>
        <w:t>et al.</w:t>
      </w:r>
      <w:r w:rsidRPr="00DF6C69">
        <w:rPr>
          <w:rFonts w:cs="Times New Roman"/>
          <w:sz w:val="18"/>
          <w:szCs w:val="24"/>
        </w:rPr>
        <w:t xml:space="preserve">, “Serum and tissue metabolomics of head and neck cancer,” </w:t>
      </w:r>
      <w:r w:rsidRPr="00DF6C69">
        <w:rPr>
          <w:rFonts w:cs="Times New Roman"/>
          <w:i/>
          <w:iCs/>
          <w:sz w:val="18"/>
          <w:szCs w:val="24"/>
        </w:rPr>
        <w:t>Cancer Genomics and Proteomics</w:t>
      </w:r>
      <w:r w:rsidRPr="00DF6C69">
        <w:rPr>
          <w:rFonts w:cs="Times New Roman"/>
          <w:sz w:val="18"/>
          <w:szCs w:val="24"/>
        </w:rPr>
        <w:t>, vol. 10, no. 5, pp. 233–238, 2013.</w:t>
      </w:r>
    </w:p>
    <w:p w14:paraId="211F8FFB"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[59]</w:t>
      </w:r>
      <w:r w:rsidRPr="00DF6C69">
        <w:rPr>
          <w:rFonts w:cs="Times New Roman"/>
          <w:sz w:val="18"/>
          <w:szCs w:val="24"/>
        </w:rPr>
        <w:tab/>
        <w:t xml:space="preserve">T. Wen </w:t>
      </w:r>
      <w:r w:rsidRPr="00DF6C69">
        <w:rPr>
          <w:rFonts w:cs="Times New Roman"/>
          <w:i/>
          <w:iCs/>
          <w:sz w:val="18"/>
          <w:szCs w:val="24"/>
        </w:rPr>
        <w:t>et al.</w:t>
      </w:r>
      <w:r w:rsidRPr="00DF6C69">
        <w:rPr>
          <w:rFonts w:cs="Times New Roman"/>
          <w:sz w:val="18"/>
          <w:szCs w:val="24"/>
        </w:rPr>
        <w:t xml:space="preserve">, “Exploratory investigation of plasma metabolomics in human lung adenocarcinoma,” </w:t>
      </w:r>
      <w:r w:rsidRPr="00DF6C69">
        <w:rPr>
          <w:rFonts w:cs="Times New Roman"/>
          <w:i/>
          <w:iCs/>
          <w:sz w:val="18"/>
          <w:szCs w:val="24"/>
        </w:rPr>
        <w:t>Mol. Biosyst.</w:t>
      </w:r>
      <w:r w:rsidRPr="00DF6C69">
        <w:rPr>
          <w:rFonts w:cs="Times New Roman"/>
          <w:sz w:val="18"/>
          <w:szCs w:val="24"/>
        </w:rPr>
        <w:t>, vol. 9, no. 9, pp. 2370–2378, 2013, doi: 10.1039/c3mb70138g.</w:t>
      </w:r>
    </w:p>
    <w:p w14:paraId="52E34741"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[60]</w:t>
      </w:r>
      <w:r w:rsidRPr="00DF6C69">
        <w:rPr>
          <w:rFonts w:cs="Times New Roman"/>
          <w:sz w:val="18"/>
          <w:szCs w:val="24"/>
        </w:rPr>
        <w:tab/>
        <w:t xml:space="preserve">Y. Guo </w:t>
      </w:r>
      <w:r w:rsidRPr="00DF6C69">
        <w:rPr>
          <w:rFonts w:cs="Times New Roman"/>
          <w:i/>
          <w:iCs/>
          <w:sz w:val="18"/>
          <w:szCs w:val="24"/>
        </w:rPr>
        <w:t>et al.</w:t>
      </w:r>
      <w:r w:rsidRPr="00DF6C69">
        <w:rPr>
          <w:rFonts w:cs="Times New Roman"/>
          <w:sz w:val="18"/>
          <w:szCs w:val="24"/>
        </w:rPr>
        <w:t xml:space="preserve">, “Probing gender-specific lipid metabolites and diagnostic biomarkers for lung cancer using Fourier transform ion cyclotron resonance mass spectrometry,” </w:t>
      </w:r>
      <w:r w:rsidRPr="00DF6C69">
        <w:rPr>
          <w:rFonts w:cs="Times New Roman"/>
          <w:i/>
          <w:iCs/>
          <w:sz w:val="18"/>
          <w:szCs w:val="24"/>
        </w:rPr>
        <w:t>Clin. Chim. Acta</w:t>
      </w:r>
      <w:r w:rsidRPr="00DF6C69">
        <w:rPr>
          <w:rFonts w:cs="Times New Roman"/>
          <w:sz w:val="18"/>
          <w:szCs w:val="24"/>
        </w:rPr>
        <w:t>, vol. 414, pp. 135–141, Dec. 2012, doi: 10.1016/j.cca.2012.08.010.</w:t>
      </w:r>
    </w:p>
    <w:p w14:paraId="743175DB"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[61]</w:t>
      </w:r>
      <w:r w:rsidRPr="00DF6C69">
        <w:rPr>
          <w:rFonts w:cs="Times New Roman"/>
          <w:sz w:val="18"/>
          <w:szCs w:val="24"/>
        </w:rPr>
        <w:tab/>
        <w:t xml:space="preserve">L. Gao, Z. Wen, C. Wu, T. Wen, and C. Ong, “Metabolic Profiling of Plasma from Benign and Malignant Pulmonary Nodules Patients Using Mass Spectrometry-Based Metabolomics,” </w:t>
      </w:r>
      <w:r w:rsidRPr="00DF6C69">
        <w:rPr>
          <w:rFonts w:cs="Times New Roman"/>
          <w:i/>
          <w:iCs/>
          <w:sz w:val="18"/>
          <w:szCs w:val="24"/>
        </w:rPr>
        <w:t>Metabolites</w:t>
      </w:r>
      <w:r w:rsidRPr="00DF6C69">
        <w:rPr>
          <w:rFonts w:cs="Times New Roman"/>
          <w:sz w:val="18"/>
          <w:szCs w:val="24"/>
        </w:rPr>
        <w:t>, vol. 3, no. 3, pp. 539–551, Jul. 2013, doi: 10.3390/metabo3030539.</w:t>
      </w:r>
    </w:p>
    <w:p w14:paraId="28834C52"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[62]</w:t>
      </w:r>
      <w:r w:rsidRPr="00DF6C69">
        <w:rPr>
          <w:rFonts w:cs="Times New Roman"/>
          <w:sz w:val="18"/>
          <w:szCs w:val="24"/>
        </w:rPr>
        <w:tab/>
        <w:t xml:space="preserve">M. Serizawa </w:t>
      </w:r>
      <w:r w:rsidRPr="00DF6C69">
        <w:rPr>
          <w:rFonts w:cs="Times New Roman"/>
          <w:i/>
          <w:iCs/>
          <w:sz w:val="18"/>
          <w:szCs w:val="24"/>
        </w:rPr>
        <w:t>et al.</w:t>
      </w:r>
      <w:r w:rsidRPr="00DF6C69">
        <w:rPr>
          <w:rFonts w:cs="Times New Roman"/>
          <w:sz w:val="18"/>
          <w:szCs w:val="24"/>
        </w:rPr>
        <w:t xml:space="preserve">, “Identification of metabolic signatures associated with erlotinib resistance of non-small cell lung cancer cells.,” </w:t>
      </w:r>
      <w:r w:rsidRPr="00DF6C69">
        <w:rPr>
          <w:rFonts w:cs="Times New Roman"/>
          <w:i/>
          <w:iCs/>
          <w:sz w:val="18"/>
          <w:szCs w:val="24"/>
        </w:rPr>
        <w:t>Anticancer Res.</w:t>
      </w:r>
      <w:r w:rsidRPr="00DF6C69">
        <w:rPr>
          <w:rFonts w:cs="Times New Roman"/>
          <w:sz w:val="18"/>
          <w:szCs w:val="24"/>
        </w:rPr>
        <w:t>, vol. 34, no. 6, pp. 2779–87, Jun. 2014, Accessed: Jan. 20, 2020. [Online]. Available: http://www.ncbi.nlm.nih.gov/pubmed/24922639.</w:t>
      </w:r>
    </w:p>
    <w:p w14:paraId="50139FB5"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[63]</w:t>
      </w:r>
      <w:r w:rsidRPr="00DF6C69">
        <w:rPr>
          <w:rFonts w:cs="Times New Roman"/>
          <w:sz w:val="18"/>
          <w:szCs w:val="24"/>
        </w:rPr>
        <w:tab/>
        <w:t xml:space="preserve">A. P. J. Van Den Heuvel, J. Jing, R. F. Wooster, and K. E. Bachman, “Analysis of glutamine dependency in non-small cell lung cancer: GLS1 splice variant GAC is essential for cancer cell growth,” </w:t>
      </w:r>
      <w:r w:rsidRPr="00DF6C69">
        <w:rPr>
          <w:rFonts w:cs="Times New Roman"/>
          <w:i/>
          <w:iCs/>
          <w:sz w:val="18"/>
          <w:szCs w:val="24"/>
        </w:rPr>
        <w:t>Cancer Biol. Ther.</w:t>
      </w:r>
      <w:r w:rsidRPr="00DF6C69">
        <w:rPr>
          <w:rFonts w:cs="Times New Roman"/>
          <w:sz w:val="18"/>
          <w:szCs w:val="24"/>
        </w:rPr>
        <w:t>, vol. 13, no. 12, pp. 1185–1194, Oct. 2012, doi: 10.4161/cbt.21348.</w:t>
      </w:r>
    </w:p>
    <w:p w14:paraId="1BE2CC41"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[64]</w:t>
      </w:r>
      <w:r w:rsidRPr="00DF6C69">
        <w:rPr>
          <w:rFonts w:cs="Times New Roman"/>
          <w:sz w:val="18"/>
          <w:szCs w:val="24"/>
        </w:rPr>
        <w:tab/>
        <w:t xml:space="preserve">S. Nakamizo </w:t>
      </w:r>
      <w:r w:rsidRPr="00DF6C69">
        <w:rPr>
          <w:rFonts w:cs="Times New Roman"/>
          <w:i/>
          <w:iCs/>
          <w:sz w:val="18"/>
          <w:szCs w:val="24"/>
        </w:rPr>
        <w:t>et al.</w:t>
      </w:r>
      <w:r w:rsidRPr="00DF6C69">
        <w:rPr>
          <w:rFonts w:cs="Times New Roman"/>
          <w:sz w:val="18"/>
          <w:szCs w:val="24"/>
        </w:rPr>
        <w:t xml:space="preserve">, “GC/MS-based metabolomic analysis of cerebrospinal fluid (CSF) from glioma patients,” </w:t>
      </w:r>
      <w:r w:rsidRPr="00DF6C69">
        <w:rPr>
          <w:rFonts w:cs="Times New Roman"/>
          <w:i/>
          <w:iCs/>
          <w:sz w:val="18"/>
          <w:szCs w:val="24"/>
        </w:rPr>
        <w:t>J. Neurooncol.</w:t>
      </w:r>
      <w:r w:rsidRPr="00DF6C69">
        <w:rPr>
          <w:rFonts w:cs="Times New Roman"/>
          <w:sz w:val="18"/>
          <w:szCs w:val="24"/>
        </w:rPr>
        <w:t>, vol. 113, no. 1, pp. 65–74, May 2013, doi: 10.1007/s11060-013-1090-x.</w:t>
      </w:r>
    </w:p>
    <w:p w14:paraId="66C2A9DC"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[65]</w:t>
      </w:r>
      <w:r w:rsidRPr="00DF6C69">
        <w:rPr>
          <w:rFonts w:cs="Times New Roman"/>
          <w:sz w:val="18"/>
          <w:szCs w:val="24"/>
        </w:rPr>
        <w:tab/>
        <w:t xml:space="preserve">S. G. Musharraf, A. J. Siddiqui, T. Shamsi, M. I. Choudhary, and A. U. Rahman, “Serum metabonomics of acute leukemia using nuclear magnetic resonance spectroscopy,” </w:t>
      </w:r>
      <w:r w:rsidRPr="00DF6C69">
        <w:rPr>
          <w:rFonts w:cs="Times New Roman"/>
          <w:i/>
          <w:iCs/>
          <w:sz w:val="18"/>
          <w:szCs w:val="24"/>
        </w:rPr>
        <w:t>Sci. Rep.</w:t>
      </w:r>
      <w:r w:rsidRPr="00DF6C69">
        <w:rPr>
          <w:rFonts w:cs="Times New Roman"/>
          <w:sz w:val="18"/>
          <w:szCs w:val="24"/>
        </w:rPr>
        <w:t>, vol. 6, Aug. 2016, doi: 10.1038/srep30693.</w:t>
      </w:r>
    </w:p>
    <w:p w14:paraId="54FB4B5D"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[66]</w:t>
      </w:r>
      <w:r w:rsidRPr="00DF6C69">
        <w:rPr>
          <w:rFonts w:cs="Times New Roman"/>
          <w:sz w:val="18"/>
          <w:szCs w:val="24"/>
        </w:rPr>
        <w:tab/>
        <w:t xml:space="preserve">D. A. MacIntyre </w:t>
      </w:r>
      <w:r w:rsidRPr="00DF6C69">
        <w:rPr>
          <w:rFonts w:cs="Times New Roman"/>
          <w:i/>
          <w:iCs/>
          <w:sz w:val="18"/>
          <w:szCs w:val="24"/>
        </w:rPr>
        <w:t>et al.</w:t>
      </w:r>
      <w:r w:rsidRPr="00DF6C69">
        <w:rPr>
          <w:rFonts w:cs="Times New Roman"/>
          <w:sz w:val="18"/>
          <w:szCs w:val="24"/>
        </w:rPr>
        <w:t xml:space="preserve">, “Serum metabolome analysis by 1H-NMR reveals differences between chronic lymphocytic leukaemia molecular subgroups,” </w:t>
      </w:r>
      <w:r w:rsidRPr="00DF6C69">
        <w:rPr>
          <w:rFonts w:cs="Times New Roman"/>
          <w:i/>
          <w:iCs/>
          <w:sz w:val="18"/>
          <w:szCs w:val="24"/>
        </w:rPr>
        <w:t>Leukemia</w:t>
      </w:r>
      <w:r w:rsidRPr="00DF6C69">
        <w:rPr>
          <w:rFonts w:cs="Times New Roman"/>
          <w:sz w:val="18"/>
          <w:szCs w:val="24"/>
        </w:rPr>
        <w:t>, vol. 24, no. 4, pp. 788–797, 2010, doi: 10.1038/leu.2009.295.</w:t>
      </w:r>
    </w:p>
    <w:p w14:paraId="478724F2"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[67]</w:t>
      </w:r>
      <w:r w:rsidRPr="00DF6C69">
        <w:rPr>
          <w:rFonts w:cs="Times New Roman"/>
          <w:sz w:val="18"/>
          <w:szCs w:val="24"/>
        </w:rPr>
        <w:tab/>
        <w:t xml:space="preserve">B. Tan </w:t>
      </w:r>
      <w:r w:rsidRPr="00DF6C69">
        <w:rPr>
          <w:rFonts w:cs="Times New Roman"/>
          <w:i/>
          <w:iCs/>
          <w:sz w:val="18"/>
          <w:szCs w:val="24"/>
        </w:rPr>
        <w:t>et al.</w:t>
      </w:r>
      <w:r w:rsidRPr="00DF6C69">
        <w:rPr>
          <w:rFonts w:cs="Times New Roman"/>
          <w:sz w:val="18"/>
          <w:szCs w:val="24"/>
        </w:rPr>
        <w:t xml:space="preserve">, “Metabonomics identifies serum metabolite markers of colorectal cancer,” </w:t>
      </w:r>
      <w:r w:rsidRPr="00DF6C69">
        <w:rPr>
          <w:rFonts w:cs="Times New Roman"/>
          <w:i/>
          <w:iCs/>
          <w:sz w:val="18"/>
          <w:szCs w:val="24"/>
        </w:rPr>
        <w:t>J. Proteome Res.</w:t>
      </w:r>
      <w:r w:rsidRPr="00DF6C69">
        <w:rPr>
          <w:rFonts w:cs="Times New Roman"/>
          <w:sz w:val="18"/>
          <w:szCs w:val="24"/>
        </w:rPr>
        <w:t>, vol. 12, no. 6, pp. 3000–3009, 2013, doi: 10.1021/pr400337b.</w:t>
      </w:r>
    </w:p>
    <w:p w14:paraId="26A142EA"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[68]</w:t>
      </w:r>
      <w:r w:rsidRPr="00DF6C69">
        <w:rPr>
          <w:rFonts w:cs="Times New Roman"/>
          <w:sz w:val="18"/>
          <w:szCs w:val="24"/>
        </w:rPr>
        <w:tab/>
        <w:t xml:space="preserve">B. S. Li </w:t>
      </w:r>
      <w:r w:rsidRPr="00DF6C69">
        <w:rPr>
          <w:rFonts w:cs="Times New Roman"/>
          <w:i/>
          <w:iCs/>
          <w:sz w:val="18"/>
          <w:szCs w:val="24"/>
        </w:rPr>
        <w:t>et al.</w:t>
      </w:r>
      <w:r w:rsidRPr="00DF6C69">
        <w:rPr>
          <w:rFonts w:cs="Times New Roman"/>
          <w:sz w:val="18"/>
          <w:szCs w:val="24"/>
        </w:rPr>
        <w:t xml:space="preserve">, “The downregulation of asparagine synthetase expression can increase the sensitivity of cells resistant to L-asparaginase [13],” </w:t>
      </w:r>
      <w:r w:rsidRPr="00DF6C69">
        <w:rPr>
          <w:rFonts w:cs="Times New Roman"/>
          <w:i/>
          <w:iCs/>
          <w:sz w:val="18"/>
          <w:szCs w:val="24"/>
        </w:rPr>
        <w:t>Leukemia</w:t>
      </w:r>
      <w:r w:rsidRPr="00DF6C69">
        <w:rPr>
          <w:rFonts w:cs="Times New Roman"/>
          <w:sz w:val="18"/>
          <w:szCs w:val="24"/>
        </w:rPr>
        <w:t>, vol. 20, no. 12. Nature Publishing Group, pp. 2199–2201, 2006, doi: 10.1038/sj.leu.2404423.</w:t>
      </w:r>
    </w:p>
    <w:p w14:paraId="1390CD2C"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[69]</w:t>
      </w:r>
      <w:r w:rsidRPr="00DF6C69">
        <w:rPr>
          <w:rFonts w:cs="Times New Roman"/>
          <w:sz w:val="18"/>
          <w:szCs w:val="24"/>
        </w:rPr>
        <w:tab/>
        <w:t xml:space="preserve">S. Holst </w:t>
      </w:r>
      <w:r w:rsidRPr="00DF6C69">
        <w:rPr>
          <w:rFonts w:cs="Times New Roman"/>
          <w:i/>
          <w:iCs/>
          <w:sz w:val="18"/>
          <w:szCs w:val="24"/>
        </w:rPr>
        <w:t>et al.</w:t>
      </w:r>
      <w:r w:rsidRPr="00DF6C69">
        <w:rPr>
          <w:rFonts w:cs="Times New Roman"/>
          <w:sz w:val="18"/>
          <w:szCs w:val="24"/>
        </w:rPr>
        <w:t xml:space="preserve">, “Investigations on aberrant glycosylation of glycosphingolipids in colorectal cancer tissues using liquid chromatography and matrix-assisted laser desorption time-of- flight mass spectrometry (MALDI-TOF-MS),” </w:t>
      </w:r>
      <w:r w:rsidRPr="00DF6C69">
        <w:rPr>
          <w:rFonts w:cs="Times New Roman"/>
          <w:i/>
          <w:iCs/>
          <w:sz w:val="18"/>
          <w:szCs w:val="24"/>
        </w:rPr>
        <w:t>Mol. Cell. Proteomics</w:t>
      </w:r>
      <w:r w:rsidRPr="00DF6C69">
        <w:rPr>
          <w:rFonts w:cs="Times New Roman"/>
          <w:sz w:val="18"/>
          <w:szCs w:val="24"/>
        </w:rPr>
        <w:t>, vol. 12, no. 11, pp. 3081–3093, Nov. 2013, doi: 10.1074/mcp.M113.030387.</w:t>
      </w:r>
    </w:p>
    <w:p w14:paraId="351BD35F"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[70]</w:t>
      </w:r>
      <w:r w:rsidRPr="00DF6C69">
        <w:rPr>
          <w:rFonts w:cs="Times New Roman"/>
          <w:sz w:val="18"/>
          <w:szCs w:val="24"/>
        </w:rPr>
        <w:tab/>
        <w:t>“Enzyme Database - BRENDA.” https://www.brenda-enzymes.org/index.php (accessed Jan. 22, 2020).</w:t>
      </w:r>
    </w:p>
    <w:p w14:paraId="0788BACF"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[71]</w:t>
      </w:r>
      <w:r w:rsidRPr="00DF6C69">
        <w:rPr>
          <w:rFonts w:cs="Times New Roman"/>
          <w:sz w:val="18"/>
          <w:szCs w:val="24"/>
        </w:rPr>
        <w:tab/>
        <w:t xml:space="preserve">M. A. Al-Rawhani </w:t>
      </w:r>
      <w:r w:rsidRPr="00DF6C69">
        <w:rPr>
          <w:rFonts w:cs="Times New Roman"/>
          <w:i/>
          <w:iCs/>
          <w:sz w:val="18"/>
          <w:szCs w:val="24"/>
        </w:rPr>
        <w:t>et al.</w:t>
      </w:r>
      <w:r w:rsidRPr="00DF6C69">
        <w:rPr>
          <w:rFonts w:cs="Times New Roman"/>
          <w:sz w:val="18"/>
          <w:szCs w:val="24"/>
        </w:rPr>
        <w:t xml:space="preserve">, “Multimodal Integrated Sensor Platform for Rapid Biomarker Detection.,” </w:t>
      </w:r>
      <w:r w:rsidRPr="00DF6C69">
        <w:rPr>
          <w:rFonts w:cs="Times New Roman"/>
          <w:i/>
          <w:iCs/>
          <w:sz w:val="18"/>
          <w:szCs w:val="24"/>
        </w:rPr>
        <w:t>IEEE Trans. Biomed. Eng.</w:t>
      </w:r>
      <w:r w:rsidRPr="00DF6C69">
        <w:rPr>
          <w:rFonts w:cs="Times New Roman"/>
          <w:sz w:val="18"/>
          <w:szCs w:val="24"/>
        </w:rPr>
        <w:t>, Jun. 2019, doi: 10.1109/TBME.2019.2919192.</w:t>
      </w:r>
    </w:p>
    <w:p w14:paraId="23733BC4"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[72]</w:t>
      </w:r>
      <w:r w:rsidRPr="00DF6C69">
        <w:rPr>
          <w:rFonts w:cs="Times New Roman"/>
          <w:sz w:val="18"/>
          <w:szCs w:val="24"/>
        </w:rPr>
        <w:tab/>
        <w:t xml:space="preserve">P. Jóźwiak, E. Forma, M. Bryś, and A. Krześlak, “O-GlcNAcylation and metabolic reprograming in cancer,” </w:t>
      </w:r>
      <w:r w:rsidRPr="00DF6C69">
        <w:rPr>
          <w:rFonts w:cs="Times New Roman"/>
          <w:i/>
          <w:iCs/>
          <w:sz w:val="18"/>
          <w:szCs w:val="24"/>
        </w:rPr>
        <w:t>Frontiers in Endocrinology</w:t>
      </w:r>
      <w:r w:rsidRPr="00DF6C69">
        <w:rPr>
          <w:rFonts w:cs="Times New Roman"/>
          <w:sz w:val="18"/>
          <w:szCs w:val="24"/>
        </w:rPr>
        <w:t>, vol. 5, no. SEP. Frontiers Media S.A., 2014, doi: 10.3389/fendo.2014.00145.</w:t>
      </w:r>
    </w:p>
    <w:p w14:paraId="16C89A42"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[73]</w:t>
      </w:r>
      <w:r w:rsidRPr="00DF6C69">
        <w:rPr>
          <w:rFonts w:cs="Times New Roman"/>
          <w:sz w:val="18"/>
          <w:szCs w:val="24"/>
        </w:rPr>
        <w:tab/>
        <w:t xml:space="preserve">B. Kalyanaraman, “Teaching the basics of cancer metabolism: Developing antitumor strategies by exploiting the differences between normal and cancer cell metabolism,” </w:t>
      </w:r>
      <w:r w:rsidRPr="00DF6C69">
        <w:rPr>
          <w:rFonts w:cs="Times New Roman"/>
          <w:i/>
          <w:iCs/>
          <w:sz w:val="18"/>
          <w:szCs w:val="24"/>
        </w:rPr>
        <w:t>Redox Biology</w:t>
      </w:r>
      <w:r w:rsidRPr="00DF6C69">
        <w:rPr>
          <w:rFonts w:cs="Times New Roman"/>
          <w:sz w:val="18"/>
          <w:szCs w:val="24"/>
        </w:rPr>
        <w:t>, vol. 12. Elsevier B.V., pp. 833–842, Aug. 01, 2017, doi: 10.1016/j.redox.2017.04.018.</w:t>
      </w:r>
    </w:p>
    <w:p w14:paraId="28D29777"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[74]</w:t>
      </w:r>
      <w:r w:rsidRPr="00DF6C69">
        <w:rPr>
          <w:rFonts w:cs="Times New Roman"/>
          <w:sz w:val="18"/>
          <w:szCs w:val="24"/>
        </w:rPr>
        <w:tab/>
        <w:t xml:space="preserve">A. Vazquez, J. J. Kamphorst, E. K. Markert, Z. T. Schug, S. Tardito, and E. Gottlieb, “Cancer metabolism at a glance,” </w:t>
      </w:r>
      <w:r w:rsidRPr="00DF6C69">
        <w:rPr>
          <w:rFonts w:cs="Times New Roman"/>
          <w:i/>
          <w:iCs/>
          <w:sz w:val="18"/>
          <w:szCs w:val="24"/>
        </w:rPr>
        <w:t>J. Cell Sci.</w:t>
      </w:r>
      <w:r w:rsidRPr="00DF6C69">
        <w:rPr>
          <w:rFonts w:cs="Times New Roman"/>
          <w:sz w:val="18"/>
          <w:szCs w:val="24"/>
        </w:rPr>
        <w:t>, vol. 129, no. 18, pp. 3367–3373, 2016, doi: 10.1242/jcs.181016.</w:t>
      </w:r>
    </w:p>
    <w:p w14:paraId="320980A1"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lastRenderedPageBreak/>
        <w:t>[75]</w:t>
      </w:r>
      <w:r w:rsidRPr="00DF6C69">
        <w:rPr>
          <w:rFonts w:cs="Times New Roman"/>
          <w:sz w:val="18"/>
          <w:szCs w:val="24"/>
        </w:rPr>
        <w:tab/>
        <w:t xml:space="preserve">L. M. Sanders and S. H. Zeisel, “Choline: Dietary requirements and role in brain development,” </w:t>
      </w:r>
      <w:r w:rsidRPr="00DF6C69">
        <w:rPr>
          <w:rFonts w:cs="Times New Roman"/>
          <w:i/>
          <w:iCs/>
          <w:sz w:val="18"/>
          <w:szCs w:val="24"/>
        </w:rPr>
        <w:t>Nutr. Today</w:t>
      </w:r>
      <w:r w:rsidRPr="00DF6C69">
        <w:rPr>
          <w:rFonts w:cs="Times New Roman"/>
          <w:sz w:val="18"/>
          <w:szCs w:val="24"/>
        </w:rPr>
        <w:t>, vol. 42, no. 4, pp. 181–186, 2007, doi: 10.1097/01.NT.0000286155.55343.fa.</w:t>
      </w:r>
    </w:p>
    <w:p w14:paraId="31987682"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[76]</w:t>
      </w:r>
      <w:r w:rsidRPr="00DF6C69">
        <w:rPr>
          <w:rFonts w:cs="Times New Roman"/>
          <w:sz w:val="18"/>
          <w:szCs w:val="24"/>
        </w:rPr>
        <w:tab/>
        <w:t xml:space="preserve">A. R. Meyer and M. A. Gorin, “First point-of-care PSA test for prostate cancer detection,” </w:t>
      </w:r>
      <w:r w:rsidRPr="00DF6C69">
        <w:rPr>
          <w:rFonts w:cs="Times New Roman"/>
          <w:i/>
          <w:iCs/>
          <w:sz w:val="18"/>
          <w:szCs w:val="24"/>
        </w:rPr>
        <w:t>Nat. Rev. Urol.</w:t>
      </w:r>
      <w:r w:rsidRPr="00DF6C69">
        <w:rPr>
          <w:rFonts w:cs="Times New Roman"/>
          <w:sz w:val="18"/>
          <w:szCs w:val="24"/>
        </w:rPr>
        <w:t>, vol. 16, no. 6, pp. 332–333, 2019, doi: 10.1038/s41585-019-0179-1.</w:t>
      </w:r>
    </w:p>
    <w:p w14:paraId="410720C9"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[77]</w:t>
      </w:r>
      <w:r w:rsidRPr="00DF6C69">
        <w:rPr>
          <w:rFonts w:cs="Times New Roman"/>
          <w:sz w:val="18"/>
          <w:szCs w:val="24"/>
        </w:rPr>
        <w:tab/>
        <w:t xml:space="preserve">S. Koochekpour </w:t>
      </w:r>
      <w:r w:rsidRPr="00DF6C69">
        <w:rPr>
          <w:rFonts w:cs="Times New Roman"/>
          <w:i/>
          <w:iCs/>
          <w:sz w:val="18"/>
          <w:szCs w:val="24"/>
        </w:rPr>
        <w:t>et al.</w:t>
      </w:r>
      <w:r w:rsidRPr="00DF6C69">
        <w:rPr>
          <w:rFonts w:cs="Times New Roman"/>
          <w:sz w:val="18"/>
          <w:szCs w:val="24"/>
        </w:rPr>
        <w:t xml:space="preserve">, “Serum glutamate levels correlate with gleason score and glutamate blockade decreases proliferation, migration, and invasion and induces apoptosis in prostate cancer cells,” </w:t>
      </w:r>
      <w:r w:rsidRPr="00DF6C69">
        <w:rPr>
          <w:rFonts w:cs="Times New Roman"/>
          <w:i/>
          <w:iCs/>
          <w:sz w:val="18"/>
          <w:szCs w:val="24"/>
        </w:rPr>
        <w:t>Clin. Cancer Res.</w:t>
      </w:r>
      <w:r w:rsidRPr="00DF6C69">
        <w:rPr>
          <w:rFonts w:cs="Times New Roman"/>
          <w:sz w:val="18"/>
          <w:szCs w:val="24"/>
        </w:rPr>
        <w:t>, vol. 18, no. 21, pp. 5888–5901, Nov. 2012, doi: 10.1158/1078-0432.CCR-12-1308.</w:t>
      </w:r>
    </w:p>
    <w:p w14:paraId="49818467"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[78]</w:t>
      </w:r>
      <w:r w:rsidRPr="00DF6C69">
        <w:rPr>
          <w:rFonts w:cs="Times New Roman"/>
          <w:sz w:val="18"/>
          <w:szCs w:val="24"/>
        </w:rPr>
        <w:tab/>
        <w:t xml:space="preserve">L. C. Soliman, Y. Hui, A. K. Hewavitharana, and D. D. Y. Chen, “Monitoring potential prostate cancer biomarkers in urine by capillary electrophoresis-tandem mass spectrometry,” </w:t>
      </w:r>
      <w:r w:rsidRPr="00DF6C69">
        <w:rPr>
          <w:rFonts w:cs="Times New Roman"/>
          <w:i/>
          <w:iCs/>
          <w:sz w:val="18"/>
          <w:szCs w:val="24"/>
        </w:rPr>
        <w:t>J. Chromatogr. A</w:t>
      </w:r>
      <w:r w:rsidRPr="00DF6C69">
        <w:rPr>
          <w:rFonts w:cs="Times New Roman"/>
          <w:sz w:val="18"/>
          <w:szCs w:val="24"/>
        </w:rPr>
        <w:t>, vol. 1267, pp. 162–169, Dec. 2012, doi: 10.1016/j.chroma.2012.07.021.</w:t>
      </w:r>
    </w:p>
    <w:p w14:paraId="08C144E7"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[79]</w:t>
      </w:r>
      <w:r w:rsidRPr="00DF6C69">
        <w:rPr>
          <w:rFonts w:cs="Times New Roman"/>
          <w:sz w:val="18"/>
          <w:szCs w:val="24"/>
        </w:rPr>
        <w:tab/>
        <w:t>“NUCLEO-F334R8 - STM32 Nucleo-64 development board with STM32F334R8 MCU, supports Arduino and ST morpho connectivity - STMicroelectronics.” https://www.st.com/en/evaluation-tools/nucleo-f334r8.html (accessed Feb. 05, 2020).</w:t>
      </w:r>
    </w:p>
    <w:p w14:paraId="797D1174"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[80]</w:t>
      </w:r>
      <w:r w:rsidRPr="00DF6C69">
        <w:rPr>
          <w:rFonts w:cs="Times New Roman"/>
          <w:sz w:val="18"/>
          <w:szCs w:val="24"/>
        </w:rPr>
        <w:tab/>
        <w:t>“Mbed Compiler Workspace Management.” https://ide.mbed.com/compiler/#nav:/; (accessed Feb. 05, 2020).</w:t>
      </w:r>
    </w:p>
    <w:p w14:paraId="4E13908B"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[81]</w:t>
      </w:r>
      <w:r w:rsidRPr="00DF6C69">
        <w:rPr>
          <w:rFonts w:cs="Times New Roman"/>
          <w:sz w:val="18"/>
          <w:szCs w:val="24"/>
        </w:rPr>
        <w:tab/>
        <w:t>M. Bigas, E. Cabruja, J. Forest, and J. Salvi, “Review of CMOS image sensors,” 2005, doi: 10.1016/j.mejo.2005.07.002.</w:t>
      </w:r>
    </w:p>
    <w:p w14:paraId="5F9CF2A5" w14:textId="77777777" w:rsidR="00847C65" w:rsidRPr="00DF6C69" w:rsidRDefault="00847C65" w:rsidP="00847C65">
      <w:pPr>
        <w:widowControl w:val="0"/>
        <w:autoSpaceDE w:val="0"/>
        <w:autoSpaceDN w:val="0"/>
        <w:adjustRightInd w:val="0"/>
        <w:spacing w:after="0"/>
        <w:ind w:left="640" w:hanging="640"/>
        <w:rPr>
          <w:rFonts w:cs="Times New Roman"/>
          <w:sz w:val="18"/>
          <w:szCs w:val="24"/>
        </w:rPr>
      </w:pPr>
      <w:r w:rsidRPr="00DF6C69">
        <w:rPr>
          <w:rFonts w:cs="Times New Roman"/>
          <w:sz w:val="18"/>
          <w:szCs w:val="24"/>
        </w:rPr>
        <w:t>[82]</w:t>
      </w:r>
      <w:r w:rsidRPr="00DF6C69">
        <w:rPr>
          <w:rFonts w:cs="Times New Roman"/>
          <w:sz w:val="18"/>
          <w:szCs w:val="24"/>
        </w:rPr>
        <w:tab/>
        <w:t xml:space="preserve">C. Accarino </w:t>
      </w:r>
      <w:r w:rsidRPr="00DF6C69">
        <w:rPr>
          <w:rFonts w:cs="Times New Roman"/>
          <w:i/>
          <w:iCs/>
          <w:sz w:val="18"/>
          <w:szCs w:val="24"/>
        </w:rPr>
        <w:t>et al.</w:t>
      </w:r>
      <w:r w:rsidRPr="00DF6C69">
        <w:rPr>
          <w:rFonts w:cs="Times New Roman"/>
          <w:sz w:val="18"/>
          <w:szCs w:val="24"/>
        </w:rPr>
        <w:t xml:space="preserve">, “Noise characteristics with CMOS sensor array scaling,” </w:t>
      </w:r>
      <w:r w:rsidRPr="00DF6C69">
        <w:rPr>
          <w:rFonts w:cs="Times New Roman"/>
          <w:i/>
          <w:iCs/>
          <w:sz w:val="18"/>
          <w:szCs w:val="24"/>
        </w:rPr>
        <w:t>Meas. J. Int. Meas. Confed.</w:t>
      </w:r>
      <w:r w:rsidRPr="00DF6C69">
        <w:rPr>
          <w:rFonts w:cs="Times New Roman"/>
          <w:sz w:val="18"/>
          <w:szCs w:val="24"/>
        </w:rPr>
        <w:t>, vol. 152, Feb. 2020, doi: 10.1016/j.measurement.2019.107325.</w:t>
      </w:r>
    </w:p>
    <w:p w14:paraId="23158F17" w14:textId="77777777" w:rsidR="00847C65" w:rsidRPr="00DF6C69" w:rsidRDefault="00847C65" w:rsidP="00847C65">
      <w:pPr>
        <w:widowControl w:val="0"/>
        <w:autoSpaceDE w:val="0"/>
        <w:autoSpaceDN w:val="0"/>
        <w:adjustRightInd w:val="0"/>
        <w:spacing w:after="0"/>
        <w:ind w:left="640" w:hanging="640"/>
        <w:rPr>
          <w:sz w:val="18"/>
        </w:rPr>
      </w:pPr>
      <w:r w:rsidRPr="00DF6C69">
        <w:rPr>
          <w:rFonts w:cs="Times New Roman"/>
          <w:sz w:val="18"/>
          <w:szCs w:val="24"/>
        </w:rPr>
        <w:t>[83]</w:t>
      </w:r>
      <w:r w:rsidRPr="00DF6C69">
        <w:rPr>
          <w:rFonts w:cs="Times New Roman"/>
          <w:sz w:val="18"/>
          <w:szCs w:val="24"/>
        </w:rPr>
        <w:tab/>
        <w:t xml:space="preserve">N. Psychogios </w:t>
      </w:r>
      <w:r w:rsidRPr="00DF6C69">
        <w:rPr>
          <w:rFonts w:cs="Times New Roman"/>
          <w:i/>
          <w:iCs/>
          <w:sz w:val="18"/>
          <w:szCs w:val="24"/>
        </w:rPr>
        <w:t>et al.</w:t>
      </w:r>
      <w:r w:rsidRPr="00DF6C69">
        <w:rPr>
          <w:rFonts w:cs="Times New Roman"/>
          <w:sz w:val="18"/>
          <w:szCs w:val="24"/>
        </w:rPr>
        <w:t xml:space="preserve">, “The human serum metabolome,” </w:t>
      </w:r>
      <w:r w:rsidRPr="00DF6C69">
        <w:rPr>
          <w:rFonts w:cs="Times New Roman"/>
          <w:i/>
          <w:iCs/>
          <w:sz w:val="18"/>
          <w:szCs w:val="24"/>
        </w:rPr>
        <w:t>PLoS One</w:t>
      </w:r>
      <w:r w:rsidRPr="00DF6C69">
        <w:rPr>
          <w:rFonts w:cs="Times New Roman"/>
          <w:sz w:val="18"/>
          <w:szCs w:val="24"/>
        </w:rPr>
        <w:t>, vol. 6, no. 2, 2011, doi: 10.1371/journal.pone.0016957.</w:t>
      </w:r>
    </w:p>
    <w:p w14:paraId="2B305534" w14:textId="60D012DF" w:rsidR="005924B0" w:rsidRPr="00815CCA" w:rsidRDefault="005924B0" w:rsidP="00D82064">
      <w:pPr>
        <w:rPr>
          <w:rFonts w:ascii="Times New Roman" w:hAnsi="Times New Roman" w:cs="Times New Roman"/>
          <w:sz w:val="18"/>
          <w:szCs w:val="18"/>
        </w:rPr>
      </w:pPr>
      <w:r w:rsidRPr="00DF6C69">
        <w:rPr>
          <w:rFonts w:cs="Times New Roman"/>
          <w:sz w:val="18"/>
          <w:szCs w:val="18"/>
        </w:rPr>
        <w:fldChar w:fldCharType="end"/>
      </w:r>
      <w:bookmarkEnd w:id="0"/>
    </w:p>
    <w:sectPr w:rsidR="005924B0" w:rsidRPr="00815CCA" w:rsidSect="001D29E2">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F60F7" w14:textId="77777777" w:rsidR="006C5418" w:rsidRDefault="006C5418" w:rsidP="00366209">
      <w:pPr>
        <w:spacing w:after="0"/>
      </w:pPr>
      <w:r>
        <w:separator/>
      </w:r>
    </w:p>
  </w:endnote>
  <w:endnote w:type="continuationSeparator" w:id="0">
    <w:p w14:paraId="6852747C" w14:textId="77777777" w:rsidR="006C5418" w:rsidRDefault="006C5418" w:rsidP="00366209">
      <w:pPr>
        <w:spacing w:after="0"/>
      </w:pPr>
      <w:r>
        <w:continuationSeparator/>
      </w:r>
    </w:p>
  </w:endnote>
  <w:endnote w:type="continuationNotice" w:id="1">
    <w:p w14:paraId="7898EEBB" w14:textId="77777777" w:rsidR="006C5418" w:rsidRDefault="006C541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eastAsiaTheme="minorEastAsia" w:hAnsiTheme="minorHAnsi"/>
        <w:sz w:val="22"/>
        <w:szCs w:val="22"/>
      </w:rPr>
      <w:id w:val="-854034577"/>
      <w:docPartObj>
        <w:docPartGallery w:val="Page Numbers (Bottom of Page)"/>
        <w:docPartUnique/>
      </w:docPartObj>
    </w:sdtPr>
    <w:sdtEndPr>
      <w:rPr>
        <w:rFonts w:ascii="Cambria" w:eastAsiaTheme="majorEastAsia" w:hAnsi="Cambria" w:cstheme="majorBidi"/>
        <w:noProof/>
        <w:color w:val="4472C4" w:themeColor="accent1"/>
        <w:sz w:val="36"/>
        <w:szCs w:val="36"/>
      </w:rPr>
    </w:sdtEndPr>
    <w:sdtContent>
      <w:p w14:paraId="0A06AB01" w14:textId="3791C164" w:rsidR="009B2EB9" w:rsidRDefault="009B2EB9">
        <w:pPr>
          <w:pStyle w:val="Footer"/>
          <w:jc w:val="center"/>
          <w:rPr>
            <w:rFonts w:asciiTheme="majorHAnsi" w:eastAsiaTheme="majorEastAsia" w:hAnsiTheme="majorHAnsi" w:cstheme="majorBidi"/>
            <w:color w:val="4472C4" w:themeColor="accent1"/>
            <w:sz w:val="40"/>
            <w:szCs w:val="40"/>
          </w:rPr>
        </w:pPr>
        <w:r w:rsidRPr="00366209">
          <w:rPr>
            <w:rFonts w:ascii="Cambria" w:eastAsiaTheme="minorEastAsia" w:hAnsi="Cambria"/>
            <w:color w:val="000000" w:themeColor="text1"/>
            <w:sz w:val="20"/>
            <w:szCs w:val="20"/>
          </w:rPr>
          <w:fldChar w:fldCharType="begin"/>
        </w:r>
        <w:r w:rsidRPr="00366209">
          <w:rPr>
            <w:rFonts w:ascii="Cambria" w:hAnsi="Cambria"/>
            <w:color w:val="000000" w:themeColor="text1"/>
            <w:sz w:val="20"/>
            <w:szCs w:val="20"/>
          </w:rPr>
          <w:instrText xml:space="preserve"> PAGE   \* MERGEFORMAT </w:instrText>
        </w:r>
        <w:r w:rsidRPr="00366209">
          <w:rPr>
            <w:rFonts w:ascii="Cambria" w:eastAsiaTheme="minorEastAsia" w:hAnsi="Cambria"/>
            <w:color w:val="000000" w:themeColor="text1"/>
            <w:sz w:val="20"/>
            <w:szCs w:val="20"/>
          </w:rPr>
          <w:fldChar w:fldCharType="separate"/>
        </w:r>
        <w:r w:rsidRPr="00366209">
          <w:rPr>
            <w:rFonts w:ascii="Cambria" w:eastAsiaTheme="majorEastAsia" w:hAnsi="Cambria" w:cstheme="majorBidi"/>
            <w:noProof/>
            <w:color w:val="000000" w:themeColor="text1"/>
            <w:sz w:val="20"/>
            <w:szCs w:val="20"/>
          </w:rPr>
          <w:t>2</w:t>
        </w:r>
        <w:r w:rsidRPr="00366209">
          <w:rPr>
            <w:rFonts w:ascii="Cambria" w:eastAsiaTheme="majorEastAsia" w:hAnsi="Cambria" w:cstheme="majorBidi"/>
            <w:noProof/>
            <w:color w:val="000000" w:themeColor="text1"/>
            <w:sz w:val="20"/>
            <w:szCs w:val="20"/>
          </w:rPr>
          <w:fldChar w:fldCharType="end"/>
        </w:r>
      </w:p>
    </w:sdtContent>
  </w:sdt>
  <w:p w14:paraId="1542B173" w14:textId="77777777" w:rsidR="009B2EB9" w:rsidRDefault="009B2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346639" w14:textId="77777777" w:rsidR="006C5418" w:rsidRDefault="006C5418" w:rsidP="00366209">
      <w:pPr>
        <w:spacing w:after="0"/>
      </w:pPr>
      <w:r>
        <w:separator/>
      </w:r>
    </w:p>
  </w:footnote>
  <w:footnote w:type="continuationSeparator" w:id="0">
    <w:p w14:paraId="07333CDB" w14:textId="77777777" w:rsidR="006C5418" w:rsidRDefault="006C5418" w:rsidP="00366209">
      <w:pPr>
        <w:spacing w:after="0"/>
      </w:pPr>
      <w:r>
        <w:continuationSeparator/>
      </w:r>
    </w:p>
  </w:footnote>
  <w:footnote w:type="continuationNotice" w:id="1">
    <w:p w14:paraId="7B4E92C4" w14:textId="77777777" w:rsidR="006C5418" w:rsidRDefault="006C5418">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DA38D3"/>
    <w:multiLevelType w:val="multilevel"/>
    <w:tmpl w:val="5F9EADE4"/>
    <w:lvl w:ilvl="0">
      <w:start w:val="1"/>
      <w:numFmt w:val="decimal"/>
      <w:lvlText w:val="%1."/>
      <w:lvlJc w:val="left"/>
      <w:pPr>
        <w:ind w:left="360" w:hanging="360"/>
      </w:pPr>
      <w:rPr>
        <w:sz w:val="24"/>
        <w:szCs w:val="24"/>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4AC4FF0"/>
    <w:multiLevelType w:val="hybridMultilevel"/>
    <w:tmpl w:val="EF567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DF29AC"/>
    <w:multiLevelType w:val="multilevel"/>
    <w:tmpl w:val="8F5C225E"/>
    <w:lvl w:ilvl="0">
      <w:start w:val="1"/>
      <w:numFmt w:val="decimal"/>
      <w:lvlText w:val="%1"/>
      <w:lvlJc w:val="left"/>
      <w:pPr>
        <w:ind w:left="43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b/>
        <w:vertAlign w:val="baseline"/>
        <w:lang w:val="en-US"/>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58481CA3"/>
    <w:multiLevelType w:val="hybridMultilevel"/>
    <w:tmpl w:val="241E0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F451257"/>
    <w:multiLevelType w:val="multilevel"/>
    <w:tmpl w:val="A2481E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3"/>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C20"/>
    <w:rsid w:val="00002644"/>
    <w:rsid w:val="0000293B"/>
    <w:rsid w:val="00003897"/>
    <w:rsid w:val="00005120"/>
    <w:rsid w:val="00010CE6"/>
    <w:rsid w:val="00013055"/>
    <w:rsid w:val="000145B6"/>
    <w:rsid w:val="00016533"/>
    <w:rsid w:val="00017095"/>
    <w:rsid w:val="0001739B"/>
    <w:rsid w:val="00020232"/>
    <w:rsid w:val="000257EA"/>
    <w:rsid w:val="00026A6A"/>
    <w:rsid w:val="00026E3C"/>
    <w:rsid w:val="00031EA4"/>
    <w:rsid w:val="000330C1"/>
    <w:rsid w:val="00045B57"/>
    <w:rsid w:val="0005004F"/>
    <w:rsid w:val="00052AF9"/>
    <w:rsid w:val="00053614"/>
    <w:rsid w:val="00053DE8"/>
    <w:rsid w:val="000568E7"/>
    <w:rsid w:val="00063226"/>
    <w:rsid w:val="0007373C"/>
    <w:rsid w:val="00073C89"/>
    <w:rsid w:val="000765CF"/>
    <w:rsid w:val="000803F5"/>
    <w:rsid w:val="00081A32"/>
    <w:rsid w:val="0008410B"/>
    <w:rsid w:val="00085B00"/>
    <w:rsid w:val="00087119"/>
    <w:rsid w:val="00091E32"/>
    <w:rsid w:val="00093BAC"/>
    <w:rsid w:val="00096B8F"/>
    <w:rsid w:val="000A0149"/>
    <w:rsid w:val="000A380F"/>
    <w:rsid w:val="000A49DF"/>
    <w:rsid w:val="000A67C8"/>
    <w:rsid w:val="000B0300"/>
    <w:rsid w:val="000B319B"/>
    <w:rsid w:val="000B32ED"/>
    <w:rsid w:val="000B3C36"/>
    <w:rsid w:val="000C00EB"/>
    <w:rsid w:val="000C1079"/>
    <w:rsid w:val="000C14FC"/>
    <w:rsid w:val="000C368F"/>
    <w:rsid w:val="000C62BA"/>
    <w:rsid w:val="000D23A6"/>
    <w:rsid w:val="000D353A"/>
    <w:rsid w:val="000D700E"/>
    <w:rsid w:val="000E285B"/>
    <w:rsid w:val="000E40C8"/>
    <w:rsid w:val="000E466A"/>
    <w:rsid w:val="000E4E68"/>
    <w:rsid w:val="000E598C"/>
    <w:rsid w:val="000F0C03"/>
    <w:rsid w:val="000F1754"/>
    <w:rsid w:val="000F61F4"/>
    <w:rsid w:val="00103E6C"/>
    <w:rsid w:val="001044B0"/>
    <w:rsid w:val="00107E7E"/>
    <w:rsid w:val="001130E9"/>
    <w:rsid w:val="00113514"/>
    <w:rsid w:val="0011587E"/>
    <w:rsid w:val="001166B7"/>
    <w:rsid w:val="00117EB0"/>
    <w:rsid w:val="00121151"/>
    <w:rsid w:val="00124A09"/>
    <w:rsid w:val="00124C2F"/>
    <w:rsid w:val="00126E1F"/>
    <w:rsid w:val="001271ED"/>
    <w:rsid w:val="00131E54"/>
    <w:rsid w:val="00136D78"/>
    <w:rsid w:val="00137587"/>
    <w:rsid w:val="00140C61"/>
    <w:rsid w:val="0014495C"/>
    <w:rsid w:val="001464DF"/>
    <w:rsid w:val="00150F2A"/>
    <w:rsid w:val="00152275"/>
    <w:rsid w:val="00153A65"/>
    <w:rsid w:val="00155819"/>
    <w:rsid w:val="00156271"/>
    <w:rsid w:val="0016566B"/>
    <w:rsid w:val="00167213"/>
    <w:rsid w:val="00170B39"/>
    <w:rsid w:val="00173E7A"/>
    <w:rsid w:val="0017708E"/>
    <w:rsid w:val="0018185D"/>
    <w:rsid w:val="001857EF"/>
    <w:rsid w:val="00186658"/>
    <w:rsid w:val="00186D9C"/>
    <w:rsid w:val="001926E6"/>
    <w:rsid w:val="00193D1A"/>
    <w:rsid w:val="00194C0F"/>
    <w:rsid w:val="00196D4C"/>
    <w:rsid w:val="001A3D2B"/>
    <w:rsid w:val="001A6806"/>
    <w:rsid w:val="001B46CA"/>
    <w:rsid w:val="001B4BFE"/>
    <w:rsid w:val="001B529D"/>
    <w:rsid w:val="001B72C7"/>
    <w:rsid w:val="001C5A36"/>
    <w:rsid w:val="001D29E2"/>
    <w:rsid w:val="001D665D"/>
    <w:rsid w:val="001E6B0B"/>
    <w:rsid w:val="001E7AE0"/>
    <w:rsid w:val="0020050C"/>
    <w:rsid w:val="0020396E"/>
    <w:rsid w:val="00203E99"/>
    <w:rsid w:val="002041AD"/>
    <w:rsid w:val="0021075F"/>
    <w:rsid w:val="002115BA"/>
    <w:rsid w:val="00216F27"/>
    <w:rsid w:val="00220274"/>
    <w:rsid w:val="002206EF"/>
    <w:rsid w:val="002214BC"/>
    <w:rsid w:val="00222914"/>
    <w:rsid w:val="002258FE"/>
    <w:rsid w:val="00231E95"/>
    <w:rsid w:val="002366D2"/>
    <w:rsid w:val="00236E39"/>
    <w:rsid w:val="00237324"/>
    <w:rsid w:val="00237C82"/>
    <w:rsid w:val="0024577D"/>
    <w:rsid w:val="00252C27"/>
    <w:rsid w:val="00253B35"/>
    <w:rsid w:val="0025796D"/>
    <w:rsid w:val="00261657"/>
    <w:rsid w:val="002621E5"/>
    <w:rsid w:val="00262F7C"/>
    <w:rsid w:val="002634AE"/>
    <w:rsid w:val="0026534E"/>
    <w:rsid w:val="0027403C"/>
    <w:rsid w:val="0027558A"/>
    <w:rsid w:val="00275F48"/>
    <w:rsid w:val="0027687D"/>
    <w:rsid w:val="00276DD9"/>
    <w:rsid w:val="0027737A"/>
    <w:rsid w:val="00277481"/>
    <w:rsid w:val="00280901"/>
    <w:rsid w:val="0028689B"/>
    <w:rsid w:val="00292443"/>
    <w:rsid w:val="0029610A"/>
    <w:rsid w:val="002A5448"/>
    <w:rsid w:val="002A7801"/>
    <w:rsid w:val="002A7BFD"/>
    <w:rsid w:val="002B2428"/>
    <w:rsid w:val="002B2AF8"/>
    <w:rsid w:val="002B3CE5"/>
    <w:rsid w:val="002B5865"/>
    <w:rsid w:val="002C0498"/>
    <w:rsid w:val="002C1E68"/>
    <w:rsid w:val="002C3AE1"/>
    <w:rsid w:val="002C5AD5"/>
    <w:rsid w:val="002D4167"/>
    <w:rsid w:val="002D48E4"/>
    <w:rsid w:val="002E27AA"/>
    <w:rsid w:val="002F7411"/>
    <w:rsid w:val="00300330"/>
    <w:rsid w:val="00302304"/>
    <w:rsid w:val="00302ADF"/>
    <w:rsid w:val="003031E7"/>
    <w:rsid w:val="0030374D"/>
    <w:rsid w:val="00304893"/>
    <w:rsid w:val="00306C65"/>
    <w:rsid w:val="00311644"/>
    <w:rsid w:val="00313218"/>
    <w:rsid w:val="00316DC9"/>
    <w:rsid w:val="003255CF"/>
    <w:rsid w:val="0033020E"/>
    <w:rsid w:val="00332F5F"/>
    <w:rsid w:val="0034011A"/>
    <w:rsid w:val="003405DA"/>
    <w:rsid w:val="00344A5E"/>
    <w:rsid w:val="003456A1"/>
    <w:rsid w:val="00345A36"/>
    <w:rsid w:val="00354429"/>
    <w:rsid w:val="00357BA2"/>
    <w:rsid w:val="00362BEF"/>
    <w:rsid w:val="003656FF"/>
    <w:rsid w:val="00366209"/>
    <w:rsid w:val="00366999"/>
    <w:rsid w:val="00371605"/>
    <w:rsid w:val="00376CA7"/>
    <w:rsid w:val="00377B4A"/>
    <w:rsid w:val="00383C1F"/>
    <w:rsid w:val="003927F0"/>
    <w:rsid w:val="0039384D"/>
    <w:rsid w:val="00394208"/>
    <w:rsid w:val="0039488D"/>
    <w:rsid w:val="003A7533"/>
    <w:rsid w:val="003B056E"/>
    <w:rsid w:val="003B694B"/>
    <w:rsid w:val="003C16BD"/>
    <w:rsid w:val="003C76B0"/>
    <w:rsid w:val="003D6C69"/>
    <w:rsid w:val="003E1FDD"/>
    <w:rsid w:val="003E4567"/>
    <w:rsid w:val="003E4AEE"/>
    <w:rsid w:val="003E7218"/>
    <w:rsid w:val="003F03F7"/>
    <w:rsid w:val="003F24FF"/>
    <w:rsid w:val="003F2A6E"/>
    <w:rsid w:val="003F4ED3"/>
    <w:rsid w:val="003F7918"/>
    <w:rsid w:val="0040363E"/>
    <w:rsid w:val="00404D68"/>
    <w:rsid w:val="00407AF2"/>
    <w:rsid w:val="004102DB"/>
    <w:rsid w:val="00411F33"/>
    <w:rsid w:val="00415DCC"/>
    <w:rsid w:val="00424A24"/>
    <w:rsid w:val="00426564"/>
    <w:rsid w:val="00426623"/>
    <w:rsid w:val="00426740"/>
    <w:rsid w:val="00433388"/>
    <w:rsid w:val="004407DB"/>
    <w:rsid w:val="00442CAF"/>
    <w:rsid w:val="00445BE9"/>
    <w:rsid w:val="0045210A"/>
    <w:rsid w:val="004548A2"/>
    <w:rsid w:val="00455701"/>
    <w:rsid w:val="00462786"/>
    <w:rsid w:val="00464B35"/>
    <w:rsid w:val="00465429"/>
    <w:rsid w:val="004674B1"/>
    <w:rsid w:val="00470D2E"/>
    <w:rsid w:val="004723B8"/>
    <w:rsid w:val="00473D39"/>
    <w:rsid w:val="00474B92"/>
    <w:rsid w:val="00481800"/>
    <w:rsid w:val="0048316E"/>
    <w:rsid w:val="0048734C"/>
    <w:rsid w:val="004917E9"/>
    <w:rsid w:val="00493651"/>
    <w:rsid w:val="004951C2"/>
    <w:rsid w:val="004A5396"/>
    <w:rsid w:val="004A6E90"/>
    <w:rsid w:val="004B0C55"/>
    <w:rsid w:val="004B2262"/>
    <w:rsid w:val="004B2E4A"/>
    <w:rsid w:val="004B3980"/>
    <w:rsid w:val="004B526B"/>
    <w:rsid w:val="004C1605"/>
    <w:rsid w:val="004C1FE2"/>
    <w:rsid w:val="004C360B"/>
    <w:rsid w:val="004C45E8"/>
    <w:rsid w:val="004C4A3C"/>
    <w:rsid w:val="004C5ABB"/>
    <w:rsid w:val="004D5BB1"/>
    <w:rsid w:val="004D6572"/>
    <w:rsid w:val="004E0AB8"/>
    <w:rsid w:val="004E2B8D"/>
    <w:rsid w:val="004E4269"/>
    <w:rsid w:val="004E4E4E"/>
    <w:rsid w:val="004E5B02"/>
    <w:rsid w:val="004F24B2"/>
    <w:rsid w:val="004F2647"/>
    <w:rsid w:val="00500B19"/>
    <w:rsid w:val="00511FB3"/>
    <w:rsid w:val="00521E89"/>
    <w:rsid w:val="0052405C"/>
    <w:rsid w:val="00525001"/>
    <w:rsid w:val="00530AD8"/>
    <w:rsid w:val="0053537D"/>
    <w:rsid w:val="00536EBB"/>
    <w:rsid w:val="00536F3A"/>
    <w:rsid w:val="0054390D"/>
    <w:rsid w:val="00547798"/>
    <w:rsid w:val="0056431D"/>
    <w:rsid w:val="00573392"/>
    <w:rsid w:val="00576A52"/>
    <w:rsid w:val="0057716A"/>
    <w:rsid w:val="0057740F"/>
    <w:rsid w:val="00580131"/>
    <w:rsid w:val="00580342"/>
    <w:rsid w:val="00583FC3"/>
    <w:rsid w:val="005924B0"/>
    <w:rsid w:val="00592B24"/>
    <w:rsid w:val="00592C73"/>
    <w:rsid w:val="005A02B4"/>
    <w:rsid w:val="005A11B8"/>
    <w:rsid w:val="005B2AEB"/>
    <w:rsid w:val="005B3BB2"/>
    <w:rsid w:val="005B62C9"/>
    <w:rsid w:val="005C019D"/>
    <w:rsid w:val="005C0272"/>
    <w:rsid w:val="005C0B65"/>
    <w:rsid w:val="005C23F9"/>
    <w:rsid w:val="005C4821"/>
    <w:rsid w:val="005C5152"/>
    <w:rsid w:val="005C658D"/>
    <w:rsid w:val="005C6CE4"/>
    <w:rsid w:val="005C707B"/>
    <w:rsid w:val="005C7EDB"/>
    <w:rsid w:val="005D3349"/>
    <w:rsid w:val="005D42CC"/>
    <w:rsid w:val="005D4ECA"/>
    <w:rsid w:val="005D6C2D"/>
    <w:rsid w:val="005E0967"/>
    <w:rsid w:val="005E52A8"/>
    <w:rsid w:val="005E677B"/>
    <w:rsid w:val="005F0CEC"/>
    <w:rsid w:val="005F1925"/>
    <w:rsid w:val="005F266C"/>
    <w:rsid w:val="005F6FB0"/>
    <w:rsid w:val="0060067D"/>
    <w:rsid w:val="00600DD0"/>
    <w:rsid w:val="00607612"/>
    <w:rsid w:val="006078F4"/>
    <w:rsid w:val="0061211D"/>
    <w:rsid w:val="0061221A"/>
    <w:rsid w:val="0061555D"/>
    <w:rsid w:val="00620598"/>
    <w:rsid w:val="00620BBB"/>
    <w:rsid w:val="00622A84"/>
    <w:rsid w:val="0062494F"/>
    <w:rsid w:val="00627519"/>
    <w:rsid w:val="00631C74"/>
    <w:rsid w:val="006322A7"/>
    <w:rsid w:val="0064172B"/>
    <w:rsid w:val="00643337"/>
    <w:rsid w:val="00645E46"/>
    <w:rsid w:val="006478B2"/>
    <w:rsid w:val="00651E27"/>
    <w:rsid w:val="00657FFC"/>
    <w:rsid w:val="0066324C"/>
    <w:rsid w:val="00665476"/>
    <w:rsid w:val="00674425"/>
    <w:rsid w:val="00677BC3"/>
    <w:rsid w:val="00684CAB"/>
    <w:rsid w:val="00685240"/>
    <w:rsid w:val="006A0D4E"/>
    <w:rsid w:val="006A15FC"/>
    <w:rsid w:val="006A437A"/>
    <w:rsid w:val="006B10C7"/>
    <w:rsid w:val="006B248C"/>
    <w:rsid w:val="006B3500"/>
    <w:rsid w:val="006B4F49"/>
    <w:rsid w:val="006B528C"/>
    <w:rsid w:val="006C0133"/>
    <w:rsid w:val="006C0F85"/>
    <w:rsid w:val="006C1647"/>
    <w:rsid w:val="006C465C"/>
    <w:rsid w:val="006C5418"/>
    <w:rsid w:val="006D1555"/>
    <w:rsid w:val="006D5771"/>
    <w:rsid w:val="006E0DAF"/>
    <w:rsid w:val="006E2867"/>
    <w:rsid w:val="006E357D"/>
    <w:rsid w:val="006E5F69"/>
    <w:rsid w:val="006E756F"/>
    <w:rsid w:val="006E7C4E"/>
    <w:rsid w:val="006F0B77"/>
    <w:rsid w:val="006F1631"/>
    <w:rsid w:val="007040F2"/>
    <w:rsid w:val="007111D2"/>
    <w:rsid w:val="00713C0A"/>
    <w:rsid w:val="00716AA1"/>
    <w:rsid w:val="00720298"/>
    <w:rsid w:val="00721529"/>
    <w:rsid w:val="00726947"/>
    <w:rsid w:val="007275A8"/>
    <w:rsid w:val="00737148"/>
    <w:rsid w:val="007405A9"/>
    <w:rsid w:val="00740E46"/>
    <w:rsid w:val="00741F8A"/>
    <w:rsid w:val="00742A50"/>
    <w:rsid w:val="00744F53"/>
    <w:rsid w:val="00746DC8"/>
    <w:rsid w:val="007470AD"/>
    <w:rsid w:val="00765DC0"/>
    <w:rsid w:val="00766268"/>
    <w:rsid w:val="00775A9B"/>
    <w:rsid w:val="00775AD9"/>
    <w:rsid w:val="007760E4"/>
    <w:rsid w:val="0078063F"/>
    <w:rsid w:val="007828DB"/>
    <w:rsid w:val="00783A08"/>
    <w:rsid w:val="00783F63"/>
    <w:rsid w:val="007841F3"/>
    <w:rsid w:val="007915D7"/>
    <w:rsid w:val="0079179D"/>
    <w:rsid w:val="00791ADE"/>
    <w:rsid w:val="0079779B"/>
    <w:rsid w:val="00797ED5"/>
    <w:rsid w:val="007A3C94"/>
    <w:rsid w:val="007A64F2"/>
    <w:rsid w:val="007A7A39"/>
    <w:rsid w:val="007B022B"/>
    <w:rsid w:val="007B1E5D"/>
    <w:rsid w:val="007B5464"/>
    <w:rsid w:val="007B63B0"/>
    <w:rsid w:val="007B74CA"/>
    <w:rsid w:val="007C2217"/>
    <w:rsid w:val="007C66C7"/>
    <w:rsid w:val="007D1336"/>
    <w:rsid w:val="007D19A2"/>
    <w:rsid w:val="007E0446"/>
    <w:rsid w:val="007E4878"/>
    <w:rsid w:val="007E4AC8"/>
    <w:rsid w:val="007E7EA2"/>
    <w:rsid w:val="007F3972"/>
    <w:rsid w:val="007F39BC"/>
    <w:rsid w:val="0080539F"/>
    <w:rsid w:val="00807F5D"/>
    <w:rsid w:val="00814315"/>
    <w:rsid w:val="00815CCA"/>
    <w:rsid w:val="008165D8"/>
    <w:rsid w:val="00817437"/>
    <w:rsid w:val="00817D48"/>
    <w:rsid w:val="0082134A"/>
    <w:rsid w:val="00842865"/>
    <w:rsid w:val="00847C65"/>
    <w:rsid w:val="00855942"/>
    <w:rsid w:val="00867035"/>
    <w:rsid w:val="00870F73"/>
    <w:rsid w:val="00872EA0"/>
    <w:rsid w:val="008746EE"/>
    <w:rsid w:val="0087627B"/>
    <w:rsid w:val="00881E56"/>
    <w:rsid w:val="008841A3"/>
    <w:rsid w:val="00886142"/>
    <w:rsid w:val="008862DE"/>
    <w:rsid w:val="00887F8F"/>
    <w:rsid w:val="0089054D"/>
    <w:rsid w:val="0089084D"/>
    <w:rsid w:val="008A2474"/>
    <w:rsid w:val="008A27CA"/>
    <w:rsid w:val="008A4467"/>
    <w:rsid w:val="008A75ED"/>
    <w:rsid w:val="008B0624"/>
    <w:rsid w:val="008B13EE"/>
    <w:rsid w:val="008B4B87"/>
    <w:rsid w:val="008C2D0B"/>
    <w:rsid w:val="008C3049"/>
    <w:rsid w:val="008C76FF"/>
    <w:rsid w:val="008D5C75"/>
    <w:rsid w:val="008D7C75"/>
    <w:rsid w:val="008E39EE"/>
    <w:rsid w:val="008E4511"/>
    <w:rsid w:val="008E4AC5"/>
    <w:rsid w:val="008E5BFA"/>
    <w:rsid w:val="008E6B9A"/>
    <w:rsid w:val="008F1859"/>
    <w:rsid w:val="008F2DFD"/>
    <w:rsid w:val="008F72A3"/>
    <w:rsid w:val="00902970"/>
    <w:rsid w:val="00903896"/>
    <w:rsid w:val="009054C3"/>
    <w:rsid w:val="00912214"/>
    <w:rsid w:val="009163A7"/>
    <w:rsid w:val="00917A3A"/>
    <w:rsid w:val="00917E11"/>
    <w:rsid w:val="00924DE3"/>
    <w:rsid w:val="009271F8"/>
    <w:rsid w:val="00927CAE"/>
    <w:rsid w:val="00927E0F"/>
    <w:rsid w:val="00932B1A"/>
    <w:rsid w:val="00933846"/>
    <w:rsid w:val="009413A8"/>
    <w:rsid w:val="00942EEF"/>
    <w:rsid w:val="009431DC"/>
    <w:rsid w:val="00943BBA"/>
    <w:rsid w:val="00945C56"/>
    <w:rsid w:val="00946CC6"/>
    <w:rsid w:val="009610DA"/>
    <w:rsid w:val="00965383"/>
    <w:rsid w:val="009655EE"/>
    <w:rsid w:val="0097377E"/>
    <w:rsid w:val="0097644E"/>
    <w:rsid w:val="00977EC5"/>
    <w:rsid w:val="00986977"/>
    <w:rsid w:val="009877BC"/>
    <w:rsid w:val="00995F59"/>
    <w:rsid w:val="00997C59"/>
    <w:rsid w:val="009A4189"/>
    <w:rsid w:val="009B2EB9"/>
    <w:rsid w:val="009B61DB"/>
    <w:rsid w:val="009C465C"/>
    <w:rsid w:val="009D011B"/>
    <w:rsid w:val="009D7506"/>
    <w:rsid w:val="009D7F05"/>
    <w:rsid w:val="009E044B"/>
    <w:rsid w:val="009F0C33"/>
    <w:rsid w:val="009F1C4D"/>
    <w:rsid w:val="009F40F2"/>
    <w:rsid w:val="00A0060A"/>
    <w:rsid w:val="00A01948"/>
    <w:rsid w:val="00A01A53"/>
    <w:rsid w:val="00A05971"/>
    <w:rsid w:val="00A261F3"/>
    <w:rsid w:val="00A271FC"/>
    <w:rsid w:val="00A355CC"/>
    <w:rsid w:val="00A3724B"/>
    <w:rsid w:val="00A43876"/>
    <w:rsid w:val="00A46AC9"/>
    <w:rsid w:val="00A50C04"/>
    <w:rsid w:val="00A51952"/>
    <w:rsid w:val="00A57C0D"/>
    <w:rsid w:val="00A62CFE"/>
    <w:rsid w:val="00A717B2"/>
    <w:rsid w:val="00A718EC"/>
    <w:rsid w:val="00A756FF"/>
    <w:rsid w:val="00A82E08"/>
    <w:rsid w:val="00A90363"/>
    <w:rsid w:val="00A90737"/>
    <w:rsid w:val="00A92F59"/>
    <w:rsid w:val="00AA0996"/>
    <w:rsid w:val="00AA1391"/>
    <w:rsid w:val="00AA1CD7"/>
    <w:rsid w:val="00AA6889"/>
    <w:rsid w:val="00AB0994"/>
    <w:rsid w:val="00AB11CD"/>
    <w:rsid w:val="00AC2410"/>
    <w:rsid w:val="00AD602B"/>
    <w:rsid w:val="00AE0C7E"/>
    <w:rsid w:val="00AE19DE"/>
    <w:rsid w:val="00AE3EAF"/>
    <w:rsid w:val="00AE6183"/>
    <w:rsid w:val="00AE72E8"/>
    <w:rsid w:val="00AE77CA"/>
    <w:rsid w:val="00AF0D6E"/>
    <w:rsid w:val="00AF39E7"/>
    <w:rsid w:val="00B01598"/>
    <w:rsid w:val="00B01B4B"/>
    <w:rsid w:val="00B01C3C"/>
    <w:rsid w:val="00B039E9"/>
    <w:rsid w:val="00B047FF"/>
    <w:rsid w:val="00B05ABF"/>
    <w:rsid w:val="00B14B98"/>
    <w:rsid w:val="00B15821"/>
    <w:rsid w:val="00B1609A"/>
    <w:rsid w:val="00B17239"/>
    <w:rsid w:val="00B22540"/>
    <w:rsid w:val="00B226C7"/>
    <w:rsid w:val="00B262FE"/>
    <w:rsid w:val="00B30620"/>
    <w:rsid w:val="00B32AC1"/>
    <w:rsid w:val="00B3378A"/>
    <w:rsid w:val="00B33D94"/>
    <w:rsid w:val="00B45DE5"/>
    <w:rsid w:val="00B46588"/>
    <w:rsid w:val="00B468C8"/>
    <w:rsid w:val="00B53639"/>
    <w:rsid w:val="00B60581"/>
    <w:rsid w:val="00B60B9A"/>
    <w:rsid w:val="00B64E79"/>
    <w:rsid w:val="00B64F31"/>
    <w:rsid w:val="00B671A0"/>
    <w:rsid w:val="00B67933"/>
    <w:rsid w:val="00B709E2"/>
    <w:rsid w:val="00B73E95"/>
    <w:rsid w:val="00B8088C"/>
    <w:rsid w:val="00B81105"/>
    <w:rsid w:val="00B81226"/>
    <w:rsid w:val="00B847ED"/>
    <w:rsid w:val="00B87064"/>
    <w:rsid w:val="00B91B97"/>
    <w:rsid w:val="00BA4418"/>
    <w:rsid w:val="00BA5153"/>
    <w:rsid w:val="00BA5C54"/>
    <w:rsid w:val="00BA6B41"/>
    <w:rsid w:val="00BB171C"/>
    <w:rsid w:val="00BC1127"/>
    <w:rsid w:val="00BC28AE"/>
    <w:rsid w:val="00BC5154"/>
    <w:rsid w:val="00BC5C6A"/>
    <w:rsid w:val="00BC65AE"/>
    <w:rsid w:val="00BC7B89"/>
    <w:rsid w:val="00BD2E70"/>
    <w:rsid w:val="00BD4CF2"/>
    <w:rsid w:val="00BD5830"/>
    <w:rsid w:val="00BD653C"/>
    <w:rsid w:val="00BD6916"/>
    <w:rsid w:val="00BD7066"/>
    <w:rsid w:val="00BE023B"/>
    <w:rsid w:val="00BE2A7E"/>
    <w:rsid w:val="00BF0A52"/>
    <w:rsid w:val="00BF1851"/>
    <w:rsid w:val="00BF77D5"/>
    <w:rsid w:val="00BF7AE0"/>
    <w:rsid w:val="00C04E60"/>
    <w:rsid w:val="00C06521"/>
    <w:rsid w:val="00C11213"/>
    <w:rsid w:val="00C1244D"/>
    <w:rsid w:val="00C1746E"/>
    <w:rsid w:val="00C24F8C"/>
    <w:rsid w:val="00C27AA7"/>
    <w:rsid w:val="00C30889"/>
    <w:rsid w:val="00C33719"/>
    <w:rsid w:val="00C3598D"/>
    <w:rsid w:val="00C35AE4"/>
    <w:rsid w:val="00C40FF8"/>
    <w:rsid w:val="00C45A2D"/>
    <w:rsid w:val="00C466C3"/>
    <w:rsid w:val="00C51D04"/>
    <w:rsid w:val="00C60C98"/>
    <w:rsid w:val="00C62C20"/>
    <w:rsid w:val="00C62F32"/>
    <w:rsid w:val="00C642ED"/>
    <w:rsid w:val="00C65BF2"/>
    <w:rsid w:val="00C66205"/>
    <w:rsid w:val="00C72F8C"/>
    <w:rsid w:val="00C72FAA"/>
    <w:rsid w:val="00C74643"/>
    <w:rsid w:val="00C77CA0"/>
    <w:rsid w:val="00C87880"/>
    <w:rsid w:val="00C91534"/>
    <w:rsid w:val="00C919F5"/>
    <w:rsid w:val="00C940FA"/>
    <w:rsid w:val="00C95103"/>
    <w:rsid w:val="00CA0297"/>
    <w:rsid w:val="00CA02BF"/>
    <w:rsid w:val="00CB48F8"/>
    <w:rsid w:val="00CB4904"/>
    <w:rsid w:val="00CB51E6"/>
    <w:rsid w:val="00CC2473"/>
    <w:rsid w:val="00CC3B68"/>
    <w:rsid w:val="00CC62B5"/>
    <w:rsid w:val="00CC79F7"/>
    <w:rsid w:val="00CD0D04"/>
    <w:rsid w:val="00CD6383"/>
    <w:rsid w:val="00CD6AA5"/>
    <w:rsid w:val="00CE07DD"/>
    <w:rsid w:val="00CE294C"/>
    <w:rsid w:val="00CE43E7"/>
    <w:rsid w:val="00CE4ECE"/>
    <w:rsid w:val="00CE5FA0"/>
    <w:rsid w:val="00CF2864"/>
    <w:rsid w:val="00CF50B5"/>
    <w:rsid w:val="00CF5EF4"/>
    <w:rsid w:val="00CF6459"/>
    <w:rsid w:val="00CF6D5E"/>
    <w:rsid w:val="00D03A5F"/>
    <w:rsid w:val="00D04D91"/>
    <w:rsid w:val="00D105DE"/>
    <w:rsid w:val="00D15E8F"/>
    <w:rsid w:val="00D20C77"/>
    <w:rsid w:val="00D2339C"/>
    <w:rsid w:val="00D2368B"/>
    <w:rsid w:val="00D25400"/>
    <w:rsid w:val="00D2621D"/>
    <w:rsid w:val="00D26BE4"/>
    <w:rsid w:val="00D26CB3"/>
    <w:rsid w:val="00D31CA8"/>
    <w:rsid w:val="00D3272A"/>
    <w:rsid w:val="00D32CB3"/>
    <w:rsid w:val="00D336B3"/>
    <w:rsid w:val="00D34D12"/>
    <w:rsid w:val="00D36862"/>
    <w:rsid w:val="00D4051D"/>
    <w:rsid w:val="00D50342"/>
    <w:rsid w:val="00D512DD"/>
    <w:rsid w:val="00D57B4F"/>
    <w:rsid w:val="00D60503"/>
    <w:rsid w:val="00D61BA7"/>
    <w:rsid w:val="00D64921"/>
    <w:rsid w:val="00D736C1"/>
    <w:rsid w:val="00D75FEA"/>
    <w:rsid w:val="00D818A7"/>
    <w:rsid w:val="00D82064"/>
    <w:rsid w:val="00D84B7C"/>
    <w:rsid w:val="00D87E74"/>
    <w:rsid w:val="00D942BD"/>
    <w:rsid w:val="00D94571"/>
    <w:rsid w:val="00DA0642"/>
    <w:rsid w:val="00DB449D"/>
    <w:rsid w:val="00DC410E"/>
    <w:rsid w:val="00DC5577"/>
    <w:rsid w:val="00DD17C4"/>
    <w:rsid w:val="00DD2F24"/>
    <w:rsid w:val="00DD3426"/>
    <w:rsid w:val="00DD4E3E"/>
    <w:rsid w:val="00DD4F04"/>
    <w:rsid w:val="00DE2DAC"/>
    <w:rsid w:val="00DF2A3B"/>
    <w:rsid w:val="00DF6B07"/>
    <w:rsid w:val="00DF6C69"/>
    <w:rsid w:val="00DF707F"/>
    <w:rsid w:val="00E0120E"/>
    <w:rsid w:val="00E104C4"/>
    <w:rsid w:val="00E14145"/>
    <w:rsid w:val="00E17338"/>
    <w:rsid w:val="00E21393"/>
    <w:rsid w:val="00E22BC0"/>
    <w:rsid w:val="00E26479"/>
    <w:rsid w:val="00E36F14"/>
    <w:rsid w:val="00E45FDC"/>
    <w:rsid w:val="00E52080"/>
    <w:rsid w:val="00E5442A"/>
    <w:rsid w:val="00E55BFF"/>
    <w:rsid w:val="00E60B47"/>
    <w:rsid w:val="00E650D4"/>
    <w:rsid w:val="00E6643B"/>
    <w:rsid w:val="00E66B9D"/>
    <w:rsid w:val="00E7065A"/>
    <w:rsid w:val="00E70F4B"/>
    <w:rsid w:val="00E714EA"/>
    <w:rsid w:val="00E736BC"/>
    <w:rsid w:val="00E7668D"/>
    <w:rsid w:val="00E80397"/>
    <w:rsid w:val="00E8778D"/>
    <w:rsid w:val="00E91684"/>
    <w:rsid w:val="00E95C4A"/>
    <w:rsid w:val="00EA1944"/>
    <w:rsid w:val="00EA1B32"/>
    <w:rsid w:val="00EA2C1D"/>
    <w:rsid w:val="00EA6F60"/>
    <w:rsid w:val="00EB2E23"/>
    <w:rsid w:val="00EB5B42"/>
    <w:rsid w:val="00EB6DF9"/>
    <w:rsid w:val="00EC591A"/>
    <w:rsid w:val="00EC67D1"/>
    <w:rsid w:val="00EC7024"/>
    <w:rsid w:val="00ED009F"/>
    <w:rsid w:val="00ED0BCD"/>
    <w:rsid w:val="00ED6629"/>
    <w:rsid w:val="00EF1906"/>
    <w:rsid w:val="00EF2B2E"/>
    <w:rsid w:val="00EF4729"/>
    <w:rsid w:val="00EF6EB7"/>
    <w:rsid w:val="00F01715"/>
    <w:rsid w:val="00F01D1F"/>
    <w:rsid w:val="00F026F5"/>
    <w:rsid w:val="00F03F50"/>
    <w:rsid w:val="00F041C7"/>
    <w:rsid w:val="00F06718"/>
    <w:rsid w:val="00F071EB"/>
    <w:rsid w:val="00F177E9"/>
    <w:rsid w:val="00F17821"/>
    <w:rsid w:val="00F21851"/>
    <w:rsid w:val="00F22DB6"/>
    <w:rsid w:val="00F2510A"/>
    <w:rsid w:val="00F25D3D"/>
    <w:rsid w:val="00F26D19"/>
    <w:rsid w:val="00F3177B"/>
    <w:rsid w:val="00F32902"/>
    <w:rsid w:val="00F35DE0"/>
    <w:rsid w:val="00F36843"/>
    <w:rsid w:val="00F370AF"/>
    <w:rsid w:val="00F3729E"/>
    <w:rsid w:val="00F419CC"/>
    <w:rsid w:val="00F44132"/>
    <w:rsid w:val="00F46F38"/>
    <w:rsid w:val="00F562CB"/>
    <w:rsid w:val="00F56E55"/>
    <w:rsid w:val="00F609E7"/>
    <w:rsid w:val="00F60C86"/>
    <w:rsid w:val="00F61EF0"/>
    <w:rsid w:val="00F627AA"/>
    <w:rsid w:val="00F66A70"/>
    <w:rsid w:val="00F66C0C"/>
    <w:rsid w:val="00F719CC"/>
    <w:rsid w:val="00F751D0"/>
    <w:rsid w:val="00F8409D"/>
    <w:rsid w:val="00F90D6B"/>
    <w:rsid w:val="00F9616B"/>
    <w:rsid w:val="00FA0D4C"/>
    <w:rsid w:val="00FA2DE3"/>
    <w:rsid w:val="00FA453D"/>
    <w:rsid w:val="00FA5912"/>
    <w:rsid w:val="00FB791D"/>
    <w:rsid w:val="00FC0985"/>
    <w:rsid w:val="00FC0F76"/>
    <w:rsid w:val="00FC4A31"/>
    <w:rsid w:val="00FC5855"/>
    <w:rsid w:val="00FD142B"/>
    <w:rsid w:val="00FD378F"/>
    <w:rsid w:val="00FD7267"/>
    <w:rsid w:val="00FE280B"/>
    <w:rsid w:val="00FF1B7E"/>
    <w:rsid w:val="00FF3A28"/>
    <w:rsid w:val="00FF4F40"/>
    <w:rsid w:val="00FF6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B8534"/>
  <w15:chartTrackingRefBased/>
  <w15:docId w15:val="{262B3F60-83D5-473E-93F8-D6C8219FB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BFA"/>
    <w:pPr>
      <w:spacing w:line="240" w:lineRule="auto"/>
      <w:jc w:val="both"/>
    </w:pPr>
    <w:rPr>
      <w:rFonts w:ascii="Cambria" w:hAnsi="Cambria"/>
    </w:rPr>
  </w:style>
  <w:style w:type="paragraph" w:styleId="Heading1">
    <w:name w:val="heading 1"/>
    <w:basedOn w:val="Normal"/>
    <w:next w:val="Normal"/>
    <w:link w:val="Heading1Char"/>
    <w:uiPriority w:val="9"/>
    <w:qFormat/>
    <w:rsid w:val="004521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078F4"/>
    <w:pPr>
      <w:keepNext/>
      <w:keepLines/>
      <w:spacing w:before="40" w:after="0" w:line="480" w:lineRule="auto"/>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BE2A7E"/>
    <w:pPr>
      <w:keepNext/>
      <w:keepLines/>
      <w:numPr>
        <w:ilvl w:val="2"/>
        <w:numId w:val="1"/>
      </w:numPr>
      <w:spacing w:before="40" w:after="0" w:line="360" w:lineRule="auto"/>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7F39BC"/>
    <w:pPr>
      <w:keepNext/>
      <w:keepLines/>
      <w:numPr>
        <w:ilvl w:val="3"/>
        <w:numId w:val="1"/>
      </w:numPr>
      <w:spacing w:before="40" w:after="0" w:line="360" w:lineRule="auto"/>
      <w:outlineLvl w:val="3"/>
    </w:pPr>
    <w:rPr>
      <w:rFonts w:ascii="Times New Roman" w:eastAsiaTheme="majorEastAsia" w:hAnsi="Times New Roman" w:cstheme="majorBidi"/>
      <w:i/>
      <w:iCs/>
      <w:sz w:val="24"/>
      <w:szCs w:val="24"/>
      <w:lang w:eastAsia="en-GB"/>
    </w:rPr>
  </w:style>
  <w:style w:type="paragraph" w:styleId="Heading5">
    <w:name w:val="heading 5"/>
    <w:basedOn w:val="Normal"/>
    <w:next w:val="Normal"/>
    <w:link w:val="Heading5Char"/>
    <w:uiPriority w:val="9"/>
    <w:unhideWhenUsed/>
    <w:qFormat/>
    <w:rsid w:val="0045210A"/>
    <w:pPr>
      <w:keepNext/>
      <w:keepLines/>
      <w:numPr>
        <w:ilvl w:val="4"/>
        <w:numId w:val="1"/>
      </w:numPr>
      <w:spacing w:before="40" w:after="0"/>
      <w:outlineLvl w:val="4"/>
    </w:pPr>
    <w:rPr>
      <w:rFonts w:asciiTheme="majorHAnsi" w:eastAsiaTheme="majorEastAsia" w:hAnsiTheme="majorHAnsi" w:cstheme="majorBidi"/>
      <w:color w:val="2F5496" w:themeColor="accent1" w:themeShade="BF"/>
      <w:sz w:val="24"/>
      <w:szCs w:val="24"/>
      <w:lang w:eastAsia="en-GB"/>
    </w:rPr>
  </w:style>
  <w:style w:type="paragraph" w:styleId="Heading6">
    <w:name w:val="heading 6"/>
    <w:basedOn w:val="Normal"/>
    <w:next w:val="Normal"/>
    <w:link w:val="Heading6Char"/>
    <w:uiPriority w:val="9"/>
    <w:unhideWhenUsed/>
    <w:qFormat/>
    <w:rsid w:val="0045210A"/>
    <w:pPr>
      <w:keepNext/>
      <w:keepLines/>
      <w:numPr>
        <w:ilvl w:val="5"/>
        <w:numId w:val="1"/>
      </w:numPr>
      <w:spacing w:before="40" w:after="0"/>
      <w:outlineLvl w:val="5"/>
    </w:pPr>
    <w:rPr>
      <w:rFonts w:asciiTheme="majorHAnsi" w:eastAsiaTheme="majorEastAsia" w:hAnsiTheme="majorHAnsi" w:cstheme="majorBidi"/>
      <w:color w:val="1F3763" w:themeColor="accent1" w:themeShade="7F"/>
      <w:sz w:val="24"/>
      <w:szCs w:val="24"/>
      <w:lang w:eastAsia="en-GB"/>
    </w:rPr>
  </w:style>
  <w:style w:type="paragraph" w:styleId="Heading7">
    <w:name w:val="heading 7"/>
    <w:basedOn w:val="Normal"/>
    <w:next w:val="Normal"/>
    <w:link w:val="Heading7Char"/>
    <w:uiPriority w:val="9"/>
    <w:semiHidden/>
    <w:unhideWhenUsed/>
    <w:qFormat/>
    <w:rsid w:val="0045210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sz w:val="24"/>
      <w:szCs w:val="24"/>
      <w:lang w:eastAsia="en-GB"/>
    </w:rPr>
  </w:style>
  <w:style w:type="paragraph" w:styleId="Heading8">
    <w:name w:val="heading 8"/>
    <w:basedOn w:val="Normal"/>
    <w:next w:val="Normal"/>
    <w:link w:val="Heading8Char"/>
    <w:uiPriority w:val="9"/>
    <w:semiHidden/>
    <w:unhideWhenUsed/>
    <w:qFormat/>
    <w:rsid w:val="0045210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lang w:eastAsia="en-GB"/>
    </w:rPr>
  </w:style>
  <w:style w:type="paragraph" w:styleId="Heading9">
    <w:name w:val="heading 9"/>
    <w:basedOn w:val="Normal"/>
    <w:next w:val="Normal"/>
    <w:link w:val="Heading9Char"/>
    <w:uiPriority w:val="9"/>
    <w:semiHidden/>
    <w:unhideWhenUsed/>
    <w:qFormat/>
    <w:rsid w:val="0045210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10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078F4"/>
    <w:rPr>
      <w:rFonts w:ascii="Cambria" w:eastAsiaTheme="majorEastAsia" w:hAnsi="Cambria" w:cstheme="majorBidi"/>
      <w:b/>
      <w:color w:val="000000" w:themeColor="text1"/>
      <w:sz w:val="24"/>
      <w:szCs w:val="26"/>
    </w:rPr>
  </w:style>
  <w:style w:type="paragraph" w:styleId="CommentText">
    <w:name w:val="annotation text"/>
    <w:basedOn w:val="Normal"/>
    <w:link w:val="CommentTextChar"/>
    <w:rsid w:val="0045210A"/>
    <w:pPr>
      <w:spacing w:after="0"/>
      <w:jc w:val="center"/>
    </w:pPr>
    <w:rPr>
      <w:rFonts w:ascii="Times New Roman" w:eastAsia="SimSun" w:hAnsi="Times New Roman" w:cs="Times New Roman"/>
      <w:sz w:val="20"/>
      <w:szCs w:val="20"/>
      <w:lang w:val="en-US"/>
    </w:rPr>
  </w:style>
  <w:style w:type="character" w:customStyle="1" w:styleId="CommentTextChar">
    <w:name w:val="Comment Text Char"/>
    <w:basedOn w:val="DefaultParagraphFont"/>
    <w:link w:val="CommentText"/>
    <w:rsid w:val="0045210A"/>
    <w:rPr>
      <w:rFonts w:ascii="Times New Roman" w:eastAsia="SimSun" w:hAnsi="Times New Roman" w:cs="Times New Roman"/>
      <w:sz w:val="20"/>
      <w:szCs w:val="20"/>
      <w:lang w:val="en-US"/>
    </w:rPr>
  </w:style>
  <w:style w:type="paragraph" w:customStyle="1" w:styleId="references">
    <w:name w:val="references"/>
    <w:rsid w:val="0045210A"/>
    <w:pPr>
      <w:spacing w:after="50" w:line="180" w:lineRule="exact"/>
      <w:jc w:val="both"/>
    </w:pPr>
    <w:rPr>
      <w:rFonts w:ascii="Times New Roman" w:eastAsia="MS Mincho" w:hAnsi="Times New Roman" w:cs="Times New Roman"/>
      <w:noProof/>
      <w:sz w:val="16"/>
      <w:szCs w:val="16"/>
      <w:lang w:val="en-US"/>
    </w:rPr>
  </w:style>
  <w:style w:type="paragraph" w:styleId="Title">
    <w:name w:val="Title"/>
    <w:basedOn w:val="Normal"/>
    <w:next w:val="Normal"/>
    <w:link w:val="TitleChar"/>
    <w:uiPriority w:val="10"/>
    <w:qFormat/>
    <w:rsid w:val="0045210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10A"/>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45210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BE2A7E"/>
    <w:rPr>
      <w:rFonts w:ascii="Cambria" w:eastAsiaTheme="majorEastAsia" w:hAnsi="Cambria" w:cstheme="majorBidi"/>
      <w:b/>
      <w:color w:val="000000" w:themeColor="text1"/>
      <w:szCs w:val="24"/>
    </w:rPr>
  </w:style>
  <w:style w:type="character" w:customStyle="1" w:styleId="Heading4Char">
    <w:name w:val="Heading 4 Char"/>
    <w:basedOn w:val="DefaultParagraphFont"/>
    <w:link w:val="Heading4"/>
    <w:uiPriority w:val="9"/>
    <w:rsid w:val="007F39BC"/>
    <w:rPr>
      <w:rFonts w:ascii="Times New Roman" w:eastAsiaTheme="majorEastAsia" w:hAnsi="Times New Roman" w:cstheme="majorBidi"/>
      <w:i/>
      <w:iCs/>
      <w:sz w:val="24"/>
      <w:szCs w:val="24"/>
      <w:lang w:eastAsia="en-GB"/>
    </w:rPr>
  </w:style>
  <w:style w:type="character" w:customStyle="1" w:styleId="Heading5Char">
    <w:name w:val="Heading 5 Char"/>
    <w:basedOn w:val="DefaultParagraphFont"/>
    <w:link w:val="Heading5"/>
    <w:uiPriority w:val="9"/>
    <w:rsid w:val="0045210A"/>
    <w:rPr>
      <w:rFonts w:asciiTheme="majorHAnsi" w:eastAsiaTheme="majorEastAsia" w:hAnsiTheme="majorHAnsi" w:cstheme="majorBidi"/>
      <w:color w:val="2F5496" w:themeColor="accent1" w:themeShade="BF"/>
      <w:sz w:val="24"/>
      <w:szCs w:val="24"/>
      <w:lang w:eastAsia="en-GB"/>
    </w:rPr>
  </w:style>
  <w:style w:type="character" w:customStyle="1" w:styleId="Heading6Char">
    <w:name w:val="Heading 6 Char"/>
    <w:basedOn w:val="DefaultParagraphFont"/>
    <w:link w:val="Heading6"/>
    <w:uiPriority w:val="9"/>
    <w:rsid w:val="0045210A"/>
    <w:rPr>
      <w:rFonts w:asciiTheme="majorHAnsi" w:eastAsiaTheme="majorEastAsia" w:hAnsiTheme="majorHAnsi" w:cstheme="majorBidi"/>
      <w:color w:val="1F3763" w:themeColor="accent1" w:themeShade="7F"/>
      <w:sz w:val="24"/>
      <w:szCs w:val="24"/>
      <w:lang w:eastAsia="en-GB"/>
    </w:rPr>
  </w:style>
  <w:style w:type="character" w:customStyle="1" w:styleId="Heading7Char">
    <w:name w:val="Heading 7 Char"/>
    <w:basedOn w:val="DefaultParagraphFont"/>
    <w:link w:val="Heading7"/>
    <w:uiPriority w:val="9"/>
    <w:semiHidden/>
    <w:rsid w:val="0045210A"/>
    <w:rPr>
      <w:rFonts w:asciiTheme="majorHAnsi" w:eastAsiaTheme="majorEastAsia" w:hAnsiTheme="majorHAnsi" w:cstheme="majorBidi"/>
      <w:i/>
      <w:iCs/>
      <w:color w:val="1F3763" w:themeColor="accent1" w:themeShade="7F"/>
      <w:sz w:val="24"/>
      <w:szCs w:val="24"/>
      <w:lang w:eastAsia="en-GB"/>
    </w:rPr>
  </w:style>
  <w:style w:type="character" w:customStyle="1" w:styleId="Heading8Char">
    <w:name w:val="Heading 8 Char"/>
    <w:basedOn w:val="DefaultParagraphFont"/>
    <w:link w:val="Heading8"/>
    <w:uiPriority w:val="9"/>
    <w:semiHidden/>
    <w:rsid w:val="0045210A"/>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45210A"/>
    <w:rPr>
      <w:rFonts w:asciiTheme="majorHAnsi" w:eastAsiaTheme="majorEastAsia" w:hAnsiTheme="majorHAnsi" w:cstheme="majorBidi"/>
      <w:i/>
      <w:iCs/>
      <w:color w:val="272727" w:themeColor="text1" w:themeTint="D8"/>
      <w:sz w:val="21"/>
      <w:szCs w:val="21"/>
      <w:lang w:eastAsia="en-GB"/>
    </w:rPr>
  </w:style>
  <w:style w:type="paragraph" w:styleId="BalloonText">
    <w:name w:val="Balloon Text"/>
    <w:basedOn w:val="Normal"/>
    <w:link w:val="BalloonTextChar"/>
    <w:uiPriority w:val="99"/>
    <w:semiHidden/>
    <w:unhideWhenUsed/>
    <w:rsid w:val="0045210A"/>
    <w:pPr>
      <w:spacing w:after="0"/>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sid w:val="0045210A"/>
    <w:rPr>
      <w:rFonts w:ascii="Segoe UI" w:eastAsia="Times New Roman" w:hAnsi="Segoe UI" w:cs="Segoe UI"/>
      <w:sz w:val="18"/>
      <w:szCs w:val="18"/>
      <w:lang w:eastAsia="en-GB"/>
    </w:rPr>
  </w:style>
  <w:style w:type="paragraph" w:styleId="Caption">
    <w:name w:val="caption"/>
    <w:basedOn w:val="Normal"/>
    <w:next w:val="Normal"/>
    <w:uiPriority w:val="35"/>
    <w:unhideWhenUsed/>
    <w:qFormat/>
    <w:rsid w:val="008E5BFA"/>
    <w:pPr>
      <w:spacing w:after="200"/>
    </w:pPr>
    <w:rPr>
      <w:rFonts w:eastAsia="Times New Roman" w:cs="Times New Roman"/>
      <w:i/>
      <w:iCs/>
      <w:color w:val="000000" w:themeColor="text1"/>
      <w:szCs w:val="18"/>
      <w:lang w:eastAsia="en-GB"/>
    </w:rPr>
  </w:style>
  <w:style w:type="paragraph" w:styleId="Header">
    <w:name w:val="header"/>
    <w:basedOn w:val="Normal"/>
    <w:link w:val="HeaderChar"/>
    <w:uiPriority w:val="99"/>
    <w:unhideWhenUsed/>
    <w:rsid w:val="0045210A"/>
    <w:pPr>
      <w:tabs>
        <w:tab w:val="center" w:pos="4513"/>
        <w:tab w:val="right" w:pos="9026"/>
      </w:tabs>
      <w:spacing w:after="0"/>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45210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5210A"/>
    <w:pPr>
      <w:tabs>
        <w:tab w:val="center" w:pos="4513"/>
        <w:tab w:val="right" w:pos="9026"/>
      </w:tabs>
      <w:spacing w:after="0"/>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45210A"/>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45210A"/>
    <w:rPr>
      <w:color w:val="808080"/>
    </w:rPr>
  </w:style>
  <w:style w:type="paragraph" w:styleId="ListParagraph">
    <w:name w:val="List Paragraph"/>
    <w:basedOn w:val="Normal"/>
    <w:uiPriority w:val="34"/>
    <w:qFormat/>
    <w:rsid w:val="00C466C3"/>
    <w:pPr>
      <w:spacing w:after="0"/>
      <w:ind w:left="720"/>
      <w:contextualSpacing/>
    </w:pPr>
    <w:rPr>
      <w:rFonts w:eastAsia="Times New Roman" w:cs="Times New Roman"/>
      <w:szCs w:val="24"/>
      <w:lang w:eastAsia="en-GB"/>
    </w:rPr>
  </w:style>
  <w:style w:type="table" w:styleId="TableGrid">
    <w:name w:val="Table Grid"/>
    <w:basedOn w:val="TableNormal"/>
    <w:uiPriority w:val="39"/>
    <w:rsid w:val="00452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5210A"/>
    <w:pPr>
      <w:spacing w:after="0"/>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45210A"/>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45210A"/>
    <w:rPr>
      <w:vertAlign w:val="superscript"/>
    </w:rPr>
  </w:style>
  <w:style w:type="character" w:styleId="CommentReference">
    <w:name w:val="annotation reference"/>
    <w:basedOn w:val="DefaultParagraphFont"/>
    <w:uiPriority w:val="99"/>
    <w:semiHidden/>
    <w:unhideWhenUsed/>
    <w:rsid w:val="0045210A"/>
    <w:rPr>
      <w:sz w:val="16"/>
      <w:szCs w:val="16"/>
    </w:rPr>
  </w:style>
  <w:style w:type="paragraph" w:styleId="CommentSubject">
    <w:name w:val="annotation subject"/>
    <w:basedOn w:val="CommentText"/>
    <w:next w:val="CommentText"/>
    <w:link w:val="CommentSubjectChar"/>
    <w:uiPriority w:val="99"/>
    <w:semiHidden/>
    <w:unhideWhenUsed/>
    <w:rsid w:val="0045210A"/>
    <w:pPr>
      <w:jc w:val="left"/>
    </w:pPr>
    <w:rPr>
      <w:rFonts w:eastAsia="Times New Roman"/>
      <w:b/>
      <w:bCs/>
      <w:lang w:val="en-GB" w:eastAsia="en-GB"/>
    </w:rPr>
  </w:style>
  <w:style w:type="character" w:customStyle="1" w:styleId="CommentSubjectChar">
    <w:name w:val="Comment Subject Char"/>
    <w:basedOn w:val="CommentTextChar"/>
    <w:link w:val="CommentSubject"/>
    <w:uiPriority w:val="99"/>
    <w:semiHidden/>
    <w:rsid w:val="0045210A"/>
    <w:rPr>
      <w:rFonts w:ascii="Times New Roman" w:eastAsia="Times New Roman" w:hAnsi="Times New Roman" w:cs="Times New Roman"/>
      <w:b/>
      <w:bCs/>
      <w:sz w:val="20"/>
      <w:szCs w:val="20"/>
      <w:lang w:val="en-US" w:eastAsia="en-GB"/>
    </w:rPr>
  </w:style>
  <w:style w:type="paragraph" w:styleId="TableofFigures">
    <w:name w:val="table of figures"/>
    <w:basedOn w:val="Normal"/>
    <w:next w:val="Normal"/>
    <w:uiPriority w:val="99"/>
    <w:unhideWhenUsed/>
    <w:rsid w:val="0045210A"/>
    <w:pPr>
      <w:spacing w:after="0"/>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5210A"/>
    <w:rPr>
      <w:color w:val="0563C1" w:themeColor="hyperlink"/>
      <w:u w:val="single"/>
    </w:rPr>
  </w:style>
  <w:style w:type="numbering" w:customStyle="1" w:styleId="NoList1">
    <w:name w:val="No List1"/>
    <w:next w:val="NoList"/>
    <w:uiPriority w:val="99"/>
    <w:semiHidden/>
    <w:unhideWhenUsed/>
    <w:rsid w:val="0045210A"/>
  </w:style>
  <w:style w:type="table" w:customStyle="1" w:styleId="TableGrid1">
    <w:name w:val="Table Grid1"/>
    <w:basedOn w:val="TableNormal"/>
    <w:next w:val="TableGrid"/>
    <w:uiPriority w:val="39"/>
    <w:rsid w:val="00452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5210A"/>
    <w:pPr>
      <w:outlineLvl w:val="9"/>
    </w:pPr>
    <w:rPr>
      <w:lang w:val="en-US" w:eastAsia="en-GB"/>
    </w:rPr>
  </w:style>
  <w:style w:type="paragraph" w:styleId="TOC1">
    <w:name w:val="toc 1"/>
    <w:basedOn w:val="Normal"/>
    <w:next w:val="Normal"/>
    <w:autoRedefine/>
    <w:uiPriority w:val="39"/>
    <w:unhideWhenUsed/>
    <w:rsid w:val="0045210A"/>
    <w:pPr>
      <w:spacing w:after="100"/>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45210A"/>
    <w:pPr>
      <w:spacing w:after="100"/>
      <w:ind w:left="240"/>
    </w:pPr>
    <w:rPr>
      <w:rFonts w:ascii="Times New Roman" w:eastAsia="Times New Roman" w:hAnsi="Times New Roman" w:cs="Times New Roman"/>
      <w:sz w:val="24"/>
      <w:szCs w:val="24"/>
      <w:lang w:eastAsia="en-GB"/>
    </w:rPr>
  </w:style>
  <w:style w:type="paragraph" w:styleId="TOC3">
    <w:name w:val="toc 3"/>
    <w:basedOn w:val="Normal"/>
    <w:next w:val="Normal"/>
    <w:autoRedefine/>
    <w:uiPriority w:val="39"/>
    <w:unhideWhenUsed/>
    <w:rsid w:val="0045210A"/>
    <w:pPr>
      <w:spacing w:after="100"/>
      <w:ind w:left="480"/>
    </w:pPr>
    <w:rPr>
      <w:rFonts w:ascii="Times New Roman" w:eastAsia="Times New Roman" w:hAnsi="Times New Roman" w:cs="Times New Roman"/>
      <w:sz w:val="24"/>
      <w:szCs w:val="24"/>
      <w:lang w:eastAsia="en-GB"/>
    </w:rPr>
  </w:style>
  <w:style w:type="character" w:customStyle="1" w:styleId="shorttext">
    <w:name w:val="short_text"/>
    <w:basedOn w:val="DefaultParagraphFont"/>
    <w:rsid w:val="0045210A"/>
  </w:style>
  <w:style w:type="paragraph" w:styleId="HTMLPreformatted">
    <w:name w:val="HTML Preformatted"/>
    <w:basedOn w:val="Normal"/>
    <w:link w:val="HTMLPreformattedChar"/>
    <w:uiPriority w:val="99"/>
    <w:unhideWhenUsed/>
    <w:rsid w:val="00452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it-IT" w:eastAsia="it-IT"/>
    </w:rPr>
  </w:style>
  <w:style w:type="character" w:customStyle="1" w:styleId="HTMLPreformattedChar">
    <w:name w:val="HTML Preformatted Char"/>
    <w:basedOn w:val="DefaultParagraphFont"/>
    <w:link w:val="HTMLPreformatted"/>
    <w:uiPriority w:val="99"/>
    <w:rsid w:val="0045210A"/>
    <w:rPr>
      <w:rFonts w:ascii="Courier New" w:eastAsia="Times New Roman" w:hAnsi="Courier New" w:cs="Courier New"/>
      <w:sz w:val="20"/>
      <w:szCs w:val="20"/>
      <w:lang w:val="it-IT" w:eastAsia="it-IT"/>
    </w:rPr>
  </w:style>
  <w:style w:type="character" w:customStyle="1" w:styleId="mwe-math-mathml-inline">
    <w:name w:val="mwe-math-mathml-inline"/>
    <w:basedOn w:val="DefaultParagraphFont"/>
    <w:rsid w:val="0045210A"/>
  </w:style>
  <w:style w:type="character" w:customStyle="1" w:styleId="st">
    <w:name w:val="st"/>
    <w:basedOn w:val="DefaultParagraphFont"/>
    <w:rsid w:val="0045210A"/>
  </w:style>
  <w:style w:type="character" w:customStyle="1" w:styleId="xn-location">
    <w:name w:val="xn-location"/>
    <w:basedOn w:val="DefaultParagraphFont"/>
    <w:rsid w:val="0045210A"/>
  </w:style>
  <w:style w:type="character" w:styleId="Strong">
    <w:name w:val="Strong"/>
    <w:basedOn w:val="DefaultParagraphFont"/>
    <w:uiPriority w:val="22"/>
    <w:qFormat/>
    <w:rsid w:val="0045210A"/>
    <w:rPr>
      <w:b/>
      <w:bCs/>
    </w:rPr>
  </w:style>
  <w:style w:type="paragraph" w:styleId="BodyText">
    <w:name w:val="Body Text"/>
    <w:basedOn w:val="Normal"/>
    <w:link w:val="BodyTextChar"/>
    <w:uiPriority w:val="1"/>
    <w:qFormat/>
    <w:rsid w:val="0045210A"/>
    <w:pPr>
      <w:widowControl w:val="0"/>
      <w:autoSpaceDE w:val="0"/>
      <w:autoSpaceDN w:val="0"/>
      <w:spacing w:after="0"/>
    </w:pPr>
    <w:rPr>
      <w:rFonts w:ascii="Comic Sans MS" w:eastAsia="Comic Sans MS" w:hAnsi="Comic Sans MS" w:cs="Comic Sans MS"/>
      <w:sz w:val="24"/>
      <w:szCs w:val="24"/>
      <w:lang w:val="it-IT" w:eastAsia="it-IT" w:bidi="it-IT"/>
    </w:rPr>
  </w:style>
  <w:style w:type="character" w:customStyle="1" w:styleId="BodyTextChar">
    <w:name w:val="Body Text Char"/>
    <w:basedOn w:val="DefaultParagraphFont"/>
    <w:link w:val="BodyText"/>
    <w:uiPriority w:val="1"/>
    <w:rsid w:val="0045210A"/>
    <w:rPr>
      <w:rFonts w:ascii="Comic Sans MS" w:eastAsia="Comic Sans MS" w:hAnsi="Comic Sans MS" w:cs="Comic Sans MS"/>
      <w:sz w:val="24"/>
      <w:szCs w:val="24"/>
      <w:lang w:val="it-IT" w:eastAsia="it-IT" w:bidi="it-IT"/>
    </w:rPr>
  </w:style>
  <w:style w:type="character" w:customStyle="1" w:styleId="word">
    <w:name w:val="word"/>
    <w:basedOn w:val="DefaultParagraphFont"/>
    <w:rsid w:val="0045210A"/>
  </w:style>
  <w:style w:type="character" w:customStyle="1" w:styleId="reference-accessdate">
    <w:name w:val="reference-accessdate"/>
    <w:basedOn w:val="DefaultParagraphFont"/>
    <w:rsid w:val="0045210A"/>
  </w:style>
  <w:style w:type="character" w:customStyle="1" w:styleId="nowrap">
    <w:name w:val="nowrap"/>
    <w:basedOn w:val="DefaultParagraphFont"/>
    <w:rsid w:val="0045210A"/>
  </w:style>
  <w:style w:type="character" w:customStyle="1" w:styleId="UnresolvedMention1">
    <w:name w:val="Unresolved Mention1"/>
    <w:basedOn w:val="DefaultParagraphFont"/>
    <w:uiPriority w:val="99"/>
    <w:semiHidden/>
    <w:unhideWhenUsed/>
    <w:rsid w:val="0045210A"/>
    <w:rPr>
      <w:color w:val="605E5C"/>
      <w:shd w:val="clear" w:color="auto" w:fill="E1DFDD"/>
    </w:rPr>
  </w:style>
  <w:style w:type="character" w:styleId="Emphasis">
    <w:name w:val="Emphasis"/>
    <w:basedOn w:val="DefaultParagraphFont"/>
    <w:uiPriority w:val="20"/>
    <w:qFormat/>
    <w:rsid w:val="0045210A"/>
    <w:rPr>
      <w:i/>
      <w:iCs/>
    </w:rPr>
  </w:style>
  <w:style w:type="paragraph" w:styleId="EndnoteText">
    <w:name w:val="endnote text"/>
    <w:basedOn w:val="Normal"/>
    <w:link w:val="EndnoteTextChar"/>
    <w:uiPriority w:val="99"/>
    <w:semiHidden/>
    <w:unhideWhenUsed/>
    <w:rsid w:val="0045210A"/>
    <w:pPr>
      <w:spacing w:after="0"/>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uiPriority w:val="99"/>
    <w:semiHidden/>
    <w:rsid w:val="0045210A"/>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45210A"/>
    <w:rPr>
      <w:vertAlign w:val="superscript"/>
    </w:rPr>
  </w:style>
  <w:style w:type="character" w:styleId="FollowedHyperlink">
    <w:name w:val="FollowedHyperlink"/>
    <w:basedOn w:val="DefaultParagraphFont"/>
    <w:uiPriority w:val="99"/>
    <w:semiHidden/>
    <w:unhideWhenUsed/>
    <w:rsid w:val="0045210A"/>
    <w:rPr>
      <w:color w:val="954F72" w:themeColor="followedHyperlink"/>
      <w:u w:val="single"/>
    </w:rPr>
  </w:style>
  <w:style w:type="table" w:styleId="PlainTable4">
    <w:name w:val="Plain Table 4"/>
    <w:basedOn w:val="TableNormal"/>
    <w:uiPriority w:val="44"/>
    <w:rsid w:val="006B528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TLABCode">
    <w:name w:val="MATLAB Code"/>
    <w:basedOn w:val="Normal"/>
    <w:link w:val="MATLABCodeChar"/>
    <w:rsid w:val="006B528C"/>
    <w:pPr>
      <w:pBdr>
        <w:top w:val="single" w:sz="2" w:space="10" w:color="CCCCCC"/>
        <w:left w:val="single" w:sz="2" w:space="10" w:color="CCCCCC"/>
        <w:bottom w:val="single" w:sz="2" w:space="10" w:color="CCCCCC"/>
        <w:right w:val="single" w:sz="2" w:space="10" w:color="CCCCCC"/>
        <w:between w:val="single" w:sz="4" w:space="0" w:color="auto"/>
      </w:pBdr>
      <w:shd w:val="clear" w:color="auto" w:fill="F3F3F3"/>
      <w:spacing w:line="360" w:lineRule="auto"/>
    </w:pPr>
    <w:rPr>
      <w:rFonts w:ascii="Lucida Console" w:eastAsia="Calibri" w:hAnsi="Lucida Console" w:cs="Times New Roman"/>
      <w:noProof/>
      <w:sz w:val="16"/>
    </w:rPr>
  </w:style>
  <w:style w:type="character" w:customStyle="1" w:styleId="MATLABCodeChar">
    <w:name w:val="MATLAB Code Char"/>
    <w:link w:val="MATLABCode"/>
    <w:rsid w:val="006B528C"/>
    <w:rPr>
      <w:rFonts w:ascii="Lucida Console" w:eastAsia="Calibri" w:hAnsi="Lucida Console" w:cs="Times New Roman"/>
      <w:noProof/>
      <w:sz w:val="16"/>
      <w:shd w:val="clear" w:color="auto" w:fill="F3F3F3"/>
    </w:rPr>
  </w:style>
  <w:style w:type="paragraph" w:customStyle="1" w:styleId="Default">
    <w:name w:val="Default"/>
    <w:rsid w:val="006B528C"/>
    <w:pPr>
      <w:autoSpaceDE w:val="0"/>
      <w:autoSpaceDN w:val="0"/>
      <w:adjustRightInd w:val="0"/>
      <w:spacing w:after="0" w:line="240" w:lineRule="auto"/>
    </w:pPr>
    <w:rPr>
      <w:rFonts w:ascii="Arial" w:hAnsi="Arial" w:cs="Arial"/>
      <w:color w:val="000000"/>
      <w:sz w:val="24"/>
      <w:szCs w:val="24"/>
    </w:rPr>
  </w:style>
  <w:style w:type="paragraph" w:customStyle="1" w:styleId="MATLABOutput">
    <w:name w:val="MATLAB Output"/>
    <w:basedOn w:val="Normal"/>
    <w:link w:val="MATLABOutputChar"/>
    <w:rsid w:val="006B528C"/>
    <w:pPr>
      <w:spacing w:line="360" w:lineRule="auto"/>
    </w:pPr>
    <w:rPr>
      <w:rFonts w:ascii="Lucida Console" w:eastAsia="Calibri" w:hAnsi="Lucida Console" w:cs="Times New Roman"/>
      <w:noProof/>
      <w:color w:val="808080"/>
      <w:sz w:val="16"/>
    </w:rPr>
  </w:style>
  <w:style w:type="character" w:customStyle="1" w:styleId="MATLABOutputChar">
    <w:name w:val="MATLAB Output Char"/>
    <w:link w:val="MATLABOutput"/>
    <w:rsid w:val="006B528C"/>
    <w:rPr>
      <w:rFonts w:ascii="Lucida Console" w:eastAsia="Calibri" w:hAnsi="Lucida Console" w:cs="Times New Roman"/>
      <w:noProof/>
      <w:color w:val="808080"/>
      <w:sz w:val="16"/>
    </w:rPr>
  </w:style>
  <w:style w:type="paragraph" w:styleId="NoSpacing">
    <w:name w:val="No Spacing"/>
    <w:uiPriority w:val="1"/>
    <w:qFormat/>
    <w:rsid w:val="001E6B0B"/>
    <w:pPr>
      <w:spacing w:after="0" w:line="240" w:lineRule="auto"/>
      <w:jc w:val="both"/>
    </w:pPr>
    <w:rPr>
      <w:rFonts w:ascii="Cambria" w:hAnsi="Cambria"/>
    </w:rPr>
  </w:style>
  <w:style w:type="character" w:customStyle="1" w:styleId="tableChar">
    <w:name w:val="table Char"/>
    <w:basedOn w:val="DefaultParagraphFont"/>
    <w:link w:val="table"/>
    <w:locked/>
    <w:rsid w:val="00173E7A"/>
    <w:rPr>
      <w:rFonts w:ascii="Times New Roman" w:eastAsia="Times New Roman" w:hAnsi="Times New Roman" w:cs="Times New Roman"/>
      <w:sz w:val="20"/>
      <w:szCs w:val="18"/>
      <w:lang w:eastAsia="en-GB"/>
    </w:rPr>
  </w:style>
  <w:style w:type="paragraph" w:customStyle="1" w:styleId="table">
    <w:name w:val="table"/>
    <w:basedOn w:val="Normal"/>
    <w:link w:val="tableChar"/>
    <w:qFormat/>
    <w:rsid w:val="00173E7A"/>
    <w:pPr>
      <w:spacing w:after="0"/>
      <w:jc w:val="left"/>
    </w:pPr>
    <w:rPr>
      <w:rFonts w:ascii="Times New Roman" w:eastAsia="Times New Roman" w:hAnsi="Times New Roman" w:cs="Times New Roman"/>
      <w:sz w:val="20"/>
      <w:szCs w:val="18"/>
      <w:lang w:eastAsia="en-GB"/>
    </w:rPr>
  </w:style>
  <w:style w:type="paragraph" w:styleId="Revision">
    <w:name w:val="Revision"/>
    <w:hidden/>
    <w:uiPriority w:val="99"/>
    <w:semiHidden/>
    <w:rsid w:val="001A6806"/>
    <w:pPr>
      <w:spacing w:after="0" w:line="240" w:lineRule="auto"/>
    </w:pPr>
    <w:rPr>
      <w:rFonts w:ascii="Cambria" w:hAnsi="Cambria"/>
    </w:rPr>
  </w:style>
  <w:style w:type="character" w:styleId="LineNumber">
    <w:name w:val="line number"/>
    <w:basedOn w:val="DefaultParagraphFont"/>
    <w:uiPriority w:val="99"/>
    <w:semiHidden/>
    <w:unhideWhenUsed/>
    <w:rsid w:val="00FF1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779821">
      <w:bodyDiv w:val="1"/>
      <w:marLeft w:val="0"/>
      <w:marRight w:val="0"/>
      <w:marTop w:val="0"/>
      <w:marBottom w:val="0"/>
      <w:divBdr>
        <w:top w:val="none" w:sz="0" w:space="0" w:color="auto"/>
        <w:left w:val="none" w:sz="0" w:space="0" w:color="auto"/>
        <w:bottom w:val="none" w:sz="0" w:space="0" w:color="auto"/>
        <w:right w:val="none" w:sz="0" w:space="0" w:color="auto"/>
      </w:divBdr>
    </w:div>
    <w:div w:id="555973905">
      <w:bodyDiv w:val="1"/>
      <w:marLeft w:val="0"/>
      <w:marRight w:val="0"/>
      <w:marTop w:val="0"/>
      <w:marBottom w:val="0"/>
      <w:divBdr>
        <w:top w:val="none" w:sz="0" w:space="0" w:color="auto"/>
        <w:left w:val="none" w:sz="0" w:space="0" w:color="auto"/>
        <w:bottom w:val="none" w:sz="0" w:space="0" w:color="auto"/>
        <w:right w:val="none" w:sz="0" w:space="0" w:color="auto"/>
      </w:divBdr>
    </w:div>
    <w:div w:id="1639264344">
      <w:bodyDiv w:val="1"/>
      <w:marLeft w:val="0"/>
      <w:marRight w:val="0"/>
      <w:marTop w:val="0"/>
      <w:marBottom w:val="0"/>
      <w:divBdr>
        <w:top w:val="none" w:sz="0" w:space="0" w:color="auto"/>
        <w:left w:val="none" w:sz="0" w:space="0" w:color="auto"/>
        <w:bottom w:val="none" w:sz="0" w:space="0" w:color="auto"/>
        <w:right w:val="none" w:sz="0" w:space="0" w:color="auto"/>
      </w:divBdr>
    </w:div>
    <w:div w:id="192487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CA2DC-37E6-104D-A524-157E45B97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259949</Words>
  <Characters>1481712</Characters>
  <Application>Microsoft Office Word</Application>
  <DocSecurity>0</DocSecurity>
  <Lines>12347</Lines>
  <Paragraphs>3476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Annese (PGR)</dc:creator>
  <cp:keywords/>
  <dc:description/>
  <cp:lastModifiedBy>Valerio Annese (PGR)</cp:lastModifiedBy>
  <cp:revision>5</cp:revision>
  <cp:lastPrinted>2020-07-22T12:27:00Z</cp:lastPrinted>
  <dcterms:created xsi:type="dcterms:W3CDTF">2020-11-05T09:55:00Z</dcterms:created>
  <dcterms:modified xsi:type="dcterms:W3CDTF">2020-12-16T15:35:00Z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Unique User Id_1">
    <vt:lpwstr>ef254a49-cf37-3386-b3e3-9226df23cf9a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