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24A5CE2" w14:textId="77777777" w:rsidR="00096030" w:rsidRPr="005D2B3E" w:rsidRDefault="00096030" w:rsidP="00096030">
      <w:pPr>
        <w:rPr>
          <w:rFonts w:ascii="Times New Roman" w:hAnsi="Times New Roman" w:cs="Times New Roman"/>
          <w:b/>
          <w:bCs/>
        </w:rPr>
      </w:pPr>
      <w:bookmarkStart w:id="0" w:name="OLE_LINK2"/>
      <w:bookmarkStart w:id="1" w:name="OLE_LINK1"/>
      <w:r w:rsidRPr="005D2B3E">
        <w:rPr>
          <w:rFonts w:ascii="Times New Roman" w:hAnsi="Times New Roman" w:cs="Times New Roman"/>
          <w:b/>
          <w:bCs/>
        </w:rPr>
        <w:t>Animal experiment</w:t>
      </w:r>
    </w:p>
    <w:bookmarkEnd w:id="1"/>
    <w:p w14:paraId="69DA2656" w14:textId="77777777" w:rsidR="00096030" w:rsidRPr="005D2B3E" w:rsidRDefault="00096030" w:rsidP="00096030">
      <w:pPr>
        <w:rPr>
          <w:rFonts w:ascii="Times New Roman" w:hAnsi="Times New Roman" w:cs="Times New Roman"/>
          <w:b/>
          <w:bCs/>
        </w:rPr>
      </w:pPr>
    </w:p>
    <w:bookmarkEnd w:id="0"/>
    <w:p w14:paraId="4D3FEE99" w14:textId="23EC8BBB" w:rsidR="00096030" w:rsidRPr="005D2B3E" w:rsidRDefault="005D2B3E" w:rsidP="00096030">
      <w:pPr>
        <w:rPr>
          <w:rFonts w:ascii="Times New Roman" w:hAnsi="Times New Roman" w:cs="Times New Roman"/>
        </w:rPr>
      </w:pPr>
      <w:r w:rsidRPr="005D2B3E">
        <w:rPr>
          <w:rFonts w:ascii="Times New Roman" w:hAnsi="Times New Roman" w:cs="Times New Roman"/>
        </w:rPr>
        <w:t>Ten animals were used for the purpose of comparing the safety and efficacy of subretinal injection in the manual group and robot group. Fast the animals overnight before administration, and the first administration was marked as D1. Compound sodium chloride was a single dose (100μL/eye) subretinal injected manually on the left eye and assisted with the surgical robot on the right eye. Groups and solvent dose settings are shown in Table 1.</w:t>
      </w:r>
    </w:p>
    <w:p w14:paraId="7AE06B76" w14:textId="77777777" w:rsidR="005D2B3E" w:rsidRPr="005D2B3E" w:rsidRDefault="005D2B3E" w:rsidP="00096030">
      <w:pPr>
        <w:rPr>
          <w:rFonts w:ascii="Times New Roman" w:hAnsi="Times New Roman" w:cs="Times New Roman"/>
        </w:rPr>
      </w:pPr>
    </w:p>
    <w:p w14:paraId="28B13DDF" w14:textId="77777777" w:rsidR="00096030" w:rsidRPr="005D2B3E" w:rsidRDefault="00096030" w:rsidP="00096030">
      <w:pPr>
        <w:rPr>
          <w:rFonts w:ascii="Times New Roman" w:hAnsi="Times New Roman" w:cs="Times New Roman"/>
          <w:b/>
          <w:bCs/>
          <w:sz w:val="18"/>
          <w:szCs w:val="18"/>
        </w:rPr>
      </w:pPr>
      <w:r w:rsidRPr="005D2B3E">
        <w:rPr>
          <w:rFonts w:ascii="Times New Roman" w:hAnsi="Times New Roman" w:cs="Times New Roman"/>
          <w:b/>
          <w:bCs/>
          <w:sz w:val="18"/>
          <w:szCs w:val="18"/>
        </w:rPr>
        <w:t>Table 1 Groups and solvent dose.</w:t>
      </w:r>
    </w:p>
    <w:tbl>
      <w:tblPr>
        <w:tblStyle w:val="a7"/>
        <w:tblW w:w="0" w:type="auto"/>
        <w:tblLook w:val="04A0" w:firstRow="1" w:lastRow="0" w:firstColumn="1" w:lastColumn="0" w:noHBand="0" w:noVBand="1"/>
      </w:tblPr>
      <w:tblGrid>
        <w:gridCol w:w="1314"/>
        <w:gridCol w:w="1091"/>
        <w:gridCol w:w="1701"/>
        <w:gridCol w:w="1704"/>
        <w:gridCol w:w="858"/>
        <w:gridCol w:w="872"/>
        <w:gridCol w:w="756"/>
      </w:tblGrid>
      <w:tr w:rsidR="00096030" w:rsidRPr="005D2B3E" w14:paraId="26CC98CE" w14:textId="77777777" w:rsidTr="006E7C38">
        <w:tc>
          <w:tcPr>
            <w:tcW w:w="1314" w:type="dxa"/>
            <w:vMerge w:val="restart"/>
          </w:tcPr>
          <w:p w14:paraId="329F6922" w14:textId="77777777" w:rsidR="00096030" w:rsidRPr="005D2B3E" w:rsidRDefault="00096030" w:rsidP="006E7C38">
            <w:pPr>
              <w:jc w:val="center"/>
              <w:rPr>
                <w:b/>
                <w:bCs/>
                <w:color w:val="000000"/>
                <w:sz w:val="18"/>
                <w:szCs w:val="18"/>
              </w:rPr>
            </w:pPr>
            <w:r w:rsidRPr="005D2B3E">
              <w:rPr>
                <w:b/>
                <w:bCs/>
                <w:sz w:val="18"/>
                <w:szCs w:val="18"/>
              </w:rPr>
              <w:t>Group/Color</w:t>
            </w:r>
          </w:p>
        </w:tc>
        <w:tc>
          <w:tcPr>
            <w:tcW w:w="1091" w:type="dxa"/>
            <w:vMerge w:val="restart"/>
          </w:tcPr>
          <w:p w14:paraId="2890FE04" w14:textId="77777777" w:rsidR="00096030" w:rsidRPr="005D2B3E" w:rsidRDefault="00096030" w:rsidP="006E7C38">
            <w:pPr>
              <w:jc w:val="center"/>
              <w:rPr>
                <w:b/>
                <w:bCs/>
                <w:color w:val="000000"/>
                <w:sz w:val="18"/>
                <w:szCs w:val="18"/>
              </w:rPr>
            </w:pPr>
            <w:r w:rsidRPr="005D2B3E">
              <w:rPr>
                <w:b/>
                <w:bCs/>
                <w:sz w:val="18"/>
                <w:szCs w:val="18"/>
              </w:rPr>
              <w:t>Eye</w:t>
            </w:r>
          </w:p>
        </w:tc>
        <w:tc>
          <w:tcPr>
            <w:tcW w:w="1701" w:type="dxa"/>
            <w:vMerge w:val="restart"/>
          </w:tcPr>
          <w:p w14:paraId="5D6DAFED" w14:textId="77777777" w:rsidR="00096030" w:rsidRPr="005D2B3E" w:rsidRDefault="00096030" w:rsidP="006E7C38">
            <w:pPr>
              <w:jc w:val="center"/>
              <w:rPr>
                <w:b/>
                <w:bCs/>
                <w:color w:val="000000"/>
                <w:sz w:val="18"/>
                <w:szCs w:val="18"/>
              </w:rPr>
            </w:pPr>
            <w:r w:rsidRPr="005D2B3E">
              <w:rPr>
                <w:b/>
                <w:bCs/>
                <w:sz w:val="18"/>
                <w:szCs w:val="18"/>
              </w:rPr>
              <w:t>Administration Method</w:t>
            </w:r>
          </w:p>
        </w:tc>
        <w:tc>
          <w:tcPr>
            <w:tcW w:w="1704" w:type="dxa"/>
            <w:vMerge w:val="restart"/>
          </w:tcPr>
          <w:p w14:paraId="5402F415" w14:textId="77777777" w:rsidR="00096030" w:rsidRPr="005D2B3E" w:rsidRDefault="00096030" w:rsidP="006E7C38">
            <w:pPr>
              <w:jc w:val="center"/>
              <w:rPr>
                <w:b/>
                <w:bCs/>
                <w:color w:val="000000"/>
                <w:sz w:val="18"/>
                <w:szCs w:val="18"/>
              </w:rPr>
            </w:pPr>
            <w:r w:rsidRPr="005D2B3E">
              <w:rPr>
                <w:b/>
                <w:bCs/>
                <w:sz w:val="18"/>
                <w:szCs w:val="18"/>
              </w:rPr>
              <w:t>Solvent</w:t>
            </w:r>
          </w:p>
        </w:tc>
        <w:tc>
          <w:tcPr>
            <w:tcW w:w="858" w:type="dxa"/>
            <w:vMerge w:val="restart"/>
          </w:tcPr>
          <w:p w14:paraId="105AB36E" w14:textId="77777777" w:rsidR="00096030" w:rsidRPr="005D2B3E" w:rsidRDefault="00096030" w:rsidP="006E7C38">
            <w:pPr>
              <w:jc w:val="center"/>
              <w:rPr>
                <w:b/>
                <w:bCs/>
                <w:color w:val="000000"/>
                <w:sz w:val="18"/>
                <w:szCs w:val="18"/>
              </w:rPr>
            </w:pPr>
            <w:r w:rsidRPr="005D2B3E">
              <w:rPr>
                <w:b/>
                <w:bCs/>
                <w:sz w:val="18"/>
                <w:szCs w:val="18"/>
              </w:rPr>
              <w:t>Volume (</w:t>
            </w:r>
            <w:proofErr w:type="spellStart"/>
            <w:r w:rsidRPr="005D2B3E">
              <w:rPr>
                <w:b/>
                <w:bCs/>
                <w:sz w:val="18"/>
                <w:szCs w:val="18"/>
              </w:rPr>
              <w:t>μL</w:t>
            </w:r>
            <w:proofErr w:type="spellEnd"/>
            <w:r w:rsidRPr="005D2B3E">
              <w:rPr>
                <w:b/>
                <w:bCs/>
                <w:sz w:val="18"/>
                <w:szCs w:val="18"/>
              </w:rPr>
              <w:t>/eye)</w:t>
            </w:r>
          </w:p>
        </w:tc>
        <w:tc>
          <w:tcPr>
            <w:tcW w:w="1628" w:type="dxa"/>
            <w:gridSpan w:val="2"/>
            <w:vAlign w:val="center"/>
          </w:tcPr>
          <w:p w14:paraId="02A248B9" w14:textId="77777777" w:rsidR="00096030" w:rsidRPr="005D2B3E" w:rsidRDefault="00096030" w:rsidP="006E7C38">
            <w:pPr>
              <w:jc w:val="center"/>
              <w:rPr>
                <w:color w:val="000000"/>
                <w:sz w:val="18"/>
                <w:szCs w:val="18"/>
              </w:rPr>
            </w:pPr>
            <w:r w:rsidRPr="005D2B3E">
              <w:rPr>
                <w:b/>
                <w:bCs/>
                <w:color w:val="000000"/>
                <w:sz w:val="18"/>
                <w:szCs w:val="18"/>
              </w:rPr>
              <w:t>Animal Number</w:t>
            </w:r>
            <w:r w:rsidRPr="005D2B3E">
              <w:rPr>
                <w:b/>
                <w:bCs/>
                <w:color w:val="000000"/>
                <w:sz w:val="18"/>
                <w:szCs w:val="18"/>
                <w:vertAlign w:val="superscript"/>
              </w:rPr>
              <w:t>1</w:t>
            </w:r>
            <w:r w:rsidRPr="005D2B3E">
              <w:rPr>
                <w:b/>
                <w:bCs/>
                <w:color w:val="000000"/>
                <w:sz w:val="18"/>
                <w:szCs w:val="18"/>
                <w:vertAlign w:val="superscript"/>
              </w:rPr>
              <w:t>，</w:t>
            </w:r>
            <w:r w:rsidRPr="005D2B3E">
              <w:rPr>
                <w:b/>
                <w:bCs/>
                <w:color w:val="000000"/>
                <w:sz w:val="18"/>
                <w:szCs w:val="18"/>
                <w:vertAlign w:val="superscript"/>
              </w:rPr>
              <w:t>2</w:t>
            </w:r>
          </w:p>
        </w:tc>
      </w:tr>
      <w:tr w:rsidR="00096030" w:rsidRPr="005D2B3E" w14:paraId="29D6BCC9" w14:textId="77777777" w:rsidTr="006E7C38">
        <w:tc>
          <w:tcPr>
            <w:tcW w:w="1314" w:type="dxa"/>
            <w:vMerge/>
            <w:vAlign w:val="center"/>
          </w:tcPr>
          <w:p w14:paraId="120EE823" w14:textId="77777777" w:rsidR="00096030" w:rsidRPr="005D2B3E" w:rsidRDefault="00096030" w:rsidP="006E7C38">
            <w:pPr>
              <w:jc w:val="center"/>
              <w:rPr>
                <w:color w:val="000000"/>
                <w:sz w:val="18"/>
                <w:szCs w:val="18"/>
              </w:rPr>
            </w:pPr>
          </w:p>
        </w:tc>
        <w:tc>
          <w:tcPr>
            <w:tcW w:w="1091" w:type="dxa"/>
            <w:vMerge/>
            <w:vAlign w:val="center"/>
          </w:tcPr>
          <w:p w14:paraId="60EC5444" w14:textId="77777777" w:rsidR="00096030" w:rsidRPr="005D2B3E" w:rsidRDefault="00096030" w:rsidP="006E7C38">
            <w:pPr>
              <w:jc w:val="center"/>
              <w:rPr>
                <w:color w:val="000000"/>
                <w:sz w:val="18"/>
                <w:szCs w:val="18"/>
              </w:rPr>
            </w:pPr>
          </w:p>
        </w:tc>
        <w:tc>
          <w:tcPr>
            <w:tcW w:w="1701" w:type="dxa"/>
            <w:vMerge/>
            <w:vAlign w:val="center"/>
          </w:tcPr>
          <w:p w14:paraId="65698E77" w14:textId="77777777" w:rsidR="00096030" w:rsidRPr="005D2B3E" w:rsidRDefault="00096030" w:rsidP="006E7C38">
            <w:pPr>
              <w:jc w:val="center"/>
              <w:rPr>
                <w:color w:val="000000"/>
                <w:sz w:val="18"/>
                <w:szCs w:val="18"/>
              </w:rPr>
            </w:pPr>
          </w:p>
        </w:tc>
        <w:tc>
          <w:tcPr>
            <w:tcW w:w="1704" w:type="dxa"/>
            <w:vMerge/>
            <w:vAlign w:val="center"/>
          </w:tcPr>
          <w:p w14:paraId="1D8B5C4D" w14:textId="77777777" w:rsidR="00096030" w:rsidRPr="005D2B3E" w:rsidRDefault="00096030" w:rsidP="006E7C38">
            <w:pPr>
              <w:jc w:val="center"/>
              <w:rPr>
                <w:color w:val="000000"/>
                <w:sz w:val="18"/>
                <w:szCs w:val="18"/>
              </w:rPr>
            </w:pPr>
          </w:p>
        </w:tc>
        <w:tc>
          <w:tcPr>
            <w:tcW w:w="858" w:type="dxa"/>
            <w:vMerge/>
            <w:vAlign w:val="center"/>
          </w:tcPr>
          <w:p w14:paraId="0660AD20" w14:textId="77777777" w:rsidR="00096030" w:rsidRPr="005D2B3E" w:rsidRDefault="00096030" w:rsidP="006E7C38">
            <w:pPr>
              <w:jc w:val="center"/>
              <w:rPr>
                <w:color w:val="000000"/>
                <w:sz w:val="18"/>
                <w:szCs w:val="18"/>
              </w:rPr>
            </w:pPr>
          </w:p>
        </w:tc>
        <w:tc>
          <w:tcPr>
            <w:tcW w:w="872" w:type="dxa"/>
            <w:vAlign w:val="center"/>
          </w:tcPr>
          <w:p w14:paraId="45DE4C1D" w14:textId="77777777" w:rsidR="00096030" w:rsidRPr="005D2B3E" w:rsidRDefault="00096030" w:rsidP="006E7C38">
            <w:pPr>
              <w:jc w:val="center"/>
              <w:rPr>
                <w:color w:val="000000"/>
                <w:sz w:val="18"/>
                <w:szCs w:val="18"/>
              </w:rPr>
            </w:pPr>
            <w:r w:rsidRPr="005D2B3E">
              <w:rPr>
                <w:color w:val="000000"/>
                <w:sz w:val="18"/>
                <w:szCs w:val="18"/>
              </w:rPr>
              <w:t>♂</w:t>
            </w:r>
          </w:p>
        </w:tc>
        <w:tc>
          <w:tcPr>
            <w:tcW w:w="756" w:type="dxa"/>
            <w:vAlign w:val="center"/>
          </w:tcPr>
          <w:p w14:paraId="7C1AC3CE" w14:textId="77777777" w:rsidR="00096030" w:rsidRPr="005D2B3E" w:rsidRDefault="00096030" w:rsidP="006E7C38">
            <w:pPr>
              <w:jc w:val="center"/>
              <w:rPr>
                <w:color w:val="000000"/>
                <w:sz w:val="18"/>
                <w:szCs w:val="18"/>
              </w:rPr>
            </w:pPr>
            <w:r w:rsidRPr="005D2B3E">
              <w:rPr>
                <w:color w:val="000000"/>
                <w:sz w:val="18"/>
                <w:szCs w:val="18"/>
              </w:rPr>
              <w:t>♀</w:t>
            </w:r>
          </w:p>
        </w:tc>
      </w:tr>
      <w:tr w:rsidR="00096030" w:rsidRPr="005D2B3E" w14:paraId="2EA30A6C" w14:textId="77777777" w:rsidTr="006E7C38">
        <w:tc>
          <w:tcPr>
            <w:tcW w:w="1314" w:type="dxa"/>
            <w:vMerge w:val="restart"/>
          </w:tcPr>
          <w:p w14:paraId="2E1523BE" w14:textId="77777777" w:rsidR="00096030" w:rsidRPr="005D2B3E" w:rsidRDefault="00096030" w:rsidP="006E7C38">
            <w:pPr>
              <w:jc w:val="center"/>
              <w:rPr>
                <w:color w:val="000000"/>
                <w:sz w:val="18"/>
                <w:szCs w:val="18"/>
              </w:rPr>
            </w:pPr>
            <w:r w:rsidRPr="005D2B3E">
              <w:rPr>
                <w:sz w:val="18"/>
                <w:szCs w:val="18"/>
              </w:rPr>
              <w:t>1/White</w:t>
            </w:r>
          </w:p>
          <w:p w14:paraId="7C08F6C1" w14:textId="77777777" w:rsidR="00096030" w:rsidRPr="005D2B3E" w:rsidRDefault="00096030" w:rsidP="006E7C38">
            <w:pPr>
              <w:jc w:val="center"/>
              <w:rPr>
                <w:color w:val="000000"/>
                <w:sz w:val="18"/>
                <w:szCs w:val="18"/>
              </w:rPr>
            </w:pPr>
            <w:r w:rsidRPr="005D2B3E">
              <w:rPr>
                <w:sz w:val="18"/>
                <w:szCs w:val="18"/>
              </w:rPr>
              <w:t>1/White</w:t>
            </w:r>
          </w:p>
        </w:tc>
        <w:tc>
          <w:tcPr>
            <w:tcW w:w="1091" w:type="dxa"/>
          </w:tcPr>
          <w:p w14:paraId="7EEF35EE" w14:textId="75A32145" w:rsidR="00096030" w:rsidRPr="005D2B3E" w:rsidRDefault="00096030" w:rsidP="006E7C38">
            <w:pPr>
              <w:jc w:val="center"/>
              <w:rPr>
                <w:color w:val="000000"/>
                <w:sz w:val="18"/>
                <w:szCs w:val="18"/>
              </w:rPr>
            </w:pPr>
            <w:r w:rsidRPr="005D2B3E">
              <w:rPr>
                <w:sz w:val="18"/>
                <w:szCs w:val="18"/>
              </w:rPr>
              <w:t xml:space="preserve">Left </w:t>
            </w:r>
            <w:r w:rsidR="00C83574">
              <w:rPr>
                <w:rFonts w:hint="eastAsia"/>
                <w:sz w:val="18"/>
                <w:szCs w:val="18"/>
              </w:rPr>
              <w:t>e</w:t>
            </w:r>
            <w:r w:rsidRPr="005D2B3E">
              <w:rPr>
                <w:sz w:val="18"/>
                <w:szCs w:val="18"/>
              </w:rPr>
              <w:t>ye</w:t>
            </w:r>
          </w:p>
        </w:tc>
        <w:tc>
          <w:tcPr>
            <w:tcW w:w="1701" w:type="dxa"/>
          </w:tcPr>
          <w:p w14:paraId="39F4FA5A" w14:textId="26ED30D5" w:rsidR="00096030" w:rsidRPr="005D2B3E" w:rsidRDefault="00096030" w:rsidP="006E7C38">
            <w:pPr>
              <w:jc w:val="center"/>
              <w:rPr>
                <w:color w:val="000000"/>
                <w:sz w:val="18"/>
                <w:szCs w:val="18"/>
              </w:rPr>
            </w:pPr>
            <w:r w:rsidRPr="005D2B3E">
              <w:rPr>
                <w:sz w:val="18"/>
                <w:szCs w:val="18"/>
              </w:rPr>
              <w:t xml:space="preserve">Subretinal </w:t>
            </w:r>
            <w:r w:rsidR="00841C56">
              <w:rPr>
                <w:rFonts w:hint="eastAsia"/>
                <w:sz w:val="18"/>
                <w:szCs w:val="18"/>
              </w:rPr>
              <w:t>i</w:t>
            </w:r>
            <w:r w:rsidRPr="005D2B3E">
              <w:rPr>
                <w:sz w:val="18"/>
                <w:szCs w:val="18"/>
              </w:rPr>
              <w:t>njection manually</w:t>
            </w:r>
          </w:p>
        </w:tc>
        <w:tc>
          <w:tcPr>
            <w:tcW w:w="1704" w:type="dxa"/>
          </w:tcPr>
          <w:p w14:paraId="06351129" w14:textId="57A30465" w:rsidR="00096030" w:rsidRPr="005D2B3E" w:rsidRDefault="00096030" w:rsidP="006E7C38">
            <w:pPr>
              <w:jc w:val="center"/>
              <w:rPr>
                <w:color w:val="000000"/>
                <w:sz w:val="18"/>
                <w:szCs w:val="18"/>
              </w:rPr>
            </w:pPr>
            <w:r w:rsidRPr="005D2B3E">
              <w:rPr>
                <w:sz w:val="18"/>
                <w:szCs w:val="18"/>
              </w:rPr>
              <w:t xml:space="preserve">Compound </w:t>
            </w:r>
            <w:r w:rsidR="00841C56">
              <w:rPr>
                <w:rFonts w:hint="eastAsia"/>
                <w:sz w:val="18"/>
                <w:szCs w:val="18"/>
              </w:rPr>
              <w:t>s</w:t>
            </w:r>
            <w:r w:rsidRPr="005D2B3E">
              <w:rPr>
                <w:sz w:val="18"/>
                <w:szCs w:val="18"/>
              </w:rPr>
              <w:t xml:space="preserve">odium </w:t>
            </w:r>
            <w:r w:rsidR="00841C56">
              <w:rPr>
                <w:rFonts w:hint="eastAsia"/>
                <w:sz w:val="18"/>
                <w:szCs w:val="18"/>
              </w:rPr>
              <w:t>c</w:t>
            </w:r>
            <w:r w:rsidRPr="005D2B3E">
              <w:rPr>
                <w:sz w:val="18"/>
                <w:szCs w:val="18"/>
              </w:rPr>
              <w:t>hloride</w:t>
            </w:r>
          </w:p>
        </w:tc>
        <w:tc>
          <w:tcPr>
            <w:tcW w:w="858" w:type="dxa"/>
          </w:tcPr>
          <w:p w14:paraId="3CE009CB" w14:textId="77777777" w:rsidR="00096030" w:rsidRPr="005D2B3E" w:rsidRDefault="00096030" w:rsidP="006E7C38">
            <w:pPr>
              <w:jc w:val="center"/>
              <w:rPr>
                <w:color w:val="000000"/>
                <w:sz w:val="18"/>
                <w:szCs w:val="18"/>
              </w:rPr>
            </w:pPr>
            <w:r w:rsidRPr="005D2B3E">
              <w:rPr>
                <w:sz w:val="18"/>
                <w:szCs w:val="18"/>
              </w:rPr>
              <w:t>100</w:t>
            </w:r>
          </w:p>
        </w:tc>
        <w:tc>
          <w:tcPr>
            <w:tcW w:w="872" w:type="dxa"/>
            <w:vMerge w:val="restart"/>
            <w:vAlign w:val="center"/>
          </w:tcPr>
          <w:p w14:paraId="79E4778D" w14:textId="77777777" w:rsidR="00096030" w:rsidRPr="005D2B3E" w:rsidRDefault="00096030" w:rsidP="006E7C38">
            <w:pPr>
              <w:jc w:val="center"/>
              <w:rPr>
                <w:color w:val="000000"/>
                <w:sz w:val="18"/>
                <w:szCs w:val="18"/>
              </w:rPr>
            </w:pPr>
            <w:r w:rsidRPr="005D2B3E">
              <w:rPr>
                <w:color w:val="000000"/>
                <w:sz w:val="18"/>
                <w:szCs w:val="18"/>
              </w:rPr>
              <w:t>1001</w:t>
            </w:r>
            <w:r w:rsidRPr="005D2B3E">
              <w:rPr>
                <w:color w:val="000000"/>
                <w:sz w:val="18"/>
                <w:szCs w:val="18"/>
              </w:rPr>
              <w:t>～</w:t>
            </w:r>
            <w:r w:rsidRPr="005D2B3E">
              <w:rPr>
                <w:color w:val="000000"/>
                <w:sz w:val="18"/>
                <w:szCs w:val="18"/>
              </w:rPr>
              <w:t>1005</w:t>
            </w:r>
          </w:p>
        </w:tc>
        <w:tc>
          <w:tcPr>
            <w:tcW w:w="756" w:type="dxa"/>
            <w:vMerge w:val="restart"/>
            <w:vAlign w:val="center"/>
          </w:tcPr>
          <w:p w14:paraId="4CCB4F03" w14:textId="77777777" w:rsidR="00096030" w:rsidRPr="005D2B3E" w:rsidRDefault="00096030" w:rsidP="006E7C38">
            <w:pPr>
              <w:jc w:val="center"/>
              <w:rPr>
                <w:color w:val="000000"/>
                <w:sz w:val="18"/>
                <w:szCs w:val="18"/>
              </w:rPr>
            </w:pPr>
            <w:r w:rsidRPr="005D2B3E">
              <w:rPr>
                <w:color w:val="000000"/>
                <w:sz w:val="18"/>
                <w:szCs w:val="18"/>
              </w:rPr>
              <w:t>2001</w:t>
            </w:r>
            <w:r w:rsidRPr="005D2B3E">
              <w:rPr>
                <w:color w:val="000000"/>
                <w:sz w:val="18"/>
                <w:szCs w:val="18"/>
              </w:rPr>
              <w:t>～</w:t>
            </w:r>
            <w:r w:rsidRPr="005D2B3E">
              <w:rPr>
                <w:color w:val="000000"/>
                <w:sz w:val="18"/>
                <w:szCs w:val="18"/>
              </w:rPr>
              <w:t>2005</w:t>
            </w:r>
          </w:p>
        </w:tc>
      </w:tr>
      <w:tr w:rsidR="00096030" w:rsidRPr="005D2B3E" w14:paraId="6C568500" w14:textId="77777777" w:rsidTr="006E7C38">
        <w:trPr>
          <w:trHeight w:val="832"/>
        </w:trPr>
        <w:tc>
          <w:tcPr>
            <w:tcW w:w="1314" w:type="dxa"/>
            <w:vMerge/>
          </w:tcPr>
          <w:p w14:paraId="3FD38D07" w14:textId="77777777" w:rsidR="00096030" w:rsidRPr="005D2B3E" w:rsidRDefault="00096030" w:rsidP="006E7C38">
            <w:pPr>
              <w:jc w:val="center"/>
              <w:rPr>
                <w:color w:val="000000"/>
                <w:sz w:val="18"/>
                <w:szCs w:val="18"/>
              </w:rPr>
            </w:pPr>
          </w:p>
        </w:tc>
        <w:tc>
          <w:tcPr>
            <w:tcW w:w="1091" w:type="dxa"/>
          </w:tcPr>
          <w:p w14:paraId="31D61D6F" w14:textId="56521CC7" w:rsidR="00096030" w:rsidRPr="005D2B3E" w:rsidRDefault="00096030" w:rsidP="006E7C38">
            <w:pPr>
              <w:jc w:val="center"/>
              <w:rPr>
                <w:color w:val="000000"/>
                <w:sz w:val="18"/>
                <w:szCs w:val="18"/>
              </w:rPr>
            </w:pPr>
            <w:r w:rsidRPr="005D2B3E">
              <w:rPr>
                <w:sz w:val="18"/>
                <w:szCs w:val="18"/>
              </w:rPr>
              <w:t xml:space="preserve">Right </w:t>
            </w:r>
            <w:r w:rsidR="00C83574">
              <w:rPr>
                <w:rFonts w:hint="eastAsia"/>
                <w:sz w:val="18"/>
                <w:szCs w:val="18"/>
              </w:rPr>
              <w:t>e</w:t>
            </w:r>
            <w:r w:rsidRPr="005D2B3E">
              <w:rPr>
                <w:sz w:val="18"/>
                <w:szCs w:val="18"/>
              </w:rPr>
              <w:t>ye</w:t>
            </w:r>
          </w:p>
        </w:tc>
        <w:tc>
          <w:tcPr>
            <w:tcW w:w="1701" w:type="dxa"/>
          </w:tcPr>
          <w:p w14:paraId="7E3407A2" w14:textId="10B448AD" w:rsidR="00096030" w:rsidRPr="005D2B3E" w:rsidRDefault="00096030" w:rsidP="006E7C38">
            <w:pPr>
              <w:jc w:val="center"/>
              <w:rPr>
                <w:color w:val="000000"/>
                <w:sz w:val="18"/>
                <w:szCs w:val="18"/>
              </w:rPr>
            </w:pPr>
            <w:r w:rsidRPr="005D2B3E">
              <w:rPr>
                <w:sz w:val="18"/>
                <w:szCs w:val="18"/>
              </w:rPr>
              <w:t xml:space="preserve">Subretinal </w:t>
            </w:r>
            <w:r w:rsidR="00841C56">
              <w:rPr>
                <w:rFonts w:hint="eastAsia"/>
                <w:sz w:val="18"/>
                <w:szCs w:val="18"/>
              </w:rPr>
              <w:t>i</w:t>
            </w:r>
            <w:r w:rsidRPr="005D2B3E">
              <w:rPr>
                <w:sz w:val="18"/>
                <w:szCs w:val="18"/>
              </w:rPr>
              <w:t>njection assisted with</w:t>
            </w:r>
            <w:r w:rsidR="00841C56">
              <w:rPr>
                <w:rFonts w:hint="eastAsia"/>
                <w:sz w:val="18"/>
                <w:szCs w:val="18"/>
              </w:rPr>
              <w:t xml:space="preserve"> the</w:t>
            </w:r>
            <w:r w:rsidRPr="005D2B3E">
              <w:rPr>
                <w:sz w:val="18"/>
                <w:szCs w:val="18"/>
              </w:rPr>
              <w:t xml:space="preserve"> </w:t>
            </w:r>
            <w:r w:rsidR="00841C56">
              <w:rPr>
                <w:rFonts w:hint="eastAsia"/>
                <w:sz w:val="18"/>
                <w:szCs w:val="18"/>
              </w:rPr>
              <w:t>s</w:t>
            </w:r>
            <w:r w:rsidRPr="005D2B3E">
              <w:rPr>
                <w:sz w:val="18"/>
                <w:szCs w:val="18"/>
              </w:rPr>
              <w:t xml:space="preserve">urgical robot </w:t>
            </w:r>
          </w:p>
        </w:tc>
        <w:tc>
          <w:tcPr>
            <w:tcW w:w="1704" w:type="dxa"/>
          </w:tcPr>
          <w:p w14:paraId="2D15C9AA" w14:textId="64958883" w:rsidR="00096030" w:rsidRPr="005D2B3E" w:rsidRDefault="00096030" w:rsidP="006E7C38">
            <w:pPr>
              <w:jc w:val="center"/>
              <w:rPr>
                <w:color w:val="000000"/>
                <w:sz w:val="18"/>
                <w:szCs w:val="18"/>
              </w:rPr>
            </w:pPr>
            <w:r w:rsidRPr="005D2B3E">
              <w:rPr>
                <w:sz w:val="18"/>
                <w:szCs w:val="18"/>
              </w:rPr>
              <w:t xml:space="preserve">Compound </w:t>
            </w:r>
            <w:r w:rsidR="00841C56">
              <w:rPr>
                <w:rFonts w:hint="eastAsia"/>
                <w:sz w:val="18"/>
                <w:szCs w:val="18"/>
              </w:rPr>
              <w:t>s</w:t>
            </w:r>
            <w:r w:rsidRPr="005D2B3E">
              <w:rPr>
                <w:sz w:val="18"/>
                <w:szCs w:val="18"/>
              </w:rPr>
              <w:t xml:space="preserve">odium </w:t>
            </w:r>
            <w:r w:rsidR="00841C56">
              <w:rPr>
                <w:rFonts w:hint="eastAsia"/>
                <w:sz w:val="18"/>
                <w:szCs w:val="18"/>
              </w:rPr>
              <w:t>c</w:t>
            </w:r>
            <w:r w:rsidRPr="005D2B3E">
              <w:rPr>
                <w:sz w:val="18"/>
                <w:szCs w:val="18"/>
              </w:rPr>
              <w:t>hloride</w:t>
            </w:r>
          </w:p>
        </w:tc>
        <w:tc>
          <w:tcPr>
            <w:tcW w:w="858" w:type="dxa"/>
          </w:tcPr>
          <w:p w14:paraId="37E64351" w14:textId="77777777" w:rsidR="00096030" w:rsidRPr="005D2B3E" w:rsidRDefault="00096030" w:rsidP="006E7C38">
            <w:pPr>
              <w:jc w:val="center"/>
              <w:rPr>
                <w:color w:val="000000"/>
                <w:sz w:val="18"/>
                <w:szCs w:val="18"/>
              </w:rPr>
            </w:pPr>
            <w:r w:rsidRPr="005D2B3E">
              <w:rPr>
                <w:sz w:val="18"/>
                <w:szCs w:val="18"/>
              </w:rPr>
              <w:t>100</w:t>
            </w:r>
          </w:p>
        </w:tc>
        <w:tc>
          <w:tcPr>
            <w:tcW w:w="872" w:type="dxa"/>
            <w:vMerge/>
            <w:vAlign w:val="center"/>
          </w:tcPr>
          <w:p w14:paraId="17B15BFC" w14:textId="77777777" w:rsidR="00096030" w:rsidRPr="005D2B3E" w:rsidRDefault="00096030" w:rsidP="006E7C38">
            <w:pPr>
              <w:jc w:val="center"/>
              <w:rPr>
                <w:color w:val="000000"/>
                <w:sz w:val="18"/>
                <w:szCs w:val="18"/>
              </w:rPr>
            </w:pPr>
          </w:p>
        </w:tc>
        <w:tc>
          <w:tcPr>
            <w:tcW w:w="756" w:type="dxa"/>
            <w:vMerge/>
            <w:vAlign w:val="center"/>
          </w:tcPr>
          <w:p w14:paraId="0A22990F" w14:textId="77777777" w:rsidR="00096030" w:rsidRPr="005D2B3E" w:rsidRDefault="00096030" w:rsidP="006E7C38">
            <w:pPr>
              <w:jc w:val="center"/>
              <w:rPr>
                <w:color w:val="000000"/>
                <w:sz w:val="18"/>
                <w:szCs w:val="18"/>
              </w:rPr>
            </w:pPr>
          </w:p>
        </w:tc>
      </w:tr>
    </w:tbl>
    <w:p w14:paraId="4E3945D0" w14:textId="77777777" w:rsidR="00096030" w:rsidRPr="005D2B3E" w:rsidRDefault="00096030" w:rsidP="00096030">
      <w:pPr>
        <w:rPr>
          <w:rFonts w:ascii="Times New Roman" w:hAnsi="Times New Roman" w:cs="Times New Roman"/>
          <w:sz w:val="18"/>
          <w:szCs w:val="18"/>
        </w:rPr>
      </w:pPr>
      <w:r w:rsidRPr="005D2B3E">
        <w:rPr>
          <w:rFonts w:ascii="Times New Roman" w:hAnsi="Times New Roman" w:cs="Times New Roman"/>
          <w:b/>
          <w:bCs/>
          <w:sz w:val="18"/>
          <w:szCs w:val="18"/>
        </w:rPr>
        <w:t>Note:</w:t>
      </w:r>
    </w:p>
    <w:p w14:paraId="06381D4C" w14:textId="77777777" w:rsidR="00096030" w:rsidRPr="005D2B3E" w:rsidRDefault="00096030" w:rsidP="00096030">
      <w:pPr>
        <w:rPr>
          <w:rFonts w:ascii="Times New Roman" w:hAnsi="Times New Roman" w:cs="Times New Roman"/>
          <w:sz w:val="18"/>
          <w:szCs w:val="18"/>
        </w:rPr>
      </w:pPr>
      <w:r w:rsidRPr="005D2B3E">
        <w:rPr>
          <w:rFonts w:ascii="Times New Roman" w:hAnsi="Times New Roman" w:cs="Times New Roman"/>
          <w:sz w:val="18"/>
          <w:szCs w:val="18"/>
        </w:rPr>
        <w:t>Animal numbers consist of 4 digits, where the thousands place indicates gender ('1' for male; '2' for female), and the last two digits indicate the sequence number within the group.</w:t>
      </w:r>
    </w:p>
    <w:p w14:paraId="31C8B331" w14:textId="77777777" w:rsidR="00096030" w:rsidRPr="005D2B3E" w:rsidRDefault="00096030" w:rsidP="00096030">
      <w:pPr>
        <w:rPr>
          <w:rFonts w:ascii="Times New Roman" w:hAnsi="Times New Roman" w:cs="Times New Roman"/>
        </w:rPr>
      </w:pPr>
    </w:p>
    <w:p w14:paraId="4117F644" w14:textId="457BCD29" w:rsidR="00096030" w:rsidRDefault="005D2B3E" w:rsidP="00096030">
      <w:pPr>
        <w:rPr>
          <w:rFonts w:ascii="Times New Roman" w:hAnsi="Times New Roman" w:cs="Times New Roman"/>
          <w:lang w:val="en-GB"/>
        </w:rPr>
      </w:pPr>
      <w:r w:rsidRPr="005D2B3E">
        <w:rPr>
          <w:rFonts w:ascii="Times New Roman" w:hAnsi="Times New Roman" w:cs="Times New Roman" w:hint="eastAsia"/>
          <w:lang w:val="en-GB"/>
        </w:rPr>
        <w:t>Distribution of duration for subretinal operation in each step including time for operation, time for each puncture, and injection in manual and robot group was recorded and evaluated by reviewing the footage. Time for operation is defined as the period from the moment the injection needle enters the trocar until the needle is withdrawn from the trocar after completing the intraocular operation. The time for each retinal puncture is defined as the period from the moment the injection needle touches the retinal target puncture site until it reaches the target depth. The time for each drug injection is defined as the period from the moment the injection needle punctures into the cavity and injects the drug under the retinal nerve epithelium layer.</w:t>
      </w:r>
    </w:p>
    <w:p w14:paraId="2C36031D" w14:textId="77777777" w:rsidR="005D2B3E" w:rsidRPr="005D2B3E" w:rsidRDefault="005D2B3E" w:rsidP="00096030">
      <w:pPr>
        <w:rPr>
          <w:rFonts w:ascii="Times New Roman" w:hAnsi="Times New Roman" w:cs="Times New Roman"/>
        </w:rPr>
      </w:pPr>
    </w:p>
    <w:p w14:paraId="152B50C9" w14:textId="05A96A34" w:rsidR="005D2B3E" w:rsidRPr="005D2B3E" w:rsidRDefault="005D2B3E" w:rsidP="005D2B3E">
      <w:pPr>
        <w:rPr>
          <w:rFonts w:ascii="Times New Roman" w:hAnsi="Times New Roman" w:cs="Times New Roman"/>
          <w:lang w:val="en-GB"/>
        </w:rPr>
      </w:pPr>
      <w:r w:rsidRPr="005D2B3E">
        <w:rPr>
          <w:rFonts w:ascii="Times New Roman" w:hAnsi="Times New Roman" w:cs="Times New Roman" w:hint="eastAsia"/>
          <w:lang w:val="en-GB"/>
        </w:rPr>
        <w:t>In all animals, gross observation, optical</w:t>
      </w:r>
      <w:r>
        <w:rPr>
          <w:rFonts w:ascii="Times New Roman" w:hAnsi="Times New Roman" w:cs="Times New Roman" w:hint="eastAsia"/>
          <w:lang w:val="en-GB"/>
        </w:rPr>
        <w:t xml:space="preserve"> </w:t>
      </w:r>
      <w:r w:rsidRPr="005D2B3E">
        <w:rPr>
          <w:rFonts w:ascii="Times New Roman" w:hAnsi="Times New Roman" w:cs="Times New Roman" w:hint="eastAsia"/>
          <w:lang w:val="en-GB"/>
        </w:rPr>
        <w:t>coherence</w:t>
      </w:r>
      <w:r>
        <w:rPr>
          <w:rFonts w:ascii="Times New Roman" w:hAnsi="Times New Roman" w:cs="Times New Roman" w:hint="eastAsia"/>
          <w:lang w:val="en-GB"/>
        </w:rPr>
        <w:t xml:space="preserve"> </w:t>
      </w:r>
      <w:r w:rsidRPr="005D2B3E">
        <w:rPr>
          <w:rFonts w:ascii="Times New Roman" w:hAnsi="Times New Roman" w:cs="Times New Roman"/>
          <w:lang w:val="en-GB"/>
        </w:rPr>
        <w:t>tomography (</w:t>
      </w:r>
      <w:r w:rsidRPr="005D2B3E">
        <w:rPr>
          <w:rFonts w:ascii="Times New Roman" w:hAnsi="Times New Roman" w:cs="Times New Roman" w:hint="eastAsia"/>
          <w:lang w:val="en-GB"/>
        </w:rPr>
        <w:t xml:space="preserve">OCT), slit </w:t>
      </w:r>
      <w:r w:rsidRPr="005D2B3E">
        <w:rPr>
          <w:rFonts w:ascii="Times New Roman" w:hAnsi="Times New Roman" w:cs="Times New Roman"/>
          <w:lang w:val="en-GB"/>
        </w:rPr>
        <w:t>lamp</w:t>
      </w:r>
      <w:r>
        <w:rPr>
          <w:rFonts w:ascii="Times New Roman" w:hAnsi="Times New Roman" w:cs="Times New Roman"/>
          <w:lang w:val="en-GB"/>
        </w:rPr>
        <w:t xml:space="preserve"> (</w:t>
      </w:r>
      <w:r w:rsidRPr="005D2B3E">
        <w:rPr>
          <w:rFonts w:ascii="Times New Roman" w:hAnsi="Times New Roman" w:cs="Times New Roman" w:hint="eastAsia"/>
          <w:lang w:val="en-GB"/>
        </w:rPr>
        <w:t>SL), and fundus</w:t>
      </w:r>
      <w:r>
        <w:rPr>
          <w:rFonts w:ascii="Times New Roman" w:hAnsi="Times New Roman" w:cs="Times New Roman" w:hint="eastAsia"/>
          <w:lang w:val="en-GB"/>
        </w:rPr>
        <w:t xml:space="preserve"> </w:t>
      </w:r>
      <w:r w:rsidRPr="005D2B3E">
        <w:rPr>
          <w:rFonts w:ascii="Times New Roman" w:hAnsi="Times New Roman" w:cs="Times New Roman" w:hint="eastAsia"/>
          <w:lang w:val="en-GB"/>
        </w:rPr>
        <w:t>photography (FP)</w:t>
      </w:r>
      <w:r>
        <w:rPr>
          <w:rFonts w:ascii="Times New Roman" w:hAnsi="Times New Roman" w:cs="Times New Roman" w:hint="eastAsia"/>
          <w:lang w:val="en-GB"/>
        </w:rPr>
        <w:t xml:space="preserve"> </w:t>
      </w:r>
      <w:r w:rsidRPr="005D2B3E">
        <w:rPr>
          <w:rFonts w:ascii="Times New Roman" w:hAnsi="Times New Roman" w:cs="Times New Roman" w:hint="eastAsia"/>
          <w:lang w:val="en-GB"/>
        </w:rPr>
        <w:t>were carried out on the time point of one-week pre-operation, one day, two weeks, and four weeks post-operation. Fundus fluorescein angiography (FFA) and electroretinography (ERG) examination were carried out at the time point of one week pre-operation, two weeks, and four weeks post-operation. Intraocular pressure was measured one week pre-operation, three days, two weeks, and four weeks post-operation.</w:t>
      </w:r>
    </w:p>
    <w:p w14:paraId="39C6FC6C" w14:textId="77777777" w:rsidR="005D2B3E" w:rsidRPr="005D2B3E" w:rsidRDefault="005D2B3E" w:rsidP="005D2B3E">
      <w:pPr>
        <w:rPr>
          <w:rFonts w:ascii="Times New Roman" w:hAnsi="Times New Roman" w:cs="Times New Roman"/>
          <w:lang w:val="en-GB"/>
        </w:rPr>
      </w:pPr>
    </w:p>
    <w:p w14:paraId="6FC924E5" w14:textId="4C3FE87E" w:rsidR="00060DCD" w:rsidRPr="005D2B3E" w:rsidRDefault="005D2B3E" w:rsidP="005D2B3E">
      <w:pPr>
        <w:rPr>
          <w:rFonts w:ascii="Times New Roman" w:hAnsi="Times New Roman" w:cs="Times New Roman"/>
        </w:rPr>
      </w:pPr>
      <w:r w:rsidRPr="005D2B3E">
        <w:rPr>
          <w:rFonts w:ascii="Times New Roman" w:hAnsi="Times New Roman" w:cs="Times New Roman" w:hint="eastAsia"/>
          <w:lang w:val="en-GB"/>
        </w:rPr>
        <w:t>Perform bilateral eyeball sampling, dehydration, embedding, sectioning, H.E. staining, mounting, and microscopic examination for all animals. Distinguish between left and right for fixation. Before eyeball extraction, mark the midnight position directly above the eyeball with a suture. Sample three sections of the eyeball, ensuring that the optic disc and the drug administration site are visible in the sections.</w:t>
      </w:r>
    </w:p>
    <w:sectPr w:rsidR="00060DCD" w:rsidRPr="005D2B3E">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6FCC11C" w14:textId="77777777" w:rsidR="0082702B" w:rsidRDefault="0082702B" w:rsidP="00096030">
      <w:pPr>
        <w:rPr>
          <w:rFonts w:hint="eastAsia"/>
        </w:rPr>
      </w:pPr>
      <w:r>
        <w:separator/>
      </w:r>
    </w:p>
  </w:endnote>
  <w:endnote w:type="continuationSeparator" w:id="0">
    <w:p w14:paraId="197C3D5E" w14:textId="77777777" w:rsidR="0082702B" w:rsidRDefault="0082702B" w:rsidP="00096030">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C15CB3A" w14:textId="77777777" w:rsidR="0082702B" w:rsidRDefault="0082702B" w:rsidP="00096030">
      <w:pPr>
        <w:rPr>
          <w:rFonts w:hint="eastAsia"/>
        </w:rPr>
      </w:pPr>
      <w:r>
        <w:separator/>
      </w:r>
    </w:p>
  </w:footnote>
  <w:footnote w:type="continuationSeparator" w:id="0">
    <w:p w14:paraId="0F5D2BAB" w14:textId="77777777" w:rsidR="0082702B" w:rsidRDefault="0082702B" w:rsidP="00096030">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1DED"/>
    <w:rsid w:val="00060DCD"/>
    <w:rsid w:val="00095C5D"/>
    <w:rsid w:val="00096030"/>
    <w:rsid w:val="000D2A72"/>
    <w:rsid w:val="00102E1A"/>
    <w:rsid w:val="002E7233"/>
    <w:rsid w:val="0044629B"/>
    <w:rsid w:val="0058165B"/>
    <w:rsid w:val="005D2B3E"/>
    <w:rsid w:val="0078161B"/>
    <w:rsid w:val="007C085B"/>
    <w:rsid w:val="0082702B"/>
    <w:rsid w:val="00841C56"/>
    <w:rsid w:val="00980EDB"/>
    <w:rsid w:val="00991DED"/>
    <w:rsid w:val="009B6739"/>
    <w:rsid w:val="00AE5F34"/>
    <w:rsid w:val="00B319D6"/>
    <w:rsid w:val="00C83574"/>
    <w:rsid w:val="00DE65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41AC01"/>
  <w15:chartTrackingRefBased/>
  <w15:docId w15:val="{6DC2D30E-E5A7-4886-A21D-5E64EE2077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96030"/>
    <w:pPr>
      <w:widowControl w:val="0"/>
      <w:jc w:val="both"/>
    </w:pPr>
    <w:rPr>
      <w:szCs w:val="24"/>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96030"/>
    <w:pPr>
      <w:tabs>
        <w:tab w:val="center" w:pos="4153"/>
        <w:tab w:val="right" w:pos="8306"/>
      </w:tabs>
      <w:snapToGrid w:val="0"/>
      <w:jc w:val="center"/>
    </w:pPr>
    <w:rPr>
      <w:sz w:val="18"/>
      <w:szCs w:val="18"/>
      <w14:ligatures w14:val="standardContextual"/>
    </w:rPr>
  </w:style>
  <w:style w:type="character" w:customStyle="1" w:styleId="a4">
    <w:name w:val="页眉 字符"/>
    <w:basedOn w:val="a0"/>
    <w:link w:val="a3"/>
    <w:uiPriority w:val="99"/>
    <w:rsid w:val="00096030"/>
    <w:rPr>
      <w:sz w:val="18"/>
      <w:szCs w:val="18"/>
    </w:rPr>
  </w:style>
  <w:style w:type="paragraph" w:styleId="a5">
    <w:name w:val="footer"/>
    <w:basedOn w:val="a"/>
    <w:link w:val="a6"/>
    <w:uiPriority w:val="99"/>
    <w:unhideWhenUsed/>
    <w:rsid w:val="00096030"/>
    <w:pPr>
      <w:tabs>
        <w:tab w:val="center" w:pos="4153"/>
        <w:tab w:val="right" w:pos="8306"/>
      </w:tabs>
      <w:snapToGrid w:val="0"/>
      <w:jc w:val="left"/>
    </w:pPr>
    <w:rPr>
      <w:sz w:val="18"/>
      <w:szCs w:val="18"/>
      <w14:ligatures w14:val="standardContextual"/>
    </w:rPr>
  </w:style>
  <w:style w:type="character" w:customStyle="1" w:styleId="a6">
    <w:name w:val="页脚 字符"/>
    <w:basedOn w:val="a0"/>
    <w:link w:val="a5"/>
    <w:uiPriority w:val="99"/>
    <w:rsid w:val="00096030"/>
    <w:rPr>
      <w:sz w:val="18"/>
      <w:szCs w:val="18"/>
    </w:rPr>
  </w:style>
  <w:style w:type="table" w:styleId="a7">
    <w:name w:val="Table Grid"/>
    <w:basedOn w:val="a1"/>
    <w:rsid w:val="00096030"/>
    <w:pPr>
      <w:widowControl w:val="0"/>
      <w:jc w:val="both"/>
    </w:pPr>
    <w:rPr>
      <w:rFonts w:ascii="Times New Roman" w:eastAsia="宋体"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358</TotalTime>
  <Pages>1</Pages>
  <Words>399</Words>
  <Characters>2276</Characters>
  <Application>Microsoft Office Word</Application>
  <DocSecurity>0</DocSecurity>
  <Lines>18</Lines>
  <Paragraphs>5</Paragraphs>
  <ScaleCrop>false</ScaleCrop>
  <Company/>
  <LinksUpToDate>false</LinksUpToDate>
  <CharactersWithSpaces>2670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Xiaoshusheng</dc:creator>
  <cp:keywords/>
  <dc:description/>
  <cp:lastModifiedBy>Xiaoshusheng</cp:lastModifiedBy>
  <cp:revision>7</cp:revision>
  <dcterms:created xsi:type="dcterms:W3CDTF">2024-07-15T13:24:00Z</dcterms:created>
  <dcterms:modified xsi:type="dcterms:W3CDTF">2024-08-07T07:10:00Z</dcterms:modified>
</cp:coreProperties>
</file>