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801FF" w14:textId="77777777" w:rsidR="004A277C" w:rsidRPr="00414C04" w:rsidRDefault="00822808" w:rsidP="00EB5BFA">
      <w:pPr>
        <w:pBdr>
          <w:bottom w:val="single" w:sz="6" w:space="1" w:color="auto"/>
        </w:pBdr>
        <w:spacing w:line="480" w:lineRule="auto"/>
        <w:rPr>
          <w:rFonts w:asciiTheme="minorHAnsi" w:hAnsiTheme="minorHAnsi"/>
          <w:b/>
          <w:color w:val="000000" w:themeColor="text1"/>
          <w:sz w:val="24"/>
          <w:szCs w:val="24"/>
        </w:rPr>
      </w:pPr>
      <w:r w:rsidRPr="00414C04">
        <w:rPr>
          <w:rFonts w:asciiTheme="minorHAnsi" w:hAnsiTheme="minorHAnsi"/>
          <w:b/>
          <w:color w:val="000000" w:themeColor="text1"/>
          <w:sz w:val="24"/>
          <w:szCs w:val="24"/>
        </w:rPr>
        <w:t>Determinants of</w:t>
      </w:r>
      <w:r w:rsidR="004A277C" w:rsidRPr="00414C04">
        <w:rPr>
          <w:rFonts w:asciiTheme="minorHAnsi" w:hAnsiTheme="minorHAnsi"/>
          <w:b/>
          <w:color w:val="000000" w:themeColor="text1"/>
          <w:sz w:val="24"/>
          <w:szCs w:val="24"/>
        </w:rPr>
        <w:t xml:space="preserve"> antipsychotic treatment response in first episode psychosis: an </w:t>
      </w:r>
      <w:r w:rsidR="004A277C" w:rsidRPr="00414C04">
        <w:rPr>
          <w:rFonts w:asciiTheme="minorHAnsi" w:hAnsiTheme="minorHAnsi"/>
          <w:b/>
          <w:color w:val="000000" w:themeColor="text1"/>
          <w:sz w:val="24"/>
          <w:szCs w:val="24"/>
          <w:vertAlign w:val="superscript"/>
        </w:rPr>
        <w:t>18</w:t>
      </w:r>
      <w:r w:rsidR="004A277C" w:rsidRPr="00414C04">
        <w:rPr>
          <w:rFonts w:asciiTheme="minorHAnsi" w:hAnsiTheme="minorHAnsi"/>
          <w:b/>
          <w:color w:val="000000" w:themeColor="text1"/>
          <w:sz w:val="24"/>
          <w:szCs w:val="24"/>
        </w:rPr>
        <w:t>F-DOPA PET study</w:t>
      </w:r>
    </w:p>
    <w:p w14:paraId="53F19017" w14:textId="77777777" w:rsidR="004A277C" w:rsidRPr="00414C04" w:rsidRDefault="004A277C" w:rsidP="00EB5BFA">
      <w:pPr>
        <w:pBdr>
          <w:bottom w:val="single" w:sz="6" w:space="1" w:color="auto"/>
        </w:pBdr>
        <w:spacing w:line="480" w:lineRule="auto"/>
        <w:rPr>
          <w:rFonts w:asciiTheme="minorHAnsi" w:hAnsiTheme="minorHAnsi" w:cs="Arial"/>
          <w:b/>
          <w:color w:val="000000" w:themeColor="text1"/>
          <w:sz w:val="24"/>
          <w:szCs w:val="24"/>
        </w:rPr>
      </w:pPr>
      <w:r w:rsidRPr="00414C04">
        <w:rPr>
          <w:rFonts w:asciiTheme="minorHAnsi" w:hAnsiTheme="minorHAnsi"/>
          <w:b/>
          <w:color w:val="000000" w:themeColor="text1"/>
          <w:sz w:val="24"/>
          <w:szCs w:val="24"/>
        </w:rPr>
        <w:t xml:space="preserve">Jauhar S. </w:t>
      </w:r>
      <w:r w:rsidRPr="00414C04">
        <w:rPr>
          <w:rFonts w:asciiTheme="minorHAnsi" w:hAnsiTheme="minorHAnsi"/>
          <w:b/>
          <w:i/>
          <w:color w:val="000000" w:themeColor="text1"/>
          <w:sz w:val="24"/>
          <w:szCs w:val="24"/>
        </w:rPr>
        <w:t>et al</w:t>
      </w:r>
    </w:p>
    <w:p w14:paraId="7531B73E" w14:textId="77777777" w:rsidR="00B24CDB" w:rsidRPr="00414C04" w:rsidRDefault="00F202BB" w:rsidP="00EB5BFA">
      <w:pPr>
        <w:pBdr>
          <w:bottom w:val="single" w:sz="6" w:space="1" w:color="auto"/>
        </w:pBd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SUPPLEMENTARY MATERIAL</w:t>
      </w:r>
    </w:p>
    <w:p w14:paraId="151707C5" w14:textId="77777777" w:rsidR="004C455A" w:rsidRPr="00414C04" w:rsidRDefault="004C455A" w:rsidP="004C455A">
      <w:pPr>
        <w:spacing w:line="480" w:lineRule="auto"/>
        <w:jc w:val="both"/>
        <w:rPr>
          <w:rFonts w:asciiTheme="minorHAnsi" w:hAnsiTheme="minorHAnsi" w:cs="Calibri"/>
          <w:b/>
          <w:color w:val="000000" w:themeColor="text1"/>
          <w:sz w:val="24"/>
          <w:szCs w:val="24"/>
        </w:rPr>
      </w:pPr>
      <w:r w:rsidRPr="00414C04">
        <w:rPr>
          <w:rFonts w:asciiTheme="minorHAnsi" w:hAnsiTheme="minorHAnsi" w:cs="Calibri"/>
          <w:b/>
          <w:color w:val="000000" w:themeColor="text1"/>
          <w:sz w:val="24"/>
          <w:szCs w:val="24"/>
        </w:rPr>
        <w:t>Sample size calculation</w:t>
      </w:r>
    </w:p>
    <w:p w14:paraId="2F91C41E" w14:textId="3C59714B" w:rsidR="004C455A" w:rsidRPr="00414C04" w:rsidRDefault="004C455A" w:rsidP="004C455A">
      <w:pPr>
        <w:widowControl w:val="0"/>
        <w:autoSpaceDE w:val="0"/>
        <w:autoSpaceDN w:val="0"/>
        <w:adjustRightInd w:val="0"/>
        <w:spacing w:after="240" w:line="480" w:lineRule="auto"/>
        <w:rPr>
          <w:rFonts w:asciiTheme="minorHAnsi" w:hAnsiTheme="minorHAnsi" w:cs="Times"/>
          <w:color w:val="000000"/>
          <w:sz w:val="24"/>
          <w:szCs w:val="24"/>
        </w:rPr>
      </w:pPr>
      <w:r w:rsidRPr="00414C04">
        <w:rPr>
          <w:rFonts w:asciiTheme="minorHAnsi" w:hAnsiTheme="minorHAnsi" w:cs="Times"/>
          <w:color w:val="000000"/>
          <w:sz w:val="24"/>
          <w:szCs w:val="24"/>
        </w:rPr>
        <w:t>We used data from a prior study in schizophrenia, which showed an effect size of 1.3 for the elevation in associative striatal dopamine synthesis capacity between treatment responders and treatment resistant populations</w:t>
      </w:r>
      <w:r w:rsidRPr="00414C04">
        <w:rPr>
          <w:rFonts w:asciiTheme="minorHAnsi" w:hAnsiTheme="minorHAnsi" w:cs="Times"/>
          <w:color w:val="000000"/>
          <w:sz w:val="24"/>
          <w:szCs w:val="24"/>
        </w:rPr>
        <w:fldChar w:fldCharType="begin"/>
      </w:r>
      <w:r w:rsidR="00EA79E8">
        <w:rPr>
          <w:rFonts w:asciiTheme="minorHAnsi" w:hAnsiTheme="minorHAnsi" w:cs="Times"/>
          <w:color w:val="000000"/>
          <w:sz w:val="24"/>
          <w:szCs w:val="24"/>
        </w:rPr>
        <w:instrText xml:space="preserve"> ADDIN ZOTERO_ITEM CSL_CITATION {"citationID":"9jpta0oki","properties":{"formattedCitation":"{\\rtf \\super 1\\nosupersub{}}","plainCitation":"1"},"citationItems":[{"id":116,"uris":["http://zotero.org/users/178567/items/46DFFX8G"],"uri":["http://zotero.org/users/178567/items/46DFFX8G"],"itemData":{"id":116,"type":"article-journal","title":"Dopamine synthesis capacity in patients with treatment-resistant schizophrenia","container-title":"American Journal of Psychiatry","source":"Google Scholar","URL":"http://ajp.psychiatryonline.org/doi/10.1176/appi.ajp.2012.12010144","author":[{"family":"Demjaha","given":"Arsime"},{"family":"Murray","given":"Robin M."},{"family":"McGuire","given":"Philip K."},{"family":"Kapur","given":"Shitij"},{"family":"Howes","given":"Oliver D."}],"issued":{"date-parts":[["2014"]]},"accessed":{"date-parts":[["2015",12,19]]}}}],"schema":"https://github.com/citation-style-language/schema/raw/master/csl-citation.json"} </w:instrText>
      </w:r>
      <w:r w:rsidRPr="00414C04">
        <w:rPr>
          <w:rFonts w:asciiTheme="minorHAnsi" w:hAnsiTheme="minorHAnsi" w:cs="Times"/>
          <w:color w:val="000000"/>
          <w:sz w:val="24"/>
          <w:szCs w:val="24"/>
        </w:rPr>
        <w:fldChar w:fldCharType="separate"/>
      </w:r>
      <w:r w:rsidR="00EA79E8" w:rsidRPr="00EA79E8">
        <w:rPr>
          <w:rFonts w:ascii="Calibri" w:eastAsia="Times New Roman" w:hAnsiTheme="minorHAnsi" w:cs="Times New Roman"/>
          <w:color w:val="000000"/>
          <w:sz w:val="24"/>
          <w:vertAlign w:val="superscript"/>
        </w:rPr>
        <w:t>1</w:t>
      </w:r>
      <w:r w:rsidRPr="00414C04">
        <w:rPr>
          <w:rFonts w:asciiTheme="minorHAnsi" w:hAnsiTheme="minorHAnsi" w:cs="Times"/>
          <w:color w:val="000000"/>
          <w:sz w:val="24"/>
          <w:szCs w:val="24"/>
        </w:rPr>
        <w:fldChar w:fldCharType="end"/>
      </w:r>
      <w:r w:rsidRPr="00414C04">
        <w:rPr>
          <w:rFonts w:asciiTheme="minorHAnsi" w:hAnsiTheme="minorHAnsi" w:cs="Times"/>
          <w:color w:val="000000"/>
          <w:sz w:val="24"/>
          <w:szCs w:val="24"/>
        </w:rPr>
        <w:t xml:space="preserve">, to inform the power calculation. This determined that a sample size of at least 11 would have greater than 80% power to detect a difference between groups, and at least 21 to detect a moderate or greater correlation with symptoms both with an alpha value of &lt;0.05 (two tailed). </w:t>
      </w:r>
    </w:p>
    <w:p w14:paraId="65B61380" w14:textId="77777777" w:rsidR="004C455A" w:rsidRPr="00414C04" w:rsidRDefault="004C455A" w:rsidP="00EB5BFA">
      <w:pPr>
        <w:spacing w:line="480" w:lineRule="auto"/>
        <w:outlineLvl w:val="0"/>
        <w:rPr>
          <w:rFonts w:asciiTheme="minorHAnsi" w:hAnsiTheme="minorHAnsi" w:cs="Arial"/>
          <w:color w:val="000000" w:themeColor="text1"/>
          <w:sz w:val="24"/>
          <w:szCs w:val="24"/>
          <w:vertAlign w:val="superscript"/>
        </w:rPr>
      </w:pPr>
    </w:p>
    <w:p w14:paraId="0F4FAD27" w14:textId="77777777" w:rsidR="00B24CDB" w:rsidRPr="00414C04" w:rsidRDefault="00B24CDB" w:rsidP="00EB5BFA">
      <w:pPr>
        <w:spacing w:line="480" w:lineRule="auto"/>
        <w:outlineLvl w:val="0"/>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F-DOPA PET imaging</w:t>
      </w:r>
    </w:p>
    <w:p w14:paraId="7EB26CBC" w14:textId="78CD747F" w:rsidR="009D2D68" w:rsidRPr="00414C04" w:rsidRDefault="009D2D68" w:rsidP="00EB5BFA">
      <w:pPr>
        <w:spacing w:line="480" w:lineRule="auto"/>
        <w:outlineLvl w:val="0"/>
        <w:rPr>
          <w:rFonts w:asciiTheme="minorHAnsi" w:hAnsiTheme="minorHAnsi" w:cs="Arial"/>
          <w:b/>
          <w:color w:val="000000" w:themeColor="text1"/>
          <w:sz w:val="24"/>
          <w:szCs w:val="24"/>
        </w:rPr>
      </w:pPr>
      <w:r w:rsidRPr="00414C04">
        <w:rPr>
          <w:rFonts w:asciiTheme="minorHAnsi" w:hAnsiTheme="minorHAnsi"/>
          <w:color w:val="000000" w:themeColor="text1"/>
          <w:sz w:val="24"/>
          <w:szCs w:val="24"/>
        </w:rPr>
        <w:t xml:space="preserve">All participants were asked not to eat or drink (except water), and refrain from alcohol for 12 hours prior to scanning. Cigarette smokers were not permitted to smoke for four hours preceding the scan </w:t>
      </w:r>
      <w:r w:rsidRPr="00414C04">
        <w:rPr>
          <w:rFonts w:asciiTheme="minorHAnsi" w:hAnsiTheme="minorHAnsi"/>
          <w:color w:val="000000" w:themeColor="text1"/>
          <w:sz w:val="24"/>
          <w:szCs w:val="24"/>
        </w:rPr>
        <w:fldChar w:fldCharType="begin"/>
      </w:r>
      <w:r w:rsidR="00EA79E8">
        <w:rPr>
          <w:rFonts w:asciiTheme="minorHAnsi" w:hAnsiTheme="minorHAnsi"/>
          <w:color w:val="000000" w:themeColor="text1"/>
          <w:sz w:val="24"/>
          <w:szCs w:val="24"/>
        </w:rPr>
        <w:instrText xml:space="preserve"> ADDIN ZOTERO_ITEM CSL_CITATION {"citationID":"7gbbuojn8","properties":{"formattedCitation":"{\\rtf \\super 2\\nosupersub{}}","plainCitation":"2"},"citationItems":[{"id":592,"uris":["http://zotero.org/users/178567/items/BXTNEEPI"],"uri":["http://zotero.org/users/178567/items/BXTNEEPI"],"itemData":{"id":592,"type":"article-journal","title":"Dopamine function in cigarette smokers: an [¹⁸F]-DOPA PET study","container-title":"Neuropsychopharmacology: Official Publication of the American College of Neuropsychopharmacology","page":"2397-2404","volume":"39","issue":"10","source":"NCBI PubMed","abstract":"Tobacco addiction is a global public health problem. Addiction to tobacco is thought to involve the effects of nicotine on the dopaminergic system. Only one study has previously investigated dopamine synthesis capacity in cigarette smokers. This study, exclusively in male volunteers, reported increased dopamine synthesis capacity in heavy smokers compared with non-smokers. We sought to determine whether dopamine synthesis capacity was elevated in a larger sample of cigarette smokers that included females. Dopamine synthesis capacity was measured in 15 daily moderate smokers with 15 sex- and age-matched control subjects who had never smoked tobacco. Dopamine synthesis capacity (indexed as the influx rate constant K(i)(cer)) was measured with positron emission tomography and 3,4-dihydroxy-6-[(18)F]-fluoro-l-phenylalanine. There was no significant group difference in dopamine synthesis capacity between smokers and non-smoker controls in the whole striatum (t28=0.64, p=0.53) or any of its functional subdivisions. In smokers, there were no significant relationships between the number of cigarettes smoked per day and dopamine synthesis capacity in the whole striatum (r=-0.23, p=0.41) or any striatal subdivision. These findings indicate that moderate smoking is not associated with altered striatal dopamine synthesis capacity.","DOI":"10.1038/npp.2014.87","ISSN":"1740-634X","note":"PMID: 24718373 \nPMCID: PMC4138749","shortTitle":"Dopamine function in cigarette smokers","journalAbbreviation":"Neuropsychopharmacology","language":"eng","author":[{"family":"Bloomfield","given":"Michael A. P."},{"family":"Pepper","given":"Fiona"},{"family":"Egerton","given":"Alice"},{"family":"Demjaha","given":"Arsime"},{"family":"Tomasi","given":"Gianpaolo"},{"family":"Mouchlianitis","given":"Elias"},{"family":"Maximen","given":"Levi"},{"family":"Veronese","given":"Mattia"},{"family":"Turkheimer","given":"Federico"},{"family":"Selvaraj","given":"Sudhakar"},{"family":"Howes","given":"Oliver D."}],"issued":{"date-parts":[["2014",9]]}}}],"schema":"https://github.com/citation-style-language/schema/raw/master/csl-citation.json"} </w:instrText>
      </w:r>
      <w:r w:rsidRPr="00414C04">
        <w:rPr>
          <w:rFonts w:asciiTheme="minorHAnsi" w:hAnsiTheme="minorHAnsi"/>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2</w:t>
      </w:r>
      <w:r w:rsidRPr="00414C04">
        <w:rPr>
          <w:rFonts w:asciiTheme="minorHAnsi" w:hAnsiTheme="minorHAnsi"/>
          <w:color w:val="000000" w:themeColor="text1"/>
          <w:sz w:val="24"/>
          <w:szCs w:val="24"/>
        </w:rPr>
        <w:fldChar w:fldCharType="end"/>
      </w:r>
      <w:r w:rsidRPr="00414C04">
        <w:rPr>
          <w:rFonts w:asciiTheme="minorHAnsi" w:hAnsiTheme="minorHAnsi"/>
          <w:color w:val="000000" w:themeColor="text1"/>
          <w:sz w:val="24"/>
          <w:szCs w:val="24"/>
        </w:rPr>
        <w:t xml:space="preserve">. </w:t>
      </w:r>
    </w:p>
    <w:p w14:paraId="1E0251A6" w14:textId="77777777" w:rsidR="00B24CDB" w:rsidRPr="00414C04" w:rsidRDefault="00B24CDB" w:rsidP="00EB5BFA">
      <w:pPr>
        <w:spacing w:line="480" w:lineRule="auto"/>
        <w:outlineLvl w:val="0"/>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F-DOPA synthesis and PET data acquisition</w:t>
      </w:r>
    </w:p>
    <w:p w14:paraId="5A030FC4" w14:textId="77777777" w:rsidR="00B24CDB" w:rsidRPr="00414C04" w:rsidRDefault="00B24CDB" w:rsidP="00EB5BFA">
      <w:pPr>
        <w:widowControl w:val="0"/>
        <w:autoSpaceDE w:val="0"/>
        <w:autoSpaceDN w:val="0"/>
        <w:adjustRightInd w:val="0"/>
        <w:spacing w:line="480" w:lineRule="auto"/>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 xml:space="preserve">A 17MeV GE PET-trace cyclotron was used for radionuclide production. The gas target was filled with </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O</w:t>
      </w:r>
      <w:r w:rsidRPr="00414C04">
        <w:rPr>
          <w:rFonts w:asciiTheme="minorHAnsi" w:hAnsiTheme="minorHAnsi" w:cs="Arial"/>
          <w:color w:val="000000" w:themeColor="text1"/>
          <w:position w:val="-6"/>
          <w:sz w:val="24"/>
          <w:szCs w:val="24"/>
          <w:vertAlign w:val="subscript"/>
        </w:rPr>
        <w:t>2</w:t>
      </w:r>
      <w:r w:rsidRPr="00414C04">
        <w:rPr>
          <w:rFonts w:asciiTheme="minorHAnsi" w:hAnsiTheme="minorHAnsi" w:cs="Arial"/>
          <w:color w:val="000000" w:themeColor="text1"/>
          <w:position w:val="-6"/>
          <w:sz w:val="24"/>
          <w:szCs w:val="24"/>
        </w:rPr>
        <w:t xml:space="preserve"> </w:t>
      </w:r>
      <w:r w:rsidRPr="00414C04">
        <w:rPr>
          <w:rFonts w:asciiTheme="minorHAnsi" w:hAnsiTheme="minorHAnsi" w:cs="Arial"/>
          <w:color w:val="000000" w:themeColor="text1"/>
          <w:sz w:val="24"/>
          <w:szCs w:val="24"/>
        </w:rPr>
        <w:t>and bombarded at 40 mA for 30 min followed by a passivation bombardment of 0.1% F</w:t>
      </w:r>
      <w:r w:rsidRPr="00414C04">
        <w:rPr>
          <w:rFonts w:asciiTheme="minorHAnsi" w:hAnsiTheme="minorHAnsi" w:cs="Arial"/>
          <w:color w:val="000000" w:themeColor="text1"/>
          <w:position w:val="-6"/>
          <w:sz w:val="24"/>
          <w:szCs w:val="24"/>
          <w:vertAlign w:val="subscript"/>
        </w:rPr>
        <w:t>2</w:t>
      </w:r>
      <w:r w:rsidRPr="00414C04">
        <w:rPr>
          <w:rFonts w:asciiTheme="minorHAnsi" w:hAnsiTheme="minorHAnsi" w:cs="Arial"/>
          <w:color w:val="000000" w:themeColor="text1"/>
          <w:position w:val="-6"/>
          <w:sz w:val="24"/>
          <w:szCs w:val="24"/>
        </w:rPr>
        <w:t xml:space="preserve"> </w:t>
      </w:r>
      <w:r w:rsidRPr="00414C04">
        <w:rPr>
          <w:rFonts w:asciiTheme="minorHAnsi" w:hAnsiTheme="minorHAnsi" w:cs="Arial"/>
          <w:color w:val="000000" w:themeColor="text1"/>
          <w:sz w:val="24"/>
          <w:szCs w:val="24"/>
        </w:rPr>
        <w:t xml:space="preserve">in argon at 20 mA for 20 min. This produced </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 xml:space="preserve">F-F by the </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O (</w:t>
      </w:r>
      <w:proofErr w:type="spellStart"/>
      <w:proofErr w:type="gramStart"/>
      <w:r w:rsidRPr="00414C04">
        <w:rPr>
          <w:rFonts w:asciiTheme="minorHAnsi" w:hAnsiTheme="minorHAnsi" w:cs="Arial"/>
          <w:color w:val="000000" w:themeColor="text1"/>
          <w:sz w:val="24"/>
          <w:szCs w:val="24"/>
        </w:rPr>
        <w:t>p,n</w:t>
      </w:r>
      <w:proofErr w:type="spellEnd"/>
      <w:proofErr w:type="gramEnd"/>
      <w:r w:rsidRPr="00414C04">
        <w:rPr>
          <w:rFonts w:asciiTheme="minorHAnsi" w:hAnsiTheme="minorHAnsi" w:cs="Arial"/>
          <w:color w:val="000000" w:themeColor="text1"/>
          <w:sz w:val="24"/>
          <w:szCs w:val="24"/>
        </w:rPr>
        <w:t xml:space="preserve">) </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F reaction. An electrophilic fluorination procedure was then used to synthesize 6-</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 xml:space="preserve">F </w:t>
      </w:r>
      <w:proofErr w:type="spellStart"/>
      <w:r w:rsidRPr="00414C04">
        <w:rPr>
          <w:rFonts w:asciiTheme="minorHAnsi" w:hAnsiTheme="minorHAnsi" w:cs="Arial"/>
          <w:color w:val="000000" w:themeColor="text1"/>
          <w:sz w:val="24"/>
          <w:szCs w:val="24"/>
        </w:rPr>
        <w:t>fluoro</w:t>
      </w:r>
      <w:proofErr w:type="spellEnd"/>
      <w:r w:rsidRPr="00414C04">
        <w:rPr>
          <w:rFonts w:asciiTheme="minorHAnsi" w:hAnsiTheme="minorHAnsi" w:cs="Arial"/>
          <w:color w:val="000000" w:themeColor="text1"/>
          <w:sz w:val="24"/>
          <w:szCs w:val="24"/>
        </w:rPr>
        <w:t>-L-DOPA. In brief, [</w:t>
      </w:r>
      <w:r w:rsidRPr="00414C04">
        <w:rPr>
          <w:rFonts w:asciiTheme="minorHAnsi" w:hAnsiTheme="minorHAnsi" w:cs="Arial"/>
          <w:color w:val="000000" w:themeColor="text1"/>
          <w:sz w:val="24"/>
          <w:szCs w:val="24"/>
          <w:vertAlign w:val="superscript"/>
        </w:rPr>
        <w:t>18</w:t>
      </w:r>
      <w:proofErr w:type="gramStart"/>
      <w:r w:rsidRPr="00414C04">
        <w:rPr>
          <w:rFonts w:asciiTheme="minorHAnsi" w:hAnsiTheme="minorHAnsi" w:cs="Arial"/>
          <w:color w:val="000000" w:themeColor="text1"/>
          <w:sz w:val="24"/>
          <w:szCs w:val="24"/>
        </w:rPr>
        <w:t>F]F</w:t>
      </w:r>
      <w:proofErr w:type="gramEnd"/>
      <w:r w:rsidRPr="00414C04">
        <w:rPr>
          <w:rFonts w:asciiTheme="minorHAnsi" w:hAnsiTheme="minorHAnsi" w:cs="Arial"/>
          <w:color w:val="000000" w:themeColor="text1"/>
          <w:position w:val="-6"/>
          <w:sz w:val="24"/>
          <w:szCs w:val="24"/>
        </w:rPr>
        <w:t xml:space="preserve">2 </w:t>
      </w:r>
      <w:r w:rsidRPr="00414C04">
        <w:rPr>
          <w:rFonts w:asciiTheme="minorHAnsi" w:hAnsiTheme="minorHAnsi" w:cs="Arial"/>
          <w:color w:val="000000" w:themeColor="text1"/>
          <w:sz w:val="24"/>
          <w:szCs w:val="24"/>
        </w:rPr>
        <w:t xml:space="preserve">was </w:t>
      </w:r>
      <w:r w:rsidRPr="00414C04">
        <w:rPr>
          <w:rFonts w:asciiTheme="minorHAnsi" w:hAnsiTheme="minorHAnsi" w:cs="Arial"/>
          <w:color w:val="000000" w:themeColor="text1"/>
          <w:sz w:val="24"/>
          <w:szCs w:val="24"/>
        </w:rPr>
        <w:lastRenderedPageBreak/>
        <w:t xml:space="preserve">bubbled through a solution of 6-trimethylstannyl-L-DOPA (60 mg) stirring in </w:t>
      </w:r>
      <w:proofErr w:type="spellStart"/>
      <w:r w:rsidRPr="00414C04">
        <w:rPr>
          <w:rFonts w:asciiTheme="minorHAnsi" w:hAnsiTheme="minorHAnsi" w:cs="Arial"/>
          <w:color w:val="000000" w:themeColor="text1"/>
          <w:sz w:val="24"/>
          <w:szCs w:val="24"/>
        </w:rPr>
        <w:t>Deutero</w:t>
      </w:r>
      <w:proofErr w:type="spellEnd"/>
      <w:r w:rsidRPr="00414C04">
        <w:rPr>
          <w:rFonts w:asciiTheme="minorHAnsi" w:hAnsiTheme="minorHAnsi" w:cs="Arial"/>
          <w:color w:val="000000" w:themeColor="text1"/>
          <w:sz w:val="24"/>
          <w:szCs w:val="24"/>
        </w:rPr>
        <w:t xml:space="preserve">-chloroform (5 ml) over 20 mins at 5 1C. 6 M </w:t>
      </w:r>
      <w:proofErr w:type="spellStart"/>
      <w:r w:rsidRPr="00414C04">
        <w:rPr>
          <w:rFonts w:asciiTheme="minorHAnsi" w:hAnsiTheme="minorHAnsi" w:cs="Arial"/>
          <w:color w:val="000000" w:themeColor="text1"/>
          <w:sz w:val="24"/>
          <w:szCs w:val="24"/>
        </w:rPr>
        <w:t>HCl</w:t>
      </w:r>
      <w:proofErr w:type="spellEnd"/>
      <w:r w:rsidRPr="00414C04">
        <w:rPr>
          <w:rFonts w:asciiTheme="minorHAnsi" w:hAnsiTheme="minorHAnsi" w:cs="Arial"/>
          <w:color w:val="000000" w:themeColor="text1"/>
          <w:sz w:val="24"/>
          <w:szCs w:val="24"/>
        </w:rPr>
        <w:t xml:space="preserve"> (2 ml) was added and the chloroform evaporated at 70 1C. The resulting aqueous mixture was heated at reflux for 10 mins before allowing to cool. The cooled crude mixture was purified by semi-prep high-pressure liquid chromatography polymer X column eluting with ammonium acetate buffer. The peak corresponding to </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 xml:space="preserve">F-L-DOPA eluted at 15 mins was stabilized with 1 mg ascorbic acid and sodium phosphate dibasic. For quality assurance purposes, a sample was taken from each synthesis and analyzed by reverse phase high-pressure liquid chromatography to confirm identity and purity. To proceed with the injection, a radiochemical purity of 95.0% or higher was required. </w:t>
      </w:r>
    </w:p>
    <w:p w14:paraId="4280B077" w14:textId="77777777" w:rsidR="00B24CDB" w:rsidRPr="00414C04" w:rsidRDefault="00B24CDB" w:rsidP="00EB5BFA">
      <w:pPr>
        <w:spacing w:line="480" w:lineRule="auto"/>
        <w:outlineLvl w:val="0"/>
        <w:rPr>
          <w:rFonts w:asciiTheme="minorHAnsi" w:hAnsiTheme="minorHAnsi" w:cs="Arial"/>
          <w:b/>
          <w:i/>
          <w:color w:val="000000" w:themeColor="text1"/>
          <w:sz w:val="24"/>
          <w:szCs w:val="24"/>
        </w:rPr>
      </w:pPr>
      <w:r w:rsidRPr="00414C04">
        <w:rPr>
          <w:rFonts w:asciiTheme="minorHAnsi" w:hAnsiTheme="minorHAnsi" w:cs="Arial"/>
          <w:b/>
          <w:i/>
          <w:color w:val="000000" w:themeColor="text1"/>
          <w:sz w:val="24"/>
          <w:szCs w:val="24"/>
        </w:rPr>
        <w:t>PET data analysis</w:t>
      </w:r>
    </w:p>
    <w:p w14:paraId="5DFE8C09" w14:textId="79D76CED" w:rsidR="00B24CDB" w:rsidRPr="00414C04" w:rsidRDefault="00B24CDB" w:rsidP="00EB5BFA">
      <w:pPr>
        <w:widowControl w:val="0"/>
        <w:autoSpaceDE w:val="0"/>
        <w:autoSpaceDN w:val="0"/>
        <w:adjustRightInd w:val="0"/>
        <w:spacing w:after="0" w:line="480" w:lineRule="auto"/>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Correct</w:t>
      </w:r>
      <w:r w:rsidR="00137617" w:rsidRPr="00414C04">
        <w:rPr>
          <w:rFonts w:asciiTheme="minorHAnsi" w:hAnsiTheme="minorHAnsi" w:cs="Arial"/>
          <w:color w:val="000000" w:themeColor="text1"/>
          <w:sz w:val="24"/>
          <w:szCs w:val="24"/>
        </w:rPr>
        <w:t xml:space="preserve">ion for head movement during </w:t>
      </w:r>
      <w:r w:rsidRPr="00414C04">
        <w:rPr>
          <w:rFonts w:asciiTheme="minorHAnsi" w:hAnsiTheme="minorHAnsi" w:cs="Arial"/>
          <w:color w:val="000000" w:themeColor="text1"/>
          <w:sz w:val="24"/>
          <w:szCs w:val="24"/>
        </w:rPr>
        <w:t xml:space="preserve">scan was performed by </w:t>
      </w:r>
      <w:proofErr w:type="spellStart"/>
      <w:r w:rsidRPr="00414C04">
        <w:rPr>
          <w:rFonts w:asciiTheme="minorHAnsi" w:hAnsiTheme="minorHAnsi" w:cs="Arial"/>
          <w:color w:val="000000" w:themeColor="text1"/>
          <w:sz w:val="24"/>
          <w:szCs w:val="24"/>
        </w:rPr>
        <w:t>denoising</w:t>
      </w:r>
      <w:proofErr w:type="spellEnd"/>
      <w:r w:rsidRPr="00414C04">
        <w:rPr>
          <w:rFonts w:asciiTheme="minorHAnsi" w:hAnsiTheme="minorHAnsi" w:cs="Arial"/>
          <w:color w:val="000000" w:themeColor="text1"/>
          <w:sz w:val="24"/>
          <w:szCs w:val="24"/>
        </w:rPr>
        <w:t xml:space="preserve"> the non-attenuation-corrected dynamic images using a level 2, order 64 Battle-</w:t>
      </w:r>
      <w:proofErr w:type="spellStart"/>
      <w:r w:rsidRPr="00414C04">
        <w:rPr>
          <w:rFonts w:asciiTheme="minorHAnsi" w:hAnsiTheme="minorHAnsi" w:cs="Arial"/>
          <w:color w:val="000000" w:themeColor="text1"/>
          <w:sz w:val="24"/>
          <w:szCs w:val="24"/>
        </w:rPr>
        <w:t>Lemarie</w:t>
      </w:r>
      <w:proofErr w:type="spellEnd"/>
      <w:r w:rsidRPr="00414C04">
        <w:rPr>
          <w:rFonts w:asciiTheme="minorHAnsi" w:hAnsiTheme="minorHAnsi" w:cs="Arial"/>
          <w:color w:val="000000" w:themeColor="text1"/>
          <w:sz w:val="24"/>
          <w:szCs w:val="24"/>
        </w:rPr>
        <w:t xml:space="preserve"> wavelet filter.  Frames were realigned to a single reference frame, acquired 20 mins post-injection, employing a mutual information algorithm </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{"citationID":"2defvhvei5","properties":{"formattedCitation":"{\\rtf \\super 3,4\\nosupersub{}}","plainCitation":"3,4"},"citationItems":[{"id":1834,"uris":["http://zotero.org/users/178567/items/ZD7X42C5"],"uri":["http://zotero.org/users/178567/items/ZD7X42C5"],"itemData":{"id":1834,"type":"article-journal","title":"Automated 3-D registration of MR and CT images of the head","container-title":"Medical Image Analysis","page":"163-175","volume":"1","issue":"2","source":"PubMed","abstract":"This paper discusses the application of voxel similarity measures in the automated registration of clinically acquired MR and CT data of the head. We describe a novel single-start multi-resolution approach to the optimization of these measures, and the issues involved in applying this to data having a range of different fields of view and sampling resolution. We compare four proposed measures of voxel similarity using the same optimization scheme when presented with 10 pairs of images with a range of initial misregistrations. The registration estimates are compared with those provided by manual point-based registration and evaluated by visual inspection to give an assessment of the robustness and accuracy of the different measures. One full-volume CT image set is used to investigate the performance of each measure when used to align truncated images from different regions in the head. The soft tissue correlation and mutual information measures were found to provide the most robust measures of misregistration, providing results comparable to or better than those from manual point-based registration for all but the most truncated image volumes.","ISSN":"1361-8415","note":"PMID: 9873927","journalAbbreviation":"Med Image Anal","language":"eng","author":[{"family":"Studholme","given":"C."},{"family":"Hill","given":"D. L."},{"family":"Hawkes","given":"D. J."}],"issued":{"date-parts":[["1996",6]]}}},{"id":340,"uris":["http://zotero.org/users/178567/items/86EW2CQ4"],"uri":["http://zotero.org/users/178567/items/86EW2CQ4"],"itemData":{"id":340,"type":"article-journal","title":"Multiresolution analysis of emission tomography images in the wavelet domain","container-title":"Journal of Cerebral Blood Flow and Metabolism: Official Journal of the International Society of Cerebral Blood Flow and Metabolism","page":"1189-1208","volume":"19","issue":"11","source":"PubMed","abstract":"This article develops a theoretical framework for the use of the wavelet transform in the estimation of emission tomography images. The solution of the problem of estimation addresses the equivalent problems of optimal filtering, maximum compression, and statistical testing. In particular, new theory and algorithms are presented that allow current wavelet methodology to deal with the two main characteristics of nuclear medicine images: low signal-to-noise ratios and correlated noise. The technique is applied to synthetic images, phantom studies, and clinical images. Results show the ability of wavelets to model images and to estimate the signal generated by cameras of different resolutions in a wide variety of noise conditions. Moreover, the same methodology can be used for the multiscale analysis of statistical maps. The relationship of the wavelet approach to current hypothesis-testing methods is shown with an example and discussed. The wavelet transform is shown to be a valuable tool for the numerical treatment of images in nuclear medicine. It is envisaged that the methods described here may be a starting point for further developments in image reconstruction and image processing.","DOI":"10.1097/00004647-199911000-00003","ISSN":"0271-678X","note":"PMID: 10566965","journalAbbreviation":"J. Cereb. Blood Flow Metab.","language":"eng","author":[{"family":"Turkheimer","given":"F. E."},{"family":"Brett","given":"M."},{"family":"Visvikis","given":"D."},{"family":"Cunningham","given":"V. J."}],"issued":{"date-parts":[["1999",11]]}}}],"schema":"https://github.com/citation-style-language/schema/raw/master/csl-citation.json"}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3,4</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The transformation parameters were then applied to the corresponding attenuated-corrected dynamic images, creating a movement-corrected dynamic image, which was used in the analysis. Realigned frames were then summated to create an individual motion-corrected reference map for the brain tissue segmentation.  SPM8</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{"citationID":"2ksheip885","properties":{"formattedCitation":"{\\rtf \\super 5\\nosupersub{}}","plainCitation":"5"},"citationItems":[{"id":2117,"uris":["http://zotero.org/users/178567/items/9C3V8BDX"],"uri":["http://zotero.org/users/178567/items/9C3V8BDX"],"itemData":{"id":2117,"type":"webpage","title":"SPM - Statistical Parametric Mapping","URL":"http://www.fil.ion.ucl.ac.uk/spm/","accessed":{"date-parts":[["2016",10,5]]}}}],"schema":"https://github.com/citation-style-language/schema/raw/master/csl-citation.json"}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5</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was used to normalize a tracer-specific (</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 xml:space="preserve">F-DOPA) template </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{"citationID":"1fas7ji3mf","properties":{"formattedCitation":"{\\rtf \\super 6,7\\nosupersub{}}","plainCitation":"6,7"},"citationItems":[{"id":896,"uris":["http://zotero.org/users/178567/items/H73WEBAA"],"uri":["http://zotero.org/users/178567/items/H73WEBAA"],"itemData":{"id":896,"type":"article-journal","title":"The test-retest reliability of 18F-DOPA PET in assessing striatal and extrastriatal presynaptic dopaminergic function","container-title":"NeuroImage","page":"524-531","volume":"50","issue":"2","source":"PubMed Central","abstract":"Brain presynaptic dopaminergic function can be assessed using 18F-DOPA positron emission tomography (PET). Regional 18F-DOPA utilization may be used to index dopaminergic abnormalities over time or dopaminergic response to treatment in clinical populations. Such studies require prior knowledge of the stability of the 18F-DOPA signal in the brain regions of interest. Test-retest reliability was examined in eight healthy volunteers who each received two 18F-DOPA PET scans, approximately two years apart. 18F-DOPA utilization (kicer) was determined using graphical analysis relative to a reference tissue input (). Reproducibility (measured as the within-subjects variation) and reliability (measured as intraclass correlation coefficients, ICCs), of 18F-DOPA kicer was assessed in the structural and functional subdivisions of the striatum and select extrastriatal brain regions. Voxel-based median ICC maps were used to visualize the distribution of 18F-DOPA kicer reliability across the brain. The caudate and putamen, and associative and sensorimotor, striatal subdivisions showed good reliability across the two scan sessions with bilateral ICCs ranging from 0.681 to 0.944. Reliability was generally lower in extrastriatal regions, with bilateral ICCs ranging from 0.235 in the amygdala to 0.894 in the thalamus. These data confirm the utility of 18F-DOPA PET in assessing dopaminergic function in the striatum and select extrastriatal areas, but highlight the limitations in using this approach to measure dopaminergic function in low uptake extrastriatal brain areas. This information can be used to optimize the experimental design of future studies investigating changes in brain dopaminergic function with 18F-DOPA.","DOI":"10.1016/j.neuroimage.2009.12.058","ISSN":"1053-8119","note":"PMID: 20034580\nPMCID: PMC4096947","journalAbbreviation":"Neuroimage","author":[{"family":"Egerton","given":"Alice"},{"family":"Demjaha","given":"Arsime"},{"family":"McGuire","given":"Philip"},{"family":"Mehta","given":"Mitul A."},{"family":"Howes","given":"Oliver D."}],"issued":{"date-parts":[["2010",4,1]]}}},{"id":634,"uris":["http://zotero.org/users/178567/items/CIM5872F"],"uri":["http://zotero.org/users/178567/items/CIM5872F"],"itemData":{"id":634,"type":"article-journal","title":"Elevated striatal dopamine function linked to prodromal signs of schizophrenia","container-title":"Archives of general psychiatry","page":"13","volume":"66","issue":"1","source":"Google Scholar","author":[{"family":"Howes","given":"O.D."},{"family":"Montgomery","given":"A.J."},{"family":"Asselin","given":"M.C."},{"family":"Murray","given":"R.M."},{"family":"Valli","given":"I."},{"family":"Tabraham","given":"P."},{"family":"Bramon-Bosch","given":"E."},{"family":"Valmaggia","given":"L."},{"family":"Johns","given":"L."},{"family":"Broome","given":"M."},{"family":"others","given":""}],"issued":{"date-parts":[["2009"]]}}}],"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6,7</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together with the </w:t>
      </w:r>
      <w:r w:rsidR="00FF339E" w:rsidRPr="00414C04">
        <w:rPr>
          <w:rFonts w:asciiTheme="minorHAnsi" w:hAnsiTheme="minorHAnsi" w:cs="Arial"/>
          <w:color w:val="000000" w:themeColor="text1"/>
          <w:sz w:val="24"/>
          <w:szCs w:val="24"/>
        </w:rPr>
        <w:t xml:space="preserve">a striatal </w:t>
      </w:r>
      <w:r w:rsidRPr="00414C04">
        <w:rPr>
          <w:rFonts w:asciiTheme="minorHAnsi" w:hAnsiTheme="minorHAnsi" w:cs="Arial"/>
          <w:color w:val="000000" w:themeColor="text1"/>
          <w:sz w:val="24"/>
          <w:szCs w:val="24"/>
        </w:rPr>
        <w:t>probabilistic brain atlas</w:t>
      </w:r>
      <w:r w:rsidR="00FF339E" w:rsidRPr="00414C04">
        <w:rPr>
          <w:rFonts w:asciiTheme="minorHAnsi" w:hAnsiTheme="minorHAnsi" w:cs="Arial"/>
          <w:color w:val="000000" w:themeColor="text1"/>
          <w:sz w:val="24"/>
          <w:szCs w:val="24"/>
        </w:rPr>
        <w:t xml:space="preserve"> defined by Martinez et al </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{"citationID":"2m4t8cnaua","properties":{"formattedCitation":"{\\rtf \\super 8\\nosupersub{}}","plainCitation":"8"},"citationItems":[{"id":355,"uris":["http://zotero.org/users/178567/items/8DTGV32Z"],"uri":["http://zotero.org/users/178567/items/8DTGV32Z"],"itemData":{"id":355,"type":"article-journal","title":"Imaging Human Mesolimbic Dopamine Transmission With Positron Emission Tomography. Part II: Amphetamine-Induced Dopamine Release in the Functional Subdivisions of the Striatum","container-title":"Journal of Cerebral Blood Flow &amp; Metabolism","page":"285-300","volume":"23","issue":"3","source":"www.nature.com","abstract":"The human striatum is functionally organized into limbic, associative, and sensorimotor subdivisions, which process information related to emotional, cognitive, and motor function. Dopamine projections ascending from the midbrain provide important modulatory input to these striatal subregions. The aim of this study was to compare activation of dopamine D2 receptors after amphetamine administration in the functional subdivisions of the human striatum. D2 receptor availability (V3\") was measured with positron emission tomography and [11C]raclopride in 14 healthy volunteers under control conditions and after the intravenous administration of amphetamine (0.3 mg/kg). For each condition, [11C]raclopride was administered as a priming bolus followed by constant infusion, and measurements of D2 receptor availability were obtained under sustained binding equilibrium conditions. Amphetamine induced a significantly larger reduction in D2 receptor availability (V3\") in limbic (ventral striatum, -15.3 11.8%) and sensorimotor (postcommissural putamen, -16.1 9.6%) regions compared with associative regions (caudate and precommissural putamen, -8.1 7.2%). Results of this region-of-interest analysis were confirmed by a voxel-based analysis. Correction for the partial volume effect showed even greater differences in V3\" between limbic (-17.8 13.8%), sensorimotor (-16.6 9.9%), and associative regions (-7.5 7.5%). The increase in euphoria reported by subjects after amphetamine was associated with larger V3\" in the limbic and sensorimotor regions, but not in the associative regions. These results show significant differences in the dopamine response to amphetamine between the functional subdivisions of the human striatum. The mechanisms potentially accounting for these regional differences in amphetamine-induced dopamine release within the striatum remain to be elucidated, but may be related to the asymmetrical feed-forward influences mediating the integration of limbic, cognitive, and sensorimotor striatal function via dopamine cell territories in the ventral midbrain.","DOI":"10.1097/01.WCB.0000048520.34839.1A","ISSN":"0271-678X","shortTitle":"Imaging Human Mesolimbic Dopamine Transmission With Positron Emission Tomography. Part II","journalAbbreviation":"J Cereb Blood Flow Metab","language":"en","author":[{"family":"Martinez","given":"Diana"},{"family":"Slifstein","given":"Mark"},{"family":"Broft","given":"Allegra"},{"family":"Mawlawi","given":"Osama"},{"family":"Hwang","given":"Dah-Ren"},{"family":"Huang","given":"Yiyun"},{"family":"Cooper","given":"Thomas"},{"family":"Kegeles","given":"Lawrence"},{"family":"Zarahn","given":"Eric"},{"family":"Abi-Dargham","given":"Anissa"},{"family":"Haber","given":"Suzanne N."},{"family":"Laruelle","given":"Marc"}],"issued":{"date-parts":[["2003",3]]}}}],"schema":"https://github.com/citation-style-language/schema/raw/master/csl-citation.json"}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8</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both in the same space to each individual PET summation image. The brain atlas was used to identify the whole striatum</w:t>
      </w:r>
      <w:r w:rsidR="00F8237B" w:rsidRPr="00414C04">
        <w:rPr>
          <w:rFonts w:asciiTheme="minorHAnsi" w:hAnsiTheme="minorHAnsi" w:cs="Arial"/>
          <w:color w:val="000000" w:themeColor="text1"/>
          <w:sz w:val="24"/>
          <w:szCs w:val="24"/>
        </w:rPr>
        <w:t xml:space="preserve">, </w:t>
      </w:r>
      <w:r w:rsidR="00FF339E" w:rsidRPr="00414C04">
        <w:rPr>
          <w:rFonts w:asciiTheme="minorHAnsi" w:hAnsiTheme="minorHAnsi" w:cs="Arial"/>
          <w:color w:val="000000" w:themeColor="text1"/>
          <w:sz w:val="24"/>
          <w:szCs w:val="24"/>
        </w:rPr>
        <w:t xml:space="preserve">functional </w:t>
      </w:r>
      <w:r w:rsidR="00F8237B" w:rsidRPr="00414C04">
        <w:rPr>
          <w:rFonts w:asciiTheme="minorHAnsi" w:hAnsiTheme="minorHAnsi" w:cs="Arial"/>
          <w:color w:val="000000" w:themeColor="text1"/>
          <w:sz w:val="24"/>
          <w:szCs w:val="24"/>
        </w:rPr>
        <w:t>striatal subdivisions</w:t>
      </w:r>
      <w:r w:rsidRPr="00414C04">
        <w:rPr>
          <w:rFonts w:asciiTheme="minorHAnsi" w:hAnsiTheme="minorHAnsi" w:cs="Arial"/>
          <w:color w:val="000000" w:themeColor="text1"/>
          <w:sz w:val="24"/>
          <w:szCs w:val="24"/>
        </w:rPr>
        <w:t xml:space="preserve"> and the cerebellar region used as reference for tissue quantification</w:t>
      </w:r>
      <w:r w:rsidR="00F8237B" w:rsidRPr="00414C04">
        <w:rPr>
          <w:rFonts w:asciiTheme="minorHAnsi" w:hAnsiTheme="minorHAnsi" w:cs="Arial"/>
          <w:color w:val="000000" w:themeColor="text1"/>
          <w:sz w:val="24"/>
          <w:szCs w:val="24"/>
        </w:rPr>
        <w:t xml:space="preserve"> </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{"citationID":"18j644stj6","properties":{"formattedCitation":"{\\rtf \\super 8\\nosupersub{}}","plainCitation":"8"},"citationItems":[{"id":355,"uris":["http://zotero.org/users/178567/items/8DTGV32Z"],"uri":["http://zotero.org/users/178567/items/8DTGV32Z"],"itemData":{"id":355,"type":"article-journal","title":"Imaging Human Mesolimbic Dopamine Transmission With Positron Emission Tomography. Part II: Amphetamine-Induced Dopamine Release in the Functional Subdivisions of the Striatum","container-title":"Journal of Cerebral Blood Flow &amp; Metabolism","page":"285-300","volume":"23","issue":"3","source":"www.nature.com","abstract":"The human striatum is functionally organized into limbic, associative, and sensorimotor subdivisions, which process information related to emotional, cognitive, and motor function. Dopamine projections ascending from the midbrain provide important modulatory input to these striatal subregions. The aim of this study was to compare activation of dopamine D2 receptors after amphetamine administration in the functional subdivisions of the human striatum. D2 receptor availability (V3\") was measured with positron emission tomography and [11C]raclopride in 14 healthy volunteers under control conditions and after the intravenous administration of amphetamine (0.3 mg/kg). For each condition, [11C]raclopride was administered as a priming bolus followed by constant infusion, and measurements of D2 receptor availability were obtained under sustained binding equilibrium conditions. Amphetamine induced a significantly larger reduction in D2 receptor availability (V3\") in limbic (ventral striatum, -15.3 11.8%) and sensorimotor (postcommissural putamen, -16.1 9.6%) regions compared with associative regions (caudate and precommissural putamen, -8.1 7.2%). Results of this region-of-interest analysis were confirmed by a voxel-based analysis. Correction for the partial volume effect showed even greater differences in V3\" between limbic (-17.8 13.8%), sensorimotor (-16.6 9.9%), and associative regions (-7.5 7.5%). The increase in euphoria reported by subjects after amphetamine was associated with larger V3\" in the limbic and sensorimotor regions, but not in the associative regions. These results show significant differences in the dopamine response to amphetamine between the functional subdivisions of the human striatum. The mechanisms potentially accounting for these regional differences in amphetamine-induced dopamine release within the striatum remain to be elucidated, but may be related to the asymmetrical feed-forward influences mediating the integration of limbic, cognitive, and sensorimotor striatal function via dopamine cell territories in the ventral midbrain.","DOI":"10.1097/01.WCB.0000048520.34839.1A","ISSN":"0271-678X","shortTitle":"Imaging Human Mesolimbic Dopamine Transmission With Positron Emission Tomography. Part II","journalAbbreviation":"J Cereb Blood Flow Metab","language":"en","author":[{"family":"Martinez","given":"Diana"},{"family":"Slifstein","given":"Mark"},{"family":"Broft","given":"Allegra"},{"family":"Mawlawi","given":"Osama"},{"family":"Hwang","given":"Dah-Ren"},{"family":"Huang","given":"Yiyun"},{"family":"Cooper","given":"Thomas"},{"family":"Kegeles","given":"Lawrence"},{"family":"Zarahn","given":"Eric"},{"family":"Abi-Dargham","given":"Anissa"},{"family":"Haber","given":"Suzanne N."},{"family":"Laruelle","given":"Marc"}],"issued":{"date-parts":[["2003",3]]}}}],"schema":"https://github.com/citation-style-language/schema/raw/master/csl-citation.json"}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8</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The striatal influx constant (Ki</w:t>
      </w:r>
      <w:r w:rsidRPr="00414C04">
        <w:rPr>
          <w:rFonts w:asciiTheme="minorHAnsi" w:hAnsiTheme="minorHAnsi" w:cs="Arial"/>
          <w:color w:val="000000" w:themeColor="text1"/>
          <w:sz w:val="24"/>
          <w:szCs w:val="24"/>
          <w:vertAlign w:val="superscript"/>
        </w:rPr>
        <w:t>cer</w:t>
      </w:r>
      <w:r w:rsidRPr="00414C04">
        <w:rPr>
          <w:rFonts w:asciiTheme="minorHAnsi" w:hAnsiTheme="minorHAnsi" w:cs="Arial"/>
          <w:color w:val="000000" w:themeColor="text1"/>
          <w:sz w:val="24"/>
          <w:szCs w:val="24"/>
        </w:rPr>
        <w:t>, written as K</w:t>
      </w:r>
      <w:r w:rsidRPr="00414C04">
        <w:rPr>
          <w:rFonts w:asciiTheme="minorHAnsi" w:hAnsiTheme="minorHAnsi" w:cs="Arial"/>
          <w:color w:val="000000" w:themeColor="text1"/>
          <w:sz w:val="24"/>
          <w:szCs w:val="24"/>
          <w:vertAlign w:val="subscript"/>
        </w:rPr>
        <w:t>i</w:t>
      </w:r>
      <w:r w:rsidRPr="00414C04">
        <w:rPr>
          <w:rFonts w:asciiTheme="minorHAnsi" w:hAnsiTheme="minorHAnsi" w:cs="Arial"/>
          <w:color w:val="000000" w:themeColor="text1"/>
          <w:sz w:val="24"/>
          <w:szCs w:val="24"/>
        </w:rPr>
        <w:t xml:space="preserve"> in some previous publications </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{"citationID":"20uj58nntf","properties":{"formattedCitation":"{\\rtf \\super 7\\nosupersub{}}","plainCitation":"7"},"citationItems":[{"id":634,"uris":["http://zotero.org/users/178567/items/CIM5872F"],"uri":["http://zotero.org/users/178567/items/CIM5872F"],"itemData":{"id":634,"type":"article-journal","title":"Elevated striatal dopamine function linked to prodromal signs of schizophrenia","container-title":"Archives of general psychiatry","page":"13","volume":"66","issue":"1","source":"Google Scholar","author":[{"family":"Howes","given":"O.D."},{"family":"Montgomery","given":"A.J."},{"family":"Asselin","given":"M.C."},{"family":"Murray","given":"R.M."},{"family":"Valli","given":"I."},{"family":"Tabraham","given":"P."},{"family":"Bramon-Bosch","given":"E."},{"family":"Valmaggia","given":"L."},{"family":"Johns","given":"L."},{"family":"Broome","given":"M."},{"family":"others","given":""}],"issued":{"date-parts":[["2009"]]}}}],"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7</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was calculated compared with uptake in the reference region using the Patlak-Gjedde graphical approach adapted for a reference tissue input function </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{"citationID":"164rji3flj","properties":{"formattedCitation":"{\\rtf \\super 6\\nosupersub{}}","plainCitation":"6"},"citationItems":[{"id":896,"uris":["http://zotero.org/users/178567/items/H73WEBAA"],"uri":["http://zotero.org/users/178567/items/H73WEBAA"],"itemData":{"id":896,"type":"article-journal","title":"The test-retest reliability of 18F-DOPA PET in assessing striatal and extrastriatal presynaptic dopaminergic function","container-title":"NeuroImage","page":"524-531","volume":"50","issue":"2","source":"PubMed Central","abstract":"Brain presynaptic dopaminergic function can be assessed using 18F-DOPA positron emission tomography (PET). Regional 18F-DOPA utilization may be used to index dopaminergic abnormalities over time or dopaminergic response to treatment in clinical populations. Such studies require prior knowledge of the stability of the 18F-DOPA signal in the brain regions of interest. Test-retest reliability was examined in eight healthy volunteers who each received two 18F-DOPA PET scans, approximately two years apart. 18F-DOPA utilization (kicer) was determined using graphical analysis relative to a reference tissue input (). Reproducibility (measured as the within-subjects variation) and reliability (measured as intraclass correlation coefficients, ICCs), of 18F-DOPA kicer was assessed in the structural and functional subdivisions of the striatum and select extrastriatal brain regions. Voxel-based median ICC maps were used to visualize the distribution of 18F-DOPA kicer reliability across the brain. The caudate and putamen, and associative and sensorimotor, striatal subdivisions showed good reliability across the two scan sessions with bilateral ICCs ranging from 0.681 to 0.944. Reliability was generally lower in extrastriatal regions, with bilateral ICCs ranging from 0.235 in the amygdala to 0.894 in the thalamus. These data confirm the utility of 18F-DOPA PET in assessing dopaminergic function in the striatum and select extrastriatal areas, but highlight the limitations in using this approach to measure dopaminergic function in low uptake extrastriatal brain areas. This information can be used to optimize the experimental design of future studies investigating changes in brain dopaminergic function with 18F-DOPA.","DOI":"10.1016/j.neuroimage.2009.12.058","ISSN":"1053-8119","note":"PMID: 20034580\nPMCID: PMC4096947","journalAbbreviation":"Neuroimage","author":[{"family":"Egerton","given":"Alice"},{"family":"Demjaha","given":"Arsime"},{"family":"McGuire","given":"Philip"},{"family":"Mehta","given":"Mitul A."},{"family":"Howes","given":"Oliver D."}],"issued":{"date-parts":[["2010",4,1]]}}}],"schema":"https://github.com/citation-style-language/schema/raw/master/csl-citation.json"}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6</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A previous test/re-test study has shown this approach has good reliability </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{"citationID":"4mo4qp8s6","properties":{"formattedCitation":"{\\rtf \\super 6\\nosupersub{}}","plainCitation":"6"},"citationItems":[{"id":896,"uris":["http://zotero.org/users/178567/items/H73WEBAA"],"uri":["http://zotero.org/users/178567/items/H73WEBAA"],"itemData":{"id":896,"type":"article-journal","title":"The test-retest reliability of 18F-DOPA PET in assessing striatal and extrastriatal presynaptic dopaminergic function","container-title":"NeuroImage","page":"524-531","volume":"50","issue":"2","source":"PubMed Central","abstract":"Brain presynaptic dopaminergic function can be assessed using 18F-DOPA positron emission tomography (PET). Regional 18F-DOPA utilization may be used to index dopaminergic abnormalities over time or dopaminergic response to treatment in clinical populations. Such studies require prior knowledge of the stability of the 18F-DOPA signal in the brain regions of interest. Test-retest reliability was examined in eight healthy volunteers who each received two 18F-DOPA PET scans, approximately two years apart. 18F-DOPA utilization (kicer) was determined using graphical analysis relative to a reference tissue input (). Reproducibility (measured as the within-subjects variation) and reliability (measured as intraclass correlation coefficients, ICCs), of 18F-DOPA kicer was assessed in the structural and functional subdivisions of the striatum and select extrastriatal brain regions. Voxel-based median ICC maps were used to visualize the distribution of 18F-DOPA kicer reliability across the brain. The caudate and putamen, and associative and sensorimotor, striatal subdivisions showed good reliability across the two scan sessions with bilateral ICCs ranging from 0.681 to 0.944. Reliability was generally lower in extrastriatal regions, with bilateral ICCs ranging from 0.235 in the amygdala to 0.894 in the thalamus. These data confirm the utility of 18F-DOPA PET in assessing dopaminergic function in the striatum and select extrastriatal areas, but highlight the limitations in using this approach to measure dopaminergic function in low uptake extrastriatal brain areas. This information can be used to optimize the experimental design of future studies investigating changes in brain dopaminergic function with 18F-DOPA.","DOI":"10.1016/j.neuroimage.2009.12.058","ISSN":"1053-8119","note":"PMID: 20034580\nPMCID: PMC4096947","journalAbbreviation":"Neuroimage","author":[{"family":"Egerton","given":"Alice"},{"family":"Demjaha","given":"Arsime"},{"family":"McGuire","given":"Philip"},{"family":"Mehta","given":"Mitul A."},{"family":"Howes","given":"Oliver D."}],"issued":{"date-parts":[["2010",4,1]]}}}],"schema":"https://github.com/citation-style-language/schema/raw/master/csl-citation.json"}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6</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Further details of the image </w:t>
      </w:r>
      <w:r w:rsidRPr="00414C04">
        <w:rPr>
          <w:rFonts w:asciiTheme="minorHAnsi" w:hAnsiTheme="minorHAnsi" w:cs="Arial"/>
          <w:color w:val="000000" w:themeColor="text1"/>
          <w:sz w:val="24"/>
          <w:szCs w:val="24"/>
        </w:rPr>
        <w:lastRenderedPageBreak/>
        <w:t>analysis approach are given in Bloomfield et al</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{"citationID":"2g7d9gnls7","properties":{"formattedCitation":"{\\rtf \\super 2\\nosupersub{}}","plainCitation":"2"},"citationItems":[{"id":592,"uris":["http://zotero.org/users/178567/items/BXTNEEPI"],"uri":["http://zotero.org/users/178567/items/BXTNEEPI"],"itemData":{"id":592,"type":"article-journal","title":"Dopamine function in cigarette smokers: an [¹⁸F]-DOPA PET study","container-title":"Neuropsychopharmacology: Official Publication of the American College of Neuropsychopharmacology","page":"2397-2404","volume":"39","issue":"10","source":"NCBI PubMed","abstract":"Tobacco addiction is a global public health problem. Addiction to tobacco is thought to involve the effects of nicotine on the dopaminergic system. Only one study has previously investigated dopamine synthesis capacity in cigarette smokers. This study, exclusively in male volunteers, reported increased dopamine synthesis capacity in heavy smokers compared with non-smokers. We sought to determine whether dopamine synthesis capacity was elevated in a larger sample of cigarette smokers that included females. Dopamine synthesis capacity was measured in 15 daily moderate smokers with 15 sex- and age-matched control subjects who had never smoked tobacco. Dopamine synthesis capacity (indexed as the influx rate constant K(i)(cer)) was measured with positron emission tomography and 3,4-dihydroxy-6-[(18)F]-fluoro-l-phenylalanine. There was no significant group difference in dopamine synthesis capacity between smokers and non-smoker controls in the whole striatum (t28=0.64, p=0.53) or any of its functional subdivisions. In smokers, there were no significant relationships between the number of cigarettes smoked per day and dopamine synthesis capacity in the whole striatum (r=-0.23, p=0.41) or any striatal subdivision. These findings indicate that moderate smoking is not associated with altered striatal dopamine synthesis capacity.","DOI":"10.1038/npp.2014.87","ISSN":"1740-634X","note":"PMID: 24718373 \nPMCID: PMC4138749","shortTitle":"Dopamine function in cigarette smokers","journalAbbreviation":"Neuropsychopharmacology","language":"eng","author":[{"family":"Bloomfield","given":"Michael A. P."},{"family":"Pepper","given":"Fiona"},{"family":"Egerton","given":"Alice"},{"family":"Demjaha","given":"Arsime"},{"family":"Tomasi","given":"Gianpaolo"},{"family":"Mouchlianitis","given":"Elias"},{"family":"Maximen","given":"Levi"},{"family":"Veronese","given":"Mattia"},{"family":"Turkheimer","given":"Federico"},{"family":"Selvaraj","given":"Sudhakar"},{"family":"Howes","given":"Oliver D."}],"issued":{"date-parts":[["2014",9]]}}}],"schema":"https://github.com/citation-style-language/schema/raw/master/csl-citation.json"}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2</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w:t>
      </w:r>
      <w:r w:rsidR="0058027E" w:rsidRPr="00414C04">
        <w:rPr>
          <w:rFonts w:asciiTheme="minorHAnsi" w:hAnsiTheme="minorHAnsi" w:cs="Arial"/>
          <w:color w:val="000000" w:themeColor="text1"/>
          <w:sz w:val="24"/>
          <w:szCs w:val="24"/>
        </w:rPr>
        <w:t xml:space="preserve"> </w:t>
      </w:r>
    </w:p>
    <w:p w14:paraId="094F2810" w14:textId="77D56ABB" w:rsidR="0058027E" w:rsidRPr="00414C04" w:rsidRDefault="0058027E" w:rsidP="0058027E">
      <w:pPr>
        <w:spacing w:line="480" w:lineRule="auto"/>
        <w:jc w:val="both"/>
        <w:rPr>
          <w:rFonts w:asciiTheme="minorHAnsi" w:hAnsiTheme="minorHAnsi"/>
          <w:sz w:val="24"/>
          <w:szCs w:val="24"/>
        </w:rPr>
      </w:pPr>
      <w:r w:rsidRPr="00414C04">
        <w:rPr>
          <w:rFonts w:asciiTheme="minorHAnsi" w:hAnsiTheme="minorHAnsi"/>
          <w:sz w:val="24"/>
          <w:szCs w:val="24"/>
        </w:rPr>
        <w:t>Though the reference region approach is robust to global differences in radiotracer delivery to the brain</w:t>
      </w:r>
      <w:r w:rsidRPr="00414C04">
        <w:rPr>
          <w:rFonts w:asciiTheme="minorHAnsi" w:hAnsiTheme="minorHAnsi"/>
          <w:sz w:val="24"/>
          <w:szCs w:val="24"/>
        </w:rPr>
        <w:fldChar w:fldCharType="begin"/>
      </w:r>
      <w:r w:rsidR="00EA79E8">
        <w:rPr>
          <w:rFonts w:asciiTheme="minorHAnsi" w:hAnsiTheme="minorHAnsi"/>
          <w:sz w:val="24"/>
          <w:szCs w:val="24"/>
        </w:rPr>
        <w:instrText xml:space="preserve"> ADDIN ZOTERO_ITEM CSL_CITATION {"citationID":"elcr328vo","properties":{"formattedCitation":"{\\rtf \\super 9\\nosupersub{}}","plainCitation":"9"},"citationItems":[{"id":224,"uris":["http://zotero.org/users/178567/items/63C3JGVU"],"uri":["http://zotero.org/users/178567/items/63C3JGVU"],"itemData":{"id":224,"type":"article-journal","title":"PET studies of cerebral levodopa metabolism: a review of clinical findings and modeling approaches","container-title":"The Neuroscientist","source":"Google Scholar","URL":"http://nro.sagepub.com/content/early/2009/09/29/1073858409338217.short","shortTitle":"PET studies of cerebral levodopa metabolism","author":[{"family":"Kumakura","given":"Yoshitaka"},{"family":"Cumming","given":"Paul"}],"issued":{"date-parts":[["2009"]]},"accessed":{"date-parts":[["2015",3,9]]}}}],"schema":"https://github.com/citation-style-language/schema/raw/master/csl-citation.json"} </w:instrText>
      </w:r>
      <w:r w:rsidRPr="00414C04">
        <w:rPr>
          <w:rFonts w:asciiTheme="minorHAnsi" w:hAnsiTheme="minorHAnsi"/>
          <w:sz w:val="24"/>
          <w:szCs w:val="24"/>
        </w:rPr>
        <w:fldChar w:fldCharType="separate"/>
      </w:r>
      <w:r w:rsidR="00EA79E8" w:rsidRPr="00EA79E8">
        <w:rPr>
          <w:rFonts w:ascii="Calibri" w:eastAsia="Times New Roman" w:hAnsiTheme="minorHAnsi" w:cs="Times New Roman"/>
          <w:sz w:val="24"/>
          <w:vertAlign w:val="superscript"/>
        </w:rPr>
        <w:t>9</w:t>
      </w:r>
      <w:r w:rsidRPr="00414C04">
        <w:rPr>
          <w:rFonts w:asciiTheme="minorHAnsi" w:hAnsiTheme="minorHAnsi"/>
          <w:sz w:val="24"/>
          <w:szCs w:val="24"/>
        </w:rPr>
        <w:fldChar w:fldCharType="end"/>
      </w:r>
      <w:r w:rsidRPr="00414C04">
        <w:rPr>
          <w:rFonts w:asciiTheme="minorHAnsi" w:hAnsiTheme="minorHAnsi"/>
          <w:sz w:val="24"/>
          <w:szCs w:val="24"/>
        </w:rPr>
        <w:t xml:space="preserve">, we examined the reference region (cerebellum) to see whether there was any change in standardized uptake value (SUV) in the cerebellum at 95 minutes. </w:t>
      </w:r>
    </w:p>
    <w:p w14:paraId="3CC0ABC7" w14:textId="77777777" w:rsidR="00930E19" w:rsidRPr="00414C04" w:rsidRDefault="009421CB" w:rsidP="00EB5BFA">
      <w:pPr>
        <w:widowControl w:val="0"/>
        <w:autoSpaceDE w:val="0"/>
        <w:autoSpaceDN w:val="0"/>
        <w:adjustRightInd w:val="0"/>
        <w:spacing w:after="0" w:line="480" w:lineRule="auto"/>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Striatal volume measures were derived from the atlas based segmentation as the number of voxels in the striatal region times the volume of a single PET image voxel (</w:t>
      </w:r>
      <w:proofErr w:type="spellStart"/>
      <w:r w:rsidRPr="00414C04">
        <w:rPr>
          <w:rFonts w:asciiTheme="minorHAnsi" w:hAnsiTheme="minorHAnsi" w:cs="Arial"/>
          <w:color w:val="000000" w:themeColor="text1"/>
          <w:sz w:val="24"/>
          <w:szCs w:val="24"/>
        </w:rPr>
        <w:t>voxel</w:t>
      </w:r>
      <w:proofErr w:type="spellEnd"/>
      <w:r w:rsidRPr="00414C04">
        <w:rPr>
          <w:rFonts w:asciiTheme="minorHAnsi" w:hAnsiTheme="minorHAnsi" w:cs="Arial"/>
          <w:color w:val="000000" w:themeColor="text1"/>
          <w:sz w:val="24"/>
          <w:szCs w:val="24"/>
        </w:rPr>
        <w:t xml:space="preserve"> volume = 2.05mm x 2.05mm x 2mm = 8.41mm</w:t>
      </w:r>
      <w:r w:rsidRPr="00414C04">
        <w:rPr>
          <w:rFonts w:asciiTheme="minorHAnsi" w:hAnsiTheme="minorHAnsi" w:cs="Arial"/>
          <w:color w:val="000000" w:themeColor="text1"/>
          <w:sz w:val="24"/>
          <w:szCs w:val="24"/>
          <w:vertAlign w:val="superscript"/>
        </w:rPr>
        <w:t>3</w:t>
      </w:r>
      <w:r w:rsidRPr="00414C04">
        <w:rPr>
          <w:rFonts w:asciiTheme="minorHAnsi" w:hAnsiTheme="minorHAnsi" w:cs="Arial"/>
          <w:color w:val="000000" w:themeColor="text1"/>
          <w:sz w:val="24"/>
          <w:szCs w:val="24"/>
        </w:rPr>
        <w:t xml:space="preserve">). This analysis was </w:t>
      </w:r>
      <w:r w:rsidR="006C54F7" w:rsidRPr="00414C04">
        <w:rPr>
          <w:rFonts w:asciiTheme="minorHAnsi" w:hAnsiTheme="minorHAnsi" w:cs="Arial"/>
          <w:color w:val="000000" w:themeColor="text1"/>
          <w:sz w:val="24"/>
          <w:szCs w:val="24"/>
        </w:rPr>
        <w:t>undertaken</w:t>
      </w:r>
      <w:r w:rsidRPr="00414C04">
        <w:rPr>
          <w:rFonts w:asciiTheme="minorHAnsi" w:hAnsiTheme="minorHAnsi" w:cs="Arial"/>
          <w:color w:val="000000" w:themeColor="text1"/>
          <w:sz w:val="24"/>
          <w:szCs w:val="24"/>
        </w:rPr>
        <w:t xml:space="preserve"> to investigate the possible presence of partial volume differences between groups. </w:t>
      </w:r>
    </w:p>
    <w:p w14:paraId="468AD373" w14:textId="77777777" w:rsidR="009421CB" w:rsidRPr="00414C04" w:rsidRDefault="009421CB" w:rsidP="00EB5BFA">
      <w:pPr>
        <w:widowControl w:val="0"/>
        <w:autoSpaceDE w:val="0"/>
        <w:autoSpaceDN w:val="0"/>
        <w:adjustRightInd w:val="0"/>
        <w:spacing w:after="0" w:line="480" w:lineRule="auto"/>
        <w:jc w:val="both"/>
        <w:rPr>
          <w:rFonts w:asciiTheme="minorHAnsi" w:hAnsiTheme="minorHAnsi" w:cs="Arial"/>
          <w:color w:val="000000" w:themeColor="text1"/>
          <w:sz w:val="24"/>
          <w:szCs w:val="24"/>
        </w:rPr>
      </w:pPr>
    </w:p>
    <w:p w14:paraId="56DEBAAB" w14:textId="77777777" w:rsidR="00137617" w:rsidRPr="00414C04" w:rsidRDefault="00B24CDB" w:rsidP="00137617">
      <w:pPr>
        <w:spacing w:line="480" w:lineRule="auto"/>
        <w:outlineLvl w:val="0"/>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PET parametric mapping</w:t>
      </w:r>
    </w:p>
    <w:p w14:paraId="39AC0E6F" w14:textId="7B8B0155" w:rsidR="004417B9" w:rsidRPr="00414C04" w:rsidRDefault="00B24CDB" w:rsidP="00137617">
      <w:pPr>
        <w:spacing w:line="480" w:lineRule="auto"/>
        <w:outlineLvl w:val="0"/>
        <w:rPr>
          <w:rFonts w:asciiTheme="minorHAnsi" w:hAnsiTheme="minorHAnsi" w:cs="Arial"/>
          <w:i/>
          <w:color w:val="000000" w:themeColor="text1"/>
          <w:sz w:val="24"/>
          <w:szCs w:val="24"/>
        </w:rPr>
      </w:pPr>
      <w:r w:rsidRPr="00414C04">
        <w:rPr>
          <w:rFonts w:asciiTheme="minorHAnsi" w:hAnsiTheme="minorHAnsi" w:cs="Arial"/>
          <w:color w:val="000000" w:themeColor="text1"/>
          <w:sz w:val="24"/>
          <w:szCs w:val="24"/>
        </w:rPr>
        <w:t>We implemented a previously established method</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{"citationID":"dlkl6ge0e","properties":{"formattedCitation":"{\\rtf \\super 10\\nosupersub{}}","plainCitation":"10"},"citationItems":[{"id":1018,"uris":["http://zotero.org/users/178567/items/JDN65CFG"],"uri":["http://zotero.org/users/178567/items/JDN65CFG"],"itemData":{"id":1018,"type":"article-journal","title":"Dopamine synthesis capacity before onset of psychosis: a prospective [18F]-DOPA PET imaging study","container-title":"The American Journal of Psychiatry","page":"1311-1317","volume":"168","issue":"12","source":"NCBI PubMed","abstract":"OBJECTIVE\n\nWhile there is robust evidence of elevated dopamine synthesis capacity once a psychotic disorder has developed, little is known about whether it is altered prior to the first episode of frank illness. The authors addressed this issue by measuring dopamine synthesis capacity in individuals at ultra-high risk of psychosis and then following them to determine their clinical outcome.\n\n\nMETHOD\n\nThis prospective study included 30 patients who met standard criteria for being at ultra-high risk of psychosis and 29 healthy volunteers. Participants were scanned using [(18)F]6-fluoro-L-dopa positron emission tomography. The ultra-high-risk patients were scanned at presentation and followed up for at least 3 years to determine their clinical outcome. Six patients had comorbid schizotypal personality disorder and were excluded from the analysis (data are provided for comparison). Of the remaining patients, nine developed a psychotic disorder (psychotic transition group) and 15 did not (nontransition group).\n\n\nRESULTS\n\nThere was a significant effect of group on striatal dopamine synthesis capacity. The psychotic transition group had greater dopamine synthesis capacity in the striatum (effect size=1.18) and its associative subdivision (effect size=1.24) than did the healthy comparison subjects and showed a positive correlation between dopamine synthesis capacity and symptom severity. Dopamine synthesis capacity was also significantly greater in the psychotic transition group than in the nontransition group.\n\n\nCONCLUSIONS\n\nThese findings provide evidence that the onset of frank psychosis is preceded by presynaptic dopaminergic dysfunction. Further research is needed to determine the specificity of elevated dopamine synthesis capacity to particular psychotic disorders.","DOI":"10.1176/appi.ajp.2011.11010160","ISSN":"1535-7228","note":"PMID: 21768612","shortTitle":"Dopamine synthesis capacity before onset of psychosis","journalAbbreviation":"Am J Psychiatry","author":[{"family":"Howes","given":"Oliver D"},{"family":"Bose","given":"Subrata K"},{"family":"Turkheimer","given":"Federico"},{"family":"Valli","given":"Isabel"},{"family":"Egerton","given":"Alice"},{"family":"Valmaggia","given":"Lucia R"},{"family":"Murray","given":"Robin M"},{"family":"McGuire","given":"Philip"}],"issued":{"date-parts":[["2011",12]]}}}],"schema":"https://github.com/citation-style-language/schema/raw/master/csl-citation.json"}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10</w:t>
      </w:r>
      <w:r w:rsidRPr="00414C04">
        <w:rPr>
          <w:rFonts w:asciiTheme="minorHAnsi" w:hAnsiTheme="minorHAnsi" w:cs="Arial"/>
          <w:color w:val="000000" w:themeColor="text1"/>
          <w:sz w:val="24"/>
          <w:szCs w:val="24"/>
        </w:rPr>
        <w:fldChar w:fldCharType="end"/>
      </w:r>
      <w:r w:rsidR="00137617" w:rsidRPr="00414C04">
        <w:rPr>
          <w:rFonts w:asciiTheme="minorHAnsi" w:hAnsiTheme="minorHAnsi" w:cs="Arial"/>
          <w:color w:val="000000" w:themeColor="text1"/>
          <w:sz w:val="24"/>
          <w:szCs w:val="24"/>
        </w:rPr>
        <w:t xml:space="preserve"> in which</w:t>
      </w:r>
      <w:r w:rsidRPr="00414C04">
        <w:rPr>
          <w:rFonts w:asciiTheme="minorHAnsi" w:hAnsiTheme="minorHAnsi" w:cs="Arial"/>
          <w:color w:val="000000" w:themeColor="text1"/>
          <w:sz w:val="24"/>
          <w:szCs w:val="24"/>
        </w:rPr>
        <w:t xml:space="preserve"> K</w:t>
      </w:r>
      <w:r w:rsidRPr="00414C04">
        <w:rPr>
          <w:rFonts w:asciiTheme="minorHAnsi" w:hAnsiTheme="minorHAnsi" w:cs="Arial"/>
          <w:color w:val="000000" w:themeColor="text1"/>
          <w:sz w:val="24"/>
          <w:szCs w:val="24"/>
          <w:vertAlign w:val="subscript"/>
        </w:rPr>
        <w:t>i</w:t>
      </w:r>
      <w:r w:rsidRPr="00414C04">
        <w:rPr>
          <w:rFonts w:asciiTheme="minorHAnsi" w:hAnsiTheme="minorHAnsi" w:cs="Arial"/>
          <w:color w:val="000000" w:themeColor="text1"/>
          <w:sz w:val="24"/>
          <w:szCs w:val="24"/>
          <w:vertAlign w:val="superscript"/>
        </w:rPr>
        <w:t>cer</w:t>
      </w:r>
      <w:r w:rsidRPr="00414C04">
        <w:rPr>
          <w:rFonts w:asciiTheme="minorHAnsi" w:hAnsiTheme="minorHAnsi" w:cs="Arial"/>
          <w:color w:val="000000" w:themeColor="text1"/>
          <w:sz w:val="24"/>
          <w:szCs w:val="24"/>
        </w:rPr>
        <w:t xml:space="preserve"> parametric images of the brain were constructed from motion-corrected images using a wavelet-based approach</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{"citationID":"2iceuon4vc","properties":{"formattedCitation":"{\\rtf \\super 11\\nosupersub{}}","plainCitation":"11"},"citationItems":[{"id":1088,"uris":["http://zotero.org/users/178567/items/KHMB4AFP"],"uri":["http://zotero.org/users/178567/items/KHMB4AFP"],"itemData":{"id":1088,"type":"article-journal","title":"Multi-resolution Bayesian regression in PET dynamic studies using wavelets","container-title":"NeuroImage","page":"111-121","volume":"32","issue":"1","source":"ScienceDirect","abstract":"In the kinetic analysis of dynamic PET data, one usually posits that the variation of the data through one dimension, time, can be described by a mathematical model encapsulating the relevant physiological features of the radioactive tracer. In this work, we posit that the remaining dimension, space, can also be modeled as a physiological feature, and we introduce this concept into a new computational procedure for the production of parametric maps. An organ and, in the instance considered here, the brain presents similarities in the physiological properties of its elements across scales: computationally, this similarity can be implemented in two stages. Firstly, a multi-scale decomposition of the dynamic frames is created through the wavelet transform. Secondly, kinetic analysis is performed in wavelet space and the kinetic parameters estimated at low resolution are used as priors to inform estimates at higher resolutions.\n\nKinetic analysis in the above scheme is achieved by extension of the Patlak analysis through Bayesian linear regression that retains the simplicity and speed of the original procedure. Application to artificial and real data (FDG and FDOPA) demonstrates the ability of the procedure to reduce remarkably the variance of parametric maps (up to 4-fold reduction) without introducing sizeable bias. Significance of the methodology and extension of the procedure to other data (fMRI) and models are discussed.","DOI":"10.1016/j.neuroimage.2006.03.002","ISSN":"1053-8119","journalAbbreviation":"NeuroImage","author":[{"family":"Turkheimer","given":"F. E."},{"family":"Aston","given":"J. A. D."},{"family":"Asselin","given":"M. -C."},{"family":"Hinz","given":"R."}],"issued":{"date-parts":[["2006",8,1]]}}}],"schema":"https://github.com/citation-style-language/schema/raw/master/csl-citation.json"}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11</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The parametric image for each participant was then normalized into Montreal Neurological Institute standard space (matrix dimension: 91x109x91; voxel size: 2mm isotropic) using the participant’s PET summation image and the </w:t>
      </w:r>
      <w:r w:rsidRPr="00414C04">
        <w:rPr>
          <w:rFonts w:asciiTheme="minorHAnsi" w:hAnsiTheme="minorHAnsi" w:cs="Arial"/>
          <w:color w:val="000000" w:themeColor="text1"/>
          <w:sz w:val="24"/>
          <w:szCs w:val="24"/>
          <w:vertAlign w:val="superscript"/>
        </w:rPr>
        <w:t>18</w:t>
      </w:r>
      <w:r w:rsidRPr="00414C04">
        <w:rPr>
          <w:rFonts w:asciiTheme="minorHAnsi" w:hAnsiTheme="minorHAnsi" w:cs="Arial"/>
          <w:color w:val="000000" w:themeColor="text1"/>
          <w:sz w:val="24"/>
          <w:szCs w:val="24"/>
        </w:rPr>
        <w:t>F-DOPA template. Statistical parametric mapping was conducted using SPM8 using a striatal mask</w:t>
      </w:r>
      <w:r w:rsidRPr="00414C04">
        <w:rPr>
          <w:rFonts w:asciiTheme="minorHAnsi" w:hAnsiTheme="minorHAnsi" w:cs="Arial"/>
          <w:color w:val="000000" w:themeColor="text1"/>
          <w:sz w:val="24"/>
          <w:szCs w:val="24"/>
        </w:rPr>
        <w:fldChar w:fldCharType="begin"/>
      </w:r>
      <w:r w:rsidR="00EA79E8">
        <w:rPr>
          <w:rFonts w:asciiTheme="minorHAnsi" w:hAnsiTheme="minorHAnsi" w:cs="Arial"/>
          <w:color w:val="000000" w:themeColor="text1"/>
          <w:sz w:val="24"/>
          <w:szCs w:val="24"/>
        </w:rPr>
        <w:instrText xml:space="preserve"> ADDIN ZOTERO_ITEM CSL_CITATION {"citationID":"Zm0Rrlm2","properties":{"formattedCitation":"{\\rtf \\super 10\\nosupersub{}}","plainCitation":"10"},"citationItems":[{"id":1018,"uris":["http://zotero.org/users/178567/items/JDN65CFG"],"uri":["http://zotero.org/users/178567/items/JDN65CFG"],"itemData":{"id":1018,"type":"article-journal","title":"Dopamine synthesis capacity before onset of psychosis: a prospective [18F]-DOPA PET imaging study","container-title":"The American Journal of Psychiatry","page":"1311-1317","volume":"168","issue":"12","source":"NCBI PubMed","abstract":"OBJECTIVE\n\nWhile there is robust evidence of elevated dopamine synthesis capacity once a psychotic disorder has developed, little is known about whether it is altered prior to the first episode of frank illness. The authors addressed this issue by measuring dopamine synthesis capacity in individuals at ultra-high risk of psychosis and then following them to determine their clinical outcome.\n\n\nMETHOD\n\nThis prospective study included 30 patients who met standard criteria for being at ultra-high risk of psychosis and 29 healthy volunteers. Participants were scanned using [(18)F]6-fluoro-L-dopa positron emission tomography. The ultra-high-risk patients were scanned at presentation and followed up for at least 3 years to determine their clinical outcome. Six patients had comorbid schizotypal personality disorder and were excluded from the analysis (data are provided for comparison). Of the remaining patients, nine developed a psychotic disorder (psychotic transition group) and 15 did not (nontransition group).\n\n\nRESULTS\n\nThere was a significant effect of group on striatal dopamine synthesis capacity. The psychotic transition group had greater dopamine synthesis capacity in the striatum (effect size=1.18) and its associative subdivision (effect size=1.24) than did the healthy comparison subjects and showed a positive correlation between dopamine synthesis capacity and symptom severity. Dopamine synthesis capacity was also significantly greater in the psychotic transition group than in the nontransition group.\n\n\nCONCLUSIONS\n\nThese findings provide evidence that the onset of frank psychosis is preceded by presynaptic dopaminergic dysfunction. Further research is needed to determine the specificity of elevated dopamine synthesis capacity to particular psychotic disorders.","DOI":"10.1176/appi.ajp.2011.11010160","ISSN":"1535-7228","note":"PMID: 21768612","shortTitle":"Dopamine synthesis capacity before onset of psychosis","journalAbbreviation":"Am J Psychiatry","author":[{"family":"Howes","given":"Oliver D"},{"family":"Bose","given":"Subrata K"},{"family":"Turkheimer","given":"Federico"},{"family":"Valli","given":"Isabel"},{"family":"Egerton","given":"Alice"},{"family":"Valmaggia","given":"Lucia R"},{"family":"Murray","given":"Robin M"},{"family":"McGuire","given":"Philip"}],"issued":{"date-parts":[["2011",12]]}}}],"schema":"https://github.com/citation-style-language/schema/raw/master/csl-citation.json"} </w:instrText>
      </w:r>
      <w:r w:rsidRPr="00414C04">
        <w:rPr>
          <w:rFonts w:asciiTheme="minorHAnsi" w:hAnsiTheme="minorHAnsi" w:cs="Arial"/>
          <w:color w:val="000000" w:themeColor="text1"/>
          <w:sz w:val="24"/>
          <w:szCs w:val="24"/>
        </w:rPr>
        <w:fldChar w:fldCharType="separate"/>
      </w:r>
      <w:r w:rsidR="00EA79E8" w:rsidRPr="00EA79E8">
        <w:rPr>
          <w:rFonts w:ascii="Calibri" w:eastAsia="Times New Roman" w:hAnsiTheme="minorHAnsi" w:cs="Times New Roman"/>
          <w:color w:val="000000"/>
          <w:sz w:val="24"/>
          <w:vertAlign w:val="superscript"/>
        </w:rPr>
        <w:t>10</w:t>
      </w:r>
      <w:r w:rsidRPr="00414C04">
        <w:rPr>
          <w:rFonts w:asciiTheme="minorHAnsi" w:hAnsiTheme="minorHAnsi" w:cs="Arial"/>
          <w:color w:val="000000" w:themeColor="text1"/>
          <w:sz w:val="24"/>
          <w:szCs w:val="24"/>
        </w:rPr>
        <w:fldChar w:fldCharType="end"/>
      </w:r>
      <w:r w:rsidRPr="00414C04">
        <w:rPr>
          <w:rFonts w:asciiTheme="minorHAnsi" w:hAnsiTheme="minorHAnsi" w:cs="Arial"/>
          <w:color w:val="000000" w:themeColor="text1"/>
          <w:sz w:val="24"/>
          <w:szCs w:val="24"/>
        </w:rPr>
        <w:t xml:space="preserve"> to compare striatal dopamine synthesis capacity between responders and non-responders using an independent t-test. Results are presented corrected for multiple comparisons as applied in SPM8 (family wise error rate (FWE) corrected).</w:t>
      </w:r>
    </w:p>
    <w:p w14:paraId="18B289C6" w14:textId="77777777" w:rsidR="0086141F" w:rsidRPr="00414C04" w:rsidRDefault="0086141F" w:rsidP="00EB5BFA">
      <w:pPr>
        <w:spacing w:line="480" w:lineRule="auto"/>
        <w:rPr>
          <w:rFonts w:asciiTheme="minorHAnsi" w:hAnsiTheme="minorHAnsi" w:cs="Arial"/>
          <w:b/>
          <w:color w:val="000000" w:themeColor="text1"/>
          <w:sz w:val="24"/>
          <w:szCs w:val="24"/>
        </w:rPr>
      </w:pPr>
    </w:p>
    <w:p w14:paraId="145C356B" w14:textId="77777777" w:rsidR="0086141F" w:rsidRPr="00414C04" w:rsidRDefault="0086141F" w:rsidP="00EB5BFA">
      <w:pPr>
        <w:spacing w:line="480" w:lineRule="auto"/>
        <w:rPr>
          <w:rFonts w:asciiTheme="minorHAnsi" w:hAnsiTheme="minorHAnsi" w:cs="Arial"/>
          <w:b/>
          <w:color w:val="000000" w:themeColor="text1"/>
          <w:sz w:val="24"/>
          <w:szCs w:val="24"/>
        </w:rPr>
      </w:pPr>
    </w:p>
    <w:p w14:paraId="3079FE19" w14:textId="77777777" w:rsidR="00E91255" w:rsidRPr="00414C04" w:rsidRDefault="00E91255" w:rsidP="00EB5BFA">
      <w:pPr>
        <w:spacing w:line="480" w:lineRule="auto"/>
        <w:rPr>
          <w:rFonts w:asciiTheme="minorHAnsi" w:hAnsiTheme="minorHAnsi" w:cs="Arial"/>
          <w:b/>
          <w:color w:val="000000" w:themeColor="text1"/>
          <w:sz w:val="24"/>
          <w:szCs w:val="24"/>
        </w:rPr>
      </w:pPr>
    </w:p>
    <w:p w14:paraId="5315CFB6" w14:textId="77777777" w:rsidR="00E91255" w:rsidRPr="00414C04" w:rsidRDefault="00E91255" w:rsidP="00EB5BFA">
      <w:pPr>
        <w:spacing w:line="480" w:lineRule="auto"/>
        <w:rPr>
          <w:rFonts w:asciiTheme="minorHAnsi" w:hAnsiTheme="minorHAnsi" w:cs="Arial"/>
          <w:b/>
          <w:color w:val="000000" w:themeColor="text1"/>
          <w:sz w:val="24"/>
          <w:szCs w:val="24"/>
        </w:rPr>
      </w:pPr>
    </w:p>
    <w:p w14:paraId="538B47C7" w14:textId="77777777" w:rsidR="00371468" w:rsidRPr="00414C04" w:rsidRDefault="00371468" w:rsidP="00EB5BFA">
      <w:pP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lastRenderedPageBreak/>
        <w:t>SUPPLEMENTARY TABLES</w:t>
      </w:r>
    </w:p>
    <w:p w14:paraId="214D799B" w14:textId="77777777" w:rsidR="00AE6A08" w:rsidRPr="00414C04" w:rsidRDefault="00AF3411" w:rsidP="00EB5BFA">
      <w:pP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 xml:space="preserve">Supplementary </w:t>
      </w:r>
      <w:r w:rsidR="00AE6A08" w:rsidRPr="00414C04">
        <w:rPr>
          <w:rFonts w:asciiTheme="minorHAnsi" w:hAnsiTheme="minorHAnsi" w:cs="Arial"/>
          <w:b/>
          <w:color w:val="000000" w:themeColor="text1"/>
          <w:sz w:val="24"/>
          <w:szCs w:val="24"/>
        </w:rPr>
        <w:t>Table 1 Clinical variables in patient sample</w:t>
      </w:r>
    </w:p>
    <w:p w14:paraId="343F00C2" w14:textId="77777777" w:rsidR="00EA33C3" w:rsidRPr="00414C04" w:rsidRDefault="00EA33C3" w:rsidP="00EA33C3">
      <w:pPr>
        <w:jc w:val="both"/>
        <w:rPr>
          <w:rFonts w:asciiTheme="minorHAnsi" w:hAnsiTheme="minorHAnsi"/>
          <w:color w:val="000000" w:themeColor="text1"/>
          <w:sz w:val="24"/>
          <w:szCs w:val="24"/>
        </w:rPr>
      </w:pPr>
    </w:p>
    <w:tbl>
      <w:tblPr>
        <w:tblpPr w:leftFromText="180" w:rightFromText="180" w:vertAnchor="text" w:tblpY="1"/>
        <w:tblOverlap w:val="neve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1334"/>
        <w:gridCol w:w="1334"/>
        <w:gridCol w:w="1334"/>
        <w:gridCol w:w="1334"/>
        <w:gridCol w:w="1334"/>
        <w:gridCol w:w="1335"/>
      </w:tblGrid>
      <w:tr w:rsidR="00832C99" w:rsidRPr="00414C04" w14:paraId="30600BDD" w14:textId="77777777" w:rsidTr="00137617">
        <w:tc>
          <w:tcPr>
            <w:tcW w:w="1334" w:type="dxa"/>
          </w:tcPr>
          <w:p w14:paraId="700CD6F5"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Clinical</w:t>
            </w:r>
          </w:p>
          <w:p w14:paraId="379F75F5"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variable</w:t>
            </w:r>
          </w:p>
        </w:tc>
        <w:tc>
          <w:tcPr>
            <w:tcW w:w="2668" w:type="dxa"/>
            <w:gridSpan w:val="2"/>
          </w:tcPr>
          <w:p w14:paraId="7B7D02B4"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Total sample</w:t>
            </w:r>
          </w:p>
        </w:tc>
        <w:tc>
          <w:tcPr>
            <w:tcW w:w="2668" w:type="dxa"/>
            <w:gridSpan w:val="2"/>
          </w:tcPr>
          <w:p w14:paraId="05DDB745"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Responders</w:t>
            </w:r>
          </w:p>
        </w:tc>
        <w:tc>
          <w:tcPr>
            <w:tcW w:w="2669" w:type="dxa"/>
            <w:gridSpan w:val="2"/>
          </w:tcPr>
          <w:p w14:paraId="25CC798E"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Non-responders</w:t>
            </w:r>
          </w:p>
        </w:tc>
      </w:tr>
      <w:tr w:rsidR="00832C99" w:rsidRPr="00414C04" w14:paraId="27B960DE" w14:textId="77777777" w:rsidTr="00137617">
        <w:tc>
          <w:tcPr>
            <w:tcW w:w="1334" w:type="dxa"/>
          </w:tcPr>
          <w:p w14:paraId="6FB3D780" w14:textId="77777777" w:rsidR="00EA33C3" w:rsidRPr="00414C04" w:rsidRDefault="00EA33C3" w:rsidP="00690BA0">
            <w:pPr>
              <w:rPr>
                <w:rFonts w:asciiTheme="minorHAnsi" w:hAnsiTheme="minorHAnsi"/>
                <w:b/>
                <w:color w:val="000000" w:themeColor="text1"/>
                <w:sz w:val="24"/>
                <w:szCs w:val="24"/>
              </w:rPr>
            </w:pPr>
          </w:p>
        </w:tc>
        <w:tc>
          <w:tcPr>
            <w:tcW w:w="1334" w:type="dxa"/>
          </w:tcPr>
          <w:p w14:paraId="615F4EDF"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Baseline</w:t>
            </w:r>
          </w:p>
        </w:tc>
        <w:tc>
          <w:tcPr>
            <w:tcW w:w="1334" w:type="dxa"/>
          </w:tcPr>
          <w:p w14:paraId="2061A724"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Follow-up</w:t>
            </w:r>
          </w:p>
          <w:p w14:paraId="5D55D9A8" w14:textId="77777777" w:rsidR="00EA33C3" w:rsidRPr="00414C04" w:rsidRDefault="00EA33C3" w:rsidP="00690BA0">
            <w:pPr>
              <w:rPr>
                <w:rFonts w:asciiTheme="minorHAnsi" w:hAnsiTheme="minorHAnsi"/>
                <w:b/>
                <w:color w:val="000000" w:themeColor="text1"/>
                <w:sz w:val="24"/>
                <w:szCs w:val="24"/>
              </w:rPr>
            </w:pPr>
          </w:p>
        </w:tc>
        <w:tc>
          <w:tcPr>
            <w:tcW w:w="1334" w:type="dxa"/>
          </w:tcPr>
          <w:p w14:paraId="418BEA1B"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Baseline</w:t>
            </w:r>
          </w:p>
        </w:tc>
        <w:tc>
          <w:tcPr>
            <w:tcW w:w="1334" w:type="dxa"/>
          </w:tcPr>
          <w:p w14:paraId="2FA0F31D"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Follow-up</w:t>
            </w:r>
          </w:p>
        </w:tc>
        <w:tc>
          <w:tcPr>
            <w:tcW w:w="1334" w:type="dxa"/>
          </w:tcPr>
          <w:p w14:paraId="4C9B6930"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Baseline</w:t>
            </w:r>
          </w:p>
        </w:tc>
        <w:tc>
          <w:tcPr>
            <w:tcW w:w="1335" w:type="dxa"/>
          </w:tcPr>
          <w:p w14:paraId="011F457C"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Follow-up</w:t>
            </w:r>
          </w:p>
        </w:tc>
      </w:tr>
      <w:tr w:rsidR="00832C99" w:rsidRPr="00414C04" w14:paraId="2FB8043C" w14:textId="77777777" w:rsidTr="00137617">
        <w:tc>
          <w:tcPr>
            <w:tcW w:w="1334" w:type="dxa"/>
          </w:tcPr>
          <w:p w14:paraId="0DC5EEAF"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 xml:space="preserve">PANSS Positive </w:t>
            </w:r>
          </w:p>
        </w:tc>
        <w:tc>
          <w:tcPr>
            <w:tcW w:w="1334" w:type="dxa"/>
          </w:tcPr>
          <w:p w14:paraId="7D6259DE" w14:textId="77777777" w:rsidR="00F202BB" w:rsidRPr="00414C04" w:rsidRDefault="00EA33C3"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19.96 </w:t>
            </w:r>
          </w:p>
          <w:p w14:paraId="411E9B3D" w14:textId="77777777" w:rsidR="00EA33C3" w:rsidRPr="00414C04" w:rsidRDefault="00EA33C3"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(6.04)</w:t>
            </w:r>
          </w:p>
          <w:p w14:paraId="4E363F83" w14:textId="77777777" w:rsidR="00EA33C3" w:rsidRPr="00414C04" w:rsidRDefault="00EA33C3" w:rsidP="00690BA0">
            <w:pPr>
              <w:rPr>
                <w:rFonts w:asciiTheme="minorHAnsi" w:hAnsiTheme="minorHAnsi"/>
                <w:color w:val="000000" w:themeColor="text1"/>
                <w:sz w:val="24"/>
                <w:szCs w:val="24"/>
              </w:rPr>
            </w:pPr>
          </w:p>
        </w:tc>
        <w:tc>
          <w:tcPr>
            <w:tcW w:w="1334" w:type="dxa"/>
          </w:tcPr>
          <w:p w14:paraId="122F61F4" w14:textId="77777777" w:rsidR="00F202BB" w:rsidRPr="00414C04" w:rsidRDefault="00EA33C3"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14.12 </w:t>
            </w:r>
          </w:p>
          <w:p w14:paraId="3ECD8D8E" w14:textId="77777777" w:rsidR="00EA33C3" w:rsidRPr="00414C04" w:rsidRDefault="00EA33C3"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(5.89)</w:t>
            </w:r>
          </w:p>
          <w:p w14:paraId="6EBC581A" w14:textId="77777777" w:rsidR="00EA33C3" w:rsidRPr="00414C04" w:rsidRDefault="00EA33C3" w:rsidP="00690BA0">
            <w:pPr>
              <w:rPr>
                <w:rFonts w:asciiTheme="minorHAnsi" w:hAnsiTheme="minorHAnsi"/>
                <w:color w:val="000000" w:themeColor="text1"/>
                <w:sz w:val="24"/>
                <w:szCs w:val="24"/>
              </w:rPr>
            </w:pPr>
          </w:p>
        </w:tc>
        <w:tc>
          <w:tcPr>
            <w:tcW w:w="1334" w:type="dxa"/>
          </w:tcPr>
          <w:p w14:paraId="4A8CBD47" w14:textId="77777777" w:rsidR="00EA33C3" w:rsidRPr="00414C04" w:rsidRDefault="0060006B"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20.69</w:t>
            </w:r>
          </w:p>
          <w:p w14:paraId="144632EC" w14:textId="77777777" w:rsidR="00EA33C3" w:rsidRPr="00414C04" w:rsidRDefault="00EA33C3"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(7.6</w:t>
            </w:r>
            <w:r w:rsidR="00A42B8B" w:rsidRPr="00414C04">
              <w:rPr>
                <w:rFonts w:asciiTheme="minorHAnsi" w:hAnsiTheme="minorHAnsi"/>
                <w:color w:val="000000" w:themeColor="text1"/>
                <w:sz w:val="24"/>
                <w:szCs w:val="24"/>
              </w:rPr>
              <w:t>2</w:t>
            </w:r>
            <w:r w:rsidRPr="00414C04">
              <w:rPr>
                <w:rFonts w:asciiTheme="minorHAnsi" w:hAnsiTheme="minorHAnsi"/>
                <w:color w:val="000000" w:themeColor="text1"/>
                <w:sz w:val="24"/>
                <w:szCs w:val="24"/>
              </w:rPr>
              <w:t>)</w:t>
            </w:r>
          </w:p>
          <w:p w14:paraId="641C5150" w14:textId="77777777" w:rsidR="00EA33C3" w:rsidRPr="00414C04" w:rsidRDefault="00EA33C3" w:rsidP="00690BA0">
            <w:pPr>
              <w:rPr>
                <w:rFonts w:asciiTheme="minorHAnsi" w:hAnsiTheme="minorHAnsi"/>
                <w:color w:val="000000" w:themeColor="text1"/>
                <w:sz w:val="24"/>
                <w:szCs w:val="24"/>
              </w:rPr>
            </w:pPr>
          </w:p>
        </w:tc>
        <w:tc>
          <w:tcPr>
            <w:tcW w:w="1334" w:type="dxa"/>
          </w:tcPr>
          <w:p w14:paraId="2D685224" w14:textId="77777777" w:rsidR="00EA33C3" w:rsidRPr="00414C04" w:rsidRDefault="00CB04A6"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10.00</w:t>
            </w:r>
          </w:p>
          <w:p w14:paraId="1623EE05" w14:textId="77777777" w:rsidR="00EA33C3" w:rsidRPr="00414C04" w:rsidRDefault="00CB04A6"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(2.45</w:t>
            </w:r>
            <w:r w:rsidR="00EA33C3" w:rsidRPr="00414C04">
              <w:rPr>
                <w:rFonts w:asciiTheme="minorHAnsi" w:hAnsiTheme="minorHAnsi"/>
                <w:color w:val="000000" w:themeColor="text1"/>
                <w:sz w:val="24"/>
                <w:szCs w:val="24"/>
              </w:rPr>
              <w:t>)</w:t>
            </w:r>
          </w:p>
          <w:p w14:paraId="7B6EFF78" w14:textId="77777777" w:rsidR="00EA33C3" w:rsidRPr="00414C04" w:rsidRDefault="00EA33C3" w:rsidP="00690BA0">
            <w:pPr>
              <w:rPr>
                <w:rFonts w:asciiTheme="minorHAnsi" w:hAnsiTheme="minorHAnsi"/>
                <w:color w:val="000000" w:themeColor="text1"/>
                <w:sz w:val="24"/>
                <w:szCs w:val="24"/>
              </w:rPr>
            </w:pPr>
          </w:p>
        </w:tc>
        <w:tc>
          <w:tcPr>
            <w:tcW w:w="1334" w:type="dxa"/>
          </w:tcPr>
          <w:p w14:paraId="6C4B8DA3" w14:textId="77777777" w:rsidR="00EA33C3" w:rsidRPr="00414C04" w:rsidRDefault="009E0280"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19.23</w:t>
            </w:r>
            <w:r w:rsidR="00EA33C3" w:rsidRPr="00414C04">
              <w:rPr>
                <w:rFonts w:asciiTheme="minorHAnsi" w:hAnsiTheme="minorHAnsi"/>
                <w:color w:val="000000" w:themeColor="text1"/>
                <w:sz w:val="24"/>
                <w:szCs w:val="24"/>
              </w:rPr>
              <w:t xml:space="preserve"> </w:t>
            </w:r>
          </w:p>
          <w:p w14:paraId="2985878C" w14:textId="77777777" w:rsidR="00EA33C3" w:rsidRPr="00414C04" w:rsidRDefault="00AC1221"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(4.0</w:t>
            </w:r>
            <w:r w:rsidR="00EA33C3" w:rsidRPr="00414C04">
              <w:rPr>
                <w:rFonts w:asciiTheme="minorHAnsi" w:hAnsiTheme="minorHAnsi"/>
                <w:color w:val="000000" w:themeColor="text1"/>
                <w:sz w:val="24"/>
                <w:szCs w:val="24"/>
              </w:rPr>
              <w:t>9)</w:t>
            </w:r>
          </w:p>
          <w:p w14:paraId="02ADDDE7" w14:textId="77777777" w:rsidR="00EA33C3" w:rsidRPr="00414C04" w:rsidRDefault="00EA33C3" w:rsidP="00690BA0">
            <w:pPr>
              <w:rPr>
                <w:rFonts w:asciiTheme="minorHAnsi" w:hAnsiTheme="minorHAnsi"/>
                <w:color w:val="000000" w:themeColor="text1"/>
                <w:sz w:val="24"/>
                <w:szCs w:val="24"/>
              </w:rPr>
            </w:pPr>
          </w:p>
        </w:tc>
        <w:tc>
          <w:tcPr>
            <w:tcW w:w="1335" w:type="dxa"/>
          </w:tcPr>
          <w:p w14:paraId="6326AACD" w14:textId="77777777" w:rsidR="00EA33C3" w:rsidRPr="00414C04" w:rsidRDefault="00013BF3"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18.2</w:t>
            </w:r>
            <w:r w:rsidR="00EA33C3" w:rsidRPr="00414C04">
              <w:rPr>
                <w:rFonts w:asciiTheme="minorHAnsi" w:hAnsiTheme="minorHAnsi"/>
                <w:color w:val="000000" w:themeColor="text1"/>
                <w:sz w:val="24"/>
                <w:szCs w:val="24"/>
              </w:rPr>
              <w:t xml:space="preserve">3 </w:t>
            </w:r>
          </w:p>
          <w:p w14:paraId="5D736A0B" w14:textId="77777777" w:rsidR="00EA33C3" w:rsidRPr="00414C04" w:rsidRDefault="00013BF3" w:rsidP="00690BA0">
            <w:pPr>
              <w:rPr>
                <w:rFonts w:asciiTheme="minorHAnsi" w:hAnsiTheme="minorHAnsi"/>
                <w:color w:val="000000" w:themeColor="text1"/>
                <w:sz w:val="24"/>
                <w:szCs w:val="24"/>
              </w:rPr>
            </w:pPr>
            <w:r w:rsidRPr="00414C04">
              <w:rPr>
                <w:rFonts w:asciiTheme="minorHAnsi" w:hAnsiTheme="minorHAnsi"/>
                <w:color w:val="000000" w:themeColor="text1"/>
                <w:sz w:val="24"/>
                <w:szCs w:val="24"/>
              </w:rPr>
              <w:t>(5.43</w:t>
            </w:r>
            <w:r w:rsidR="00EA33C3" w:rsidRPr="00414C04">
              <w:rPr>
                <w:rFonts w:asciiTheme="minorHAnsi" w:hAnsiTheme="minorHAnsi"/>
                <w:color w:val="000000" w:themeColor="text1"/>
                <w:sz w:val="24"/>
                <w:szCs w:val="24"/>
              </w:rPr>
              <w:t>)</w:t>
            </w:r>
          </w:p>
        </w:tc>
      </w:tr>
      <w:tr w:rsidR="00832C99" w:rsidRPr="00414C04" w14:paraId="5206E882" w14:textId="77777777" w:rsidTr="00137617">
        <w:tc>
          <w:tcPr>
            <w:tcW w:w="1334" w:type="dxa"/>
          </w:tcPr>
          <w:p w14:paraId="41873C47"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 xml:space="preserve">PANSS Negative </w:t>
            </w:r>
          </w:p>
        </w:tc>
        <w:tc>
          <w:tcPr>
            <w:tcW w:w="1334" w:type="dxa"/>
          </w:tcPr>
          <w:p w14:paraId="7C203865" w14:textId="77777777" w:rsidR="00F202BB"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16.81 </w:t>
            </w:r>
          </w:p>
          <w:p w14:paraId="7B207B44" w14:textId="77777777" w:rsidR="00EA33C3"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(5.82)</w:t>
            </w:r>
          </w:p>
        </w:tc>
        <w:tc>
          <w:tcPr>
            <w:tcW w:w="1334" w:type="dxa"/>
          </w:tcPr>
          <w:p w14:paraId="2825D438" w14:textId="77777777" w:rsidR="00F202BB"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13.5 </w:t>
            </w:r>
          </w:p>
          <w:p w14:paraId="4E4B2D34" w14:textId="77777777" w:rsidR="00EA33C3"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(6.04)</w:t>
            </w:r>
          </w:p>
        </w:tc>
        <w:tc>
          <w:tcPr>
            <w:tcW w:w="1334" w:type="dxa"/>
          </w:tcPr>
          <w:p w14:paraId="3511FAF5" w14:textId="77777777" w:rsidR="00F202BB" w:rsidRPr="00414C04" w:rsidRDefault="0060006B"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17    </w:t>
            </w:r>
          </w:p>
          <w:p w14:paraId="0DD56565" w14:textId="77777777" w:rsidR="00EA33C3" w:rsidRPr="00414C04" w:rsidRDefault="0060006B"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(5.51</w:t>
            </w:r>
            <w:r w:rsidR="00EA33C3" w:rsidRPr="00414C04">
              <w:rPr>
                <w:rFonts w:asciiTheme="minorHAnsi" w:hAnsiTheme="minorHAnsi"/>
                <w:color w:val="000000" w:themeColor="text1"/>
                <w:sz w:val="24"/>
                <w:szCs w:val="24"/>
              </w:rPr>
              <w:t>)</w:t>
            </w:r>
          </w:p>
        </w:tc>
        <w:tc>
          <w:tcPr>
            <w:tcW w:w="1334" w:type="dxa"/>
          </w:tcPr>
          <w:p w14:paraId="4E9F85BE" w14:textId="77777777" w:rsidR="00F202BB" w:rsidRPr="00414C04" w:rsidRDefault="00CB04A6"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9.77 </w:t>
            </w:r>
          </w:p>
          <w:p w14:paraId="58DAB0C0" w14:textId="77777777" w:rsidR="00EA33C3" w:rsidRPr="00414C04" w:rsidRDefault="00CB04A6"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(2.77</w:t>
            </w:r>
            <w:r w:rsidR="00EA33C3" w:rsidRPr="00414C04">
              <w:rPr>
                <w:rFonts w:asciiTheme="minorHAnsi" w:hAnsiTheme="minorHAnsi"/>
                <w:color w:val="000000" w:themeColor="text1"/>
                <w:sz w:val="24"/>
                <w:szCs w:val="24"/>
              </w:rPr>
              <w:t>)</w:t>
            </w:r>
          </w:p>
        </w:tc>
        <w:tc>
          <w:tcPr>
            <w:tcW w:w="1334" w:type="dxa"/>
          </w:tcPr>
          <w:p w14:paraId="58BB90B6" w14:textId="77777777" w:rsidR="00F202BB" w:rsidRPr="00414C04" w:rsidRDefault="00AC1221"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16.62 </w:t>
            </w:r>
          </w:p>
          <w:p w14:paraId="2EAB8397" w14:textId="77777777" w:rsidR="00EA33C3" w:rsidRPr="00414C04" w:rsidRDefault="00AC1221"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(6.33</w:t>
            </w:r>
            <w:r w:rsidR="00EA33C3" w:rsidRPr="00414C04">
              <w:rPr>
                <w:rFonts w:asciiTheme="minorHAnsi" w:hAnsiTheme="minorHAnsi"/>
                <w:color w:val="000000" w:themeColor="text1"/>
                <w:sz w:val="24"/>
                <w:szCs w:val="24"/>
              </w:rPr>
              <w:t>)</w:t>
            </w:r>
          </w:p>
        </w:tc>
        <w:tc>
          <w:tcPr>
            <w:tcW w:w="1335" w:type="dxa"/>
          </w:tcPr>
          <w:p w14:paraId="04E3F9CC" w14:textId="77777777" w:rsidR="00F202BB" w:rsidRPr="00414C04" w:rsidRDefault="0098202E"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17.23 </w:t>
            </w:r>
          </w:p>
          <w:p w14:paraId="38F2B497" w14:textId="77777777" w:rsidR="00EA33C3" w:rsidRPr="00414C04" w:rsidRDefault="0098202E"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(6.18</w:t>
            </w:r>
            <w:r w:rsidR="00EA33C3" w:rsidRPr="00414C04">
              <w:rPr>
                <w:rFonts w:asciiTheme="minorHAnsi" w:hAnsiTheme="minorHAnsi"/>
                <w:color w:val="000000" w:themeColor="text1"/>
                <w:sz w:val="24"/>
                <w:szCs w:val="24"/>
              </w:rPr>
              <w:t>)</w:t>
            </w:r>
          </w:p>
        </w:tc>
      </w:tr>
      <w:tr w:rsidR="00832C99" w:rsidRPr="00414C04" w14:paraId="14C7496C" w14:textId="77777777" w:rsidTr="00137617">
        <w:tc>
          <w:tcPr>
            <w:tcW w:w="1334" w:type="dxa"/>
          </w:tcPr>
          <w:p w14:paraId="6E12B364"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 xml:space="preserve">PANSS Total </w:t>
            </w:r>
          </w:p>
        </w:tc>
        <w:tc>
          <w:tcPr>
            <w:tcW w:w="1334" w:type="dxa"/>
          </w:tcPr>
          <w:p w14:paraId="5E79004F" w14:textId="77777777" w:rsidR="00EA33C3"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73.65 (6.04)</w:t>
            </w:r>
          </w:p>
        </w:tc>
        <w:tc>
          <w:tcPr>
            <w:tcW w:w="1334" w:type="dxa"/>
          </w:tcPr>
          <w:p w14:paraId="630DAFA3" w14:textId="77777777" w:rsidR="00EA33C3"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54.22</w:t>
            </w:r>
          </w:p>
          <w:p w14:paraId="1F17F15C" w14:textId="77777777" w:rsidR="00EA33C3"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(18.92)</w:t>
            </w:r>
          </w:p>
        </w:tc>
        <w:tc>
          <w:tcPr>
            <w:tcW w:w="1334" w:type="dxa"/>
          </w:tcPr>
          <w:p w14:paraId="74931489" w14:textId="77777777" w:rsidR="00EA33C3" w:rsidRPr="00414C04" w:rsidRDefault="0060006B"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74.23 (16.96</w:t>
            </w:r>
            <w:r w:rsidR="00EA33C3" w:rsidRPr="00414C04">
              <w:rPr>
                <w:rFonts w:asciiTheme="minorHAnsi" w:hAnsiTheme="minorHAnsi"/>
                <w:color w:val="000000" w:themeColor="text1"/>
                <w:sz w:val="24"/>
                <w:szCs w:val="24"/>
              </w:rPr>
              <w:t>)</w:t>
            </w:r>
          </w:p>
        </w:tc>
        <w:tc>
          <w:tcPr>
            <w:tcW w:w="1334" w:type="dxa"/>
          </w:tcPr>
          <w:p w14:paraId="4987BBDD" w14:textId="77777777" w:rsidR="00EA33C3" w:rsidRPr="00414C04" w:rsidRDefault="00CB04A6"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42.15</w:t>
            </w:r>
          </w:p>
          <w:p w14:paraId="773EDCEE" w14:textId="77777777" w:rsidR="00EA33C3" w:rsidRPr="00414C04" w:rsidRDefault="00CB04A6"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(7.61</w:t>
            </w:r>
            <w:r w:rsidR="00EA33C3" w:rsidRPr="00414C04">
              <w:rPr>
                <w:rFonts w:asciiTheme="minorHAnsi" w:hAnsiTheme="minorHAnsi"/>
                <w:color w:val="000000" w:themeColor="text1"/>
                <w:sz w:val="24"/>
                <w:szCs w:val="24"/>
              </w:rPr>
              <w:t>)</w:t>
            </w:r>
          </w:p>
        </w:tc>
        <w:tc>
          <w:tcPr>
            <w:tcW w:w="1334" w:type="dxa"/>
          </w:tcPr>
          <w:p w14:paraId="41AE99E3" w14:textId="77777777" w:rsidR="00EA33C3" w:rsidRPr="00414C04" w:rsidRDefault="00B7498F"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73.08</w:t>
            </w:r>
          </w:p>
          <w:p w14:paraId="62526404" w14:textId="77777777" w:rsidR="00EA33C3" w:rsidRPr="00414C04" w:rsidRDefault="00B7498F"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(14.63</w:t>
            </w:r>
            <w:r w:rsidR="00EA33C3" w:rsidRPr="00414C04">
              <w:rPr>
                <w:rFonts w:asciiTheme="minorHAnsi" w:hAnsiTheme="minorHAnsi"/>
                <w:color w:val="000000" w:themeColor="text1"/>
                <w:sz w:val="24"/>
                <w:szCs w:val="24"/>
              </w:rPr>
              <w:t>)</w:t>
            </w:r>
          </w:p>
        </w:tc>
        <w:tc>
          <w:tcPr>
            <w:tcW w:w="1335" w:type="dxa"/>
          </w:tcPr>
          <w:p w14:paraId="0DD3E365" w14:textId="77777777" w:rsidR="00EA33C3" w:rsidRPr="00414C04" w:rsidRDefault="008E2B67"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72.23 (18.72</w:t>
            </w:r>
            <w:r w:rsidR="00EA33C3" w:rsidRPr="00414C04">
              <w:rPr>
                <w:rFonts w:asciiTheme="minorHAnsi" w:hAnsiTheme="minorHAnsi"/>
                <w:color w:val="000000" w:themeColor="text1"/>
                <w:sz w:val="24"/>
                <w:szCs w:val="24"/>
              </w:rPr>
              <w:t>)</w:t>
            </w:r>
          </w:p>
        </w:tc>
      </w:tr>
      <w:tr w:rsidR="00832C99" w:rsidRPr="00414C04" w14:paraId="04B71623" w14:textId="77777777" w:rsidTr="00137617">
        <w:tc>
          <w:tcPr>
            <w:tcW w:w="1334" w:type="dxa"/>
          </w:tcPr>
          <w:p w14:paraId="3C5882C3" w14:textId="77777777" w:rsidR="00EA33C3" w:rsidRPr="00414C04" w:rsidRDefault="00EA33C3" w:rsidP="00690BA0">
            <w:pPr>
              <w:rPr>
                <w:rFonts w:asciiTheme="minorHAnsi" w:hAnsiTheme="minorHAnsi"/>
                <w:b/>
                <w:color w:val="000000" w:themeColor="text1"/>
                <w:sz w:val="24"/>
                <w:szCs w:val="24"/>
              </w:rPr>
            </w:pPr>
            <w:r w:rsidRPr="00414C04">
              <w:rPr>
                <w:rFonts w:asciiTheme="minorHAnsi" w:hAnsiTheme="minorHAnsi"/>
                <w:b/>
                <w:color w:val="000000" w:themeColor="text1"/>
                <w:sz w:val="24"/>
                <w:szCs w:val="24"/>
              </w:rPr>
              <w:t xml:space="preserve">GAF </w:t>
            </w:r>
          </w:p>
        </w:tc>
        <w:tc>
          <w:tcPr>
            <w:tcW w:w="1334" w:type="dxa"/>
          </w:tcPr>
          <w:p w14:paraId="2A9D341B" w14:textId="77777777" w:rsidR="00EA33C3"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47.85 (14.36)</w:t>
            </w:r>
          </w:p>
        </w:tc>
        <w:tc>
          <w:tcPr>
            <w:tcW w:w="1334" w:type="dxa"/>
          </w:tcPr>
          <w:p w14:paraId="6BE4AB4D" w14:textId="77777777" w:rsidR="00F202BB"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66.3 </w:t>
            </w:r>
          </w:p>
          <w:p w14:paraId="3E8C8B5B" w14:textId="77777777" w:rsidR="00EA33C3" w:rsidRPr="00414C04" w:rsidRDefault="00EA33C3"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(16.68)</w:t>
            </w:r>
          </w:p>
        </w:tc>
        <w:tc>
          <w:tcPr>
            <w:tcW w:w="1334" w:type="dxa"/>
          </w:tcPr>
          <w:p w14:paraId="30CAE891" w14:textId="77777777" w:rsidR="00EA33C3" w:rsidRPr="00414C04" w:rsidRDefault="0060006B"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47.77</w:t>
            </w:r>
          </w:p>
          <w:p w14:paraId="7348D997" w14:textId="77777777" w:rsidR="00EA33C3" w:rsidRPr="00414C04" w:rsidRDefault="0060006B"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(10.86</w:t>
            </w:r>
            <w:r w:rsidR="00EA33C3" w:rsidRPr="00414C04">
              <w:rPr>
                <w:rFonts w:asciiTheme="minorHAnsi" w:hAnsiTheme="minorHAnsi"/>
                <w:color w:val="000000" w:themeColor="text1"/>
                <w:sz w:val="24"/>
                <w:szCs w:val="24"/>
              </w:rPr>
              <w:t>)</w:t>
            </w:r>
          </w:p>
        </w:tc>
        <w:tc>
          <w:tcPr>
            <w:tcW w:w="1334" w:type="dxa"/>
          </w:tcPr>
          <w:p w14:paraId="4CD06AAB" w14:textId="77777777" w:rsidR="00F202BB" w:rsidRPr="00414C04" w:rsidRDefault="00CB04A6"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77.31</w:t>
            </w:r>
          </w:p>
          <w:p w14:paraId="729902DA" w14:textId="77777777" w:rsidR="00EA33C3" w:rsidRPr="00414C04" w:rsidRDefault="00CB04A6"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 (9.04</w:t>
            </w:r>
            <w:r w:rsidR="00EA33C3" w:rsidRPr="00414C04">
              <w:rPr>
                <w:rFonts w:asciiTheme="minorHAnsi" w:hAnsiTheme="minorHAnsi"/>
                <w:color w:val="000000" w:themeColor="text1"/>
                <w:sz w:val="24"/>
                <w:szCs w:val="24"/>
              </w:rPr>
              <w:t>)</w:t>
            </w:r>
          </w:p>
        </w:tc>
        <w:tc>
          <w:tcPr>
            <w:tcW w:w="1334" w:type="dxa"/>
          </w:tcPr>
          <w:p w14:paraId="730F5223" w14:textId="77777777" w:rsidR="00EA33C3" w:rsidRPr="00414C04" w:rsidRDefault="0098202E"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47.92</w:t>
            </w:r>
            <w:r w:rsidR="00EA33C3" w:rsidRPr="00414C04">
              <w:rPr>
                <w:rFonts w:asciiTheme="minorHAnsi" w:hAnsiTheme="minorHAnsi"/>
                <w:color w:val="000000" w:themeColor="text1"/>
                <w:sz w:val="24"/>
                <w:szCs w:val="24"/>
              </w:rPr>
              <w:t xml:space="preserve"> </w:t>
            </w:r>
          </w:p>
          <w:p w14:paraId="2DCF0D1D" w14:textId="77777777" w:rsidR="00EA33C3" w:rsidRPr="00414C04" w:rsidRDefault="0098202E"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(17</w:t>
            </w:r>
            <w:r w:rsidR="00EA33C3" w:rsidRPr="00414C04">
              <w:rPr>
                <w:rFonts w:asciiTheme="minorHAnsi" w:hAnsiTheme="minorHAnsi"/>
                <w:color w:val="000000" w:themeColor="text1"/>
                <w:sz w:val="24"/>
                <w:szCs w:val="24"/>
              </w:rPr>
              <w:t>.</w:t>
            </w:r>
            <w:r w:rsidRPr="00414C04">
              <w:rPr>
                <w:rFonts w:asciiTheme="minorHAnsi" w:hAnsiTheme="minorHAnsi"/>
                <w:color w:val="000000" w:themeColor="text1"/>
                <w:sz w:val="24"/>
                <w:szCs w:val="24"/>
              </w:rPr>
              <w:t>65)</w:t>
            </w:r>
          </w:p>
        </w:tc>
        <w:tc>
          <w:tcPr>
            <w:tcW w:w="1335" w:type="dxa"/>
          </w:tcPr>
          <w:p w14:paraId="7B36E9DF" w14:textId="77777777" w:rsidR="00EA33C3" w:rsidRPr="00414C04" w:rsidRDefault="0098202E" w:rsidP="00690BA0">
            <w:pPr>
              <w:spacing w:before="2" w:after="2"/>
              <w:rPr>
                <w:rFonts w:asciiTheme="minorHAnsi" w:hAnsiTheme="minorHAnsi"/>
                <w:color w:val="000000" w:themeColor="text1"/>
                <w:sz w:val="24"/>
                <w:szCs w:val="24"/>
              </w:rPr>
            </w:pPr>
            <w:r w:rsidRPr="00414C04">
              <w:rPr>
                <w:rFonts w:asciiTheme="minorHAnsi" w:hAnsiTheme="minorHAnsi"/>
                <w:color w:val="000000" w:themeColor="text1"/>
                <w:sz w:val="24"/>
                <w:szCs w:val="24"/>
              </w:rPr>
              <w:t>55.31 (15.34</w:t>
            </w:r>
            <w:r w:rsidR="00EA33C3" w:rsidRPr="00414C04">
              <w:rPr>
                <w:rFonts w:asciiTheme="minorHAnsi" w:hAnsiTheme="minorHAnsi"/>
                <w:color w:val="000000" w:themeColor="text1"/>
                <w:sz w:val="24"/>
                <w:szCs w:val="24"/>
              </w:rPr>
              <w:t>)</w:t>
            </w:r>
          </w:p>
        </w:tc>
      </w:tr>
    </w:tbl>
    <w:p w14:paraId="7ED8F595" w14:textId="77777777" w:rsidR="00EA33C3" w:rsidRPr="00414C04" w:rsidRDefault="00EA33C3" w:rsidP="00EA33C3">
      <w:pPr>
        <w:rPr>
          <w:rFonts w:asciiTheme="minorHAnsi" w:hAnsiTheme="minorHAnsi"/>
          <w:color w:val="000000" w:themeColor="text1"/>
          <w:sz w:val="24"/>
          <w:szCs w:val="24"/>
        </w:rPr>
      </w:pPr>
    </w:p>
    <w:p w14:paraId="64525029" w14:textId="77777777" w:rsidR="004417B9" w:rsidRPr="00414C04" w:rsidRDefault="004417B9" w:rsidP="00EB5BFA">
      <w:pPr>
        <w:spacing w:line="480" w:lineRule="auto"/>
        <w:outlineLvl w:val="0"/>
        <w:rPr>
          <w:rFonts w:asciiTheme="minorHAnsi" w:hAnsiTheme="minorHAnsi" w:cs="Arial"/>
          <w:b/>
          <w:color w:val="000000" w:themeColor="text1"/>
          <w:sz w:val="24"/>
          <w:szCs w:val="24"/>
        </w:rPr>
      </w:pPr>
    </w:p>
    <w:p w14:paraId="44DA18A0" w14:textId="77777777" w:rsidR="0086141F" w:rsidRPr="00414C04" w:rsidRDefault="0086141F" w:rsidP="00EB5BFA">
      <w:pPr>
        <w:spacing w:line="480" w:lineRule="auto"/>
        <w:outlineLvl w:val="0"/>
        <w:rPr>
          <w:rFonts w:asciiTheme="minorHAnsi" w:hAnsiTheme="minorHAnsi" w:cs="Arial"/>
          <w:b/>
          <w:color w:val="000000" w:themeColor="text1"/>
          <w:sz w:val="24"/>
          <w:szCs w:val="24"/>
        </w:rPr>
      </w:pPr>
    </w:p>
    <w:p w14:paraId="7DEF82E5" w14:textId="77777777" w:rsidR="0086141F" w:rsidRPr="00414C04" w:rsidRDefault="0086141F" w:rsidP="00EB5BFA">
      <w:pPr>
        <w:spacing w:line="480" w:lineRule="auto"/>
        <w:outlineLvl w:val="0"/>
        <w:rPr>
          <w:rFonts w:asciiTheme="minorHAnsi" w:hAnsiTheme="minorHAnsi" w:cs="Arial"/>
          <w:b/>
          <w:color w:val="000000" w:themeColor="text1"/>
          <w:sz w:val="24"/>
          <w:szCs w:val="24"/>
        </w:rPr>
      </w:pPr>
    </w:p>
    <w:p w14:paraId="687D840C" w14:textId="77777777" w:rsidR="0086141F" w:rsidRPr="00414C04" w:rsidRDefault="0086141F" w:rsidP="00EB5BFA">
      <w:pPr>
        <w:spacing w:line="480" w:lineRule="auto"/>
        <w:outlineLvl w:val="0"/>
        <w:rPr>
          <w:rFonts w:asciiTheme="minorHAnsi" w:hAnsiTheme="minorHAnsi" w:cs="Arial"/>
          <w:b/>
          <w:color w:val="000000" w:themeColor="text1"/>
          <w:sz w:val="24"/>
          <w:szCs w:val="24"/>
        </w:rPr>
      </w:pPr>
    </w:p>
    <w:p w14:paraId="323FC01D" w14:textId="77777777" w:rsidR="0086141F" w:rsidRPr="00414C04" w:rsidRDefault="0086141F" w:rsidP="00EB5BFA">
      <w:pPr>
        <w:spacing w:line="480" w:lineRule="auto"/>
        <w:outlineLvl w:val="0"/>
        <w:rPr>
          <w:rFonts w:asciiTheme="minorHAnsi" w:hAnsiTheme="minorHAnsi" w:cs="Arial"/>
          <w:b/>
          <w:color w:val="000000" w:themeColor="text1"/>
          <w:sz w:val="24"/>
          <w:szCs w:val="24"/>
        </w:rPr>
      </w:pPr>
    </w:p>
    <w:p w14:paraId="52B9E6C2" w14:textId="77777777" w:rsidR="0086141F" w:rsidRPr="00414C04" w:rsidRDefault="0086141F" w:rsidP="00EB5BFA">
      <w:pPr>
        <w:spacing w:line="480" w:lineRule="auto"/>
        <w:outlineLvl w:val="0"/>
        <w:rPr>
          <w:rFonts w:asciiTheme="minorHAnsi" w:hAnsiTheme="minorHAnsi" w:cs="Arial"/>
          <w:b/>
          <w:color w:val="000000" w:themeColor="text1"/>
          <w:sz w:val="24"/>
          <w:szCs w:val="24"/>
        </w:rPr>
      </w:pPr>
    </w:p>
    <w:p w14:paraId="40D69298" w14:textId="77777777" w:rsidR="00F202BB" w:rsidRPr="00414C04" w:rsidRDefault="00F202BB" w:rsidP="00EB5BFA">
      <w:pPr>
        <w:spacing w:line="480" w:lineRule="auto"/>
        <w:outlineLvl w:val="0"/>
        <w:rPr>
          <w:rFonts w:asciiTheme="minorHAnsi" w:hAnsiTheme="minorHAnsi" w:cs="Arial"/>
          <w:b/>
          <w:color w:val="000000" w:themeColor="text1"/>
          <w:sz w:val="24"/>
          <w:szCs w:val="24"/>
        </w:rPr>
      </w:pPr>
    </w:p>
    <w:p w14:paraId="02C29D33" w14:textId="77777777" w:rsidR="0086141F" w:rsidRPr="00414C04" w:rsidRDefault="0086141F" w:rsidP="00EB5BFA">
      <w:pPr>
        <w:spacing w:line="480" w:lineRule="auto"/>
        <w:outlineLvl w:val="0"/>
        <w:rPr>
          <w:rFonts w:asciiTheme="minorHAnsi" w:hAnsiTheme="minorHAnsi" w:cs="Arial"/>
          <w:b/>
          <w:color w:val="000000" w:themeColor="text1"/>
          <w:sz w:val="24"/>
          <w:szCs w:val="24"/>
        </w:rPr>
      </w:pPr>
    </w:p>
    <w:tbl>
      <w:tblPr>
        <w:tblStyle w:val="TableGridLight1"/>
        <w:tblW w:w="5000" w:type="pct"/>
        <w:tblLook w:val="04A0" w:firstRow="1" w:lastRow="0" w:firstColumn="1" w:lastColumn="0" w:noHBand="0" w:noVBand="1"/>
      </w:tblPr>
      <w:tblGrid>
        <w:gridCol w:w="3320"/>
        <w:gridCol w:w="3321"/>
        <w:gridCol w:w="3321"/>
      </w:tblGrid>
      <w:tr w:rsidR="001828F7" w:rsidRPr="00414C04" w14:paraId="62B4F87A" w14:textId="77777777" w:rsidTr="000D6479">
        <w:tc>
          <w:tcPr>
            <w:tcW w:w="1666" w:type="pct"/>
          </w:tcPr>
          <w:p w14:paraId="7F15680B" w14:textId="77777777" w:rsidR="001828F7" w:rsidRPr="00414C04" w:rsidRDefault="001828F7" w:rsidP="000D6479">
            <w:pPr>
              <w:spacing w:line="480" w:lineRule="auto"/>
              <w:rPr>
                <w:rFonts w:asciiTheme="minorHAnsi" w:hAnsiTheme="minorHAnsi" w:cs="Arial"/>
                <w:b/>
                <w:color w:val="000000" w:themeColor="text1"/>
                <w:sz w:val="24"/>
                <w:szCs w:val="24"/>
              </w:rPr>
            </w:pPr>
          </w:p>
        </w:tc>
        <w:tc>
          <w:tcPr>
            <w:tcW w:w="1667" w:type="pct"/>
          </w:tcPr>
          <w:p w14:paraId="734568E1" w14:textId="77777777" w:rsidR="001828F7" w:rsidRPr="00414C04" w:rsidRDefault="001828F7" w:rsidP="000D6479">
            <w:pPr>
              <w:spacing w:line="480" w:lineRule="auto"/>
              <w:jc w:val="center"/>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Responders</w:t>
            </w:r>
          </w:p>
          <w:p w14:paraId="48D56C76" w14:textId="77777777" w:rsidR="001828F7" w:rsidRPr="00414C04" w:rsidRDefault="001828F7" w:rsidP="000D6479">
            <w:pPr>
              <w:spacing w:line="480" w:lineRule="auto"/>
              <w:jc w:val="center"/>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(N=13)</w:t>
            </w:r>
          </w:p>
        </w:tc>
        <w:tc>
          <w:tcPr>
            <w:tcW w:w="1667" w:type="pct"/>
          </w:tcPr>
          <w:p w14:paraId="3EAEB3EC" w14:textId="77777777" w:rsidR="001828F7" w:rsidRPr="00414C04" w:rsidRDefault="001828F7" w:rsidP="000D6479">
            <w:pPr>
              <w:spacing w:line="480" w:lineRule="auto"/>
              <w:jc w:val="center"/>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Non-responders</w:t>
            </w:r>
          </w:p>
          <w:p w14:paraId="4F394265" w14:textId="77777777" w:rsidR="001828F7" w:rsidRPr="00414C04" w:rsidRDefault="001828F7" w:rsidP="000D6479">
            <w:pP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(N=13)</w:t>
            </w:r>
          </w:p>
        </w:tc>
      </w:tr>
      <w:tr w:rsidR="001828F7" w:rsidRPr="00414C04" w14:paraId="7327D38D" w14:textId="77777777" w:rsidTr="000D6479">
        <w:tc>
          <w:tcPr>
            <w:tcW w:w="1666" w:type="pct"/>
          </w:tcPr>
          <w:p w14:paraId="53AD4DB7" w14:textId="77777777" w:rsidR="001828F7" w:rsidRPr="00414C04" w:rsidRDefault="001828F7" w:rsidP="000D6479">
            <w:pPr>
              <w:spacing w:line="480" w:lineRule="auto"/>
              <w:rPr>
                <w:rFonts w:asciiTheme="minorHAnsi" w:hAnsiTheme="minorHAnsi" w:cs="Arial"/>
                <w:b/>
                <w:color w:val="000000" w:themeColor="text1"/>
                <w:sz w:val="24"/>
                <w:szCs w:val="24"/>
              </w:rPr>
            </w:pPr>
          </w:p>
          <w:p w14:paraId="3A8B46D0" w14:textId="77777777" w:rsidR="001828F7" w:rsidRPr="00414C04" w:rsidRDefault="001828F7" w:rsidP="000D6479">
            <w:pP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Medication</w:t>
            </w:r>
          </w:p>
        </w:tc>
        <w:tc>
          <w:tcPr>
            <w:tcW w:w="1667" w:type="pct"/>
          </w:tcPr>
          <w:p w14:paraId="0C287188"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r w:rsidRPr="00414C04">
              <w:rPr>
                <w:rFonts w:asciiTheme="minorHAnsi" w:hAnsiTheme="minorHAnsi" w:cs="Arial"/>
                <w:color w:val="000000" w:themeColor="text1"/>
                <w:sz w:val="24"/>
                <w:szCs w:val="24"/>
                <w:lang w:val="it-IT"/>
              </w:rPr>
              <w:t xml:space="preserve">Amisulpride, N=5 </w:t>
            </w:r>
          </w:p>
          <w:p w14:paraId="06982B54"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Aripiprazole</w:t>
            </w:r>
            <w:proofErr w:type="spellEnd"/>
            <w:r w:rsidRPr="00414C04">
              <w:rPr>
                <w:rFonts w:asciiTheme="minorHAnsi" w:hAnsiTheme="minorHAnsi" w:cs="Arial"/>
                <w:color w:val="000000" w:themeColor="text1"/>
                <w:sz w:val="24"/>
                <w:szCs w:val="24"/>
                <w:lang w:val="it-IT"/>
              </w:rPr>
              <w:t>, N=2</w:t>
            </w:r>
          </w:p>
          <w:p w14:paraId="16C2DC7B"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Olanzapine</w:t>
            </w:r>
            <w:proofErr w:type="spellEnd"/>
            <w:r w:rsidRPr="00414C04">
              <w:rPr>
                <w:rFonts w:asciiTheme="minorHAnsi" w:hAnsiTheme="minorHAnsi" w:cs="Arial"/>
                <w:color w:val="000000" w:themeColor="text1"/>
                <w:sz w:val="24"/>
                <w:szCs w:val="24"/>
                <w:lang w:val="it-IT"/>
              </w:rPr>
              <w:t xml:space="preserve">, N=1 </w:t>
            </w:r>
          </w:p>
          <w:p w14:paraId="4C911F8B"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Quetiapine</w:t>
            </w:r>
            <w:proofErr w:type="spellEnd"/>
            <w:r w:rsidRPr="00414C04">
              <w:rPr>
                <w:rFonts w:asciiTheme="minorHAnsi" w:hAnsiTheme="minorHAnsi" w:cs="Arial"/>
                <w:color w:val="000000" w:themeColor="text1"/>
                <w:sz w:val="24"/>
                <w:szCs w:val="24"/>
                <w:lang w:val="it-IT"/>
              </w:rPr>
              <w:t>, N=2</w:t>
            </w:r>
          </w:p>
          <w:p w14:paraId="7673EE8F"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Risperidone</w:t>
            </w:r>
            <w:proofErr w:type="spellEnd"/>
            <w:r w:rsidRPr="00414C04">
              <w:rPr>
                <w:rFonts w:asciiTheme="minorHAnsi" w:hAnsiTheme="minorHAnsi" w:cs="Arial"/>
                <w:color w:val="000000" w:themeColor="text1"/>
                <w:sz w:val="24"/>
                <w:szCs w:val="24"/>
                <w:lang w:val="it-IT"/>
              </w:rPr>
              <w:t xml:space="preserve">, N=1 </w:t>
            </w:r>
          </w:p>
          <w:p w14:paraId="5893E6B3"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r w:rsidRPr="00414C04">
              <w:rPr>
                <w:rFonts w:asciiTheme="minorHAnsi" w:hAnsiTheme="minorHAnsi" w:cs="Arial"/>
                <w:color w:val="000000" w:themeColor="text1"/>
                <w:sz w:val="24"/>
                <w:szCs w:val="24"/>
                <w:lang w:val="it-IT"/>
              </w:rPr>
              <w:t>Lurasidone, N=1</w:t>
            </w:r>
          </w:p>
          <w:p w14:paraId="3D063985"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r w:rsidRPr="00414C04">
              <w:rPr>
                <w:rFonts w:asciiTheme="minorHAnsi" w:hAnsiTheme="minorHAnsi" w:cs="Arial"/>
                <w:color w:val="000000" w:themeColor="text1"/>
                <w:sz w:val="24"/>
                <w:szCs w:val="24"/>
                <w:lang w:val="it-IT"/>
              </w:rPr>
              <w:t xml:space="preserve">Amisulpride and </w:t>
            </w:r>
            <w:proofErr w:type="spellStart"/>
            <w:r w:rsidRPr="00414C04">
              <w:rPr>
                <w:rFonts w:asciiTheme="minorHAnsi" w:hAnsiTheme="minorHAnsi" w:cs="Arial"/>
                <w:color w:val="000000" w:themeColor="text1"/>
                <w:sz w:val="24"/>
                <w:szCs w:val="24"/>
                <w:lang w:val="it-IT"/>
              </w:rPr>
              <w:t>Aripiprazole</w:t>
            </w:r>
            <w:proofErr w:type="spellEnd"/>
            <w:r w:rsidRPr="00414C04">
              <w:rPr>
                <w:rFonts w:asciiTheme="minorHAnsi" w:hAnsiTheme="minorHAnsi" w:cs="Arial"/>
                <w:color w:val="000000" w:themeColor="text1"/>
                <w:sz w:val="24"/>
                <w:szCs w:val="24"/>
                <w:lang w:val="it-IT"/>
              </w:rPr>
              <w:t xml:space="preserve"> N=1</w:t>
            </w:r>
          </w:p>
          <w:p w14:paraId="32D96AA6"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
          <w:p w14:paraId="59DD3925"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
        </w:tc>
        <w:tc>
          <w:tcPr>
            <w:tcW w:w="1667" w:type="pct"/>
          </w:tcPr>
          <w:p w14:paraId="16E62E4A"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r w:rsidRPr="00414C04">
              <w:rPr>
                <w:rFonts w:asciiTheme="minorHAnsi" w:hAnsiTheme="minorHAnsi" w:cs="Arial"/>
                <w:color w:val="000000" w:themeColor="text1"/>
                <w:sz w:val="24"/>
                <w:szCs w:val="24"/>
                <w:lang w:val="it-IT"/>
              </w:rPr>
              <w:t xml:space="preserve">Amisulpride, N=1 </w:t>
            </w:r>
          </w:p>
          <w:p w14:paraId="178A8B4D"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Aripiprazole</w:t>
            </w:r>
            <w:proofErr w:type="spellEnd"/>
            <w:r w:rsidRPr="00414C04">
              <w:rPr>
                <w:rFonts w:asciiTheme="minorHAnsi" w:hAnsiTheme="minorHAnsi" w:cs="Arial"/>
                <w:color w:val="000000" w:themeColor="text1"/>
                <w:sz w:val="24"/>
                <w:szCs w:val="24"/>
                <w:lang w:val="it-IT"/>
              </w:rPr>
              <w:t>, N=1</w:t>
            </w:r>
            <w:r w:rsidRPr="00414C04">
              <w:rPr>
                <w:rFonts w:asciiTheme="minorHAnsi" w:hAnsiTheme="minorHAnsi" w:cs="Arial"/>
                <w:color w:val="000000" w:themeColor="text1"/>
                <w:sz w:val="24"/>
                <w:szCs w:val="24"/>
                <w:vertAlign w:val="superscript"/>
                <w:lang w:val="it-IT"/>
              </w:rPr>
              <w:t xml:space="preserve"> </w:t>
            </w:r>
          </w:p>
          <w:p w14:paraId="390EC836"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Olanzapine</w:t>
            </w:r>
            <w:proofErr w:type="spellEnd"/>
            <w:r w:rsidRPr="00414C04">
              <w:rPr>
                <w:rFonts w:asciiTheme="minorHAnsi" w:hAnsiTheme="minorHAnsi" w:cs="Arial"/>
                <w:color w:val="000000" w:themeColor="text1"/>
                <w:sz w:val="24"/>
                <w:szCs w:val="24"/>
                <w:lang w:val="it-IT"/>
              </w:rPr>
              <w:t>, N=4</w:t>
            </w:r>
          </w:p>
          <w:p w14:paraId="0723A526"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Quetiapine</w:t>
            </w:r>
            <w:proofErr w:type="spellEnd"/>
            <w:r w:rsidRPr="00414C04">
              <w:rPr>
                <w:rFonts w:asciiTheme="minorHAnsi" w:hAnsiTheme="minorHAnsi" w:cs="Arial"/>
                <w:color w:val="000000" w:themeColor="text1"/>
                <w:sz w:val="24"/>
                <w:szCs w:val="24"/>
                <w:lang w:val="it-IT"/>
              </w:rPr>
              <w:t xml:space="preserve">, N=1 </w:t>
            </w:r>
          </w:p>
          <w:p w14:paraId="7D835AFF"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Quetiapine</w:t>
            </w:r>
            <w:proofErr w:type="spellEnd"/>
            <w:r w:rsidRPr="00414C04">
              <w:rPr>
                <w:rFonts w:asciiTheme="minorHAnsi" w:hAnsiTheme="minorHAnsi" w:cs="Arial"/>
                <w:color w:val="000000" w:themeColor="text1"/>
                <w:sz w:val="24"/>
                <w:szCs w:val="24"/>
                <w:lang w:val="it-IT"/>
              </w:rPr>
              <w:t xml:space="preserve"> and </w:t>
            </w:r>
            <w:proofErr w:type="spellStart"/>
            <w:r w:rsidRPr="00414C04">
              <w:rPr>
                <w:rFonts w:asciiTheme="minorHAnsi" w:hAnsiTheme="minorHAnsi" w:cs="Arial"/>
                <w:color w:val="000000" w:themeColor="text1"/>
                <w:sz w:val="24"/>
                <w:szCs w:val="24"/>
                <w:lang w:val="it-IT"/>
              </w:rPr>
              <w:t>Sertraline</w:t>
            </w:r>
            <w:proofErr w:type="spellEnd"/>
            <w:r w:rsidRPr="00414C04">
              <w:rPr>
                <w:rFonts w:asciiTheme="minorHAnsi" w:hAnsiTheme="minorHAnsi" w:cs="Arial"/>
                <w:color w:val="000000" w:themeColor="text1"/>
                <w:sz w:val="24"/>
                <w:szCs w:val="24"/>
                <w:lang w:val="it-IT"/>
              </w:rPr>
              <w:t>, N=1</w:t>
            </w:r>
          </w:p>
          <w:p w14:paraId="3346F1AF"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
          <w:p w14:paraId="43B28298"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r w:rsidRPr="00414C04">
              <w:rPr>
                <w:rFonts w:asciiTheme="minorHAnsi" w:hAnsiTheme="minorHAnsi" w:cs="Arial"/>
                <w:color w:val="000000" w:themeColor="text1"/>
                <w:sz w:val="24"/>
                <w:szCs w:val="24"/>
                <w:lang w:val="it-IT"/>
              </w:rPr>
              <w:t xml:space="preserve">Amisulpride and </w:t>
            </w:r>
            <w:proofErr w:type="spellStart"/>
            <w:r w:rsidRPr="00414C04">
              <w:rPr>
                <w:rFonts w:asciiTheme="minorHAnsi" w:hAnsiTheme="minorHAnsi" w:cs="Arial"/>
                <w:color w:val="000000" w:themeColor="text1"/>
                <w:sz w:val="24"/>
                <w:szCs w:val="24"/>
                <w:lang w:val="it-IT"/>
              </w:rPr>
              <w:t>Quetiapine</w:t>
            </w:r>
            <w:proofErr w:type="spellEnd"/>
            <w:r w:rsidRPr="00414C04">
              <w:rPr>
                <w:rFonts w:asciiTheme="minorHAnsi" w:hAnsiTheme="minorHAnsi" w:cs="Arial"/>
                <w:color w:val="000000" w:themeColor="text1"/>
                <w:sz w:val="24"/>
                <w:szCs w:val="24"/>
                <w:lang w:val="it-IT"/>
              </w:rPr>
              <w:t xml:space="preserve"> N=1</w:t>
            </w:r>
          </w:p>
          <w:p w14:paraId="3248C7A7"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Risperidone</w:t>
            </w:r>
            <w:proofErr w:type="spellEnd"/>
            <w:r w:rsidRPr="00414C04">
              <w:rPr>
                <w:rFonts w:asciiTheme="minorHAnsi" w:hAnsiTheme="minorHAnsi" w:cs="Arial"/>
                <w:color w:val="000000" w:themeColor="text1"/>
                <w:sz w:val="24"/>
                <w:szCs w:val="24"/>
                <w:lang w:val="it-IT"/>
              </w:rPr>
              <w:t xml:space="preserve"> and </w:t>
            </w:r>
            <w:proofErr w:type="spellStart"/>
            <w:r w:rsidRPr="00414C04">
              <w:rPr>
                <w:rFonts w:asciiTheme="minorHAnsi" w:hAnsiTheme="minorHAnsi" w:cs="Arial"/>
                <w:color w:val="000000" w:themeColor="text1"/>
                <w:sz w:val="24"/>
                <w:szCs w:val="24"/>
                <w:lang w:val="it-IT"/>
              </w:rPr>
              <w:t>Aripiprazole</w:t>
            </w:r>
            <w:proofErr w:type="spellEnd"/>
            <w:r w:rsidRPr="00414C04">
              <w:rPr>
                <w:rFonts w:asciiTheme="minorHAnsi" w:hAnsiTheme="minorHAnsi" w:cs="Arial"/>
                <w:color w:val="000000" w:themeColor="text1"/>
                <w:sz w:val="24"/>
                <w:szCs w:val="24"/>
                <w:lang w:val="it-IT"/>
              </w:rPr>
              <w:t>, N=1</w:t>
            </w:r>
          </w:p>
          <w:p w14:paraId="2D20219E"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Risperidone</w:t>
            </w:r>
            <w:proofErr w:type="spellEnd"/>
            <w:r w:rsidRPr="00414C04">
              <w:rPr>
                <w:rFonts w:asciiTheme="minorHAnsi" w:hAnsiTheme="minorHAnsi" w:cs="Arial"/>
                <w:color w:val="000000" w:themeColor="text1"/>
                <w:sz w:val="24"/>
                <w:szCs w:val="24"/>
                <w:lang w:val="it-IT"/>
              </w:rPr>
              <w:t xml:space="preserve"> and </w:t>
            </w:r>
            <w:proofErr w:type="spellStart"/>
            <w:r w:rsidRPr="00414C04">
              <w:rPr>
                <w:rFonts w:asciiTheme="minorHAnsi" w:hAnsiTheme="minorHAnsi" w:cs="Arial"/>
                <w:color w:val="000000" w:themeColor="text1"/>
                <w:sz w:val="24"/>
                <w:szCs w:val="24"/>
                <w:lang w:val="it-IT"/>
              </w:rPr>
              <w:t>Mirtazapine</w:t>
            </w:r>
            <w:proofErr w:type="spellEnd"/>
            <w:r w:rsidRPr="00414C04">
              <w:rPr>
                <w:rFonts w:asciiTheme="minorHAnsi" w:hAnsiTheme="minorHAnsi" w:cs="Arial"/>
                <w:color w:val="000000" w:themeColor="text1"/>
                <w:sz w:val="24"/>
                <w:szCs w:val="24"/>
                <w:lang w:val="it-IT"/>
              </w:rPr>
              <w:t xml:space="preserve">, N=1 </w:t>
            </w:r>
          </w:p>
          <w:p w14:paraId="44B67CF8"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Paliperidone</w:t>
            </w:r>
            <w:proofErr w:type="spellEnd"/>
            <w:r w:rsidRPr="00414C04">
              <w:rPr>
                <w:rFonts w:asciiTheme="minorHAnsi" w:hAnsiTheme="minorHAnsi" w:cs="Arial"/>
                <w:color w:val="000000" w:themeColor="text1"/>
                <w:sz w:val="24"/>
                <w:szCs w:val="24"/>
                <w:lang w:val="it-IT"/>
              </w:rPr>
              <w:t xml:space="preserve"> N=1</w:t>
            </w:r>
          </w:p>
          <w:p w14:paraId="27E51661"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roofErr w:type="spellStart"/>
            <w:r w:rsidRPr="00414C04">
              <w:rPr>
                <w:rFonts w:asciiTheme="minorHAnsi" w:hAnsiTheme="minorHAnsi" w:cs="Arial"/>
                <w:color w:val="000000" w:themeColor="text1"/>
                <w:sz w:val="24"/>
                <w:szCs w:val="24"/>
                <w:lang w:val="it-IT"/>
              </w:rPr>
              <w:t>Aripiprazole</w:t>
            </w:r>
            <w:proofErr w:type="spellEnd"/>
            <w:r w:rsidRPr="00414C04">
              <w:rPr>
                <w:rFonts w:asciiTheme="minorHAnsi" w:hAnsiTheme="minorHAnsi" w:cs="Arial"/>
                <w:color w:val="000000" w:themeColor="text1"/>
                <w:sz w:val="24"/>
                <w:szCs w:val="24"/>
                <w:lang w:val="it-IT"/>
              </w:rPr>
              <w:t xml:space="preserve"> </w:t>
            </w:r>
            <w:proofErr w:type="spellStart"/>
            <w:r w:rsidRPr="00414C04">
              <w:rPr>
                <w:rFonts w:asciiTheme="minorHAnsi" w:hAnsiTheme="minorHAnsi" w:cs="Arial"/>
                <w:color w:val="000000" w:themeColor="text1"/>
                <w:sz w:val="24"/>
                <w:szCs w:val="24"/>
                <w:lang w:val="it-IT"/>
              </w:rPr>
              <w:t>depot</w:t>
            </w:r>
            <w:proofErr w:type="spellEnd"/>
            <w:r w:rsidRPr="00414C04">
              <w:rPr>
                <w:rFonts w:asciiTheme="minorHAnsi" w:hAnsiTheme="minorHAnsi" w:cs="Arial"/>
                <w:color w:val="000000" w:themeColor="text1"/>
                <w:sz w:val="24"/>
                <w:szCs w:val="24"/>
                <w:lang w:val="it-IT"/>
              </w:rPr>
              <w:t xml:space="preserve"> N=1</w:t>
            </w:r>
          </w:p>
          <w:p w14:paraId="1A984A60"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lang w:val="it-IT"/>
              </w:rPr>
            </w:pPr>
          </w:p>
          <w:p w14:paraId="5F6A151F" w14:textId="77777777" w:rsidR="001828F7" w:rsidRPr="00414C04" w:rsidRDefault="001828F7" w:rsidP="000D6479">
            <w:pPr>
              <w:spacing w:line="480" w:lineRule="auto"/>
              <w:jc w:val="both"/>
              <w:rPr>
                <w:rFonts w:asciiTheme="minorHAnsi" w:hAnsiTheme="minorHAnsi" w:cs="Arial"/>
                <w:color w:val="000000" w:themeColor="text1"/>
                <w:sz w:val="24"/>
                <w:szCs w:val="24"/>
                <w:lang w:val="it-IT"/>
              </w:rPr>
            </w:pPr>
          </w:p>
          <w:p w14:paraId="03B934B6" w14:textId="77777777" w:rsidR="001828F7" w:rsidRPr="00414C04" w:rsidRDefault="001828F7" w:rsidP="000D6479">
            <w:pPr>
              <w:spacing w:line="480" w:lineRule="auto"/>
              <w:jc w:val="both"/>
              <w:rPr>
                <w:rFonts w:asciiTheme="minorHAnsi" w:hAnsiTheme="minorHAnsi" w:cs="Arial"/>
                <w:color w:val="000000" w:themeColor="text1"/>
                <w:sz w:val="24"/>
                <w:szCs w:val="24"/>
                <w:lang w:val="it-IT"/>
              </w:rPr>
            </w:pPr>
          </w:p>
        </w:tc>
      </w:tr>
      <w:tr w:rsidR="001828F7" w:rsidRPr="00414C04" w14:paraId="0FC8B543" w14:textId="77777777" w:rsidTr="000D6479">
        <w:tc>
          <w:tcPr>
            <w:tcW w:w="1666" w:type="pct"/>
          </w:tcPr>
          <w:p w14:paraId="59EBB338" w14:textId="77777777" w:rsidR="001828F7" w:rsidRPr="00414C04" w:rsidRDefault="001828F7" w:rsidP="000D6479">
            <w:pP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lastRenderedPageBreak/>
              <w:t xml:space="preserve">Chlorpromazine </w:t>
            </w:r>
            <w:proofErr w:type="gramStart"/>
            <w:r w:rsidRPr="00414C04">
              <w:rPr>
                <w:rFonts w:asciiTheme="minorHAnsi" w:hAnsiTheme="minorHAnsi" w:cs="Arial"/>
                <w:b/>
                <w:color w:val="000000" w:themeColor="text1"/>
                <w:sz w:val="24"/>
                <w:szCs w:val="24"/>
              </w:rPr>
              <w:t>equivalent  (</w:t>
            </w:r>
            <w:proofErr w:type="gramEnd"/>
            <w:r w:rsidRPr="00414C04">
              <w:rPr>
                <w:rFonts w:asciiTheme="minorHAnsi" w:hAnsiTheme="minorHAnsi" w:cs="Arial"/>
                <w:b/>
                <w:color w:val="000000" w:themeColor="text1"/>
                <w:sz w:val="24"/>
                <w:szCs w:val="24"/>
              </w:rPr>
              <w:t xml:space="preserve">dose years) prior to scan        </w:t>
            </w:r>
          </w:p>
          <w:p w14:paraId="424753DE" w14:textId="77777777" w:rsidR="001828F7" w:rsidRPr="00414C04" w:rsidRDefault="001828F7" w:rsidP="000D6479">
            <w:pP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 xml:space="preserve">(Median, IQR)  </w:t>
            </w:r>
          </w:p>
        </w:tc>
        <w:tc>
          <w:tcPr>
            <w:tcW w:w="1667" w:type="pct"/>
          </w:tcPr>
          <w:p w14:paraId="45695466"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vertAlign w:val="superscript"/>
              </w:rPr>
            </w:pPr>
            <w:r w:rsidRPr="00414C04">
              <w:rPr>
                <w:rFonts w:asciiTheme="minorHAnsi" w:hAnsiTheme="minorHAnsi" w:cs="Arial"/>
                <w:color w:val="000000" w:themeColor="text1"/>
                <w:sz w:val="24"/>
                <w:szCs w:val="24"/>
              </w:rPr>
              <w:t>0 (0.1)</w:t>
            </w:r>
          </w:p>
        </w:tc>
        <w:tc>
          <w:tcPr>
            <w:tcW w:w="1667" w:type="pct"/>
          </w:tcPr>
          <w:p w14:paraId="74D7A458" w14:textId="77777777" w:rsidR="001828F7" w:rsidRPr="00414C04" w:rsidRDefault="001828F7" w:rsidP="000D6479">
            <w:pPr>
              <w:keepNext/>
              <w:keepLines/>
              <w:spacing w:before="200" w:line="480" w:lineRule="auto"/>
              <w:jc w:val="both"/>
              <w:outlineLvl w:val="5"/>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0 (0.3) p=0.46</w:t>
            </w:r>
          </w:p>
        </w:tc>
      </w:tr>
      <w:tr w:rsidR="001828F7" w:rsidRPr="00414C04" w14:paraId="24B6BF3B" w14:textId="77777777" w:rsidTr="000D6479">
        <w:tc>
          <w:tcPr>
            <w:tcW w:w="1666" w:type="pct"/>
          </w:tcPr>
          <w:p w14:paraId="21DE9765" w14:textId="77777777" w:rsidR="001828F7" w:rsidRPr="00414C04" w:rsidRDefault="001828F7" w:rsidP="000D6479">
            <w:pPr>
              <w:spacing w:line="480" w:lineRule="auto"/>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Chlorpromazine equivalents (dose years) between scan and follow-up clinical assessment</w:t>
            </w:r>
          </w:p>
          <w:p w14:paraId="7362BF2D" w14:textId="77777777" w:rsidR="001828F7" w:rsidRPr="00414C04" w:rsidRDefault="001828F7" w:rsidP="000D6479">
            <w:pPr>
              <w:spacing w:line="480" w:lineRule="auto"/>
              <w:rPr>
                <w:rFonts w:asciiTheme="minorHAnsi" w:hAnsiTheme="minorHAnsi" w:cs="Arial"/>
                <w:b/>
                <w:color w:val="000000" w:themeColor="text1"/>
                <w:sz w:val="24"/>
                <w:szCs w:val="24"/>
              </w:rPr>
            </w:pPr>
          </w:p>
        </w:tc>
        <w:tc>
          <w:tcPr>
            <w:tcW w:w="1667" w:type="pct"/>
          </w:tcPr>
          <w:p w14:paraId="2E4D181C" w14:textId="77777777" w:rsidR="001828F7" w:rsidRPr="00414C04" w:rsidRDefault="001828F7" w:rsidP="000D6479">
            <w:pPr>
              <w:keepNext/>
              <w:keepLines/>
              <w:spacing w:before="200" w:line="480" w:lineRule="auto"/>
              <w:outlineLvl w:val="5"/>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 xml:space="preserve">0.38 (0.29) </w:t>
            </w:r>
          </w:p>
        </w:tc>
        <w:tc>
          <w:tcPr>
            <w:tcW w:w="1667" w:type="pct"/>
          </w:tcPr>
          <w:p w14:paraId="5EA2C043" w14:textId="77777777" w:rsidR="001828F7" w:rsidRPr="00414C04" w:rsidRDefault="001828F7" w:rsidP="000D6479">
            <w:pPr>
              <w:keepNext/>
              <w:keepLines/>
              <w:spacing w:before="200" w:line="480" w:lineRule="auto"/>
              <w:outlineLvl w:val="5"/>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0.53 (0.35) p=0.26</w:t>
            </w:r>
          </w:p>
        </w:tc>
      </w:tr>
    </w:tbl>
    <w:p w14:paraId="11D2FBB3" w14:textId="77777777" w:rsidR="004417B9" w:rsidRPr="00414C04" w:rsidRDefault="00AE6A08" w:rsidP="00EB5BFA">
      <w:pPr>
        <w:spacing w:line="480" w:lineRule="auto"/>
        <w:outlineLvl w:val="0"/>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Supplementary Table 2</w:t>
      </w:r>
      <w:r w:rsidR="00CB555F" w:rsidRPr="00414C04">
        <w:rPr>
          <w:rFonts w:asciiTheme="minorHAnsi" w:hAnsiTheme="minorHAnsi" w:cs="Arial"/>
          <w:b/>
          <w:color w:val="000000" w:themeColor="text1"/>
          <w:sz w:val="24"/>
          <w:szCs w:val="24"/>
        </w:rPr>
        <w:t xml:space="preserve"> Psychotropic medication</w:t>
      </w:r>
    </w:p>
    <w:p w14:paraId="5E8979B2" w14:textId="5427A644" w:rsidR="00D46661" w:rsidRPr="00414C04" w:rsidRDefault="00AF3411" w:rsidP="00AF3411">
      <w:pPr>
        <w:spacing w:line="480" w:lineRule="auto"/>
        <w:jc w:val="both"/>
        <w:rPr>
          <w:rFonts w:asciiTheme="minorHAnsi" w:hAnsiTheme="minorHAnsi"/>
          <w:color w:val="000000" w:themeColor="text1"/>
          <w:sz w:val="24"/>
          <w:szCs w:val="24"/>
        </w:rPr>
      </w:pPr>
      <w:r w:rsidRPr="00414C04">
        <w:rPr>
          <w:rFonts w:asciiTheme="minorHAnsi" w:hAnsiTheme="minorHAnsi"/>
          <w:color w:val="000000" w:themeColor="text1"/>
          <w:sz w:val="24"/>
          <w:szCs w:val="24"/>
        </w:rPr>
        <w:t xml:space="preserve">At six-month follow-up, </w:t>
      </w:r>
      <w:r w:rsidR="00B81BE8" w:rsidRPr="00414C04">
        <w:rPr>
          <w:rFonts w:asciiTheme="minorHAnsi" w:hAnsiTheme="minorHAnsi"/>
          <w:color w:val="000000" w:themeColor="text1"/>
          <w:sz w:val="24"/>
          <w:szCs w:val="24"/>
        </w:rPr>
        <w:t>all PANSS response criteria responders met criteria for remission, ands 1 of the 13 PANSS criteria non-responders fulfilled criteria for remission.</w:t>
      </w:r>
      <w:r w:rsidR="00D46661" w:rsidRPr="00414C04">
        <w:rPr>
          <w:rFonts w:asciiTheme="minorHAnsi" w:hAnsiTheme="minorHAnsi"/>
          <w:color w:val="000000" w:themeColor="text1"/>
          <w:sz w:val="24"/>
          <w:szCs w:val="24"/>
        </w:rPr>
        <w:t xml:space="preserve"> </w:t>
      </w:r>
    </w:p>
    <w:p w14:paraId="5B0E8E75" w14:textId="77777777" w:rsidR="00AF3411" w:rsidRPr="00414C04" w:rsidRDefault="00B81BE8" w:rsidP="00AF3411">
      <w:pPr>
        <w:spacing w:line="480" w:lineRule="auto"/>
        <w:jc w:val="both"/>
        <w:rPr>
          <w:rFonts w:asciiTheme="minorHAnsi" w:hAnsiTheme="minorHAnsi"/>
          <w:color w:val="000000" w:themeColor="text1"/>
          <w:sz w:val="24"/>
          <w:szCs w:val="24"/>
        </w:rPr>
      </w:pPr>
      <w:r w:rsidRPr="00414C04">
        <w:rPr>
          <w:rFonts w:asciiTheme="minorHAnsi" w:hAnsiTheme="minorHAnsi"/>
          <w:color w:val="000000" w:themeColor="text1"/>
          <w:sz w:val="24"/>
          <w:szCs w:val="24"/>
        </w:rPr>
        <w:t>A</w:t>
      </w:r>
      <w:r w:rsidR="00AF3411" w:rsidRPr="00414C04">
        <w:rPr>
          <w:rFonts w:asciiTheme="minorHAnsi" w:hAnsiTheme="minorHAnsi"/>
          <w:color w:val="000000" w:themeColor="text1"/>
          <w:sz w:val="24"/>
          <w:szCs w:val="24"/>
        </w:rPr>
        <w:t xml:space="preserve">ll </w:t>
      </w:r>
      <w:r w:rsidR="00AB799D" w:rsidRPr="00414C04">
        <w:rPr>
          <w:rFonts w:asciiTheme="minorHAnsi" w:hAnsiTheme="minorHAnsi"/>
          <w:color w:val="000000" w:themeColor="text1"/>
          <w:sz w:val="24"/>
          <w:szCs w:val="24"/>
        </w:rPr>
        <w:t xml:space="preserve">CGI-I </w:t>
      </w:r>
      <w:r w:rsidR="00AF3411" w:rsidRPr="00414C04">
        <w:rPr>
          <w:rFonts w:asciiTheme="minorHAnsi" w:hAnsiTheme="minorHAnsi"/>
          <w:color w:val="000000" w:themeColor="text1"/>
          <w:sz w:val="24"/>
          <w:szCs w:val="24"/>
        </w:rPr>
        <w:t xml:space="preserve">responders met remission criteria, whilst all </w:t>
      </w:r>
      <w:r w:rsidR="00AB799D" w:rsidRPr="00414C04">
        <w:rPr>
          <w:rFonts w:asciiTheme="minorHAnsi" w:hAnsiTheme="minorHAnsi"/>
          <w:color w:val="000000" w:themeColor="text1"/>
          <w:sz w:val="24"/>
          <w:szCs w:val="24"/>
        </w:rPr>
        <w:t xml:space="preserve">CGI-I </w:t>
      </w:r>
      <w:r w:rsidR="00AF3411" w:rsidRPr="00414C04">
        <w:rPr>
          <w:rFonts w:asciiTheme="minorHAnsi" w:hAnsiTheme="minorHAnsi"/>
          <w:color w:val="000000" w:themeColor="text1"/>
          <w:sz w:val="24"/>
          <w:szCs w:val="24"/>
        </w:rPr>
        <w:t xml:space="preserve">non-responders continued to meet the </w:t>
      </w:r>
      <w:r w:rsidR="00CB555F" w:rsidRPr="00414C04">
        <w:rPr>
          <w:rFonts w:asciiTheme="minorHAnsi" w:hAnsiTheme="minorHAnsi"/>
          <w:color w:val="000000" w:themeColor="text1"/>
          <w:sz w:val="24"/>
          <w:szCs w:val="24"/>
        </w:rPr>
        <w:t>non-remission</w:t>
      </w:r>
      <w:r w:rsidR="00AF3411" w:rsidRPr="00414C04">
        <w:rPr>
          <w:rFonts w:asciiTheme="minorHAnsi" w:hAnsiTheme="minorHAnsi"/>
          <w:color w:val="000000" w:themeColor="text1"/>
          <w:sz w:val="24"/>
          <w:szCs w:val="24"/>
        </w:rPr>
        <w:t xml:space="preserve"> criteria. </w:t>
      </w:r>
    </w:p>
    <w:p w14:paraId="4E7087EF" w14:textId="77777777" w:rsidR="00FB3C60" w:rsidRPr="00414C04" w:rsidRDefault="00FB3C60" w:rsidP="009A7AF2">
      <w:pPr>
        <w:spacing w:line="480" w:lineRule="auto"/>
        <w:jc w:val="both"/>
        <w:rPr>
          <w:rFonts w:asciiTheme="minorHAnsi" w:hAnsiTheme="minorHAnsi" w:cs="Arial"/>
          <w:b/>
          <w:color w:val="000000" w:themeColor="text1"/>
          <w:sz w:val="24"/>
          <w:szCs w:val="24"/>
        </w:rPr>
      </w:pPr>
    </w:p>
    <w:p w14:paraId="4E1BBB6F" w14:textId="77777777" w:rsidR="00FB3C60" w:rsidRPr="00414C04" w:rsidRDefault="00FB3C60" w:rsidP="009A7AF2">
      <w:pPr>
        <w:spacing w:line="480" w:lineRule="auto"/>
        <w:jc w:val="both"/>
        <w:rPr>
          <w:rFonts w:asciiTheme="minorHAnsi" w:hAnsiTheme="minorHAnsi" w:cs="Arial"/>
          <w:b/>
          <w:color w:val="000000" w:themeColor="text1"/>
          <w:sz w:val="24"/>
          <w:szCs w:val="24"/>
        </w:rPr>
      </w:pPr>
    </w:p>
    <w:p w14:paraId="18F26279" w14:textId="77777777" w:rsidR="00FB3C60" w:rsidRPr="00414C04" w:rsidRDefault="00FB3C60" w:rsidP="009A7AF2">
      <w:pPr>
        <w:spacing w:line="480" w:lineRule="auto"/>
        <w:jc w:val="both"/>
        <w:rPr>
          <w:rFonts w:asciiTheme="minorHAnsi" w:hAnsiTheme="minorHAnsi" w:cs="Arial"/>
          <w:b/>
          <w:color w:val="000000" w:themeColor="text1"/>
          <w:sz w:val="24"/>
          <w:szCs w:val="24"/>
        </w:rPr>
      </w:pPr>
    </w:p>
    <w:p w14:paraId="25B88AEF" w14:textId="77777777" w:rsidR="00FB3C60" w:rsidRPr="00414C04" w:rsidRDefault="00FB3C60" w:rsidP="009A7AF2">
      <w:pPr>
        <w:spacing w:line="480" w:lineRule="auto"/>
        <w:jc w:val="both"/>
        <w:rPr>
          <w:rFonts w:asciiTheme="minorHAnsi" w:hAnsiTheme="minorHAnsi" w:cs="Arial"/>
          <w:b/>
          <w:color w:val="000000" w:themeColor="text1"/>
          <w:sz w:val="24"/>
          <w:szCs w:val="24"/>
        </w:rPr>
      </w:pPr>
    </w:p>
    <w:p w14:paraId="33B6B789" w14:textId="77777777" w:rsidR="00FB3C60" w:rsidRPr="00414C04" w:rsidRDefault="00FB3C60" w:rsidP="009A7AF2">
      <w:pPr>
        <w:spacing w:line="480" w:lineRule="auto"/>
        <w:jc w:val="both"/>
        <w:rPr>
          <w:rFonts w:asciiTheme="minorHAnsi" w:hAnsiTheme="minorHAnsi" w:cs="Arial"/>
          <w:b/>
          <w:color w:val="000000" w:themeColor="text1"/>
          <w:sz w:val="24"/>
          <w:szCs w:val="24"/>
        </w:rPr>
      </w:pPr>
    </w:p>
    <w:p w14:paraId="03ABCBE7" w14:textId="77777777" w:rsidR="00FB3C60" w:rsidRPr="00414C04" w:rsidRDefault="00FB3C60" w:rsidP="009A7AF2">
      <w:pPr>
        <w:spacing w:line="480" w:lineRule="auto"/>
        <w:jc w:val="both"/>
        <w:rPr>
          <w:rFonts w:asciiTheme="minorHAnsi" w:hAnsiTheme="minorHAnsi" w:cs="Arial"/>
          <w:b/>
          <w:color w:val="000000" w:themeColor="text1"/>
          <w:sz w:val="24"/>
          <w:szCs w:val="24"/>
        </w:rPr>
      </w:pPr>
    </w:p>
    <w:p w14:paraId="70BA1B2E" w14:textId="77777777" w:rsidR="00FB3C60" w:rsidRPr="00414C04" w:rsidRDefault="00FB3C60" w:rsidP="009A7AF2">
      <w:pPr>
        <w:spacing w:line="480" w:lineRule="auto"/>
        <w:jc w:val="both"/>
        <w:rPr>
          <w:rFonts w:asciiTheme="minorHAnsi" w:hAnsiTheme="minorHAnsi" w:cs="Arial"/>
          <w:b/>
          <w:color w:val="000000" w:themeColor="text1"/>
          <w:sz w:val="24"/>
          <w:szCs w:val="24"/>
        </w:rPr>
      </w:pPr>
    </w:p>
    <w:p w14:paraId="0FE9B13E" w14:textId="77777777" w:rsidR="00FB3C60" w:rsidRPr="00414C04" w:rsidRDefault="009A7AF2" w:rsidP="009A7AF2">
      <w:pPr>
        <w:spacing w:line="480" w:lineRule="auto"/>
        <w:jc w:val="both"/>
        <w:rPr>
          <w:rFonts w:asciiTheme="minorHAnsi" w:hAnsiTheme="minorHAnsi" w:cs="Arial"/>
          <w:color w:val="000000" w:themeColor="text1"/>
          <w:sz w:val="24"/>
          <w:szCs w:val="24"/>
        </w:rPr>
      </w:pPr>
      <w:r w:rsidRPr="00414C04">
        <w:rPr>
          <w:rFonts w:asciiTheme="minorHAnsi" w:hAnsiTheme="minorHAnsi" w:cs="Arial"/>
          <w:b/>
          <w:color w:val="000000" w:themeColor="text1"/>
          <w:sz w:val="24"/>
          <w:szCs w:val="24"/>
        </w:rPr>
        <w:lastRenderedPageBreak/>
        <w:t>Supplementary Table 3</w:t>
      </w:r>
    </w:p>
    <w:p w14:paraId="623B0388" w14:textId="1341629B" w:rsidR="009A7AF2" w:rsidRPr="00414C04" w:rsidRDefault="009A7AF2" w:rsidP="009A7AF2">
      <w:pPr>
        <w:spacing w:line="480" w:lineRule="auto"/>
        <w:jc w:val="both"/>
        <w:rPr>
          <w:rFonts w:asciiTheme="minorHAnsi" w:hAnsiTheme="minorHAnsi" w:cs="Arial"/>
          <w:color w:val="000000" w:themeColor="text1"/>
          <w:sz w:val="24"/>
          <w:szCs w:val="24"/>
        </w:rPr>
      </w:pPr>
      <w:r w:rsidRPr="00414C04">
        <w:rPr>
          <w:rFonts w:asciiTheme="minorHAnsi" w:hAnsiTheme="minorHAnsi" w:cs="Arial"/>
          <w:b/>
          <w:color w:val="000000" w:themeColor="text1"/>
          <w:sz w:val="24"/>
          <w:szCs w:val="24"/>
        </w:rPr>
        <w:t>Response and remission criteria applied to patient sample</w:t>
      </w:r>
    </w:p>
    <w:tbl>
      <w:tblPr>
        <w:tblStyle w:val="TableGrid"/>
        <w:tblW w:w="0" w:type="auto"/>
        <w:tblLook w:val="04A0" w:firstRow="1" w:lastRow="0" w:firstColumn="1" w:lastColumn="0" w:noHBand="0" w:noVBand="1"/>
      </w:tblPr>
      <w:tblGrid>
        <w:gridCol w:w="1554"/>
        <w:gridCol w:w="715"/>
        <w:gridCol w:w="1161"/>
        <w:gridCol w:w="1161"/>
        <w:gridCol w:w="1192"/>
        <w:gridCol w:w="216"/>
        <w:gridCol w:w="1113"/>
        <w:gridCol w:w="1198"/>
        <w:gridCol w:w="826"/>
        <w:gridCol w:w="826"/>
      </w:tblGrid>
      <w:tr w:rsidR="00832C99" w:rsidRPr="00414C04" w14:paraId="78019AC7" w14:textId="77777777" w:rsidTr="00A83558">
        <w:tc>
          <w:tcPr>
            <w:tcW w:w="1357" w:type="dxa"/>
            <w:vAlign w:val="bottom"/>
          </w:tcPr>
          <w:p w14:paraId="0D03637B" w14:textId="77777777" w:rsidR="009A7AF2" w:rsidRPr="00414C04" w:rsidRDefault="00A83558"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CG</w:t>
            </w:r>
            <w:r w:rsidR="009A7AF2" w:rsidRPr="00414C04">
              <w:rPr>
                <w:rFonts w:asciiTheme="minorHAnsi" w:hAnsiTheme="minorHAnsi" w:cs="Arial"/>
                <w:b/>
                <w:color w:val="000000" w:themeColor="text1"/>
                <w:sz w:val="24"/>
                <w:szCs w:val="24"/>
              </w:rPr>
              <w:t>I-Improvement score</w:t>
            </w:r>
          </w:p>
        </w:tc>
        <w:tc>
          <w:tcPr>
            <w:tcW w:w="725" w:type="dxa"/>
            <w:vAlign w:val="bottom"/>
          </w:tcPr>
          <w:p w14:paraId="560C2ED0"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Total (n)</w:t>
            </w:r>
          </w:p>
        </w:tc>
        <w:tc>
          <w:tcPr>
            <w:tcW w:w="1181" w:type="dxa"/>
            <w:vAlign w:val="bottom"/>
          </w:tcPr>
          <w:p w14:paraId="2C6CC631"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Very much worse</w:t>
            </w:r>
          </w:p>
        </w:tc>
        <w:tc>
          <w:tcPr>
            <w:tcW w:w="1181" w:type="dxa"/>
            <w:vAlign w:val="bottom"/>
          </w:tcPr>
          <w:p w14:paraId="63FC1D77" w14:textId="77777777" w:rsidR="009A7AF2" w:rsidRPr="00414C04" w:rsidRDefault="009A7AF2" w:rsidP="00A83558">
            <w:pPr>
              <w:ind w:firstLine="0"/>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Much</w:t>
            </w:r>
            <w:r w:rsidR="00A83558" w:rsidRPr="00414C04">
              <w:rPr>
                <w:rFonts w:asciiTheme="minorHAnsi" w:hAnsiTheme="minorHAnsi" w:cs="Arial"/>
                <w:b/>
                <w:color w:val="000000" w:themeColor="text1"/>
                <w:sz w:val="24"/>
                <w:szCs w:val="24"/>
              </w:rPr>
              <w:t xml:space="preserve"> </w:t>
            </w:r>
            <w:r w:rsidRPr="00414C04">
              <w:rPr>
                <w:rFonts w:asciiTheme="minorHAnsi" w:hAnsiTheme="minorHAnsi" w:cs="Arial"/>
                <w:b/>
                <w:color w:val="000000" w:themeColor="text1"/>
                <w:sz w:val="24"/>
                <w:szCs w:val="24"/>
              </w:rPr>
              <w:t>worse</w:t>
            </w:r>
          </w:p>
        </w:tc>
        <w:tc>
          <w:tcPr>
            <w:tcW w:w="1188" w:type="dxa"/>
            <w:gridSpan w:val="2"/>
            <w:vAlign w:val="bottom"/>
          </w:tcPr>
          <w:p w14:paraId="5A034C00"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Minimally worse</w:t>
            </w:r>
          </w:p>
        </w:tc>
        <w:tc>
          <w:tcPr>
            <w:tcW w:w="1178" w:type="dxa"/>
            <w:vAlign w:val="bottom"/>
          </w:tcPr>
          <w:p w14:paraId="4B8779CF"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Unchanged</w:t>
            </w:r>
          </w:p>
        </w:tc>
        <w:tc>
          <w:tcPr>
            <w:tcW w:w="1181" w:type="dxa"/>
            <w:vAlign w:val="bottom"/>
          </w:tcPr>
          <w:p w14:paraId="2758E3ED"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Minimally better</w:t>
            </w:r>
          </w:p>
        </w:tc>
        <w:tc>
          <w:tcPr>
            <w:tcW w:w="1235" w:type="dxa"/>
            <w:vAlign w:val="bottom"/>
          </w:tcPr>
          <w:p w14:paraId="182CB9E4"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Much better</w:t>
            </w:r>
          </w:p>
        </w:tc>
        <w:tc>
          <w:tcPr>
            <w:tcW w:w="736" w:type="dxa"/>
            <w:vAlign w:val="bottom"/>
          </w:tcPr>
          <w:p w14:paraId="06E41B8D" w14:textId="77777777" w:rsidR="009A7AF2" w:rsidRPr="00414C04" w:rsidRDefault="00A83558" w:rsidP="00A83558">
            <w:pPr>
              <w:ind w:firstLine="0"/>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Ve</w:t>
            </w:r>
            <w:r w:rsidR="00D10FEB" w:rsidRPr="00414C04">
              <w:rPr>
                <w:rFonts w:asciiTheme="minorHAnsi" w:hAnsiTheme="minorHAnsi" w:cs="Arial"/>
                <w:b/>
                <w:color w:val="000000" w:themeColor="text1"/>
                <w:sz w:val="24"/>
                <w:szCs w:val="24"/>
              </w:rPr>
              <w:t xml:space="preserve">ry </w:t>
            </w:r>
            <w:r w:rsidR="009A7AF2" w:rsidRPr="00414C04">
              <w:rPr>
                <w:rFonts w:asciiTheme="minorHAnsi" w:hAnsiTheme="minorHAnsi" w:cs="Arial"/>
                <w:b/>
                <w:color w:val="000000" w:themeColor="text1"/>
                <w:sz w:val="24"/>
                <w:szCs w:val="24"/>
              </w:rPr>
              <w:t xml:space="preserve">much </w:t>
            </w:r>
            <w:r w:rsidRPr="00414C04">
              <w:rPr>
                <w:rFonts w:asciiTheme="minorHAnsi" w:hAnsiTheme="minorHAnsi" w:cs="Arial"/>
                <w:b/>
                <w:color w:val="000000" w:themeColor="text1"/>
                <w:sz w:val="24"/>
                <w:szCs w:val="24"/>
              </w:rPr>
              <w:t>b</w:t>
            </w:r>
            <w:r w:rsidR="009A7AF2" w:rsidRPr="00414C04">
              <w:rPr>
                <w:rFonts w:asciiTheme="minorHAnsi" w:hAnsiTheme="minorHAnsi" w:cs="Arial"/>
                <w:b/>
                <w:color w:val="000000" w:themeColor="text1"/>
                <w:sz w:val="24"/>
                <w:szCs w:val="24"/>
              </w:rPr>
              <w:t>etter</w:t>
            </w:r>
          </w:p>
        </w:tc>
      </w:tr>
      <w:tr w:rsidR="00832C99" w:rsidRPr="00414C04" w14:paraId="75888B3E" w14:textId="77777777" w:rsidTr="00A13736">
        <w:tc>
          <w:tcPr>
            <w:tcW w:w="1357" w:type="dxa"/>
            <w:vAlign w:val="bottom"/>
          </w:tcPr>
          <w:p w14:paraId="709BCB16" w14:textId="77777777" w:rsidR="009A7AF2" w:rsidRPr="00414C04" w:rsidRDefault="00AB799D"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n</w:t>
            </w:r>
          </w:p>
        </w:tc>
        <w:tc>
          <w:tcPr>
            <w:tcW w:w="725" w:type="dxa"/>
            <w:vAlign w:val="bottom"/>
          </w:tcPr>
          <w:p w14:paraId="23CB0281"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26</w:t>
            </w:r>
          </w:p>
        </w:tc>
        <w:tc>
          <w:tcPr>
            <w:tcW w:w="1181" w:type="dxa"/>
            <w:vAlign w:val="bottom"/>
          </w:tcPr>
          <w:p w14:paraId="3E2BDDEA" w14:textId="77777777" w:rsidR="009A7AF2" w:rsidRPr="00414C04" w:rsidRDefault="009A7AF2" w:rsidP="00690BA0">
            <w:pPr>
              <w:ind w:firstLine="0"/>
              <w:jc w:val="both"/>
              <w:rPr>
                <w:rFonts w:asciiTheme="minorHAnsi" w:hAnsiTheme="minorHAnsi" w:cs="Arial"/>
                <w:b/>
                <w:color w:val="000000" w:themeColor="text1"/>
                <w:sz w:val="24"/>
                <w:szCs w:val="24"/>
              </w:rPr>
            </w:pPr>
          </w:p>
        </w:tc>
        <w:tc>
          <w:tcPr>
            <w:tcW w:w="1181" w:type="dxa"/>
            <w:vAlign w:val="bottom"/>
          </w:tcPr>
          <w:p w14:paraId="33ED25B0"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1</w:t>
            </w:r>
          </w:p>
        </w:tc>
        <w:tc>
          <w:tcPr>
            <w:tcW w:w="1181" w:type="dxa"/>
            <w:vAlign w:val="bottom"/>
          </w:tcPr>
          <w:p w14:paraId="2BCB95F3"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3</w:t>
            </w:r>
          </w:p>
        </w:tc>
        <w:tc>
          <w:tcPr>
            <w:tcW w:w="1185" w:type="dxa"/>
            <w:gridSpan w:val="2"/>
            <w:vAlign w:val="bottom"/>
          </w:tcPr>
          <w:p w14:paraId="3C4449EB"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6</w:t>
            </w:r>
          </w:p>
        </w:tc>
        <w:tc>
          <w:tcPr>
            <w:tcW w:w="1181" w:type="dxa"/>
            <w:vAlign w:val="bottom"/>
          </w:tcPr>
          <w:p w14:paraId="22D49085"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2</w:t>
            </w:r>
          </w:p>
        </w:tc>
        <w:tc>
          <w:tcPr>
            <w:tcW w:w="1235" w:type="dxa"/>
            <w:vAlign w:val="bottom"/>
          </w:tcPr>
          <w:p w14:paraId="4FB8F11E"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9</w:t>
            </w:r>
          </w:p>
        </w:tc>
        <w:tc>
          <w:tcPr>
            <w:tcW w:w="736" w:type="dxa"/>
            <w:vAlign w:val="bottom"/>
          </w:tcPr>
          <w:p w14:paraId="0506EB96"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5</w:t>
            </w:r>
          </w:p>
        </w:tc>
      </w:tr>
      <w:tr w:rsidR="00832C99" w:rsidRPr="00414C04" w14:paraId="1A013EFF" w14:textId="77777777" w:rsidTr="00A13736">
        <w:tc>
          <w:tcPr>
            <w:tcW w:w="1357" w:type="dxa"/>
            <w:vAlign w:val="bottom"/>
          </w:tcPr>
          <w:p w14:paraId="1252BABE" w14:textId="77777777" w:rsidR="000772E7" w:rsidRPr="00414C04" w:rsidRDefault="000772E7" w:rsidP="00690BA0">
            <w:pPr>
              <w:jc w:val="both"/>
              <w:rPr>
                <w:rFonts w:asciiTheme="minorHAnsi" w:hAnsiTheme="minorHAnsi" w:cs="Arial"/>
                <w:b/>
                <w:color w:val="000000" w:themeColor="text1"/>
                <w:sz w:val="24"/>
                <w:szCs w:val="24"/>
              </w:rPr>
            </w:pPr>
          </w:p>
        </w:tc>
        <w:tc>
          <w:tcPr>
            <w:tcW w:w="725" w:type="dxa"/>
            <w:vAlign w:val="bottom"/>
          </w:tcPr>
          <w:p w14:paraId="0AD2D030" w14:textId="77777777" w:rsidR="000772E7" w:rsidRPr="00414C04" w:rsidRDefault="000772E7" w:rsidP="00690BA0">
            <w:pPr>
              <w:jc w:val="both"/>
              <w:rPr>
                <w:rFonts w:asciiTheme="minorHAnsi" w:hAnsiTheme="minorHAnsi" w:cs="Arial"/>
                <w:b/>
                <w:color w:val="000000" w:themeColor="text1"/>
                <w:sz w:val="24"/>
                <w:szCs w:val="24"/>
              </w:rPr>
            </w:pPr>
          </w:p>
        </w:tc>
        <w:tc>
          <w:tcPr>
            <w:tcW w:w="1181" w:type="dxa"/>
            <w:vAlign w:val="bottom"/>
          </w:tcPr>
          <w:p w14:paraId="548967A6" w14:textId="77777777" w:rsidR="000772E7" w:rsidRPr="00414C04" w:rsidRDefault="000772E7" w:rsidP="00690BA0">
            <w:pPr>
              <w:jc w:val="both"/>
              <w:rPr>
                <w:rFonts w:asciiTheme="minorHAnsi" w:hAnsiTheme="minorHAnsi" w:cs="Arial"/>
                <w:b/>
                <w:color w:val="000000" w:themeColor="text1"/>
                <w:sz w:val="24"/>
                <w:szCs w:val="24"/>
              </w:rPr>
            </w:pPr>
          </w:p>
        </w:tc>
        <w:tc>
          <w:tcPr>
            <w:tcW w:w="1181" w:type="dxa"/>
            <w:vAlign w:val="bottom"/>
          </w:tcPr>
          <w:p w14:paraId="365A3D92" w14:textId="77777777" w:rsidR="000772E7" w:rsidRPr="00414C04" w:rsidRDefault="000772E7" w:rsidP="00690BA0">
            <w:pPr>
              <w:jc w:val="both"/>
              <w:rPr>
                <w:rFonts w:asciiTheme="minorHAnsi" w:hAnsiTheme="minorHAnsi" w:cs="Arial"/>
                <w:b/>
                <w:color w:val="000000" w:themeColor="text1"/>
                <w:sz w:val="24"/>
                <w:szCs w:val="24"/>
              </w:rPr>
            </w:pPr>
          </w:p>
        </w:tc>
        <w:tc>
          <w:tcPr>
            <w:tcW w:w="1181" w:type="dxa"/>
            <w:vAlign w:val="bottom"/>
          </w:tcPr>
          <w:p w14:paraId="3EF8E3F4" w14:textId="77777777" w:rsidR="000772E7" w:rsidRPr="00414C04" w:rsidRDefault="000772E7" w:rsidP="00690BA0">
            <w:pPr>
              <w:jc w:val="both"/>
              <w:rPr>
                <w:rFonts w:asciiTheme="minorHAnsi" w:hAnsiTheme="minorHAnsi" w:cs="Arial"/>
                <w:b/>
                <w:color w:val="000000" w:themeColor="text1"/>
                <w:sz w:val="24"/>
                <w:szCs w:val="24"/>
              </w:rPr>
            </w:pPr>
          </w:p>
        </w:tc>
        <w:tc>
          <w:tcPr>
            <w:tcW w:w="1185" w:type="dxa"/>
            <w:gridSpan w:val="2"/>
            <w:vAlign w:val="bottom"/>
          </w:tcPr>
          <w:p w14:paraId="6D4DE047" w14:textId="77777777" w:rsidR="000772E7" w:rsidRPr="00414C04" w:rsidRDefault="000772E7" w:rsidP="00690BA0">
            <w:pPr>
              <w:jc w:val="both"/>
              <w:rPr>
                <w:rFonts w:asciiTheme="minorHAnsi" w:hAnsiTheme="minorHAnsi" w:cs="Arial"/>
                <w:b/>
                <w:color w:val="000000" w:themeColor="text1"/>
                <w:sz w:val="24"/>
                <w:szCs w:val="24"/>
              </w:rPr>
            </w:pPr>
          </w:p>
        </w:tc>
        <w:tc>
          <w:tcPr>
            <w:tcW w:w="1181" w:type="dxa"/>
            <w:vAlign w:val="bottom"/>
          </w:tcPr>
          <w:p w14:paraId="5FA1FF6C" w14:textId="77777777" w:rsidR="000772E7" w:rsidRPr="00414C04" w:rsidRDefault="000772E7" w:rsidP="00690BA0">
            <w:pPr>
              <w:jc w:val="both"/>
              <w:rPr>
                <w:rFonts w:asciiTheme="minorHAnsi" w:hAnsiTheme="minorHAnsi" w:cs="Arial"/>
                <w:b/>
                <w:color w:val="000000" w:themeColor="text1"/>
                <w:sz w:val="24"/>
                <w:szCs w:val="24"/>
              </w:rPr>
            </w:pPr>
          </w:p>
        </w:tc>
        <w:tc>
          <w:tcPr>
            <w:tcW w:w="1235" w:type="dxa"/>
            <w:vAlign w:val="bottom"/>
          </w:tcPr>
          <w:p w14:paraId="64D0C758" w14:textId="77777777" w:rsidR="000772E7" w:rsidRPr="00414C04" w:rsidRDefault="000772E7" w:rsidP="00690BA0">
            <w:pPr>
              <w:jc w:val="both"/>
              <w:rPr>
                <w:rFonts w:asciiTheme="minorHAnsi" w:hAnsiTheme="minorHAnsi" w:cs="Arial"/>
                <w:b/>
                <w:color w:val="000000" w:themeColor="text1"/>
                <w:sz w:val="24"/>
                <w:szCs w:val="24"/>
              </w:rPr>
            </w:pPr>
          </w:p>
        </w:tc>
        <w:tc>
          <w:tcPr>
            <w:tcW w:w="736" w:type="dxa"/>
            <w:vAlign w:val="bottom"/>
          </w:tcPr>
          <w:p w14:paraId="387C7780" w14:textId="77777777" w:rsidR="000772E7" w:rsidRPr="00414C04" w:rsidRDefault="000772E7" w:rsidP="00690BA0">
            <w:pPr>
              <w:jc w:val="both"/>
              <w:rPr>
                <w:rFonts w:asciiTheme="minorHAnsi" w:hAnsiTheme="minorHAnsi" w:cs="Arial"/>
                <w:color w:val="000000" w:themeColor="text1"/>
                <w:sz w:val="24"/>
                <w:szCs w:val="24"/>
              </w:rPr>
            </w:pPr>
          </w:p>
        </w:tc>
      </w:tr>
      <w:tr w:rsidR="00832C99" w:rsidRPr="00414C04" w14:paraId="051C340A" w14:textId="77777777" w:rsidTr="00A13736">
        <w:tc>
          <w:tcPr>
            <w:tcW w:w="1357" w:type="dxa"/>
            <w:vAlign w:val="bottom"/>
          </w:tcPr>
          <w:p w14:paraId="3CDA79C7"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PANSS Total reduction</w:t>
            </w:r>
          </w:p>
        </w:tc>
        <w:tc>
          <w:tcPr>
            <w:tcW w:w="725" w:type="dxa"/>
            <w:vAlign w:val="bottom"/>
          </w:tcPr>
          <w:p w14:paraId="247EA987"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Total (n)</w:t>
            </w:r>
          </w:p>
        </w:tc>
        <w:tc>
          <w:tcPr>
            <w:tcW w:w="1181" w:type="dxa"/>
            <w:vAlign w:val="bottom"/>
          </w:tcPr>
          <w:p w14:paraId="2A3A588A"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&lt;=0% PANSS reduction</w:t>
            </w:r>
          </w:p>
        </w:tc>
        <w:tc>
          <w:tcPr>
            <w:tcW w:w="1181" w:type="dxa"/>
            <w:vAlign w:val="bottom"/>
          </w:tcPr>
          <w:p w14:paraId="1B637E53"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0-&lt;25% PANSS reduction</w:t>
            </w:r>
          </w:p>
        </w:tc>
        <w:tc>
          <w:tcPr>
            <w:tcW w:w="1181" w:type="dxa"/>
            <w:vAlign w:val="bottom"/>
          </w:tcPr>
          <w:p w14:paraId="52F207F9"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25-49% PANSS reduction</w:t>
            </w:r>
          </w:p>
        </w:tc>
        <w:tc>
          <w:tcPr>
            <w:tcW w:w="1185" w:type="dxa"/>
            <w:gridSpan w:val="2"/>
            <w:vAlign w:val="bottom"/>
          </w:tcPr>
          <w:p w14:paraId="2A28C2C9"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50-74% PANSS reduction</w:t>
            </w:r>
          </w:p>
        </w:tc>
        <w:tc>
          <w:tcPr>
            <w:tcW w:w="1181" w:type="dxa"/>
            <w:vAlign w:val="bottom"/>
          </w:tcPr>
          <w:p w14:paraId="78C55F00" w14:textId="77777777" w:rsidR="009A7AF2" w:rsidRPr="00414C04" w:rsidRDefault="009A7AF2" w:rsidP="00690BA0">
            <w:pPr>
              <w:ind w:firstLine="0"/>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75-100% PANSS reduction</w:t>
            </w:r>
          </w:p>
        </w:tc>
        <w:tc>
          <w:tcPr>
            <w:tcW w:w="1235" w:type="dxa"/>
            <w:vAlign w:val="bottom"/>
          </w:tcPr>
          <w:p w14:paraId="46DA75DD" w14:textId="77777777" w:rsidR="009A7AF2" w:rsidRPr="00414C04" w:rsidRDefault="009A7AF2" w:rsidP="00690BA0">
            <w:pPr>
              <w:ind w:firstLine="0"/>
              <w:jc w:val="both"/>
              <w:rPr>
                <w:rFonts w:asciiTheme="minorHAnsi" w:hAnsiTheme="minorHAnsi" w:cs="Arial"/>
                <w:b/>
                <w:color w:val="000000" w:themeColor="text1"/>
                <w:sz w:val="24"/>
                <w:szCs w:val="24"/>
              </w:rPr>
            </w:pPr>
          </w:p>
        </w:tc>
        <w:tc>
          <w:tcPr>
            <w:tcW w:w="736" w:type="dxa"/>
            <w:vAlign w:val="bottom"/>
          </w:tcPr>
          <w:p w14:paraId="45E88AA8" w14:textId="77777777" w:rsidR="009A7AF2" w:rsidRPr="00414C04" w:rsidRDefault="009A7AF2" w:rsidP="00690BA0">
            <w:pPr>
              <w:ind w:firstLine="0"/>
              <w:jc w:val="both"/>
              <w:rPr>
                <w:rFonts w:asciiTheme="minorHAnsi" w:hAnsiTheme="minorHAnsi" w:cs="Arial"/>
                <w:color w:val="000000" w:themeColor="text1"/>
                <w:sz w:val="24"/>
                <w:szCs w:val="24"/>
              </w:rPr>
            </w:pPr>
          </w:p>
        </w:tc>
      </w:tr>
      <w:tr w:rsidR="009A7AF2" w:rsidRPr="00414C04" w14:paraId="34E76096" w14:textId="77777777" w:rsidTr="00A13736">
        <w:tc>
          <w:tcPr>
            <w:tcW w:w="1357" w:type="dxa"/>
            <w:vAlign w:val="bottom"/>
          </w:tcPr>
          <w:p w14:paraId="2605116A" w14:textId="77777777" w:rsidR="009A7AF2" w:rsidRPr="00414C04" w:rsidRDefault="009A7AF2" w:rsidP="00690BA0">
            <w:pPr>
              <w:ind w:firstLine="0"/>
              <w:jc w:val="both"/>
              <w:rPr>
                <w:rFonts w:asciiTheme="minorHAnsi" w:hAnsiTheme="minorHAnsi" w:cs="Arial"/>
                <w:color w:val="000000" w:themeColor="text1"/>
                <w:sz w:val="24"/>
                <w:szCs w:val="24"/>
              </w:rPr>
            </w:pPr>
          </w:p>
        </w:tc>
        <w:tc>
          <w:tcPr>
            <w:tcW w:w="725" w:type="dxa"/>
            <w:vAlign w:val="bottom"/>
          </w:tcPr>
          <w:p w14:paraId="2B79E8AD" w14:textId="77777777" w:rsidR="009A7AF2" w:rsidRPr="00414C04" w:rsidRDefault="009A7AF2" w:rsidP="00690BA0">
            <w:pPr>
              <w:ind w:firstLine="0"/>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26</w:t>
            </w:r>
          </w:p>
        </w:tc>
        <w:tc>
          <w:tcPr>
            <w:tcW w:w="1181" w:type="dxa"/>
            <w:vAlign w:val="bottom"/>
          </w:tcPr>
          <w:p w14:paraId="7EDFEE2A" w14:textId="77777777" w:rsidR="009A7AF2" w:rsidRPr="00414C04" w:rsidRDefault="009A7AF2" w:rsidP="00690BA0">
            <w:pPr>
              <w:ind w:firstLine="0"/>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3</w:t>
            </w:r>
          </w:p>
        </w:tc>
        <w:tc>
          <w:tcPr>
            <w:tcW w:w="1181" w:type="dxa"/>
            <w:vAlign w:val="bottom"/>
          </w:tcPr>
          <w:p w14:paraId="6FC0BFBC" w14:textId="77777777" w:rsidR="009A7AF2" w:rsidRPr="00414C04" w:rsidRDefault="009A7AF2" w:rsidP="00690BA0">
            <w:pPr>
              <w:ind w:firstLine="0"/>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8</w:t>
            </w:r>
          </w:p>
        </w:tc>
        <w:tc>
          <w:tcPr>
            <w:tcW w:w="1181" w:type="dxa"/>
            <w:vAlign w:val="bottom"/>
          </w:tcPr>
          <w:p w14:paraId="50888083" w14:textId="77777777" w:rsidR="009A7AF2" w:rsidRPr="00414C04" w:rsidRDefault="009A7AF2" w:rsidP="00690BA0">
            <w:pPr>
              <w:ind w:firstLine="0"/>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2</w:t>
            </w:r>
          </w:p>
        </w:tc>
        <w:tc>
          <w:tcPr>
            <w:tcW w:w="1185" w:type="dxa"/>
            <w:gridSpan w:val="2"/>
            <w:vAlign w:val="bottom"/>
          </w:tcPr>
          <w:p w14:paraId="1FB70D1D" w14:textId="77777777" w:rsidR="009A7AF2" w:rsidRPr="00414C04" w:rsidRDefault="009A7AF2" w:rsidP="00690BA0">
            <w:pPr>
              <w:ind w:firstLine="0"/>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7</w:t>
            </w:r>
          </w:p>
        </w:tc>
        <w:tc>
          <w:tcPr>
            <w:tcW w:w="1181" w:type="dxa"/>
            <w:vAlign w:val="bottom"/>
          </w:tcPr>
          <w:p w14:paraId="4C7EDE1D" w14:textId="77777777" w:rsidR="009A7AF2" w:rsidRPr="00414C04" w:rsidRDefault="009A7AF2" w:rsidP="00690BA0">
            <w:pPr>
              <w:ind w:firstLine="0"/>
              <w:jc w:val="both"/>
              <w:rPr>
                <w:rFonts w:asciiTheme="minorHAnsi" w:hAnsiTheme="minorHAnsi" w:cs="Arial"/>
                <w:color w:val="000000" w:themeColor="text1"/>
                <w:sz w:val="24"/>
                <w:szCs w:val="24"/>
              </w:rPr>
            </w:pPr>
            <w:r w:rsidRPr="00414C04">
              <w:rPr>
                <w:rFonts w:asciiTheme="minorHAnsi" w:hAnsiTheme="minorHAnsi" w:cs="Arial"/>
                <w:color w:val="000000" w:themeColor="text1"/>
                <w:sz w:val="24"/>
                <w:szCs w:val="24"/>
              </w:rPr>
              <w:t>6</w:t>
            </w:r>
          </w:p>
        </w:tc>
        <w:tc>
          <w:tcPr>
            <w:tcW w:w="1235" w:type="dxa"/>
            <w:vAlign w:val="bottom"/>
          </w:tcPr>
          <w:p w14:paraId="3A1BCA70" w14:textId="77777777" w:rsidR="009A7AF2" w:rsidRPr="00414C04" w:rsidRDefault="009A7AF2" w:rsidP="00690BA0">
            <w:pPr>
              <w:ind w:firstLine="0"/>
              <w:jc w:val="both"/>
              <w:rPr>
                <w:rFonts w:asciiTheme="minorHAnsi" w:hAnsiTheme="minorHAnsi" w:cs="Arial"/>
                <w:color w:val="000000" w:themeColor="text1"/>
                <w:sz w:val="24"/>
                <w:szCs w:val="24"/>
              </w:rPr>
            </w:pPr>
          </w:p>
        </w:tc>
        <w:tc>
          <w:tcPr>
            <w:tcW w:w="736" w:type="dxa"/>
            <w:vAlign w:val="bottom"/>
          </w:tcPr>
          <w:p w14:paraId="5732049A" w14:textId="77777777" w:rsidR="009A7AF2" w:rsidRPr="00414C04" w:rsidRDefault="009A7AF2" w:rsidP="00690BA0">
            <w:pPr>
              <w:ind w:firstLine="0"/>
              <w:jc w:val="both"/>
              <w:rPr>
                <w:rFonts w:asciiTheme="minorHAnsi" w:hAnsiTheme="minorHAnsi" w:cs="Arial"/>
                <w:color w:val="000000" w:themeColor="text1"/>
                <w:sz w:val="24"/>
                <w:szCs w:val="24"/>
              </w:rPr>
            </w:pPr>
          </w:p>
        </w:tc>
      </w:tr>
    </w:tbl>
    <w:p w14:paraId="2B712FC3" w14:textId="77777777" w:rsidR="00AB799D" w:rsidRPr="00414C04" w:rsidRDefault="00AB799D" w:rsidP="009A7AF2">
      <w:pPr>
        <w:pStyle w:val="Bibliography"/>
        <w:rPr>
          <w:rFonts w:asciiTheme="minorHAnsi" w:hAnsiTheme="minorHAnsi"/>
          <w:b/>
          <w:color w:val="000000" w:themeColor="text1"/>
          <w:sz w:val="24"/>
          <w:szCs w:val="24"/>
        </w:rPr>
      </w:pPr>
    </w:p>
    <w:p w14:paraId="30421A71" w14:textId="77777777" w:rsidR="00AB799D" w:rsidRPr="00414C04" w:rsidRDefault="00AB799D">
      <w:pPr>
        <w:spacing w:after="0" w:line="240" w:lineRule="auto"/>
        <w:rPr>
          <w:rFonts w:asciiTheme="minorHAnsi" w:hAnsiTheme="minorHAnsi"/>
          <w:b/>
          <w:color w:val="000000" w:themeColor="text1"/>
          <w:sz w:val="24"/>
          <w:szCs w:val="24"/>
        </w:rPr>
      </w:pPr>
      <w:r w:rsidRPr="00414C04">
        <w:rPr>
          <w:rFonts w:asciiTheme="minorHAnsi" w:hAnsiTheme="minorHAnsi"/>
          <w:b/>
          <w:color w:val="000000" w:themeColor="text1"/>
          <w:sz w:val="24"/>
          <w:szCs w:val="24"/>
        </w:rPr>
        <w:br w:type="page"/>
      </w:r>
    </w:p>
    <w:p w14:paraId="72FD2947" w14:textId="77777777" w:rsidR="00AB799D" w:rsidRPr="00414C04" w:rsidRDefault="00AB799D" w:rsidP="00AB799D">
      <w:pPr>
        <w:spacing w:line="480" w:lineRule="auto"/>
        <w:jc w:val="both"/>
        <w:rPr>
          <w:rFonts w:asciiTheme="minorHAnsi" w:hAnsiTheme="minorHAnsi" w:cs="Arial"/>
          <w:color w:val="000000" w:themeColor="text1"/>
          <w:sz w:val="24"/>
          <w:szCs w:val="24"/>
        </w:rPr>
      </w:pPr>
    </w:p>
    <w:p w14:paraId="75258CE3" w14:textId="77777777" w:rsidR="003A73AE" w:rsidRPr="00414C04" w:rsidRDefault="00AB799D" w:rsidP="002278C8">
      <w:pPr>
        <w:spacing w:line="480" w:lineRule="auto"/>
        <w:jc w:val="both"/>
        <w:rPr>
          <w:rFonts w:asciiTheme="minorHAnsi" w:hAnsiTheme="minorHAnsi" w:cs="Arial"/>
          <w:b/>
          <w:color w:val="000000" w:themeColor="text1"/>
          <w:sz w:val="24"/>
          <w:szCs w:val="24"/>
        </w:rPr>
      </w:pPr>
      <w:r w:rsidRPr="00414C04">
        <w:rPr>
          <w:rFonts w:asciiTheme="minorHAnsi" w:hAnsiTheme="minorHAnsi" w:cs="Arial"/>
          <w:b/>
          <w:color w:val="000000" w:themeColor="text1"/>
          <w:sz w:val="24"/>
          <w:szCs w:val="24"/>
        </w:rPr>
        <w:t>Supplementary Table 4 Dopamine synthesis capacity in striatal sub-regions</w:t>
      </w:r>
    </w:p>
    <w:p w14:paraId="3C9AE9A9" w14:textId="77777777" w:rsidR="009A7AF2" w:rsidRPr="00414C04" w:rsidRDefault="009A7AF2" w:rsidP="00211016">
      <w:pPr>
        <w:spacing w:line="480" w:lineRule="auto"/>
        <w:jc w:val="both"/>
        <w:rPr>
          <w:rFonts w:asciiTheme="minorHAnsi" w:hAnsiTheme="minorHAnsi" w:cs="Arial"/>
          <w:color w:val="000000" w:themeColor="text1"/>
          <w:sz w:val="24"/>
          <w:szCs w:val="24"/>
        </w:rPr>
      </w:pPr>
    </w:p>
    <w:tbl>
      <w:tblPr>
        <w:tblStyle w:val="TableGrid"/>
        <w:tblW w:w="0" w:type="auto"/>
        <w:tblLook w:val="04A0" w:firstRow="1" w:lastRow="0" w:firstColumn="1" w:lastColumn="0" w:noHBand="0" w:noVBand="1"/>
      </w:tblPr>
      <w:tblGrid>
        <w:gridCol w:w="2022"/>
        <w:gridCol w:w="1862"/>
        <w:gridCol w:w="2161"/>
        <w:gridCol w:w="2883"/>
        <w:gridCol w:w="180"/>
      </w:tblGrid>
      <w:tr w:rsidR="003A73AE" w:rsidRPr="00414C04" w14:paraId="46B19400" w14:textId="77777777" w:rsidTr="00431954">
        <w:tc>
          <w:tcPr>
            <w:tcW w:w="2022" w:type="dxa"/>
          </w:tcPr>
          <w:p w14:paraId="1E02C25A" w14:textId="77777777" w:rsidR="003A73AE" w:rsidRPr="00414C04" w:rsidRDefault="003A73AE" w:rsidP="00431954">
            <w:pPr>
              <w:spacing w:line="480" w:lineRule="auto"/>
              <w:rPr>
                <w:rFonts w:asciiTheme="minorHAnsi" w:hAnsiTheme="minorHAnsi" w:cs="Calibri"/>
                <w:b/>
                <w:sz w:val="24"/>
                <w:szCs w:val="24"/>
              </w:rPr>
            </w:pPr>
            <w:r w:rsidRPr="00414C04">
              <w:rPr>
                <w:rFonts w:asciiTheme="minorHAnsi" w:hAnsiTheme="minorHAnsi" w:cs="Calibri"/>
                <w:b/>
                <w:sz w:val="24"/>
                <w:szCs w:val="24"/>
              </w:rPr>
              <w:t>Striatal region</w:t>
            </w:r>
          </w:p>
        </w:tc>
        <w:tc>
          <w:tcPr>
            <w:tcW w:w="1862" w:type="dxa"/>
          </w:tcPr>
          <w:p w14:paraId="6AE6B4E2" w14:textId="77777777" w:rsidR="003A73AE" w:rsidRPr="00414C04" w:rsidRDefault="003A73AE" w:rsidP="00431954">
            <w:pPr>
              <w:spacing w:line="480" w:lineRule="auto"/>
              <w:jc w:val="both"/>
              <w:rPr>
                <w:rFonts w:asciiTheme="minorHAnsi" w:hAnsiTheme="minorHAnsi" w:cs="Calibri"/>
                <w:b/>
                <w:sz w:val="24"/>
                <w:szCs w:val="24"/>
              </w:rPr>
            </w:pPr>
            <w:r w:rsidRPr="00414C04">
              <w:rPr>
                <w:rFonts w:asciiTheme="minorHAnsi" w:hAnsiTheme="minorHAnsi" w:cs="Calibri"/>
                <w:b/>
                <w:sz w:val="24"/>
                <w:szCs w:val="24"/>
              </w:rPr>
              <w:t>Mean (</w:t>
            </w:r>
            <w:proofErr w:type="spellStart"/>
            <w:r w:rsidRPr="00414C04">
              <w:rPr>
                <w:rFonts w:asciiTheme="minorHAnsi" w:hAnsiTheme="minorHAnsi" w:cs="Calibri"/>
                <w:b/>
                <w:sz w:val="24"/>
                <w:szCs w:val="24"/>
              </w:rPr>
              <w:t>sd</w:t>
            </w:r>
            <w:proofErr w:type="spellEnd"/>
            <w:r w:rsidRPr="00414C04">
              <w:rPr>
                <w:rFonts w:asciiTheme="minorHAnsi" w:hAnsiTheme="minorHAnsi" w:cs="Calibri"/>
                <w:b/>
                <w:sz w:val="24"/>
                <w:szCs w:val="24"/>
              </w:rPr>
              <w:t>) Ki</w:t>
            </w:r>
            <w:r w:rsidRPr="00414C04">
              <w:rPr>
                <w:rFonts w:asciiTheme="minorHAnsi" w:hAnsiTheme="minorHAnsi" w:cs="Calibri"/>
                <w:b/>
                <w:sz w:val="24"/>
                <w:szCs w:val="24"/>
                <w:vertAlign w:val="superscript"/>
              </w:rPr>
              <w:t>cer</w:t>
            </w:r>
            <w:r w:rsidRPr="00414C04">
              <w:rPr>
                <w:rFonts w:asciiTheme="minorHAnsi" w:hAnsiTheme="minorHAnsi" w:cs="Calibri"/>
                <w:b/>
                <w:sz w:val="24"/>
                <w:szCs w:val="24"/>
              </w:rPr>
              <w:t xml:space="preserve"> Responder</w:t>
            </w:r>
          </w:p>
          <w:p w14:paraId="2FB6392A" w14:textId="77777777" w:rsidR="003A73AE" w:rsidRPr="00414C04" w:rsidRDefault="0093033B" w:rsidP="00431954">
            <w:pPr>
              <w:spacing w:line="480" w:lineRule="auto"/>
              <w:jc w:val="both"/>
              <w:rPr>
                <w:rFonts w:asciiTheme="minorHAnsi" w:hAnsiTheme="minorHAnsi" w:cs="Calibri"/>
                <w:b/>
                <w:sz w:val="24"/>
                <w:szCs w:val="24"/>
              </w:rPr>
            </w:pPr>
            <w:r w:rsidRPr="00414C04">
              <w:rPr>
                <w:rFonts w:asciiTheme="minorHAnsi" w:hAnsiTheme="minorHAnsi" w:cs="Calibri"/>
                <w:b/>
                <w:sz w:val="24"/>
                <w:szCs w:val="24"/>
              </w:rPr>
              <w:t>(n=13</w:t>
            </w:r>
            <w:r w:rsidR="003A73AE" w:rsidRPr="00414C04">
              <w:rPr>
                <w:rFonts w:asciiTheme="minorHAnsi" w:hAnsiTheme="minorHAnsi" w:cs="Calibri"/>
                <w:b/>
                <w:sz w:val="24"/>
                <w:szCs w:val="24"/>
              </w:rPr>
              <w:t>)</w:t>
            </w:r>
          </w:p>
        </w:tc>
        <w:tc>
          <w:tcPr>
            <w:tcW w:w="2161" w:type="dxa"/>
          </w:tcPr>
          <w:p w14:paraId="7CBBCBDB" w14:textId="77777777" w:rsidR="003A73AE" w:rsidRPr="00414C04" w:rsidRDefault="003A73AE" w:rsidP="00431954">
            <w:pPr>
              <w:spacing w:line="480" w:lineRule="auto"/>
              <w:rPr>
                <w:rFonts w:asciiTheme="minorHAnsi" w:hAnsiTheme="minorHAnsi" w:cs="Calibri"/>
                <w:b/>
                <w:sz w:val="24"/>
                <w:szCs w:val="24"/>
              </w:rPr>
            </w:pPr>
            <w:r w:rsidRPr="00414C04">
              <w:rPr>
                <w:rFonts w:asciiTheme="minorHAnsi" w:hAnsiTheme="minorHAnsi" w:cs="Calibri"/>
                <w:b/>
                <w:sz w:val="24"/>
                <w:szCs w:val="24"/>
              </w:rPr>
              <w:t>Mean (</w:t>
            </w:r>
            <w:proofErr w:type="spellStart"/>
            <w:r w:rsidRPr="00414C04">
              <w:rPr>
                <w:rFonts w:asciiTheme="minorHAnsi" w:hAnsiTheme="minorHAnsi" w:cs="Calibri"/>
                <w:b/>
                <w:sz w:val="24"/>
                <w:szCs w:val="24"/>
              </w:rPr>
              <w:t>sd</w:t>
            </w:r>
            <w:proofErr w:type="spellEnd"/>
            <w:r w:rsidRPr="00414C04">
              <w:rPr>
                <w:rFonts w:asciiTheme="minorHAnsi" w:hAnsiTheme="minorHAnsi" w:cs="Calibri"/>
                <w:b/>
                <w:sz w:val="24"/>
                <w:szCs w:val="24"/>
              </w:rPr>
              <w:t>) Ki</w:t>
            </w:r>
            <w:r w:rsidRPr="00414C04">
              <w:rPr>
                <w:rFonts w:asciiTheme="minorHAnsi" w:hAnsiTheme="minorHAnsi" w:cs="Calibri"/>
                <w:b/>
                <w:sz w:val="24"/>
                <w:szCs w:val="24"/>
                <w:vertAlign w:val="superscript"/>
              </w:rPr>
              <w:t>cer</w:t>
            </w:r>
            <w:r w:rsidRPr="00414C04">
              <w:rPr>
                <w:rFonts w:asciiTheme="minorHAnsi" w:hAnsiTheme="minorHAnsi" w:cs="Calibri"/>
                <w:b/>
                <w:sz w:val="24"/>
                <w:szCs w:val="24"/>
              </w:rPr>
              <w:t xml:space="preserve"> Non-responder </w:t>
            </w:r>
          </w:p>
          <w:p w14:paraId="4B889B53" w14:textId="77777777" w:rsidR="003A73AE" w:rsidRPr="00414C04" w:rsidRDefault="0093033B" w:rsidP="00431954">
            <w:pPr>
              <w:spacing w:line="480" w:lineRule="auto"/>
              <w:rPr>
                <w:rFonts w:asciiTheme="minorHAnsi" w:hAnsiTheme="minorHAnsi" w:cs="Calibri"/>
                <w:b/>
                <w:sz w:val="24"/>
                <w:szCs w:val="24"/>
              </w:rPr>
            </w:pPr>
            <w:r w:rsidRPr="00414C04">
              <w:rPr>
                <w:rFonts w:asciiTheme="minorHAnsi" w:hAnsiTheme="minorHAnsi" w:cs="Calibri"/>
                <w:b/>
                <w:sz w:val="24"/>
                <w:szCs w:val="24"/>
              </w:rPr>
              <w:t>(n=13</w:t>
            </w:r>
            <w:r w:rsidR="003A73AE" w:rsidRPr="00414C04">
              <w:rPr>
                <w:rFonts w:asciiTheme="minorHAnsi" w:hAnsiTheme="minorHAnsi" w:cs="Calibri"/>
                <w:b/>
                <w:sz w:val="24"/>
                <w:szCs w:val="24"/>
              </w:rPr>
              <w:t>)</w:t>
            </w:r>
          </w:p>
        </w:tc>
        <w:tc>
          <w:tcPr>
            <w:tcW w:w="3063" w:type="dxa"/>
            <w:gridSpan w:val="2"/>
          </w:tcPr>
          <w:p w14:paraId="52BBA847" w14:textId="77777777" w:rsidR="003A73AE" w:rsidRPr="00414C04" w:rsidRDefault="003A73AE" w:rsidP="00431954">
            <w:pPr>
              <w:spacing w:line="480" w:lineRule="auto"/>
              <w:ind w:firstLine="0"/>
              <w:jc w:val="both"/>
              <w:rPr>
                <w:rFonts w:asciiTheme="minorHAnsi" w:hAnsiTheme="minorHAnsi" w:cs="Calibri"/>
                <w:b/>
                <w:sz w:val="24"/>
                <w:szCs w:val="24"/>
              </w:rPr>
            </w:pPr>
            <w:r w:rsidRPr="00414C04">
              <w:rPr>
                <w:rFonts w:asciiTheme="minorHAnsi" w:hAnsiTheme="minorHAnsi" w:cs="Calibri"/>
                <w:b/>
                <w:sz w:val="24"/>
                <w:szCs w:val="24"/>
              </w:rPr>
              <w:t>Mean(</w:t>
            </w:r>
            <w:proofErr w:type="spellStart"/>
            <w:r w:rsidRPr="00414C04">
              <w:rPr>
                <w:rFonts w:asciiTheme="minorHAnsi" w:hAnsiTheme="minorHAnsi" w:cs="Calibri"/>
                <w:b/>
                <w:sz w:val="24"/>
                <w:szCs w:val="24"/>
              </w:rPr>
              <w:t>sd</w:t>
            </w:r>
            <w:proofErr w:type="spellEnd"/>
            <w:r w:rsidRPr="00414C04">
              <w:rPr>
                <w:rFonts w:asciiTheme="minorHAnsi" w:hAnsiTheme="minorHAnsi" w:cs="Calibri"/>
                <w:b/>
                <w:sz w:val="24"/>
                <w:szCs w:val="24"/>
              </w:rPr>
              <w:t>)Ki</w:t>
            </w:r>
            <w:r w:rsidRPr="00414C04">
              <w:rPr>
                <w:rFonts w:asciiTheme="minorHAnsi" w:hAnsiTheme="minorHAnsi" w:cs="Calibri"/>
                <w:b/>
                <w:sz w:val="24"/>
                <w:szCs w:val="24"/>
                <w:vertAlign w:val="superscript"/>
              </w:rPr>
              <w:t>cer</w:t>
            </w:r>
            <w:r w:rsidRPr="00414C04">
              <w:rPr>
                <w:rFonts w:asciiTheme="minorHAnsi" w:hAnsiTheme="minorHAnsi" w:cs="Calibri"/>
                <w:b/>
                <w:sz w:val="24"/>
                <w:szCs w:val="24"/>
              </w:rPr>
              <w:t xml:space="preserve">                                        Controls </w:t>
            </w:r>
          </w:p>
          <w:p w14:paraId="04337F91" w14:textId="77777777" w:rsidR="003A73AE" w:rsidRPr="00414C04" w:rsidRDefault="003A73AE" w:rsidP="00431954">
            <w:pPr>
              <w:spacing w:line="480" w:lineRule="auto"/>
              <w:jc w:val="both"/>
              <w:rPr>
                <w:rFonts w:asciiTheme="minorHAnsi" w:hAnsiTheme="minorHAnsi" w:cs="Calibri"/>
                <w:b/>
                <w:sz w:val="24"/>
                <w:szCs w:val="24"/>
              </w:rPr>
            </w:pPr>
            <w:r w:rsidRPr="00414C04">
              <w:rPr>
                <w:rFonts w:asciiTheme="minorHAnsi" w:hAnsiTheme="minorHAnsi" w:cs="Calibri"/>
                <w:b/>
                <w:sz w:val="24"/>
                <w:szCs w:val="24"/>
              </w:rPr>
              <w:t>(n=14)</w:t>
            </w:r>
          </w:p>
        </w:tc>
      </w:tr>
      <w:tr w:rsidR="003A73AE" w:rsidRPr="00414C04" w14:paraId="3C8EB6C9" w14:textId="77777777" w:rsidTr="00431954">
        <w:trPr>
          <w:gridAfter w:val="1"/>
          <w:wAfter w:w="180" w:type="dxa"/>
          <w:trHeight w:val="1079"/>
        </w:trPr>
        <w:tc>
          <w:tcPr>
            <w:tcW w:w="2022" w:type="dxa"/>
          </w:tcPr>
          <w:p w14:paraId="258791ED" w14:textId="77777777" w:rsidR="003A73AE" w:rsidRPr="00414C04" w:rsidRDefault="003A73AE" w:rsidP="00431954">
            <w:pPr>
              <w:spacing w:line="480" w:lineRule="auto"/>
              <w:ind w:firstLine="0"/>
              <w:rPr>
                <w:rFonts w:asciiTheme="minorHAnsi" w:hAnsiTheme="minorHAnsi" w:cs="Calibri"/>
                <w:b/>
                <w:sz w:val="24"/>
                <w:szCs w:val="24"/>
              </w:rPr>
            </w:pPr>
            <w:r w:rsidRPr="00414C04">
              <w:rPr>
                <w:rFonts w:asciiTheme="minorHAnsi" w:hAnsiTheme="minorHAnsi" w:cs="Calibri"/>
                <w:b/>
                <w:sz w:val="24"/>
                <w:szCs w:val="24"/>
              </w:rPr>
              <w:t>Whole striatum</w:t>
            </w:r>
          </w:p>
          <w:p w14:paraId="5CF60757" w14:textId="77777777" w:rsidR="00F25032" w:rsidRPr="00414C04" w:rsidRDefault="00F25032" w:rsidP="00431954">
            <w:pPr>
              <w:spacing w:line="480" w:lineRule="auto"/>
              <w:ind w:firstLine="0"/>
              <w:rPr>
                <w:rFonts w:asciiTheme="minorHAnsi" w:hAnsiTheme="minorHAnsi" w:cs="Calibri"/>
                <w:b/>
                <w:sz w:val="24"/>
                <w:szCs w:val="24"/>
              </w:rPr>
            </w:pPr>
            <w:r w:rsidRPr="00414C04">
              <w:rPr>
                <w:rFonts w:asciiTheme="minorHAnsi" w:hAnsiTheme="minorHAnsi" w:cs="Calibri"/>
                <w:b/>
                <w:sz w:val="24"/>
                <w:szCs w:val="24"/>
              </w:rPr>
              <w:t>(sig at p=0.01</w:t>
            </w:r>
            <w:r w:rsidR="001A0133" w:rsidRPr="00414C04">
              <w:rPr>
                <w:rFonts w:asciiTheme="minorHAnsi" w:hAnsiTheme="minorHAnsi" w:cs="Calibri"/>
                <w:b/>
                <w:sz w:val="24"/>
                <w:szCs w:val="24"/>
              </w:rPr>
              <w:t>)</w:t>
            </w:r>
          </w:p>
        </w:tc>
        <w:tc>
          <w:tcPr>
            <w:tcW w:w="1862" w:type="dxa"/>
            <w:vAlign w:val="center"/>
          </w:tcPr>
          <w:p w14:paraId="65847111" w14:textId="77777777" w:rsidR="003A73AE" w:rsidRPr="00414C04" w:rsidRDefault="003A73AE" w:rsidP="00431954">
            <w:pPr>
              <w:spacing w:line="480" w:lineRule="auto"/>
              <w:rPr>
                <w:rFonts w:asciiTheme="minorHAnsi" w:hAnsiTheme="minorHAnsi" w:cs="Calibri"/>
                <w:sz w:val="24"/>
                <w:szCs w:val="24"/>
              </w:rPr>
            </w:pPr>
            <w:r w:rsidRPr="00414C04">
              <w:rPr>
                <w:rFonts w:asciiTheme="minorHAnsi" w:hAnsiTheme="minorHAnsi" w:cs="Calibri"/>
                <w:sz w:val="24"/>
                <w:szCs w:val="24"/>
              </w:rPr>
              <w:t>13</w:t>
            </w:r>
            <w:r w:rsidR="004D22EA" w:rsidRPr="00414C04">
              <w:rPr>
                <w:rFonts w:asciiTheme="minorHAnsi" w:hAnsiTheme="minorHAnsi" w:cs="Calibri"/>
                <w:sz w:val="24"/>
                <w:szCs w:val="24"/>
              </w:rPr>
              <w:t>.38</w:t>
            </w:r>
            <w:r w:rsidRPr="00414C04">
              <w:rPr>
                <w:rFonts w:asciiTheme="minorHAnsi" w:hAnsiTheme="minorHAnsi" w:cs="Calibri"/>
                <w:sz w:val="24"/>
                <w:szCs w:val="24"/>
              </w:rPr>
              <w:t xml:space="preserve"> x 10</w:t>
            </w:r>
            <w:r w:rsidRPr="00414C04">
              <w:rPr>
                <w:rFonts w:asciiTheme="minorHAnsi" w:hAnsiTheme="minorHAnsi" w:cs="Calibri"/>
                <w:sz w:val="24"/>
                <w:szCs w:val="24"/>
                <w:vertAlign w:val="superscript"/>
              </w:rPr>
              <w:t>-3</w:t>
            </w:r>
            <w:r w:rsidRPr="00414C04">
              <w:rPr>
                <w:rFonts w:asciiTheme="minorHAnsi" w:hAnsiTheme="minorHAnsi" w:cs="Calibri"/>
                <w:sz w:val="24"/>
                <w:szCs w:val="24"/>
              </w:rPr>
              <w:t xml:space="preserve"> </w:t>
            </w:r>
          </w:p>
          <w:p w14:paraId="24F27890" w14:textId="77777777" w:rsidR="003A73AE" w:rsidRPr="00414C04" w:rsidRDefault="004D22EA" w:rsidP="00431954">
            <w:pPr>
              <w:spacing w:line="480" w:lineRule="auto"/>
              <w:rPr>
                <w:rFonts w:asciiTheme="minorHAnsi" w:hAnsiTheme="minorHAnsi" w:cs="Calibri"/>
                <w:sz w:val="24"/>
                <w:szCs w:val="24"/>
              </w:rPr>
            </w:pPr>
            <w:r w:rsidRPr="00414C04">
              <w:rPr>
                <w:rFonts w:asciiTheme="minorHAnsi" w:hAnsiTheme="minorHAnsi" w:cs="Calibri"/>
                <w:sz w:val="24"/>
                <w:szCs w:val="24"/>
              </w:rPr>
              <w:t>(0.7</w:t>
            </w:r>
            <w:r w:rsidR="003A73AE" w:rsidRPr="00414C04">
              <w:rPr>
                <w:rFonts w:asciiTheme="minorHAnsi" w:hAnsiTheme="minorHAnsi" w:cs="Calibri"/>
                <w:sz w:val="24"/>
                <w:szCs w:val="24"/>
              </w:rPr>
              <w:t>4 x 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w:t>
            </w:r>
          </w:p>
        </w:tc>
        <w:tc>
          <w:tcPr>
            <w:tcW w:w="2161" w:type="dxa"/>
            <w:vAlign w:val="center"/>
          </w:tcPr>
          <w:p w14:paraId="0507E88F" w14:textId="77777777" w:rsidR="003A73AE" w:rsidRPr="00414C04" w:rsidRDefault="004D22EA" w:rsidP="00431954">
            <w:pPr>
              <w:spacing w:line="480" w:lineRule="auto"/>
              <w:ind w:firstLine="0"/>
              <w:rPr>
                <w:rFonts w:asciiTheme="minorHAnsi" w:hAnsiTheme="minorHAnsi" w:cs="Calibri"/>
                <w:sz w:val="24"/>
                <w:szCs w:val="24"/>
                <w:vertAlign w:val="superscript"/>
              </w:rPr>
            </w:pPr>
            <w:r w:rsidRPr="00414C04">
              <w:rPr>
                <w:rFonts w:asciiTheme="minorHAnsi" w:hAnsiTheme="minorHAnsi" w:cs="Calibri"/>
                <w:sz w:val="24"/>
                <w:szCs w:val="24"/>
              </w:rPr>
              <w:t>12.27</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 xml:space="preserve">-3 </w:t>
            </w:r>
          </w:p>
          <w:p w14:paraId="1B716AED" w14:textId="77777777" w:rsidR="003A73AE" w:rsidRPr="00414C04" w:rsidRDefault="004D22EA" w:rsidP="00431954">
            <w:pPr>
              <w:spacing w:line="480" w:lineRule="auto"/>
              <w:rPr>
                <w:rFonts w:asciiTheme="minorHAnsi" w:hAnsiTheme="minorHAnsi" w:cs="Calibri"/>
                <w:sz w:val="24"/>
                <w:szCs w:val="24"/>
              </w:rPr>
            </w:pPr>
            <w:r w:rsidRPr="00414C04">
              <w:rPr>
                <w:rFonts w:asciiTheme="minorHAnsi" w:hAnsiTheme="minorHAnsi" w:cs="Calibri"/>
                <w:sz w:val="24"/>
                <w:szCs w:val="24"/>
              </w:rPr>
              <w:t>(0.92</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-3)</w:t>
            </w:r>
          </w:p>
        </w:tc>
        <w:tc>
          <w:tcPr>
            <w:tcW w:w="2883" w:type="dxa"/>
            <w:vAlign w:val="center"/>
          </w:tcPr>
          <w:p w14:paraId="691FC9AE" w14:textId="77777777" w:rsidR="003A73AE" w:rsidRPr="00414C04" w:rsidRDefault="003A73AE" w:rsidP="00431954">
            <w:pPr>
              <w:spacing w:line="480" w:lineRule="auto"/>
              <w:ind w:firstLine="0"/>
              <w:rPr>
                <w:rFonts w:asciiTheme="minorHAnsi" w:hAnsiTheme="minorHAnsi" w:cs="Calibri"/>
                <w:sz w:val="24"/>
                <w:szCs w:val="24"/>
              </w:rPr>
            </w:pPr>
            <w:r w:rsidRPr="00414C04">
              <w:rPr>
                <w:rFonts w:asciiTheme="minorHAnsi" w:hAnsiTheme="minorHAnsi" w:cs="Calibri"/>
                <w:sz w:val="24"/>
                <w:szCs w:val="24"/>
              </w:rPr>
              <w:t>12.26 x 10</w:t>
            </w:r>
            <w:r w:rsidRPr="00414C04">
              <w:rPr>
                <w:rFonts w:asciiTheme="minorHAnsi" w:hAnsiTheme="minorHAnsi" w:cs="Calibri"/>
                <w:sz w:val="24"/>
                <w:szCs w:val="24"/>
                <w:vertAlign w:val="superscript"/>
              </w:rPr>
              <w:t>-3</w:t>
            </w:r>
            <w:r w:rsidRPr="00414C04">
              <w:rPr>
                <w:rFonts w:asciiTheme="minorHAnsi" w:hAnsiTheme="minorHAnsi" w:cs="Calibri"/>
                <w:sz w:val="24"/>
                <w:szCs w:val="24"/>
              </w:rPr>
              <w:t xml:space="preserve"> </w:t>
            </w:r>
          </w:p>
          <w:p w14:paraId="03891246" w14:textId="77777777" w:rsidR="003A73AE" w:rsidRPr="00414C04" w:rsidRDefault="003A73AE" w:rsidP="00431954">
            <w:pPr>
              <w:spacing w:line="480" w:lineRule="auto"/>
              <w:rPr>
                <w:rFonts w:asciiTheme="minorHAnsi" w:hAnsiTheme="minorHAnsi" w:cs="Calibri"/>
                <w:sz w:val="24"/>
                <w:szCs w:val="24"/>
              </w:rPr>
            </w:pPr>
            <w:r w:rsidRPr="00414C04">
              <w:rPr>
                <w:rFonts w:asciiTheme="minorHAnsi" w:hAnsiTheme="minorHAnsi" w:cs="Calibri"/>
                <w:sz w:val="24"/>
                <w:szCs w:val="24"/>
              </w:rPr>
              <w:t>(1.21 x 10</w:t>
            </w:r>
            <w:r w:rsidRPr="00414C04">
              <w:rPr>
                <w:rFonts w:asciiTheme="minorHAnsi" w:hAnsiTheme="minorHAnsi" w:cs="Calibri"/>
                <w:sz w:val="24"/>
                <w:szCs w:val="24"/>
                <w:vertAlign w:val="superscript"/>
              </w:rPr>
              <w:t>-3)</w:t>
            </w:r>
          </w:p>
        </w:tc>
      </w:tr>
      <w:tr w:rsidR="003A73AE" w:rsidRPr="00414C04" w14:paraId="4834B173" w14:textId="77777777" w:rsidTr="00431954">
        <w:trPr>
          <w:gridAfter w:val="1"/>
          <w:wAfter w:w="180" w:type="dxa"/>
        </w:trPr>
        <w:tc>
          <w:tcPr>
            <w:tcW w:w="2022" w:type="dxa"/>
          </w:tcPr>
          <w:p w14:paraId="4A070F11" w14:textId="77777777" w:rsidR="003A73AE" w:rsidRPr="00414C04" w:rsidRDefault="003A73AE" w:rsidP="00431954">
            <w:pPr>
              <w:spacing w:line="480" w:lineRule="auto"/>
              <w:ind w:firstLine="0"/>
              <w:rPr>
                <w:rFonts w:asciiTheme="minorHAnsi" w:hAnsiTheme="minorHAnsi" w:cs="Calibri"/>
                <w:b/>
                <w:sz w:val="24"/>
                <w:szCs w:val="24"/>
              </w:rPr>
            </w:pPr>
            <w:r w:rsidRPr="00414C04">
              <w:rPr>
                <w:rFonts w:asciiTheme="minorHAnsi" w:hAnsiTheme="minorHAnsi" w:cs="Calibri"/>
                <w:b/>
                <w:sz w:val="24"/>
                <w:szCs w:val="24"/>
              </w:rPr>
              <w:t>Associative Striatum</w:t>
            </w:r>
          </w:p>
        </w:tc>
        <w:tc>
          <w:tcPr>
            <w:tcW w:w="1862" w:type="dxa"/>
          </w:tcPr>
          <w:p w14:paraId="0BD9D50C" w14:textId="77777777" w:rsidR="003A73AE" w:rsidRPr="00414C04" w:rsidRDefault="007E43A0" w:rsidP="00431954">
            <w:pPr>
              <w:spacing w:line="480" w:lineRule="auto"/>
              <w:ind w:firstLine="0"/>
              <w:jc w:val="center"/>
              <w:rPr>
                <w:rFonts w:asciiTheme="minorHAnsi" w:hAnsiTheme="minorHAnsi" w:cs="Calibri"/>
                <w:sz w:val="24"/>
                <w:szCs w:val="24"/>
              </w:rPr>
            </w:pPr>
            <w:r w:rsidRPr="00414C04">
              <w:rPr>
                <w:rFonts w:asciiTheme="minorHAnsi" w:hAnsiTheme="minorHAnsi" w:cs="Calibri"/>
                <w:sz w:val="24"/>
                <w:szCs w:val="24"/>
              </w:rPr>
              <w:t>13.45</w:t>
            </w:r>
            <w:r w:rsidR="003A73AE" w:rsidRPr="00414C04">
              <w:rPr>
                <w:rFonts w:asciiTheme="minorHAnsi" w:hAnsiTheme="minorHAnsi" w:cs="Calibri"/>
                <w:sz w:val="24"/>
                <w:szCs w:val="24"/>
              </w:rPr>
              <w:t>x10</w:t>
            </w:r>
            <w:r w:rsidR="003A73AE" w:rsidRPr="00414C04">
              <w:rPr>
                <w:rFonts w:asciiTheme="minorHAnsi" w:hAnsiTheme="minorHAnsi" w:cs="Calibri"/>
                <w:sz w:val="24"/>
                <w:szCs w:val="24"/>
                <w:vertAlign w:val="superscript"/>
              </w:rPr>
              <w:t>-3</w:t>
            </w:r>
          </w:p>
          <w:p w14:paraId="3ECEE6FB" w14:textId="77777777" w:rsidR="003A73AE" w:rsidRPr="00414C04" w:rsidRDefault="007E43A0" w:rsidP="00431954">
            <w:pPr>
              <w:spacing w:line="480" w:lineRule="auto"/>
              <w:jc w:val="center"/>
              <w:rPr>
                <w:rFonts w:asciiTheme="minorHAnsi" w:hAnsiTheme="minorHAnsi" w:cs="Calibri"/>
                <w:sz w:val="24"/>
                <w:szCs w:val="24"/>
              </w:rPr>
            </w:pPr>
            <w:r w:rsidRPr="00414C04">
              <w:rPr>
                <w:rFonts w:asciiTheme="minorHAnsi" w:hAnsiTheme="minorHAnsi" w:cs="Calibri"/>
                <w:sz w:val="24"/>
                <w:szCs w:val="24"/>
              </w:rPr>
              <w:t>(0.7</w:t>
            </w:r>
            <w:r w:rsidR="003A73AE" w:rsidRPr="00414C04">
              <w:rPr>
                <w:rFonts w:asciiTheme="minorHAnsi" w:hAnsiTheme="minorHAnsi" w:cs="Calibri"/>
                <w:sz w:val="24"/>
                <w:szCs w:val="24"/>
              </w:rPr>
              <w:t>8 x 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w:t>
            </w:r>
          </w:p>
        </w:tc>
        <w:tc>
          <w:tcPr>
            <w:tcW w:w="2161" w:type="dxa"/>
          </w:tcPr>
          <w:p w14:paraId="227FF8D0" w14:textId="77777777" w:rsidR="003A73AE" w:rsidRPr="00414C04" w:rsidRDefault="007E43A0" w:rsidP="00431954">
            <w:pPr>
              <w:spacing w:line="480" w:lineRule="auto"/>
              <w:rPr>
                <w:rFonts w:asciiTheme="minorHAnsi" w:hAnsiTheme="minorHAnsi" w:cs="Calibri"/>
                <w:sz w:val="24"/>
                <w:szCs w:val="24"/>
                <w:vertAlign w:val="superscript"/>
              </w:rPr>
            </w:pPr>
            <w:r w:rsidRPr="00414C04">
              <w:rPr>
                <w:rFonts w:asciiTheme="minorHAnsi" w:hAnsiTheme="minorHAnsi" w:cs="Calibri"/>
                <w:sz w:val="24"/>
                <w:szCs w:val="24"/>
              </w:rPr>
              <w:t>12.12</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 xml:space="preserve"> -3 </w:t>
            </w:r>
          </w:p>
          <w:p w14:paraId="2278FDEF" w14:textId="77777777" w:rsidR="003A73AE" w:rsidRPr="00414C04" w:rsidRDefault="007E43A0" w:rsidP="00431954">
            <w:pPr>
              <w:spacing w:line="480" w:lineRule="auto"/>
              <w:rPr>
                <w:rFonts w:asciiTheme="minorHAnsi" w:hAnsiTheme="minorHAnsi" w:cs="Calibri"/>
                <w:sz w:val="24"/>
                <w:szCs w:val="24"/>
              </w:rPr>
            </w:pPr>
            <w:r w:rsidRPr="00414C04">
              <w:rPr>
                <w:rFonts w:asciiTheme="minorHAnsi" w:hAnsiTheme="minorHAnsi" w:cs="Calibri"/>
                <w:sz w:val="24"/>
                <w:szCs w:val="24"/>
              </w:rPr>
              <w:t>(0.93</w:t>
            </w:r>
            <w:r w:rsidR="003A73AE" w:rsidRPr="00414C04">
              <w:rPr>
                <w:rFonts w:asciiTheme="minorHAnsi" w:hAnsiTheme="minorHAnsi" w:cs="Calibri"/>
                <w:sz w:val="24"/>
                <w:szCs w:val="24"/>
              </w:rPr>
              <w:t>x10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w:t>
            </w:r>
          </w:p>
        </w:tc>
        <w:tc>
          <w:tcPr>
            <w:tcW w:w="2883" w:type="dxa"/>
            <w:vAlign w:val="center"/>
          </w:tcPr>
          <w:p w14:paraId="16B28069" w14:textId="77777777" w:rsidR="003A73AE" w:rsidRPr="00414C04" w:rsidRDefault="003A73AE" w:rsidP="00431954">
            <w:pPr>
              <w:spacing w:line="480" w:lineRule="auto"/>
              <w:rPr>
                <w:rFonts w:asciiTheme="minorHAnsi" w:hAnsiTheme="minorHAnsi" w:cs="Calibri"/>
                <w:sz w:val="24"/>
                <w:szCs w:val="24"/>
              </w:rPr>
            </w:pPr>
            <w:r w:rsidRPr="00414C04">
              <w:rPr>
                <w:rFonts w:asciiTheme="minorHAnsi" w:hAnsiTheme="minorHAnsi" w:cs="Calibri"/>
                <w:sz w:val="24"/>
                <w:szCs w:val="24"/>
              </w:rPr>
              <w:t>12.17 x 10</w:t>
            </w:r>
            <w:r w:rsidRPr="00414C04">
              <w:rPr>
                <w:rFonts w:asciiTheme="minorHAnsi" w:hAnsiTheme="minorHAnsi" w:cs="Calibri"/>
                <w:sz w:val="24"/>
                <w:szCs w:val="24"/>
                <w:vertAlign w:val="superscript"/>
              </w:rPr>
              <w:t>-3</w:t>
            </w:r>
            <w:r w:rsidRPr="00414C04">
              <w:rPr>
                <w:rFonts w:asciiTheme="minorHAnsi" w:hAnsiTheme="minorHAnsi" w:cs="Calibri"/>
                <w:sz w:val="24"/>
                <w:szCs w:val="24"/>
              </w:rPr>
              <w:t xml:space="preserve"> </w:t>
            </w:r>
          </w:p>
          <w:p w14:paraId="58F4F3AA" w14:textId="77777777" w:rsidR="003A73AE" w:rsidRPr="00414C04" w:rsidRDefault="003A73AE" w:rsidP="00431954">
            <w:pPr>
              <w:spacing w:line="480" w:lineRule="auto"/>
              <w:rPr>
                <w:rFonts w:asciiTheme="minorHAnsi" w:hAnsiTheme="minorHAnsi" w:cs="Calibri"/>
                <w:sz w:val="24"/>
                <w:szCs w:val="24"/>
              </w:rPr>
            </w:pPr>
            <w:r w:rsidRPr="00414C04">
              <w:rPr>
                <w:rFonts w:asciiTheme="minorHAnsi" w:hAnsiTheme="minorHAnsi" w:cs="Calibri"/>
                <w:sz w:val="24"/>
                <w:szCs w:val="24"/>
              </w:rPr>
              <w:t>(1.14 x 10</w:t>
            </w:r>
            <w:r w:rsidRPr="00414C04">
              <w:rPr>
                <w:rFonts w:asciiTheme="minorHAnsi" w:hAnsiTheme="minorHAnsi" w:cs="Calibri"/>
                <w:sz w:val="24"/>
                <w:szCs w:val="24"/>
                <w:vertAlign w:val="superscript"/>
              </w:rPr>
              <w:t>-3</w:t>
            </w:r>
            <w:r w:rsidRPr="00414C04">
              <w:rPr>
                <w:rFonts w:asciiTheme="minorHAnsi" w:hAnsiTheme="minorHAnsi" w:cs="Calibri"/>
                <w:sz w:val="24"/>
                <w:szCs w:val="24"/>
              </w:rPr>
              <w:t>)</w:t>
            </w:r>
          </w:p>
        </w:tc>
      </w:tr>
      <w:tr w:rsidR="003A73AE" w:rsidRPr="00414C04" w14:paraId="066B271E" w14:textId="77777777" w:rsidTr="00A27A2E">
        <w:trPr>
          <w:gridAfter w:val="1"/>
          <w:wAfter w:w="180" w:type="dxa"/>
        </w:trPr>
        <w:tc>
          <w:tcPr>
            <w:tcW w:w="2022" w:type="dxa"/>
          </w:tcPr>
          <w:p w14:paraId="288869D0" w14:textId="77777777" w:rsidR="003A73AE" w:rsidRPr="00414C04" w:rsidRDefault="003A73AE" w:rsidP="00431954">
            <w:pPr>
              <w:spacing w:line="480" w:lineRule="auto"/>
              <w:ind w:firstLine="0"/>
              <w:rPr>
                <w:rFonts w:asciiTheme="minorHAnsi" w:hAnsiTheme="minorHAnsi" w:cs="Calibri"/>
                <w:b/>
                <w:sz w:val="24"/>
                <w:szCs w:val="24"/>
              </w:rPr>
            </w:pPr>
            <w:r w:rsidRPr="00414C04">
              <w:rPr>
                <w:rFonts w:asciiTheme="minorHAnsi" w:hAnsiTheme="minorHAnsi" w:cs="Calibri"/>
                <w:b/>
                <w:sz w:val="24"/>
                <w:szCs w:val="24"/>
              </w:rPr>
              <w:t>Limbic Striatum</w:t>
            </w:r>
          </w:p>
        </w:tc>
        <w:tc>
          <w:tcPr>
            <w:tcW w:w="1862" w:type="dxa"/>
          </w:tcPr>
          <w:p w14:paraId="14500CA8" w14:textId="77777777" w:rsidR="003A73AE" w:rsidRPr="00414C04" w:rsidRDefault="00AD55C7" w:rsidP="003A73AE">
            <w:pPr>
              <w:spacing w:line="480" w:lineRule="auto"/>
              <w:jc w:val="center"/>
              <w:rPr>
                <w:rFonts w:asciiTheme="minorHAnsi" w:hAnsiTheme="minorHAnsi" w:cs="Calibri"/>
                <w:sz w:val="24"/>
                <w:szCs w:val="24"/>
              </w:rPr>
            </w:pPr>
            <w:r w:rsidRPr="00414C04">
              <w:rPr>
                <w:rFonts w:asciiTheme="minorHAnsi" w:hAnsiTheme="minorHAnsi" w:cs="Calibri"/>
                <w:sz w:val="24"/>
                <w:szCs w:val="24"/>
              </w:rPr>
              <w:t>12.98</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-3</w:t>
            </w:r>
            <w:r w:rsidRPr="00414C04">
              <w:rPr>
                <w:rFonts w:asciiTheme="minorHAnsi" w:hAnsiTheme="minorHAnsi" w:cs="Calibri"/>
                <w:sz w:val="24"/>
                <w:szCs w:val="24"/>
              </w:rPr>
              <w:t xml:space="preserve"> (0.76</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w:t>
            </w:r>
          </w:p>
        </w:tc>
        <w:tc>
          <w:tcPr>
            <w:tcW w:w="2161" w:type="dxa"/>
          </w:tcPr>
          <w:p w14:paraId="5E02566E" w14:textId="77777777" w:rsidR="003A73AE" w:rsidRPr="00414C04" w:rsidRDefault="008D51C7" w:rsidP="00A27A2E">
            <w:pPr>
              <w:spacing w:line="480" w:lineRule="auto"/>
              <w:ind w:firstLine="0"/>
              <w:jc w:val="center"/>
              <w:rPr>
                <w:rFonts w:asciiTheme="minorHAnsi" w:hAnsiTheme="minorHAnsi" w:cs="Calibri"/>
                <w:sz w:val="24"/>
                <w:szCs w:val="24"/>
                <w:vertAlign w:val="superscript"/>
              </w:rPr>
            </w:pPr>
            <w:r w:rsidRPr="00414C04">
              <w:rPr>
                <w:rFonts w:asciiTheme="minorHAnsi" w:hAnsiTheme="minorHAnsi" w:cs="Calibri"/>
                <w:sz w:val="24"/>
                <w:szCs w:val="24"/>
              </w:rPr>
              <w:t>12.35</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-3</w:t>
            </w:r>
            <w:r w:rsidR="00A27A2E" w:rsidRPr="00414C04">
              <w:rPr>
                <w:rFonts w:asciiTheme="minorHAnsi" w:hAnsiTheme="minorHAnsi" w:cs="Calibri"/>
                <w:sz w:val="24"/>
                <w:szCs w:val="24"/>
                <w:vertAlign w:val="superscript"/>
              </w:rPr>
              <w:t xml:space="preserve"> </w:t>
            </w:r>
            <w:r w:rsidR="00A27A2E" w:rsidRPr="00414C04">
              <w:rPr>
                <w:rFonts w:asciiTheme="minorHAnsi" w:hAnsiTheme="minorHAnsi" w:cs="Calibri"/>
                <w:sz w:val="24"/>
                <w:szCs w:val="24"/>
              </w:rPr>
              <w:t xml:space="preserve">         </w:t>
            </w:r>
            <w:proofErr w:type="gramStart"/>
            <w:r w:rsidR="00A27A2E" w:rsidRPr="00414C04">
              <w:rPr>
                <w:rFonts w:asciiTheme="minorHAnsi" w:hAnsiTheme="minorHAnsi" w:cs="Calibri"/>
                <w:sz w:val="24"/>
                <w:szCs w:val="24"/>
              </w:rPr>
              <w:t xml:space="preserve">   </w:t>
            </w:r>
            <w:r w:rsidRPr="00414C04">
              <w:rPr>
                <w:rFonts w:asciiTheme="minorHAnsi" w:hAnsiTheme="minorHAnsi" w:cs="Calibri"/>
                <w:sz w:val="24"/>
                <w:szCs w:val="24"/>
              </w:rPr>
              <w:t>(</w:t>
            </w:r>
            <w:proofErr w:type="gramEnd"/>
            <w:r w:rsidRPr="00414C04">
              <w:rPr>
                <w:rFonts w:asciiTheme="minorHAnsi" w:hAnsiTheme="minorHAnsi" w:cs="Calibri"/>
                <w:sz w:val="24"/>
                <w:szCs w:val="24"/>
              </w:rPr>
              <w:t>0.87</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w:t>
            </w:r>
          </w:p>
        </w:tc>
        <w:tc>
          <w:tcPr>
            <w:tcW w:w="2883" w:type="dxa"/>
          </w:tcPr>
          <w:p w14:paraId="1ABAAC27" w14:textId="77777777" w:rsidR="003A73AE" w:rsidRPr="00414C04" w:rsidRDefault="003A73AE" w:rsidP="00A27A2E">
            <w:pPr>
              <w:spacing w:line="480" w:lineRule="auto"/>
              <w:jc w:val="center"/>
              <w:rPr>
                <w:rFonts w:asciiTheme="minorHAnsi" w:hAnsiTheme="minorHAnsi" w:cs="Calibri"/>
                <w:sz w:val="24"/>
                <w:szCs w:val="24"/>
              </w:rPr>
            </w:pPr>
            <w:r w:rsidRPr="00414C04">
              <w:rPr>
                <w:rFonts w:asciiTheme="minorHAnsi" w:hAnsiTheme="minorHAnsi" w:cs="Calibri"/>
                <w:sz w:val="24"/>
                <w:szCs w:val="24"/>
              </w:rPr>
              <w:t>12.14 x 10</w:t>
            </w:r>
            <w:r w:rsidRPr="00414C04">
              <w:rPr>
                <w:rFonts w:asciiTheme="minorHAnsi" w:hAnsiTheme="minorHAnsi" w:cs="Calibri"/>
                <w:sz w:val="24"/>
                <w:szCs w:val="24"/>
                <w:vertAlign w:val="superscript"/>
              </w:rPr>
              <w:t>-3</w:t>
            </w:r>
            <w:r w:rsidRPr="00414C04">
              <w:rPr>
                <w:rFonts w:asciiTheme="minorHAnsi" w:hAnsiTheme="minorHAnsi" w:cs="Calibri"/>
                <w:sz w:val="24"/>
                <w:szCs w:val="24"/>
              </w:rPr>
              <w:t xml:space="preserve"> </w:t>
            </w:r>
            <w:proofErr w:type="gramStart"/>
            <w:r w:rsidRPr="00414C04">
              <w:rPr>
                <w:rFonts w:asciiTheme="minorHAnsi" w:hAnsiTheme="minorHAnsi" w:cs="Calibri"/>
                <w:sz w:val="24"/>
                <w:szCs w:val="24"/>
              </w:rPr>
              <w:t>(</w:t>
            </w:r>
            <w:r w:rsidR="00A27A2E" w:rsidRPr="00414C04">
              <w:rPr>
                <w:rFonts w:asciiTheme="minorHAnsi" w:hAnsiTheme="minorHAnsi" w:cs="Calibri"/>
                <w:sz w:val="24"/>
                <w:szCs w:val="24"/>
              </w:rPr>
              <w:t xml:space="preserve">  </w:t>
            </w:r>
            <w:proofErr w:type="gramEnd"/>
            <w:r w:rsidR="00A27A2E" w:rsidRPr="00414C04">
              <w:rPr>
                <w:rFonts w:asciiTheme="minorHAnsi" w:hAnsiTheme="minorHAnsi" w:cs="Calibri"/>
                <w:sz w:val="24"/>
                <w:szCs w:val="24"/>
              </w:rPr>
              <w:t xml:space="preserve">                      (</w:t>
            </w:r>
            <w:r w:rsidRPr="00414C04">
              <w:rPr>
                <w:rFonts w:asciiTheme="minorHAnsi" w:hAnsiTheme="minorHAnsi" w:cs="Calibri"/>
                <w:sz w:val="24"/>
                <w:szCs w:val="24"/>
              </w:rPr>
              <w:t>1.25 x 10</w:t>
            </w:r>
            <w:r w:rsidRPr="00414C04">
              <w:rPr>
                <w:rFonts w:asciiTheme="minorHAnsi" w:hAnsiTheme="minorHAnsi" w:cs="Calibri"/>
                <w:sz w:val="24"/>
                <w:szCs w:val="24"/>
                <w:vertAlign w:val="superscript"/>
              </w:rPr>
              <w:t>-3</w:t>
            </w:r>
            <w:r w:rsidRPr="00414C04">
              <w:rPr>
                <w:rFonts w:asciiTheme="minorHAnsi" w:hAnsiTheme="minorHAnsi" w:cs="Calibri"/>
                <w:sz w:val="24"/>
                <w:szCs w:val="24"/>
              </w:rPr>
              <w:t>)</w:t>
            </w:r>
          </w:p>
        </w:tc>
      </w:tr>
      <w:tr w:rsidR="003A73AE" w:rsidRPr="00414C04" w14:paraId="46FAF977" w14:textId="77777777" w:rsidTr="00431954">
        <w:trPr>
          <w:gridAfter w:val="1"/>
          <w:wAfter w:w="180" w:type="dxa"/>
        </w:trPr>
        <w:tc>
          <w:tcPr>
            <w:tcW w:w="2022" w:type="dxa"/>
          </w:tcPr>
          <w:p w14:paraId="57C8604C" w14:textId="77777777" w:rsidR="003A73AE" w:rsidRPr="00414C04" w:rsidRDefault="003A73AE" w:rsidP="00431954">
            <w:pPr>
              <w:spacing w:line="480" w:lineRule="auto"/>
              <w:ind w:firstLine="0"/>
              <w:rPr>
                <w:rFonts w:asciiTheme="minorHAnsi" w:hAnsiTheme="minorHAnsi" w:cs="Calibri"/>
                <w:b/>
                <w:sz w:val="24"/>
                <w:szCs w:val="24"/>
              </w:rPr>
            </w:pPr>
            <w:r w:rsidRPr="00414C04">
              <w:rPr>
                <w:rFonts w:asciiTheme="minorHAnsi" w:hAnsiTheme="minorHAnsi" w:cs="Calibri"/>
                <w:b/>
                <w:sz w:val="24"/>
                <w:szCs w:val="24"/>
              </w:rPr>
              <w:t>Sensorimotor Striatum</w:t>
            </w:r>
          </w:p>
        </w:tc>
        <w:tc>
          <w:tcPr>
            <w:tcW w:w="1862" w:type="dxa"/>
          </w:tcPr>
          <w:p w14:paraId="3D231881" w14:textId="77777777" w:rsidR="003A73AE" w:rsidRPr="00414C04" w:rsidRDefault="00D96EA8" w:rsidP="00431954">
            <w:pPr>
              <w:spacing w:line="480" w:lineRule="auto"/>
              <w:jc w:val="center"/>
              <w:rPr>
                <w:rFonts w:asciiTheme="minorHAnsi" w:hAnsiTheme="minorHAnsi" w:cs="Calibri"/>
                <w:sz w:val="24"/>
                <w:szCs w:val="24"/>
              </w:rPr>
            </w:pPr>
            <w:r w:rsidRPr="00414C04">
              <w:rPr>
                <w:rFonts w:asciiTheme="minorHAnsi" w:hAnsiTheme="minorHAnsi" w:cs="Calibri"/>
                <w:sz w:val="24"/>
                <w:szCs w:val="24"/>
              </w:rPr>
              <w:t>13.41</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 xml:space="preserve"> (</w:t>
            </w:r>
            <w:r w:rsidRPr="00414C04">
              <w:rPr>
                <w:rFonts w:asciiTheme="minorHAnsi" w:hAnsiTheme="minorHAnsi" w:cs="Calibri"/>
                <w:sz w:val="24"/>
                <w:szCs w:val="24"/>
              </w:rPr>
              <w:t>0.92</w:t>
            </w:r>
            <w:r w:rsidR="003A73AE" w:rsidRPr="00414C04">
              <w:rPr>
                <w:rFonts w:asciiTheme="minorHAnsi" w:hAnsiTheme="minorHAnsi" w:cs="Calibri"/>
                <w:sz w:val="24"/>
                <w:szCs w:val="24"/>
              </w:rPr>
              <w:t>x 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w:t>
            </w:r>
          </w:p>
        </w:tc>
        <w:tc>
          <w:tcPr>
            <w:tcW w:w="2161" w:type="dxa"/>
          </w:tcPr>
          <w:p w14:paraId="066FDEFD" w14:textId="77777777" w:rsidR="003A73AE" w:rsidRPr="00414C04" w:rsidRDefault="00E8288C" w:rsidP="00431954">
            <w:pPr>
              <w:spacing w:line="480" w:lineRule="auto"/>
              <w:ind w:firstLine="0"/>
              <w:jc w:val="center"/>
              <w:rPr>
                <w:rFonts w:asciiTheme="minorHAnsi" w:hAnsiTheme="minorHAnsi" w:cs="Calibri"/>
                <w:sz w:val="24"/>
                <w:szCs w:val="24"/>
                <w:vertAlign w:val="superscript"/>
              </w:rPr>
            </w:pPr>
            <w:r w:rsidRPr="00414C04">
              <w:rPr>
                <w:rFonts w:asciiTheme="minorHAnsi" w:hAnsiTheme="minorHAnsi" w:cs="Calibri"/>
                <w:sz w:val="24"/>
                <w:szCs w:val="24"/>
              </w:rPr>
              <w:t>12.6</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 xml:space="preserve">-3 </w:t>
            </w:r>
            <w:r w:rsidR="003A73AE" w:rsidRPr="00414C04">
              <w:rPr>
                <w:rFonts w:asciiTheme="minorHAnsi" w:hAnsiTheme="minorHAnsi" w:cs="Calibri"/>
                <w:sz w:val="24"/>
                <w:szCs w:val="24"/>
              </w:rPr>
              <w:t xml:space="preserve">     </w:t>
            </w:r>
            <w:r w:rsidRPr="00414C04">
              <w:rPr>
                <w:rFonts w:asciiTheme="minorHAnsi" w:hAnsiTheme="minorHAnsi" w:cs="Calibri"/>
                <w:sz w:val="24"/>
                <w:szCs w:val="24"/>
              </w:rPr>
              <w:t xml:space="preserve">                        </w:t>
            </w:r>
            <w:proofErr w:type="gramStart"/>
            <w:r w:rsidRPr="00414C04">
              <w:rPr>
                <w:rFonts w:asciiTheme="minorHAnsi" w:hAnsiTheme="minorHAnsi" w:cs="Calibri"/>
                <w:sz w:val="24"/>
                <w:szCs w:val="24"/>
              </w:rPr>
              <w:t xml:space="preserve">   (</w:t>
            </w:r>
            <w:proofErr w:type="gramEnd"/>
            <w:r w:rsidRPr="00414C04">
              <w:rPr>
                <w:rFonts w:asciiTheme="minorHAnsi" w:hAnsiTheme="minorHAnsi" w:cs="Calibri"/>
                <w:sz w:val="24"/>
                <w:szCs w:val="24"/>
              </w:rPr>
              <w:t>1.1</w:t>
            </w:r>
            <w:r w:rsidR="003A73AE" w:rsidRPr="00414C04">
              <w:rPr>
                <w:rFonts w:asciiTheme="minorHAnsi" w:hAnsiTheme="minorHAnsi" w:cs="Calibri"/>
                <w:sz w:val="24"/>
                <w:szCs w:val="24"/>
              </w:rPr>
              <w:t xml:space="preserve"> x 10</w:t>
            </w:r>
            <w:r w:rsidR="003A73AE" w:rsidRPr="00414C04">
              <w:rPr>
                <w:rFonts w:asciiTheme="minorHAnsi" w:hAnsiTheme="minorHAnsi" w:cs="Calibri"/>
                <w:sz w:val="24"/>
                <w:szCs w:val="24"/>
                <w:vertAlign w:val="superscript"/>
              </w:rPr>
              <w:t>-3</w:t>
            </w:r>
            <w:r w:rsidR="003A73AE" w:rsidRPr="00414C04">
              <w:rPr>
                <w:rFonts w:asciiTheme="minorHAnsi" w:hAnsiTheme="minorHAnsi" w:cs="Calibri"/>
                <w:sz w:val="24"/>
                <w:szCs w:val="24"/>
              </w:rPr>
              <w:t>)</w:t>
            </w:r>
          </w:p>
        </w:tc>
        <w:tc>
          <w:tcPr>
            <w:tcW w:w="2883" w:type="dxa"/>
          </w:tcPr>
          <w:p w14:paraId="0CCA4663" w14:textId="77777777" w:rsidR="003A73AE" w:rsidRPr="00414C04" w:rsidRDefault="00E8288C" w:rsidP="00A27A2E">
            <w:pPr>
              <w:spacing w:line="480" w:lineRule="auto"/>
              <w:ind w:firstLine="0"/>
              <w:jc w:val="center"/>
              <w:rPr>
                <w:rFonts w:asciiTheme="minorHAnsi" w:hAnsiTheme="minorHAnsi" w:cs="Calibri"/>
                <w:color w:val="000000" w:themeColor="text1"/>
                <w:sz w:val="24"/>
                <w:szCs w:val="24"/>
              </w:rPr>
            </w:pPr>
            <w:r w:rsidRPr="00414C04">
              <w:rPr>
                <w:rFonts w:asciiTheme="minorHAnsi" w:hAnsiTheme="minorHAnsi" w:cs="Calibri"/>
                <w:color w:val="000000" w:themeColor="text1"/>
                <w:sz w:val="24"/>
                <w:szCs w:val="24"/>
              </w:rPr>
              <w:t>12.5</w:t>
            </w:r>
            <w:r w:rsidR="00A27A2E" w:rsidRPr="00414C04">
              <w:rPr>
                <w:rFonts w:asciiTheme="minorHAnsi" w:hAnsiTheme="minorHAnsi" w:cs="Calibri"/>
                <w:color w:val="000000" w:themeColor="text1"/>
                <w:sz w:val="24"/>
                <w:szCs w:val="24"/>
              </w:rPr>
              <w:t>3 x 10</w:t>
            </w:r>
            <w:r w:rsidR="00A27A2E" w:rsidRPr="00414C04">
              <w:rPr>
                <w:rFonts w:asciiTheme="minorHAnsi" w:hAnsiTheme="minorHAnsi" w:cs="Calibri"/>
                <w:color w:val="000000" w:themeColor="text1"/>
                <w:sz w:val="24"/>
                <w:szCs w:val="24"/>
                <w:vertAlign w:val="superscript"/>
              </w:rPr>
              <w:t>-3</w:t>
            </w:r>
            <w:r w:rsidR="00A27A2E" w:rsidRPr="00414C04">
              <w:rPr>
                <w:rFonts w:asciiTheme="minorHAnsi" w:hAnsiTheme="minorHAnsi" w:cs="Calibri"/>
                <w:color w:val="000000" w:themeColor="text1"/>
                <w:sz w:val="24"/>
                <w:szCs w:val="24"/>
              </w:rPr>
              <w:t xml:space="preserve">                       </w:t>
            </w:r>
            <w:proofErr w:type="gramStart"/>
            <w:r w:rsidR="00A27A2E" w:rsidRPr="00414C04">
              <w:rPr>
                <w:rFonts w:asciiTheme="minorHAnsi" w:hAnsiTheme="minorHAnsi" w:cs="Calibri"/>
                <w:color w:val="000000" w:themeColor="text1"/>
                <w:sz w:val="24"/>
                <w:szCs w:val="24"/>
              </w:rPr>
              <w:t xml:space="preserve">   (</w:t>
            </w:r>
            <w:proofErr w:type="gramEnd"/>
            <w:r w:rsidR="00A27A2E" w:rsidRPr="00414C04">
              <w:rPr>
                <w:rFonts w:asciiTheme="minorHAnsi" w:hAnsiTheme="minorHAnsi" w:cs="Calibri"/>
                <w:color w:val="000000" w:themeColor="text1"/>
                <w:sz w:val="24"/>
                <w:szCs w:val="24"/>
              </w:rPr>
              <w:t>1.44 x 10</w:t>
            </w:r>
            <w:r w:rsidR="00A27A2E" w:rsidRPr="00414C04">
              <w:rPr>
                <w:rFonts w:asciiTheme="minorHAnsi" w:hAnsiTheme="minorHAnsi" w:cs="Calibri"/>
                <w:color w:val="000000" w:themeColor="text1"/>
                <w:sz w:val="24"/>
                <w:szCs w:val="24"/>
                <w:vertAlign w:val="superscript"/>
              </w:rPr>
              <w:t>-3</w:t>
            </w:r>
            <w:r w:rsidR="003A73AE" w:rsidRPr="00414C04">
              <w:rPr>
                <w:rFonts w:asciiTheme="minorHAnsi" w:hAnsiTheme="minorHAnsi" w:cs="Calibri"/>
                <w:sz w:val="24"/>
                <w:szCs w:val="24"/>
              </w:rPr>
              <w:t xml:space="preserve">  </w:t>
            </w:r>
          </w:p>
        </w:tc>
      </w:tr>
    </w:tbl>
    <w:p w14:paraId="2541183C" w14:textId="77777777" w:rsidR="009A7AF2" w:rsidRPr="00414C04" w:rsidRDefault="009A7AF2" w:rsidP="00211016">
      <w:pPr>
        <w:spacing w:line="480" w:lineRule="auto"/>
        <w:jc w:val="both"/>
        <w:rPr>
          <w:rFonts w:asciiTheme="minorHAnsi" w:hAnsiTheme="minorHAnsi" w:cs="Arial"/>
          <w:color w:val="000000" w:themeColor="text1"/>
          <w:sz w:val="24"/>
          <w:szCs w:val="24"/>
        </w:rPr>
      </w:pPr>
    </w:p>
    <w:p w14:paraId="4D4B6CA5" w14:textId="77777777" w:rsidR="001F17D8" w:rsidRPr="00414C04" w:rsidRDefault="003D1819" w:rsidP="00790664">
      <w:pPr>
        <w:pStyle w:val="Bibliography"/>
        <w:spacing w:line="480" w:lineRule="auto"/>
        <w:ind w:left="0" w:firstLine="0"/>
        <w:rPr>
          <w:rFonts w:asciiTheme="minorHAnsi" w:hAnsiTheme="minorHAnsi"/>
          <w:b/>
          <w:color w:val="000000" w:themeColor="text1"/>
          <w:sz w:val="24"/>
          <w:szCs w:val="24"/>
        </w:rPr>
      </w:pPr>
      <w:r w:rsidRPr="00414C04">
        <w:rPr>
          <w:rFonts w:asciiTheme="minorHAnsi" w:hAnsiTheme="minorHAnsi"/>
          <w:b/>
          <w:color w:val="000000" w:themeColor="text1"/>
          <w:sz w:val="24"/>
          <w:szCs w:val="24"/>
        </w:rPr>
        <w:t>SUV analysis</w:t>
      </w:r>
    </w:p>
    <w:p w14:paraId="6193CE48" w14:textId="77777777" w:rsidR="009D2690" w:rsidRPr="00414C04" w:rsidRDefault="009D2690" w:rsidP="00790664">
      <w:pPr>
        <w:pStyle w:val="Body"/>
        <w:spacing w:line="480" w:lineRule="auto"/>
        <w:contextualSpacing/>
        <w:rPr>
          <w:rFonts w:asciiTheme="minorHAnsi" w:hAnsiTheme="minorHAnsi" w:cs="Times New Roman"/>
          <w:color w:val="000000" w:themeColor="text1"/>
        </w:rPr>
      </w:pPr>
      <w:r w:rsidRPr="00414C04">
        <w:rPr>
          <w:rFonts w:asciiTheme="minorHAnsi" w:hAnsiTheme="minorHAnsi" w:cs="Times New Roman"/>
          <w:color w:val="000000" w:themeColor="text1"/>
        </w:rPr>
        <w:t>We conducted an ANCOVA, with SUV in the reference region as a covariate</w:t>
      </w:r>
      <w:r w:rsidR="003D1819" w:rsidRPr="00414C04">
        <w:rPr>
          <w:rFonts w:asciiTheme="minorHAnsi" w:hAnsiTheme="minorHAnsi" w:cs="Times New Roman"/>
          <w:color w:val="000000" w:themeColor="text1"/>
        </w:rPr>
        <w:t>, to see if tracer uptake in the cerebellum may account for our results</w:t>
      </w:r>
      <w:r w:rsidR="00CB555F" w:rsidRPr="00414C04">
        <w:rPr>
          <w:rFonts w:asciiTheme="minorHAnsi" w:hAnsiTheme="minorHAnsi" w:cs="Times New Roman"/>
          <w:color w:val="000000" w:themeColor="text1"/>
        </w:rPr>
        <w:t>, using the reference region (cerebellum) approach</w:t>
      </w:r>
      <w:r w:rsidRPr="00414C04">
        <w:rPr>
          <w:rFonts w:asciiTheme="minorHAnsi" w:hAnsiTheme="minorHAnsi" w:cs="Times New Roman"/>
          <w:color w:val="000000" w:themeColor="text1"/>
        </w:rPr>
        <w:t>. This did not change the results, F (2,</w:t>
      </w:r>
      <w:proofErr w:type="gramStart"/>
      <w:r w:rsidRPr="00414C04">
        <w:rPr>
          <w:rFonts w:asciiTheme="minorHAnsi" w:hAnsiTheme="minorHAnsi" w:cs="Times New Roman"/>
          <w:color w:val="000000" w:themeColor="text1"/>
        </w:rPr>
        <w:t>56)=</w:t>
      </w:r>
      <w:proofErr w:type="gramEnd"/>
      <w:r w:rsidRPr="00414C04">
        <w:rPr>
          <w:rFonts w:asciiTheme="minorHAnsi" w:hAnsiTheme="minorHAnsi" w:cs="Times New Roman"/>
          <w:color w:val="000000" w:themeColor="text1"/>
        </w:rPr>
        <w:t>5.74, p=0.01.</w:t>
      </w:r>
    </w:p>
    <w:p w14:paraId="7E5D7FE9" w14:textId="77777777" w:rsidR="00A13736" w:rsidRPr="00414C04" w:rsidRDefault="00A13736" w:rsidP="001F17D8">
      <w:pPr>
        <w:pStyle w:val="Bibliography"/>
        <w:rPr>
          <w:rFonts w:asciiTheme="minorHAnsi" w:hAnsiTheme="minorHAnsi"/>
          <w:b/>
          <w:color w:val="000000" w:themeColor="text1"/>
          <w:sz w:val="24"/>
          <w:szCs w:val="24"/>
        </w:rPr>
      </w:pPr>
    </w:p>
    <w:p w14:paraId="64011317" w14:textId="77777777" w:rsidR="00A13736" w:rsidRPr="00414C04" w:rsidRDefault="00A13736" w:rsidP="001F17D8">
      <w:pPr>
        <w:pStyle w:val="Bibliography"/>
        <w:rPr>
          <w:rFonts w:asciiTheme="minorHAnsi" w:hAnsiTheme="minorHAnsi"/>
          <w:b/>
          <w:color w:val="000000" w:themeColor="text1"/>
          <w:sz w:val="24"/>
          <w:szCs w:val="24"/>
        </w:rPr>
      </w:pPr>
    </w:p>
    <w:p w14:paraId="18464687" w14:textId="77777777" w:rsidR="007D507D" w:rsidRPr="00414C04" w:rsidRDefault="007D507D" w:rsidP="00790664">
      <w:pPr>
        <w:pStyle w:val="Bibliography"/>
        <w:ind w:left="0" w:firstLine="0"/>
        <w:rPr>
          <w:rFonts w:asciiTheme="minorHAnsi" w:hAnsiTheme="minorHAnsi"/>
          <w:b/>
          <w:color w:val="000000" w:themeColor="text1"/>
          <w:sz w:val="24"/>
          <w:szCs w:val="24"/>
        </w:rPr>
      </w:pPr>
      <w:r w:rsidRPr="00414C04">
        <w:rPr>
          <w:rFonts w:asciiTheme="minorHAnsi" w:hAnsiTheme="minorHAnsi"/>
          <w:b/>
          <w:color w:val="000000" w:themeColor="text1"/>
          <w:sz w:val="24"/>
          <w:szCs w:val="24"/>
        </w:rPr>
        <w:t>References</w:t>
      </w:r>
    </w:p>
    <w:p w14:paraId="75E37D8D" w14:textId="77777777" w:rsidR="00EA79E8" w:rsidRPr="00EA79E8" w:rsidRDefault="004A6DCC" w:rsidP="00EA79E8">
      <w:pPr>
        <w:pStyle w:val="Bibliography"/>
        <w:rPr>
          <w:rFonts w:ascii="Calibri" w:hAnsiTheme="minorHAnsi"/>
          <w:color w:val="000000"/>
          <w:sz w:val="24"/>
        </w:rPr>
      </w:pPr>
      <w:r w:rsidRPr="00414C04">
        <w:rPr>
          <w:rFonts w:asciiTheme="minorHAnsi" w:hAnsiTheme="minorHAnsi"/>
          <w:b/>
          <w:color w:val="000000" w:themeColor="text1"/>
          <w:sz w:val="24"/>
          <w:szCs w:val="24"/>
        </w:rPr>
        <w:fldChar w:fldCharType="begin"/>
      </w:r>
      <w:r w:rsidR="00EA79E8">
        <w:rPr>
          <w:rFonts w:asciiTheme="minorHAnsi" w:hAnsiTheme="minorHAnsi"/>
          <w:b/>
          <w:color w:val="000000" w:themeColor="text1"/>
          <w:sz w:val="24"/>
          <w:szCs w:val="24"/>
        </w:rPr>
        <w:instrText xml:space="preserve"> ADDIN ZOTERO_BIBL {"custom":[]} CSL_BIBLIOGRAPHY </w:instrText>
      </w:r>
      <w:r w:rsidRPr="00414C04">
        <w:rPr>
          <w:rFonts w:asciiTheme="minorHAnsi" w:hAnsiTheme="minorHAnsi"/>
          <w:b/>
          <w:color w:val="000000" w:themeColor="text1"/>
          <w:sz w:val="24"/>
          <w:szCs w:val="24"/>
        </w:rPr>
        <w:fldChar w:fldCharType="separate"/>
      </w:r>
      <w:r w:rsidR="00EA79E8" w:rsidRPr="00EA79E8">
        <w:rPr>
          <w:rFonts w:ascii="Calibri" w:hAnsiTheme="minorHAnsi"/>
          <w:color w:val="000000"/>
          <w:sz w:val="24"/>
        </w:rPr>
        <w:t xml:space="preserve">1 </w:t>
      </w:r>
      <w:r w:rsidR="00EA79E8" w:rsidRPr="00EA79E8">
        <w:rPr>
          <w:rFonts w:ascii="Calibri" w:hAnsiTheme="minorHAnsi"/>
          <w:color w:val="000000"/>
          <w:sz w:val="24"/>
        </w:rPr>
        <w:tab/>
      </w:r>
      <w:proofErr w:type="spellStart"/>
      <w:r w:rsidR="00EA79E8" w:rsidRPr="00EA79E8">
        <w:rPr>
          <w:rFonts w:ascii="Calibri" w:hAnsiTheme="minorHAnsi"/>
          <w:color w:val="000000"/>
          <w:sz w:val="24"/>
        </w:rPr>
        <w:t>Demjaha</w:t>
      </w:r>
      <w:proofErr w:type="spellEnd"/>
      <w:r w:rsidR="00EA79E8" w:rsidRPr="00EA79E8">
        <w:rPr>
          <w:rFonts w:ascii="Calibri" w:hAnsiTheme="minorHAnsi"/>
          <w:color w:val="000000"/>
          <w:sz w:val="24"/>
        </w:rPr>
        <w:t xml:space="preserve"> A, Murray RM, McGuire PK, Kapur S, Howes OD. Dopamine synthesis capacity in patients with treatment-resistant schizophrenia. </w:t>
      </w:r>
      <w:r w:rsidR="00EA79E8" w:rsidRPr="00EA79E8">
        <w:rPr>
          <w:rFonts w:ascii="Calibri" w:hAnsiTheme="minorHAnsi"/>
          <w:i/>
          <w:iCs/>
          <w:color w:val="000000"/>
          <w:sz w:val="24"/>
        </w:rPr>
        <w:t>American Journal of Psychiatry</w:t>
      </w:r>
      <w:r w:rsidR="00EA79E8" w:rsidRPr="00EA79E8">
        <w:rPr>
          <w:rFonts w:ascii="Calibri" w:hAnsiTheme="minorHAnsi"/>
          <w:color w:val="000000"/>
          <w:sz w:val="24"/>
        </w:rPr>
        <w:t xml:space="preserve"> 2014.http://ajp.psychiatryonline.org/doi/10.1176/appi.ajp.2012.12010144 (accessed 19 Dec2015).</w:t>
      </w:r>
    </w:p>
    <w:p w14:paraId="33547EF6"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2 </w:t>
      </w:r>
      <w:r w:rsidRPr="00EA79E8">
        <w:rPr>
          <w:rFonts w:ascii="Calibri" w:hAnsiTheme="minorHAnsi"/>
          <w:color w:val="000000"/>
          <w:sz w:val="24"/>
        </w:rPr>
        <w:tab/>
        <w:t xml:space="preserve">Bloomfield MAP, Pepper F, Egerton A, </w:t>
      </w:r>
      <w:proofErr w:type="spellStart"/>
      <w:r w:rsidRPr="00EA79E8">
        <w:rPr>
          <w:rFonts w:ascii="Calibri" w:hAnsiTheme="minorHAnsi"/>
          <w:color w:val="000000"/>
          <w:sz w:val="24"/>
        </w:rPr>
        <w:t>Demjaha</w:t>
      </w:r>
      <w:proofErr w:type="spellEnd"/>
      <w:r w:rsidRPr="00EA79E8">
        <w:rPr>
          <w:rFonts w:ascii="Calibri" w:hAnsiTheme="minorHAnsi"/>
          <w:color w:val="000000"/>
          <w:sz w:val="24"/>
        </w:rPr>
        <w:t xml:space="preserve"> A, </w:t>
      </w:r>
      <w:proofErr w:type="spellStart"/>
      <w:r w:rsidRPr="00EA79E8">
        <w:rPr>
          <w:rFonts w:ascii="Calibri" w:hAnsiTheme="minorHAnsi"/>
          <w:color w:val="000000"/>
          <w:sz w:val="24"/>
        </w:rPr>
        <w:t>Tomasi</w:t>
      </w:r>
      <w:proofErr w:type="spellEnd"/>
      <w:r w:rsidRPr="00EA79E8">
        <w:rPr>
          <w:rFonts w:ascii="Calibri" w:hAnsiTheme="minorHAnsi"/>
          <w:color w:val="000000"/>
          <w:sz w:val="24"/>
        </w:rPr>
        <w:t xml:space="preserve"> G, </w:t>
      </w:r>
      <w:proofErr w:type="spellStart"/>
      <w:r w:rsidRPr="00EA79E8">
        <w:rPr>
          <w:rFonts w:ascii="Calibri" w:hAnsiTheme="minorHAnsi"/>
          <w:color w:val="000000"/>
          <w:sz w:val="24"/>
        </w:rPr>
        <w:t>Mouchlianitis</w:t>
      </w:r>
      <w:proofErr w:type="spellEnd"/>
      <w:r w:rsidRPr="00EA79E8">
        <w:rPr>
          <w:rFonts w:ascii="Calibri" w:hAnsiTheme="minorHAnsi"/>
          <w:color w:val="000000"/>
          <w:sz w:val="24"/>
        </w:rPr>
        <w:t xml:space="preserve"> E </w:t>
      </w:r>
      <w:proofErr w:type="gramStart"/>
      <w:r w:rsidRPr="00EA79E8">
        <w:rPr>
          <w:rFonts w:ascii="Calibri" w:hAnsiTheme="minorHAnsi"/>
          <w:i/>
          <w:iCs/>
          <w:color w:val="000000"/>
          <w:sz w:val="24"/>
        </w:rPr>
        <w:t>et al.</w:t>
      </w:r>
      <w:proofErr w:type="gramEnd"/>
      <w:r w:rsidRPr="00EA79E8">
        <w:rPr>
          <w:rFonts w:ascii="Calibri" w:hAnsiTheme="minorHAnsi"/>
          <w:color w:val="000000"/>
          <w:sz w:val="24"/>
        </w:rPr>
        <w:t xml:space="preserve"> Dopamine function in cigarette smokers: an [</w:t>
      </w:r>
      <w:r w:rsidRPr="00EA79E8">
        <w:rPr>
          <w:rFonts w:ascii="Calibri" w:hAnsiTheme="minorHAnsi"/>
          <w:color w:val="000000"/>
          <w:sz w:val="24"/>
          <w:vertAlign w:val="superscript"/>
        </w:rPr>
        <w:t>18</w:t>
      </w:r>
      <w:r w:rsidRPr="00EA79E8">
        <w:rPr>
          <w:rFonts w:ascii="Calibri" w:hAnsiTheme="minorHAnsi"/>
          <w:color w:val="000000"/>
          <w:sz w:val="24"/>
        </w:rPr>
        <w:t xml:space="preserve">F]-DOPA PET study. </w:t>
      </w:r>
      <w:proofErr w:type="spellStart"/>
      <w:r w:rsidRPr="00EA79E8">
        <w:rPr>
          <w:rFonts w:ascii="Calibri" w:hAnsiTheme="minorHAnsi"/>
          <w:i/>
          <w:iCs/>
          <w:color w:val="000000"/>
          <w:sz w:val="24"/>
        </w:rPr>
        <w:t>Neuropsychopharmacology</w:t>
      </w:r>
      <w:proofErr w:type="spellEnd"/>
      <w:r w:rsidRPr="00EA79E8">
        <w:rPr>
          <w:rFonts w:ascii="Calibri" w:hAnsiTheme="minorHAnsi"/>
          <w:color w:val="000000"/>
          <w:sz w:val="24"/>
        </w:rPr>
        <w:t xml:space="preserve"> 2014; </w:t>
      </w:r>
      <w:r w:rsidRPr="00EA79E8">
        <w:rPr>
          <w:rFonts w:ascii="Calibri" w:hAnsiTheme="minorHAnsi"/>
          <w:b/>
          <w:bCs/>
          <w:color w:val="000000"/>
          <w:sz w:val="24"/>
        </w:rPr>
        <w:t>39</w:t>
      </w:r>
      <w:r w:rsidRPr="00EA79E8">
        <w:rPr>
          <w:rFonts w:ascii="Calibri" w:hAnsiTheme="minorHAnsi"/>
          <w:color w:val="000000"/>
          <w:sz w:val="24"/>
        </w:rPr>
        <w:t>: 2397–2404.</w:t>
      </w:r>
    </w:p>
    <w:p w14:paraId="4B977D35"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3 </w:t>
      </w:r>
      <w:r w:rsidRPr="00EA79E8">
        <w:rPr>
          <w:rFonts w:ascii="Calibri" w:hAnsiTheme="minorHAnsi"/>
          <w:color w:val="000000"/>
          <w:sz w:val="24"/>
        </w:rPr>
        <w:tab/>
      </w:r>
      <w:proofErr w:type="spellStart"/>
      <w:r w:rsidRPr="00EA79E8">
        <w:rPr>
          <w:rFonts w:ascii="Calibri" w:hAnsiTheme="minorHAnsi"/>
          <w:color w:val="000000"/>
          <w:sz w:val="24"/>
        </w:rPr>
        <w:t>Studholme</w:t>
      </w:r>
      <w:proofErr w:type="spellEnd"/>
      <w:r w:rsidRPr="00EA79E8">
        <w:rPr>
          <w:rFonts w:ascii="Calibri" w:hAnsiTheme="minorHAnsi"/>
          <w:color w:val="000000"/>
          <w:sz w:val="24"/>
        </w:rPr>
        <w:t xml:space="preserve"> C, Hill DL, Hawkes DJ. Automated 3-D registration of MR and CT images of the head. </w:t>
      </w:r>
      <w:r w:rsidRPr="00EA79E8">
        <w:rPr>
          <w:rFonts w:ascii="Calibri" w:hAnsiTheme="minorHAnsi"/>
          <w:i/>
          <w:iCs/>
          <w:color w:val="000000"/>
          <w:sz w:val="24"/>
        </w:rPr>
        <w:t>Med Image Anal</w:t>
      </w:r>
      <w:r w:rsidRPr="00EA79E8">
        <w:rPr>
          <w:rFonts w:ascii="Calibri" w:hAnsiTheme="minorHAnsi"/>
          <w:color w:val="000000"/>
          <w:sz w:val="24"/>
        </w:rPr>
        <w:t xml:space="preserve"> 1996; </w:t>
      </w:r>
      <w:r w:rsidRPr="00EA79E8">
        <w:rPr>
          <w:rFonts w:ascii="Calibri" w:hAnsiTheme="minorHAnsi"/>
          <w:b/>
          <w:bCs/>
          <w:color w:val="000000"/>
          <w:sz w:val="24"/>
        </w:rPr>
        <w:t>1</w:t>
      </w:r>
      <w:r w:rsidRPr="00EA79E8">
        <w:rPr>
          <w:rFonts w:ascii="Calibri" w:hAnsiTheme="minorHAnsi"/>
          <w:color w:val="000000"/>
          <w:sz w:val="24"/>
        </w:rPr>
        <w:t>: 163–175.</w:t>
      </w:r>
    </w:p>
    <w:p w14:paraId="0DAB2BEE"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4 </w:t>
      </w:r>
      <w:r w:rsidRPr="00EA79E8">
        <w:rPr>
          <w:rFonts w:ascii="Calibri" w:hAnsiTheme="minorHAnsi"/>
          <w:color w:val="000000"/>
          <w:sz w:val="24"/>
        </w:rPr>
        <w:tab/>
      </w:r>
      <w:proofErr w:type="spellStart"/>
      <w:r w:rsidRPr="00EA79E8">
        <w:rPr>
          <w:rFonts w:ascii="Calibri" w:hAnsiTheme="minorHAnsi"/>
          <w:color w:val="000000"/>
          <w:sz w:val="24"/>
        </w:rPr>
        <w:t>Turkheimer</w:t>
      </w:r>
      <w:proofErr w:type="spellEnd"/>
      <w:r w:rsidRPr="00EA79E8">
        <w:rPr>
          <w:rFonts w:ascii="Calibri" w:hAnsiTheme="minorHAnsi"/>
          <w:color w:val="000000"/>
          <w:sz w:val="24"/>
        </w:rPr>
        <w:t xml:space="preserve"> FE, Brett M, </w:t>
      </w:r>
      <w:proofErr w:type="spellStart"/>
      <w:r w:rsidRPr="00EA79E8">
        <w:rPr>
          <w:rFonts w:ascii="Calibri" w:hAnsiTheme="minorHAnsi"/>
          <w:color w:val="000000"/>
          <w:sz w:val="24"/>
        </w:rPr>
        <w:t>Visvikis</w:t>
      </w:r>
      <w:proofErr w:type="spellEnd"/>
      <w:r w:rsidRPr="00EA79E8">
        <w:rPr>
          <w:rFonts w:ascii="Calibri" w:hAnsiTheme="minorHAnsi"/>
          <w:color w:val="000000"/>
          <w:sz w:val="24"/>
        </w:rPr>
        <w:t xml:space="preserve"> D, Cunningham VJ. Multiresolution analysis of emission tomography images in the wavelet domain. </w:t>
      </w:r>
      <w:r w:rsidRPr="00EA79E8">
        <w:rPr>
          <w:rFonts w:ascii="Calibri" w:hAnsiTheme="minorHAnsi"/>
          <w:i/>
          <w:iCs/>
          <w:color w:val="000000"/>
          <w:sz w:val="24"/>
        </w:rPr>
        <w:t xml:space="preserve">J </w:t>
      </w:r>
      <w:proofErr w:type="spellStart"/>
      <w:r w:rsidRPr="00EA79E8">
        <w:rPr>
          <w:rFonts w:ascii="Calibri" w:hAnsiTheme="minorHAnsi"/>
          <w:i/>
          <w:iCs/>
          <w:color w:val="000000"/>
          <w:sz w:val="24"/>
        </w:rPr>
        <w:t>Cereb</w:t>
      </w:r>
      <w:proofErr w:type="spellEnd"/>
      <w:r w:rsidRPr="00EA79E8">
        <w:rPr>
          <w:rFonts w:ascii="Calibri" w:hAnsiTheme="minorHAnsi"/>
          <w:i/>
          <w:iCs/>
          <w:color w:val="000000"/>
          <w:sz w:val="24"/>
        </w:rPr>
        <w:t xml:space="preserve"> Blood Flow </w:t>
      </w:r>
      <w:proofErr w:type="spellStart"/>
      <w:r w:rsidRPr="00EA79E8">
        <w:rPr>
          <w:rFonts w:ascii="Calibri" w:hAnsiTheme="minorHAnsi"/>
          <w:i/>
          <w:iCs/>
          <w:color w:val="000000"/>
          <w:sz w:val="24"/>
        </w:rPr>
        <w:t>Metab</w:t>
      </w:r>
      <w:proofErr w:type="spellEnd"/>
      <w:r w:rsidRPr="00EA79E8">
        <w:rPr>
          <w:rFonts w:ascii="Calibri" w:hAnsiTheme="minorHAnsi"/>
          <w:color w:val="000000"/>
          <w:sz w:val="24"/>
        </w:rPr>
        <w:t xml:space="preserve"> 1999; </w:t>
      </w:r>
      <w:r w:rsidRPr="00EA79E8">
        <w:rPr>
          <w:rFonts w:ascii="Calibri" w:hAnsiTheme="minorHAnsi"/>
          <w:b/>
          <w:bCs/>
          <w:color w:val="000000"/>
          <w:sz w:val="24"/>
        </w:rPr>
        <w:t>19</w:t>
      </w:r>
      <w:r w:rsidRPr="00EA79E8">
        <w:rPr>
          <w:rFonts w:ascii="Calibri" w:hAnsiTheme="minorHAnsi"/>
          <w:color w:val="000000"/>
          <w:sz w:val="24"/>
        </w:rPr>
        <w:t>: 1189–1208.</w:t>
      </w:r>
    </w:p>
    <w:p w14:paraId="7AC0FC7C"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5 </w:t>
      </w:r>
      <w:r w:rsidRPr="00EA79E8">
        <w:rPr>
          <w:rFonts w:ascii="Calibri" w:hAnsiTheme="minorHAnsi"/>
          <w:color w:val="000000"/>
          <w:sz w:val="24"/>
        </w:rPr>
        <w:tab/>
        <w:t>SPM - Statistical Parametric Mapping. http://www.fil.ion.ucl.ac.uk/spm/ (accessed 5 Oct2016).</w:t>
      </w:r>
    </w:p>
    <w:p w14:paraId="58A315A2"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6 </w:t>
      </w:r>
      <w:r w:rsidRPr="00EA79E8">
        <w:rPr>
          <w:rFonts w:ascii="Calibri" w:hAnsiTheme="minorHAnsi"/>
          <w:color w:val="000000"/>
          <w:sz w:val="24"/>
        </w:rPr>
        <w:tab/>
        <w:t xml:space="preserve">Egerton A, </w:t>
      </w:r>
      <w:proofErr w:type="spellStart"/>
      <w:r w:rsidRPr="00EA79E8">
        <w:rPr>
          <w:rFonts w:ascii="Calibri" w:hAnsiTheme="minorHAnsi"/>
          <w:color w:val="000000"/>
          <w:sz w:val="24"/>
        </w:rPr>
        <w:t>Demjaha</w:t>
      </w:r>
      <w:proofErr w:type="spellEnd"/>
      <w:r w:rsidRPr="00EA79E8">
        <w:rPr>
          <w:rFonts w:ascii="Calibri" w:hAnsiTheme="minorHAnsi"/>
          <w:color w:val="000000"/>
          <w:sz w:val="24"/>
        </w:rPr>
        <w:t xml:space="preserve"> A, McGuire P, Mehta MA, Howes OD. The test-retest reliability of 18F-DOPA PET in assessing striatal and </w:t>
      </w:r>
      <w:proofErr w:type="spellStart"/>
      <w:r w:rsidRPr="00EA79E8">
        <w:rPr>
          <w:rFonts w:ascii="Calibri" w:hAnsiTheme="minorHAnsi"/>
          <w:color w:val="000000"/>
          <w:sz w:val="24"/>
        </w:rPr>
        <w:t>extrastriatal</w:t>
      </w:r>
      <w:proofErr w:type="spellEnd"/>
      <w:r w:rsidRPr="00EA79E8">
        <w:rPr>
          <w:rFonts w:ascii="Calibri" w:hAnsiTheme="minorHAnsi"/>
          <w:color w:val="000000"/>
          <w:sz w:val="24"/>
        </w:rPr>
        <w:t xml:space="preserve"> presynaptic dopaminergic function. </w:t>
      </w:r>
      <w:proofErr w:type="spellStart"/>
      <w:r w:rsidRPr="00EA79E8">
        <w:rPr>
          <w:rFonts w:ascii="Calibri" w:hAnsiTheme="minorHAnsi"/>
          <w:i/>
          <w:iCs/>
          <w:color w:val="000000"/>
          <w:sz w:val="24"/>
        </w:rPr>
        <w:t>Neuroimage</w:t>
      </w:r>
      <w:proofErr w:type="spellEnd"/>
      <w:r w:rsidRPr="00EA79E8">
        <w:rPr>
          <w:rFonts w:ascii="Calibri" w:hAnsiTheme="minorHAnsi"/>
          <w:color w:val="000000"/>
          <w:sz w:val="24"/>
        </w:rPr>
        <w:t xml:space="preserve"> 2010; </w:t>
      </w:r>
      <w:r w:rsidRPr="00EA79E8">
        <w:rPr>
          <w:rFonts w:ascii="Calibri" w:hAnsiTheme="minorHAnsi"/>
          <w:b/>
          <w:bCs/>
          <w:color w:val="000000"/>
          <w:sz w:val="24"/>
        </w:rPr>
        <w:t>50</w:t>
      </w:r>
      <w:r w:rsidRPr="00EA79E8">
        <w:rPr>
          <w:rFonts w:ascii="Calibri" w:hAnsiTheme="minorHAnsi"/>
          <w:color w:val="000000"/>
          <w:sz w:val="24"/>
        </w:rPr>
        <w:t>: 524–531.</w:t>
      </w:r>
    </w:p>
    <w:p w14:paraId="0381D9F9"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7 </w:t>
      </w:r>
      <w:r w:rsidRPr="00EA79E8">
        <w:rPr>
          <w:rFonts w:ascii="Calibri" w:hAnsiTheme="minorHAnsi"/>
          <w:color w:val="000000"/>
          <w:sz w:val="24"/>
        </w:rPr>
        <w:tab/>
        <w:t xml:space="preserve">Howes OD, Montgomery AJ, </w:t>
      </w:r>
      <w:proofErr w:type="spellStart"/>
      <w:r w:rsidRPr="00EA79E8">
        <w:rPr>
          <w:rFonts w:ascii="Calibri" w:hAnsiTheme="minorHAnsi"/>
          <w:color w:val="000000"/>
          <w:sz w:val="24"/>
        </w:rPr>
        <w:t>Asselin</w:t>
      </w:r>
      <w:proofErr w:type="spellEnd"/>
      <w:r w:rsidRPr="00EA79E8">
        <w:rPr>
          <w:rFonts w:ascii="Calibri" w:hAnsiTheme="minorHAnsi"/>
          <w:color w:val="000000"/>
          <w:sz w:val="24"/>
        </w:rPr>
        <w:t xml:space="preserve"> MC, Murray RM, </w:t>
      </w:r>
      <w:proofErr w:type="spellStart"/>
      <w:r w:rsidRPr="00EA79E8">
        <w:rPr>
          <w:rFonts w:ascii="Calibri" w:hAnsiTheme="minorHAnsi"/>
          <w:color w:val="000000"/>
          <w:sz w:val="24"/>
        </w:rPr>
        <w:t>Valli</w:t>
      </w:r>
      <w:proofErr w:type="spellEnd"/>
      <w:r w:rsidRPr="00EA79E8">
        <w:rPr>
          <w:rFonts w:ascii="Calibri" w:hAnsiTheme="minorHAnsi"/>
          <w:color w:val="000000"/>
          <w:sz w:val="24"/>
        </w:rPr>
        <w:t xml:space="preserve"> I, </w:t>
      </w:r>
      <w:proofErr w:type="spellStart"/>
      <w:r w:rsidRPr="00EA79E8">
        <w:rPr>
          <w:rFonts w:ascii="Calibri" w:hAnsiTheme="minorHAnsi"/>
          <w:color w:val="000000"/>
          <w:sz w:val="24"/>
        </w:rPr>
        <w:t>Tabraham</w:t>
      </w:r>
      <w:proofErr w:type="spellEnd"/>
      <w:r w:rsidRPr="00EA79E8">
        <w:rPr>
          <w:rFonts w:ascii="Calibri" w:hAnsiTheme="minorHAnsi"/>
          <w:color w:val="000000"/>
          <w:sz w:val="24"/>
        </w:rPr>
        <w:t xml:space="preserve"> P </w:t>
      </w:r>
      <w:proofErr w:type="gramStart"/>
      <w:r w:rsidRPr="00EA79E8">
        <w:rPr>
          <w:rFonts w:ascii="Calibri" w:hAnsiTheme="minorHAnsi"/>
          <w:i/>
          <w:iCs/>
          <w:color w:val="000000"/>
          <w:sz w:val="24"/>
        </w:rPr>
        <w:t>et al.</w:t>
      </w:r>
      <w:proofErr w:type="gramEnd"/>
      <w:r w:rsidRPr="00EA79E8">
        <w:rPr>
          <w:rFonts w:ascii="Calibri" w:hAnsiTheme="minorHAnsi"/>
          <w:color w:val="000000"/>
          <w:sz w:val="24"/>
        </w:rPr>
        <w:t xml:space="preserve"> Elevated striatal dopamine function linked to prodromal signs of schizophrenia. </w:t>
      </w:r>
      <w:r w:rsidRPr="00EA79E8">
        <w:rPr>
          <w:rFonts w:ascii="Calibri" w:hAnsiTheme="minorHAnsi"/>
          <w:i/>
          <w:iCs/>
          <w:color w:val="000000"/>
          <w:sz w:val="24"/>
        </w:rPr>
        <w:t>Archives of general psychiatry</w:t>
      </w:r>
      <w:r w:rsidRPr="00EA79E8">
        <w:rPr>
          <w:rFonts w:ascii="Calibri" w:hAnsiTheme="minorHAnsi"/>
          <w:color w:val="000000"/>
          <w:sz w:val="24"/>
        </w:rPr>
        <w:t xml:space="preserve"> 2009; </w:t>
      </w:r>
      <w:r w:rsidRPr="00EA79E8">
        <w:rPr>
          <w:rFonts w:ascii="Calibri" w:hAnsiTheme="minorHAnsi"/>
          <w:b/>
          <w:bCs/>
          <w:color w:val="000000"/>
          <w:sz w:val="24"/>
        </w:rPr>
        <w:t>66</w:t>
      </w:r>
      <w:r w:rsidRPr="00EA79E8">
        <w:rPr>
          <w:rFonts w:ascii="Calibri" w:hAnsiTheme="minorHAnsi"/>
          <w:color w:val="000000"/>
          <w:sz w:val="24"/>
        </w:rPr>
        <w:t>: 13.</w:t>
      </w:r>
    </w:p>
    <w:p w14:paraId="2793CB13"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8 </w:t>
      </w:r>
      <w:r w:rsidRPr="00EA79E8">
        <w:rPr>
          <w:rFonts w:ascii="Calibri" w:hAnsiTheme="minorHAnsi"/>
          <w:color w:val="000000"/>
          <w:sz w:val="24"/>
        </w:rPr>
        <w:tab/>
        <w:t xml:space="preserve">Martinez D, </w:t>
      </w:r>
      <w:proofErr w:type="spellStart"/>
      <w:r w:rsidRPr="00EA79E8">
        <w:rPr>
          <w:rFonts w:ascii="Calibri" w:hAnsiTheme="minorHAnsi"/>
          <w:color w:val="000000"/>
          <w:sz w:val="24"/>
        </w:rPr>
        <w:t>Slifstein</w:t>
      </w:r>
      <w:proofErr w:type="spellEnd"/>
      <w:r w:rsidRPr="00EA79E8">
        <w:rPr>
          <w:rFonts w:ascii="Calibri" w:hAnsiTheme="minorHAnsi"/>
          <w:color w:val="000000"/>
          <w:sz w:val="24"/>
        </w:rPr>
        <w:t xml:space="preserve"> M, </w:t>
      </w:r>
      <w:proofErr w:type="spellStart"/>
      <w:r w:rsidRPr="00EA79E8">
        <w:rPr>
          <w:rFonts w:ascii="Calibri" w:hAnsiTheme="minorHAnsi"/>
          <w:color w:val="000000"/>
          <w:sz w:val="24"/>
        </w:rPr>
        <w:t>Broft</w:t>
      </w:r>
      <w:proofErr w:type="spellEnd"/>
      <w:r w:rsidRPr="00EA79E8">
        <w:rPr>
          <w:rFonts w:ascii="Calibri" w:hAnsiTheme="minorHAnsi"/>
          <w:color w:val="000000"/>
          <w:sz w:val="24"/>
        </w:rPr>
        <w:t xml:space="preserve"> A, </w:t>
      </w:r>
      <w:proofErr w:type="spellStart"/>
      <w:r w:rsidRPr="00EA79E8">
        <w:rPr>
          <w:rFonts w:ascii="Calibri" w:hAnsiTheme="minorHAnsi"/>
          <w:color w:val="000000"/>
          <w:sz w:val="24"/>
        </w:rPr>
        <w:t>Mawlawi</w:t>
      </w:r>
      <w:proofErr w:type="spellEnd"/>
      <w:r w:rsidRPr="00EA79E8">
        <w:rPr>
          <w:rFonts w:ascii="Calibri" w:hAnsiTheme="minorHAnsi"/>
          <w:color w:val="000000"/>
          <w:sz w:val="24"/>
        </w:rPr>
        <w:t xml:space="preserve"> O, Hwang D-R, Huang Y </w:t>
      </w:r>
      <w:proofErr w:type="gramStart"/>
      <w:r w:rsidRPr="00EA79E8">
        <w:rPr>
          <w:rFonts w:ascii="Calibri" w:hAnsiTheme="minorHAnsi"/>
          <w:i/>
          <w:iCs/>
          <w:color w:val="000000"/>
          <w:sz w:val="24"/>
        </w:rPr>
        <w:t>et al.</w:t>
      </w:r>
      <w:proofErr w:type="gramEnd"/>
      <w:r w:rsidRPr="00EA79E8">
        <w:rPr>
          <w:rFonts w:ascii="Calibri" w:hAnsiTheme="minorHAnsi"/>
          <w:color w:val="000000"/>
          <w:sz w:val="24"/>
        </w:rPr>
        <w:t xml:space="preserve"> Imaging Human Mesolimbic Dopamine Transmission With Positron Emission Tomography. Part II: Amphetamine-Induced Dopamine Release in the Functional Subdivisions of the Striatum. </w:t>
      </w:r>
      <w:r w:rsidRPr="00EA79E8">
        <w:rPr>
          <w:rFonts w:ascii="Calibri" w:hAnsiTheme="minorHAnsi"/>
          <w:i/>
          <w:iCs/>
          <w:color w:val="000000"/>
          <w:sz w:val="24"/>
        </w:rPr>
        <w:t xml:space="preserve">J </w:t>
      </w:r>
      <w:proofErr w:type="spellStart"/>
      <w:r w:rsidRPr="00EA79E8">
        <w:rPr>
          <w:rFonts w:ascii="Calibri" w:hAnsiTheme="minorHAnsi"/>
          <w:i/>
          <w:iCs/>
          <w:color w:val="000000"/>
          <w:sz w:val="24"/>
        </w:rPr>
        <w:t>Cereb</w:t>
      </w:r>
      <w:proofErr w:type="spellEnd"/>
      <w:r w:rsidRPr="00EA79E8">
        <w:rPr>
          <w:rFonts w:ascii="Calibri" w:hAnsiTheme="minorHAnsi"/>
          <w:i/>
          <w:iCs/>
          <w:color w:val="000000"/>
          <w:sz w:val="24"/>
        </w:rPr>
        <w:t xml:space="preserve"> Blood Flow </w:t>
      </w:r>
      <w:proofErr w:type="spellStart"/>
      <w:r w:rsidRPr="00EA79E8">
        <w:rPr>
          <w:rFonts w:ascii="Calibri" w:hAnsiTheme="minorHAnsi"/>
          <w:i/>
          <w:iCs/>
          <w:color w:val="000000"/>
          <w:sz w:val="24"/>
        </w:rPr>
        <w:t>Metab</w:t>
      </w:r>
      <w:proofErr w:type="spellEnd"/>
      <w:r w:rsidRPr="00EA79E8">
        <w:rPr>
          <w:rFonts w:ascii="Calibri" w:hAnsiTheme="minorHAnsi"/>
          <w:color w:val="000000"/>
          <w:sz w:val="24"/>
        </w:rPr>
        <w:t xml:space="preserve"> 2003; </w:t>
      </w:r>
      <w:r w:rsidRPr="00EA79E8">
        <w:rPr>
          <w:rFonts w:ascii="Calibri" w:hAnsiTheme="minorHAnsi"/>
          <w:b/>
          <w:bCs/>
          <w:color w:val="000000"/>
          <w:sz w:val="24"/>
        </w:rPr>
        <w:t>23</w:t>
      </w:r>
      <w:r w:rsidRPr="00EA79E8">
        <w:rPr>
          <w:rFonts w:ascii="Calibri" w:hAnsiTheme="minorHAnsi"/>
          <w:color w:val="000000"/>
          <w:sz w:val="24"/>
        </w:rPr>
        <w:t>: 285–300.</w:t>
      </w:r>
    </w:p>
    <w:p w14:paraId="6BE2526B"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9 </w:t>
      </w:r>
      <w:r w:rsidRPr="00EA79E8">
        <w:rPr>
          <w:rFonts w:ascii="Calibri" w:hAnsiTheme="minorHAnsi"/>
          <w:color w:val="000000"/>
          <w:sz w:val="24"/>
        </w:rPr>
        <w:tab/>
      </w:r>
      <w:proofErr w:type="spellStart"/>
      <w:r w:rsidRPr="00EA79E8">
        <w:rPr>
          <w:rFonts w:ascii="Calibri" w:hAnsiTheme="minorHAnsi"/>
          <w:color w:val="000000"/>
          <w:sz w:val="24"/>
        </w:rPr>
        <w:t>Kumakura</w:t>
      </w:r>
      <w:proofErr w:type="spellEnd"/>
      <w:r w:rsidRPr="00EA79E8">
        <w:rPr>
          <w:rFonts w:ascii="Calibri" w:hAnsiTheme="minorHAnsi"/>
          <w:color w:val="000000"/>
          <w:sz w:val="24"/>
        </w:rPr>
        <w:t xml:space="preserve"> Y, Cumming P. PET studies of cerebral levodopa metabolism: a review of clinical findings and modeling approaches. </w:t>
      </w:r>
      <w:r w:rsidRPr="00EA79E8">
        <w:rPr>
          <w:rFonts w:ascii="Calibri" w:hAnsiTheme="minorHAnsi"/>
          <w:i/>
          <w:iCs/>
          <w:color w:val="000000"/>
          <w:sz w:val="24"/>
        </w:rPr>
        <w:t>The Neuroscientist</w:t>
      </w:r>
      <w:r w:rsidRPr="00EA79E8">
        <w:rPr>
          <w:rFonts w:ascii="Calibri" w:hAnsiTheme="minorHAnsi"/>
          <w:color w:val="000000"/>
          <w:sz w:val="24"/>
        </w:rPr>
        <w:t xml:space="preserve"> 2009.http://nro.sagepub.com/content/early/2009/09/29/1073858409338217.short (accessed 9 Mar2015).</w:t>
      </w:r>
    </w:p>
    <w:p w14:paraId="6480CDC0"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10 </w:t>
      </w:r>
      <w:r w:rsidRPr="00EA79E8">
        <w:rPr>
          <w:rFonts w:ascii="Calibri" w:hAnsiTheme="minorHAnsi"/>
          <w:color w:val="000000"/>
          <w:sz w:val="24"/>
        </w:rPr>
        <w:tab/>
        <w:t xml:space="preserve">Howes OD, Bose SK, </w:t>
      </w:r>
      <w:proofErr w:type="spellStart"/>
      <w:r w:rsidRPr="00EA79E8">
        <w:rPr>
          <w:rFonts w:ascii="Calibri" w:hAnsiTheme="minorHAnsi"/>
          <w:color w:val="000000"/>
          <w:sz w:val="24"/>
        </w:rPr>
        <w:t>Turkheimer</w:t>
      </w:r>
      <w:proofErr w:type="spellEnd"/>
      <w:r w:rsidRPr="00EA79E8">
        <w:rPr>
          <w:rFonts w:ascii="Calibri" w:hAnsiTheme="minorHAnsi"/>
          <w:color w:val="000000"/>
          <w:sz w:val="24"/>
        </w:rPr>
        <w:t xml:space="preserve"> F, </w:t>
      </w:r>
      <w:proofErr w:type="spellStart"/>
      <w:r w:rsidRPr="00EA79E8">
        <w:rPr>
          <w:rFonts w:ascii="Calibri" w:hAnsiTheme="minorHAnsi"/>
          <w:color w:val="000000"/>
          <w:sz w:val="24"/>
        </w:rPr>
        <w:t>Valli</w:t>
      </w:r>
      <w:proofErr w:type="spellEnd"/>
      <w:r w:rsidRPr="00EA79E8">
        <w:rPr>
          <w:rFonts w:ascii="Calibri" w:hAnsiTheme="minorHAnsi"/>
          <w:color w:val="000000"/>
          <w:sz w:val="24"/>
        </w:rPr>
        <w:t xml:space="preserve"> I, Egerton A, </w:t>
      </w:r>
      <w:proofErr w:type="spellStart"/>
      <w:r w:rsidRPr="00EA79E8">
        <w:rPr>
          <w:rFonts w:ascii="Calibri" w:hAnsiTheme="minorHAnsi"/>
          <w:color w:val="000000"/>
          <w:sz w:val="24"/>
        </w:rPr>
        <w:t>Valmaggia</w:t>
      </w:r>
      <w:proofErr w:type="spellEnd"/>
      <w:r w:rsidRPr="00EA79E8">
        <w:rPr>
          <w:rFonts w:ascii="Calibri" w:hAnsiTheme="minorHAnsi"/>
          <w:color w:val="000000"/>
          <w:sz w:val="24"/>
        </w:rPr>
        <w:t xml:space="preserve"> LR </w:t>
      </w:r>
      <w:r w:rsidRPr="00EA79E8">
        <w:rPr>
          <w:rFonts w:ascii="Calibri" w:hAnsiTheme="minorHAnsi"/>
          <w:i/>
          <w:iCs/>
          <w:color w:val="000000"/>
          <w:sz w:val="24"/>
        </w:rPr>
        <w:t>et al.</w:t>
      </w:r>
      <w:r w:rsidRPr="00EA79E8">
        <w:rPr>
          <w:rFonts w:ascii="Calibri" w:hAnsiTheme="minorHAnsi"/>
          <w:color w:val="000000"/>
          <w:sz w:val="24"/>
        </w:rPr>
        <w:t xml:space="preserve"> Dopamine synthesis capacity before onset of psychosis: a prospective [18F]-DOPA PET imaging study. </w:t>
      </w:r>
      <w:r w:rsidRPr="00EA79E8">
        <w:rPr>
          <w:rFonts w:ascii="Calibri" w:hAnsiTheme="minorHAnsi"/>
          <w:i/>
          <w:iCs/>
          <w:color w:val="000000"/>
          <w:sz w:val="24"/>
        </w:rPr>
        <w:t>Am J Psychiatry</w:t>
      </w:r>
      <w:r w:rsidRPr="00EA79E8">
        <w:rPr>
          <w:rFonts w:ascii="Calibri" w:hAnsiTheme="minorHAnsi"/>
          <w:color w:val="000000"/>
          <w:sz w:val="24"/>
        </w:rPr>
        <w:t xml:space="preserve"> 2011; </w:t>
      </w:r>
      <w:r w:rsidRPr="00EA79E8">
        <w:rPr>
          <w:rFonts w:ascii="Calibri" w:hAnsiTheme="minorHAnsi"/>
          <w:b/>
          <w:bCs/>
          <w:color w:val="000000"/>
          <w:sz w:val="24"/>
        </w:rPr>
        <w:t>168</w:t>
      </w:r>
      <w:r w:rsidRPr="00EA79E8">
        <w:rPr>
          <w:rFonts w:ascii="Calibri" w:hAnsiTheme="minorHAnsi"/>
          <w:color w:val="000000"/>
          <w:sz w:val="24"/>
        </w:rPr>
        <w:t>: 1311–1317.</w:t>
      </w:r>
    </w:p>
    <w:p w14:paraId="3C623AC2" w14:textId="77777777" w:rsidR="00EA79E8" w:rsidRPr="00EA79E8" w:rsidRDefault="00EA79E8" w:rsidP="00EA79E8">
      <w:pPr>
        <w:pStyle w:val="Bibliography"/>
        <w:rPr>
          <w:rFonts w:ascii="Calibri" w:hAnsiTheme="minorHAnsi"/>
          <w:color w:val="000000"/>
          <w:sz w:val="24"/>
        </w:rPr>
      </w:pPr>
      <w:r w:rsidRPr="00EA79E8">
        <w:rPr>
          <w:rFonts w:ascii="Calibri" w:hAnsiTheme="minorHAnsi"/>
          <w:color w:val="000000"/>
          <w:sz w:val="24"/>
        </w:rPr>
        <w:t xml:space="preserve">11 </w:t>
      </w:r>
      <w:r w:rsidRPr="00EA79E8">
        <w:rPr>
          <w:rFonts w:ascii="Calibri" w:hAnsiTheme="minorHAnsi"/>
          <w:color w:val="000000"/>
          <w:sz w:val="24"/>
        </w:rPr>
        <w:tab/>
      </w:r>
      <w:proofErr w:type="spellStart"/>
      <w:r w:rsidRPr="00EA79E8">
        <w:rPr>
          <w:rFonts w:ascii="Calibri" w:hAnsiTheme="minorHAnsi"/>
          <w:color w:val="000000"/>
          <w:sz w:val="24"/>
        </w:rPr>
        <w:t>Turkheimer</w:t>
      </w:r>
      <w:proofErr w:type="spellEnd"/>
      <w:r w:rsidRPr="00EA79E8">
        <w:rPr>
          <w:rFonts w:ascii="Calibri" w:hAnsiTheme="minorHAnsi"/>
          <w:color w:val="000000"/>
          <w:sz w:val="24"/>
        </w:rPr>
        <w:t xml:space="preserve"> FE, Aston JAD, </w:t>
      </w:r>
      <w:proofErr w:type="spellStart"/>
      <w:r w:rsidRPr="00EA79E8">
        <w:rPr>
          <w:rFonts w:ascii="Calibri" w:hAnsiTheme="minorHAnsi"/>
          <w:color w:val="000000"/>
          <w:sz w:val="24"/>
        </w:rPr>
        <w:t>Asselin</w:t>
      </w:r>
      <w:proofErr w:type="spellEnd"/>
      <w:r w:rsidRPr="00EA79E8">
        <w:rPr>
          <w:rFonts w:ascii="Calibri" w:hAnsiTheme="minorHAnsi"/>
          <w:color w:val="000000"/>
          <w:sz w:val="24"/>
        </w:rPr>
        <w:t xml:space="preserve"> M-C, </w:t>
      </w:r>
      <w:proofErr w:type="spellStart"/>
      <w:r w:rsidRPr="00EA79E8">
        <w:rPr>
          <w:rFonts w:ascii="Calibri" w:hAnsiTheme="minorHAnsi"/>
          <w:color w:val="000000"/>
          <w:sz w:val="24"/>
        </w:rPr>
        <w:t>Hinz</w:t>
      </w:r>
      <w:proofErr w:type="spellEnd"/>
      <w:r w:rsidRPr="00EA79E8">
        <w:rPr>
          <w:rFonts w:ascii="Calibri" w:hAnsiTheme="minorHAnsi"/>
          <w:color w:val="000000"/>
          <w:sz w:val="24"/>
        </w:rPr>
        <w:t xml:space="preserve"> R. Multi-resolution Bayesian regression in PET dynamic studies using wavelets. </w:t>
      </w:r>
      <w:proofErr w:type="spellStart"/>
      <w:r w:rsidRPr="00EA79E8">
        <w:rPr>
          <w:rFonts w:ascii="Calibri" w:hAnsiTheme="minorHAnsi"/>
          <w:i/>
          <w:iCs/>
          <w:color w:val="000000"/>
          <w:sz w:val="24"/>
        </w:rPr>
        <w:t>NeuroImage</w:t>
      </w:r>
      <w:proofErr w:type="spellEnd"/>
      <w:r w:rsidRPr="00EA79E8">
        <w:rPr>
          <w:rFonts w:ascii="Calibri" w:hAnsiTheme="minorHAnsi"/>
          <w:color w:val="000000"/>
          <w:sz w:val="24"/>
        </w:rPr>
        <w:t xml:space="preserve"> 2006; </w:t>
      </w:r>
      <w:r w:rsidRPr="00EA79E8">
        <w:rPr>
          <w:rFonts w:ascii="Calibri" w:hAnsiTheme="minorHAnsi"/>
          <w:b/>
          <w:bCs/>
          <w:color w:val="000000"/>
          <w:sz w:val="24"/>
        </w:rPr>
        <w:t>32</w:t>
      </w:r>
      <w:r w:rsidRPr="00EA79E8">
        <w:rPr>
          <w:rFonts w:ascii="Calibri" w:hAnsiTheme="minorHAnsi"/>
          <w:color w:val="000000"/>
          <w:sz w:val="24"/>
        </w:rPr>
        <w:t>: 111–121.</w:t>
      </w:r>
    </w:p>
    <w:p w14:paraId="704A436E" w14:textId="15F41F59" w:rsidR="00B24CDB" w:rsidRPr="00E91255" w:rsidRDefault="004A6DCC" w:rsidP="001333A9">
      <w:pPr>
        <w:spacing w:line="480" w:lineRule="auto"/>
        <w:rPr>
          <w:rFonts w:asciiTheme="minorHAnsi" w:hAnsiTheme="minorHAnsi"/>
          <w:b/>
          <w:color w:val="000000" w:themeColor="text1"/>
          <w:sz w:val="24"/>
          <w:szCs w:val="24"/>
        </w:rPr>
      </w:pPr>
      <w:r w:rsidRPr="00414C04">
        <w:rPr>
          <w:rFonts w:asciiTheme="minorHAnsi" w:hAnsiTheme="minorHAnsi"/>
          <w:b/>
          <w:color w:val="000000" w:themeColor="text1"/>
          <w:sz w:val="24"/>
          <w:szCs w:val="24"/>
        </w:rPr>
        <w:fldChar w:fldCharType="end"/>
      </w:r>
      <w:bookmarkStart w:id="0" w:name="_GoBack"/>
      <w:bookmarkEnd w:id="0"/>
    </w:p>
    <w:sectPr w:rsidR="00B24CDB" w:rsidRPr="00E91255" w:rsidSect="002B159E">
      <w:headerReference w:type="default" r:id="rId8"/>
      <w:footerReference w:type="even" r:id="rId9"/>
      <w:footerReference w:type="default" r:id="rId10"/>
      <w:pgSz w:w="11900" w:h="16840"/>
      <w:pgMar w:top="1440" w:right="1077" w:bottom="964" w:left="1077" w:header="709" w:footer="709" w:gutter="0"/>
      <w:cols w:space="708"/>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6CA12" w14:textId="77777777" w:rsidR="006034FB" w:rsidRDefault="006034FB">
      <w:pPr>
        <w:spacing w:after="0" w:line="240" w:lineRule="auto"/>
      </w:pPr>
      <w:r>
        <w:separator/>
      </w:r>
    </w:p>
  </w:endnote>
  <w:endnote w:type="continuationSeparator" w:id="0">
    <w:p w14:paraId="75C94852" w14:textId="77777777" w:rsidR="006034FB" w:rsidRDefault="0060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Yu Gothic Light">
    <w:panose1 w:val="020B0300000000000000"/>
    <w:charset w:val="80"/>
    <w:family w:val="auto"/>
    <w:pitch w:val="variable"/>
    <w:sig w:usb0="E00002FF" w:usb1="2AC7FDFF" w:usb2="00000016" w:usb3="00000000" w:csb0="0002009F" w:csb1="00000000"/>
  </w:font>
  <w:font w:name="Times">
    <w:panose1 w:val="02000500000000000000"/>
    <w:charset w:val="00"/>
    <w:family w:val="auto"/>
    <w:pitch w:val="variable"/>
    <w:sig w:usb0="00000003" w:usb1="00000000" w:usb2="00000000" w:usb3="00000000" w:csb0="00000001" w:csb1="00000000"/>
  </w:font>
  <w:font w:name="Yu Mincho">
    <w:panose1 w:val="02020400000000000000"/>
    <w:charset w:val="80"/>
    <w:family w:val="auto"/>
    <w:pitch w:val="variable"/>
    <w:sig w:usb0="800002E7" w:usb1="2AC7FCFF"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837E6" w14:textId="77777777" w:rsidR="00AF3411" w:rsidRDefault="00AF3411" w:rsidP="00596D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345310C" w14:textId="77777777" w:rsidR="00AF3411" w:rsidRDefault="00AF3411" w:rsidP="00596DF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A1F14" w14:textId="77777777" w:rsidR="00AF3411" w:rsidRDefault="00AF3411" w:rsidP="00596D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79E8">
      <w:rPr>
        <w:rStyle w:val="PageNumber"/>
        <w:noProof/>
      </w:rPr>
      <w:t>9</w:t>
    </w:r>
    <w:r>
      <w:rPr>
        <w:rStyle w:val="PageNumber"/>
      </w:rPr>
      <w:fldChar w:fldCharType="end"/>
    </w:r>
  </w:p>
  <w:p w14:paraId="79A74790" w14:textId="77777777" w:rsidR="00AF3411" w:rsidRDefault="00AF3411" w:rsidP="00596DF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CE979" w14:textId="77777777" w:rsidR="006034FB" w:rsidRDefault="006034FB">
      <w:pPr>
        <w:spacing w:after="0" w:line="240" w:lineRule="auto"/>
      </w:pPr>
      <w:r>
        <w:separator/>
      </w:r>
    </w:p>
  </w:footnote>
  <w:footnote w:type="continuationSeparator" w:id="0">
    <w:p w14:paraId="4F42BBB5" w14:textId="77777777" w:rsidR="006034FB" w:rsidRDefault="006034F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76070" w14:textId="77777777" w:rsidR="00AF3411" w:rsidRDefault="00AF3411" w:rsidP="002B159E">
    <w:pPr>
      <w:rPr>
        <w:rFonts w:ascii="Arial" w:hAnsi="Arial" w:cs="Arial"/>
        <w:sz w:val="24"/>
        <w:szCs w:val="24"/>
      </w:rPr>
    </w:pPr>
    <w:r w:rsidRPr="002B159E">
      <w:rPr>
        <w:rFonts w:ascii="Arial" w:hAnsi="Arial" w:cs="Arial"/>
        <w:sz w:val="24"/>
        <w:szCs w:val="24"/>
      </w:rPr>
      <w:t xml:space="preserve">S Jauhar </w:t>
    </w:r>
    <w:r w:rsidRPr="002B159E">
      <w:rPr>
        <w:rFonts w:ascii="Arial" w:hAnsi="Arial" w:cs="Arial"/>
        <w:i/>
        <w:sz w:val="24"/>
        <w:szCs w:val="24"/>
      </w:rPr>
      <w:t>et al</w:t>
    </w:r>
    <w:r>
      <w:rPr>
        <w:rFonts w:ascii="Arial" w:hAnsi="Arial" w:cs="Arial"/>
        <w:sz w:val="24"/>
        <w:szCs w:val="24"/>
      </w:rPr>
      <w:t>, 2017</w:t>
    </w:r>
  </w:p>
  <w:p w14:paraId="00AB5580" w14:textId="77777777" w:rsidR="00AF3411" w:rsidRDefault="00AF341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D47ED0"/>
    <w:multiLevelType w:val="hybridMultilevel"/>
    <w:tmpl w:val="4E56AB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CDB"/>
    <w:rsid w:val="0000260C"/>
    <w:rsid w:val="00013BF3"/>
    <w:rsid w:val="00014320"/>
    <w:rsid w:val="000772E7"/>
    <w:rsid w:val="0008344C"/>
    <w:rsid w:val="00085E7B"/>
    <w:rsid w:val="00087FF0"/>
    <w:rsid w:val="000A530D"/>
    <w:rsid w:val="000B3F58"/>
    <w:rsid w:val="000C2924"/>
    <w:rsid w:val="000C6156"/>
    <w:rsid w:val="000C6220"/>
    <w:rsid w:val="000F3D89"/>
    <w:rsid w:val="000F77C0"/>
    <w:rsid w:val="000F795B"/>
    <w:rsid w:val="00122A17"/>
    <w:rsid w:val="00125DC9"/>
    <w:rsid w:val="001279BD"/>
    <w:rsid w:val="001333A9"/>
    <w:rsid w:val="00137617"/>
    <w:rsid w:val="00141778"/>
    <w:rsid w:val="00151090"/>
    <w:rsid w:val="00166F9C"/>
    <w:rsid w:val="00172BE8"/>
    <w:rsid w:val="001828F7"/>
    <w:rsid w:val="0019069C"/>
    <w:rsid w:val="00194CE0"/>
    <w:rsid w:val="001975A5"/>
    <w:rsid w:val="001A0133"/>
    <w:rsid w:val="001A6EB4"/>
    <w:rsid w:val="001A733F"/>
    <w:rsid w:val="001B1E66"/>
    <w:rsid w:val="001B7F88"/>
    <w:rsid w:val="001D1302"/>
    <w:rsid w:val="001D4E9E"/>
    <w:rsid w:val="001F17D8"/>
    <w:rsid w:val="001F537B"/>
    <w:rsid w:val="00211016"/>
    <w:rsid w:val="00222067"/>
    <w:rsid w:val="002220AC"/>
    <w:rsid w:val="0022476B"/>
    <w:rsid w:val="002278C8"/>
    <w:rsid w:val="00231B88"/>
    <w:rsid w:val="00236ED0"/>
    <w:rsid w:val="00237F99"/>
    <w:rsid w:val="0024222C"/>
    <w:rsid w:val="00253E7A"/>
    <w:rsid w:val="002547EC"/>
    <w:rsid w:val="002600EE"/>
    <w:rsid w:val="00270FBB"/>
    <w:rsid w:val="00271D3C"/>
    <w:rsid w:val="00273BB3"/>
    <w:rsid w:val="002916FE"/>
    <w:rsid w:val="002A0CE6"/>
    <w:rsid w:val="002B159E"/>
    <w:rsid w:val="002B4749"/>
    <w:rsid w:val="002C3055"/>
    <w:rsid w:val="002D3892"/>
    <w:rsid w:val="002E4534"/>
    <w:rsid w:val="00306B87"/>
    <w:rsid w:val="003112B1"/>
    <w:rsid w:val="00311698"/>
    <w:rsid w:val="00344D8C"/>
    <w:rsid w:val="003508F4"/>
    <w:rsid w:val="00371468"/>
    <w:rsid w:val="00371F87"/>
    <w:rsid w:val="003931DF"/>
    <w:rsid w:val="00394745"/>
    <w:rsid w:val="003A461F"/>
    <w:rsid w:val="003A73AE"/>
    <w:rsid w:val="003D1819"/>
    <w:rsid w:val="003D4F12"/>
    <w:rsid w:val="003F2A12"/>
    <w:rsid w:val="004026FF"/>
    <w:rsid w:val="00414C04"/>
    <w:rsid w:val="004162F8"/>
    <w:rsid w:val="004351A9"/>
    <w:rsid w:val="004417B9"/>
    <w:rsid w:val="004429E4"/>
    <w:rsid w:val="004438C9"/>
    <w:rsid w:val="004528C9"/>
    <w:rsid w:val="00454B49"/>
    <w:rsid w:val="00461B06"/>
    <w:rsid w:val="004621A8"/>
    <w:rsid w:val="004622A0"/>
    <w:rsid w:val="00490ED0"/>
    <w:rsid w:val="0049292A"/>
    <w:rsid w:val="004A1F8E"/>
    <w:rsid w:val="004A277C"/>
    <w:rsid w:val="004A4733"/>
    <w:rsid w:val="004A4C2B"/>
    <w:rsid w:val="004A6CD5"/>
    <w:rsid w:val="004A6DCC"/>
    <w:rsid w:val="004B532F"/>
    <w:rsid w:val="004C455A"/>
    <w:rsid w:val="004D22EA"/>
    <w:rsid w:val="004D2597"/>
    <w:rsid w:val="004D3741"/>
    <w:rsid w:val="004E1A31"/>
    <w:rsid w:val="004F74BB"/>
    <w:rsid w:val="005047F9"/>
    <w:rsid w:val="00513DAE"/>
    <w:rsid w:val="00530BFE"/>
    <w:rsid w:val="00534ECB"/>
    <w:rsid w:val="00536630"/>
    <w:rsid w:val="00550B15"/>
    <w:rsid w:val="0055348D"/>
    <w:rsid w:val="005625F0"/>
    <w:rsid w:val="00571DDC"/>
    <w:rsid w:val="0057249D"/>
    <w:rsid w:val="0058027E"/>
    <w:rsid w:val="00586B7F"/>
    <w:rsid w:val="00592B86"/>
    <w:rsid w:val="005938B6"/>
    <w:rsid w:val="00596DFC"/>
    <w:rsid w:val="005A1E5A"/>
    <w:rsid w:val="005B0632"/>
    <w:rsid w:val="005B2DB3"/>
    <w:rsid w:val="005B6743"/>
    <w:rsid w:val="005D06E8"/>
    <w:rsid w:val="005E1DE5"/>
    <w:rsid w:val="005E2BD7"/>
    <w:rsid w:val="005F33C8"/>
    <w:rsid w:val="0060006B"/>
    <w:rsid w:val="006034FB"/>
    <w:rsid w:val="00606354"/>
    <w:rsid w:val="00617229"/>
    <w:rsid w:val="00623A07"/>
    <w:rsid w:val="006247CE"/>
    <w:rsid w:val="00635593"/>
    <w:rsid w:val="00637C84"/>
    <w:rsid w:val="00657D5C"/>
    <w:rsid w:val="00663580"/>
    <w:rsid w:val="006711F1"/>
    <w:rsid w:val="0067232D"/>
    <w:rsid w:val="00672697"/>
    <w:rsid w:val="00690BA0"/>
    <w:rsid w:val="00690E13"/>
    <w:rsid w:val="006A2773"/>
    <w:rsid w:val="006B416D"/>
    <w:rsid w:val="006C54F7"/>
    <w:rsid w:val="006F6A51"/>
    <w:rsid w:val="006F7025"/>
    <w:rsid w:val="00713FB8"/>
    <w:rsid w:val="00720EBE"/>
    <w:rsid w:val="00726D6C"/>
    <w:rsid w:val="00727B9B"/>
    <w:rsid w:val="00730A60"/>
    <w:rsid w:val="00742BE4"/>
    <w:rsid w:val="007640C8"/>
    <w:rsid w:val="00772624"/>
    <w:rsid w:val="00790664"/>
    <w:rsid w:val="00795F39"/>
    <w:rsid w:val="007A5149"/>
    <w:rsid w:val="007B5076"/>
    <w:rsid w:val="007C4E0E"/>
    <w:rsid w:val="007D507D"/>
    <w:rsid w:val="007E43A0"/>
    <w:rsid w:val="00800B37"/>
    <w:rsid w:val="00801B3F"/>
    <w:rsid w:val="008100E0"/>
    <w:rsid w:val="00822808"/>
    <w:rsid w:val="00830AD3"/>
    <w:rsid w:val="00832C99"/>
    <w:rsid w:val="00834186"/>
    <w:rsid w:val="008416EE"/>
    <w:rsid w:val="0086141F"/>
    <w:rsid w:val="008721FD"/>
    <w:rsid w:val="00893C79"/>
    <w:rsid w:val="008953B4"/>
    <w:rsid w:val="008A0C9C"/>
    <w:rsid w:val="008C0F8B"/>
    <w:rsid w:val="008C22B8"/>
    <w:rsid w:val="008C41F9"/>
    <w:rsid w:val="008C5A29"/>
    <w:rsid w:val="008C63A0"/>
    <w:rsid w:val="008D0EA4"/>
    <w:rsid w:val="008D51C7"/>
    <w:rsid w:val="008D6258"/>
    <w:rsid w:val="008E2B67"/>
    <w:rsid w:val="008E6C0D"/>
    <w:rsid w:val="008F13DD"/>
    <w:rsid w:val="008F2853"/>
    <w:rsid w:val="008F5EAE"/>
    <w:rsid w:val="00910008"/>
    <w:rsid w:val="009109B9"/>
    <w:rsid w:val="00913146"/>
    <w:rsid w:val="0091468B"/>
    <w:rsid w:val="009207E7"/>
    <w:rsid w:val="00926CB2"/>
    <w:rsid w:val="0093033B"/>
    <w:rsid w:val="00930E19"/>
    <w:rsid w:val="00936433"/>
    <w:rsid w:val="009421CB"/>
    <w:rsid w:val="009446A4"/>
    <w:rsid w:val="0094497C"/>
    <w:rsid w:val="00961E9F"/>
    <w:rsid w:val="00964889"/>
    <w:rsid w:val="0098202E"/>
    <w:rsid w:val="00982AAC"/>
    <w:rsid w:val="00984B1F"/>
    <w:rsid w:val="00987A0E"/>
    <w:rsid w:val="0099770B"/>
    <w:rsid w:val="009A7AF2"/>
    <w:rsid w:val="009B415C"/>
    <w:rsid w:val="009C0694"/>
    <w:rsid w:val="009C3DE3"/>
    <w:rsid w:val="009D0568"/>
    <w:rsid w:val="009D2690"/>
    <w:rsid w:val="009D2D68"/>
    <w:rsid w:val="009D430E"/>
    <w:rsid w:val="009D6611"/>
    <w:rsid w:val="009E0280"/>
    <w:rsid w:val="009E3E6B"/>
    <w:rsid w:val="009F069E"/>
    <w:rsid w:val="009F0EA1"/>
    <w:rsid w:val="00A04ADA"/>
    <w:rsid w:val="00A076C2"/>
    <w:rsid w:val="00A12F84"/>
    <w:rsid w:val="00A13736"/>
    <w:rsid w:val="00A13F35"/>
    <w:rsid w:val="00A2435B"/>
    <w:rsid w:val="00A24AA3"/>
    <w:rsid w:val="00A27A2E"/>
    <w:rsid w:val="00A33F14"/>
    <w:rsid w:val="00A419DF"/>
    <w:rsid w:val="00A42B8B"/>
    <w:rsid w:val="00A520D0"/>
    <w:rsid w:val="00A57281"/>
    <w:rsid w:val="00A61511"/>
    <w:rsid w:val="00A6533E"/>
    <w:rsid w:val="00A83558"/>
    <w:rsid w:val="00A85DDA"/>
    <w:rsid w:val="00A942A0"/>
    <w:rsid w:val="00AA6444"/>
    <w:rsid w:val="00AB54C4"/>
    <w:rsid w:val="00AB799D"/>
    <w:rsid w:val="00AC1221"/>
    <w:rsid w:val="00AC5B32"/>
    <w:rsid w:val="00AD39E4"/>
    <w:rsid w:val="00AD55C7"/>
    <w:rsid w:val="00AD7B5D"/>
    <w:rsid w:val="00AE02E4"/>
    <w:rsid w:val="00AE59CF"/>
    <w:rsid w:val="00AE6A08"/>
    <w:rsid w:val="00AF3411"/>
    <w:rsid w:val="00B03F30"/>
    <w:rsid w:val="00B13090"/>
    <w:rsid w:val="00B14E62"/>
    <w:rsid w:val="00B22CB7"/>
    <w:rsid w:val="00B24CDB"/>
    <w:rsid w:val="00B25878"/>
    <w:rsid w:val="00B26358"/>
    <w:rsid w:val="00B47CE6"/>
    <w:rsid w:val="00B50AFD"/>
    <w:rsid w:val="00B6441A"/>
    <w:rsid w:val="00B7498F"/>
    <w:rsid w:val="00B80801"/>
    <w:rsid w:val="00B81BE8"/>
    <w:rsid w:val="00B85DEC"/>
    <w:rsid w:val="00B8740A"/>
    <w:rsid w:val="00B95069"/>
    <w:rsid w:val="00BD185D"/>
    <w:rsid w:val="00BD6BF9"/>
    <w:rsid w:val="00BE21E3"/>
    <w:rsid w:val="00BE7A30"/>
    <w:rsid w:val="00C05D7E"/>
    <w:rsid w:val="00C27A71"/>
    <w:rsid w:val="00C30391"/>
    <w:rsid w:val="00C36E22"/>
    <w:rsid w:val="00C36F0D"/>
    <w:rsid w:val="00C41350"/>
    <w:rsid w:val="00C479B1"/>
    <w:rsid w:val="00C574F9"/>
    <w:rsid w:val="00C76886"/>
    <w:rsid w:val="00C81CF1"/>
    <w:rsid w:val="00C963D4"/>
    <w:rsid w:val="00C97B44"/>
    <w:rsid w:val="00CB04A6"/>
    <w:rsid w:val="00CB082D"/>
    <w:rsid w:val="00CB224B"/>
    <w:rsid w:val="00CB2809"/>
    <w:rsid w:val="00CB5430"/>
    <w:rsid w:val="00CB555F"/>
    <w:rsid w:val="00CC44A4"/>
    <w:rsid w:val="00CE18AF"/>
    <w:rsid w:val="00CE77C2"/>
    <w:rsid w:val="00CF0F6D"/>
    <w:rsid w:val="00CF26D0"/>
    <w:rsid w:val="00CF41F9"/>
    <w:rsid w:val="00CF672A"/>
    <w:rsid w:val="00D10FEB"/>
    <w:rsid w:val="00D3463D"/>
    <w:rsid w:val="00D353FD"/>
    <w:rsid w:val="00D37B65"/>
    <w:rsid w:val="00D46661"/>
    <w:rsid w:val="00D53668"/>
    <w:rsid w:val="00D737C9"/>
    <w:rsid w:val="00D74B92"/>
    <w:rsid w:val="00D824A1"/>
    <w:rsid w:val="00D875BF"/>
    <w:rsid w:val="00D96EA8"/>
    <w:rsid w:val="00DA064E"/>
    <w:rsid w:val="00DA460F"/>
    <w:rsid w:val="00DA483D"/>
    <w:rsid w:val="00DB7B8B"/>
    <w:rsid w:val="00DD08AD"/>
    <w:rsid w:val="00DE027A"/>
    <w:rsid w:val="00DE3B03"/>
    <w:rsid w:val="00E0761B"/>
    <w:rsid w:val="00E37533"/>
    <w:rsid w:val="00E42EBC"/>
    <w:rsid w:val="00E4656C"/>
    <w:rsid w:val="00E54528"/>
    <w:rsid w:val="00E548AE"/>
    <w:rsid w:val="00E54EAD"/>
    <w:rsid w:val="00E65340"/>
    <w:rsid w:val="00E72FAF"/>
    <w:rsid w:val="00E81C95"/>
    <w:rsid w:val="00E8288C"/>
    <w:rsid w:val="00E85228"/>
    <w:rsid w:val="00E876CA"/>
    <w:rsid w:val="00E91255"/>
    <w:rsid w:val="00EA2D69"/>
    <w:rsid w:val="00EA33C3"/>
    <w:rsid w:val="00EA702F"/>
    <w:rsid w:val="00EA79E8"/>
    <w:rsid w:val="00EB5BFA"/>
    <w:rsid w:val="00EB5C56"/>
    <w:rsid w:val="00ED3AC9"/>
    <w:rsid w:val="00ED669F"/>
    <w:rsid w:val="00EF43AB"/>
    <w:rsid w:val="00F05350"/>
    <w:rsid w:val="00F17BC9"/>
    <w:rsid w:val="00F202BB"/>
    <w:rsid w:val="00F25032"/>
    <w:rsid w:val="00F62F9F"/>
    <w:rsid w:val="00F661D1"/>
    <w:rsid w:val="00F7071B"/>
    <w:rsid w:val="00F75F02"/>
    <w:rsid w:val="00F779AE"/>
    <w:rsid w:val="00F81671"/>
    <w:rsid w:val="00F8237B"/>
    <w:rsid w:val="00F92353"/>
    <w:rsid w:val="00F92ACF"/>
    <w:rsid w:val="00FB2B79"/>
    <w:rsid w:val="00FB3C60"/>
    <w:rsid w:val="00FC1B1C"/>
    <w:rsid w:val="00FC77CC"/>
    <w:rsid w:val="00FD3D4A"/>
    <w:rsid w:val="00FD7AAD"/>
    <w:rsid w:val="00FF1881"/>
    <w:rsid w:val="00FF339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4091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24CDB"/>
    <w:pPr>
      <w:spacing w:after="200" w:line="252" w:lineRule="auto"/>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4CDB"/>
    <w:pPr>
      <w:spacing w:beforeLines="1" w:afterLines="1" w:after="0"/>
    </w:pPr>
    <w:rPr>
      <w:rFonts w:ascii="Times" w:hAnsi="Times"/>
      <w:sz w:val="20"/>
      <w:szCs w:val="20"/>
    </w:rPr>
  </w:style>
  <w:style w:type="character" w:styleId="CommentReference">
    <w:name w:val="annotation reference"/>
    <w:basedOn w:val="DefaultParagraphFont"/>
    <w:uiPriority w:val="99"/>
    <w:semiHidden/>
    <w:unhideWhenUsed/>
    <w:rsid w:val="00B24CDB"/>
    <w:rPr>
      <w:sz w:val="16"/>
      <w:szCs w:val="16"/>
    </w:rPr>
  </w:style>
  <w:style w:type="paragraph" w:styleId="CommentText">
    <w:name w:val="annotation text"/>
    <w:basedOn w:val="Normal"/>
    <w:link w:val="CommentTextChar"/>
    <w:uiPriority w:val="99"/>
    <w:unhideWhenUsed/>
    <w:rsid w:val="00B24CDB"/>
    <w:rPr>
      <w:sz w:val="20"/>
      <w:szCs w:val="20"/>
    </w:rPr>
  </w:style>
  <w:style w:type="character" w:customStyle="1" w:styleId="CommentTextChar">
    <w:name w:val="Comment Text Char"/>
    <w:basedOn w:val="DefaultParagraphFont"/>
    <w:link w:val="CommentText"/>
    <w:uiPriority w:val="99"/>
    <w:rsid w:val="00B24CDB"/>
    <w:rPr>
      <w:rFonts w:asciiTheme="majorHAnsi" w:eastAsiaTheme="majorEastAsia" w:hAnsiTheme="majorHAnsi" w:cstheme="majorBidi"/>
      <w:sz w:val="20"/>
      <w:szCs w:val="20"/>
    </w:rPr>
  </w:style>
  <w:style w:type="table" w:styleId="TableGrid">
    <w:name w:val="Table Grid"/>
    <w:basedOn w:val="TableNormal"/>
    <w:uiPriority w:val="59"/>
    <w:rsid w:val="00B24CDB"/>
    <w:pPr>
      <w:spacing w:after="240" w:line="480" w:lineRule="auto"/>
      <w:ind w:firstLine="360"/>
    </w:pPr>
    <w:rPr>
      <w:rFonts w:asciiTheme="majorHAnsi" w:eastAsiaTheme="minorEastAsia" w:hAnsiTheme="majorHAnsi" w:cstheme="maj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24CDB"/>
    <w:pPr>
      <w:tabs>
        <w:tab w:val="center" w:pos="4320"/>
        <w:tab w:val="right" w:pos="8640"/>
      </w:tabs>
      <w:spacing w:after="0"/>
    </w:pPr>
  </w:style>
  <w:style w:type="character" w:customStyle="1" w:styleId="FooterChar">
    <w:name w:val="Footer Char"/>
    <w:basedOn w:val="DefaultParagraphFont"/>
    <w:link w:val="Footer"/>
    <w:uiPriority w:val="99"/>
    <w:rsid w:val="00B24CDB"/>
    <w:rPr>
      <w:rFonts w:asciiTheme="majorHAnsi" w:eastAsiaTheme="majorEastAsia" w:hAnsiTheme="majorHAnsi" w:cstheme="majorBidi"/>
      <w:sz w:val="22"/>
      <w:szCs w:val="22"/>
    </w:rPr>
  </w:style>
  <w:style w:type="character" w:styleId="PageNumber">
    <w:name w:val="page number"/>
    <w:basedOn w:val="DefaultParagraphFont"/>
    <w:uiPriority w:val="99"/>
    <w:semiHidden/>
    <w:unhideWhenUsed/>
    <w:rsid w:val="00B24CDB"/>
  </w:style>
  <w:style w:type="character" w:styleId="Hyperlink">
    <w:name w:val="Hyperlink"/>
    <w:basedOn w:val="DefaultParagraphFont"/>
    <w:uiPriority w:val="99"/>
    <w:unhideWhenUsed/>
    <w:rsid w:val="00B24CDB"/>
    <w:rPr>
      <w:color w:val="0563C1" w:themeColor="hyperlink"/>
      <w:u w:val="single"/>
    </w:rPr>
  </w:style>
  <w:style w:type="table" w:customStyle="1" w:styleId="PlainTable21">
    <w:name w:val="Plain Table 21"/>
    <w:basedOn w:val="TableNormal"/>
    <w:uiPriority w:val="42"/>
    <w:rsid w:val="00B24CDB"/>
    <w:rPr>
      <w:rFonts w:asciiTheme="majorHAnsi" w:eastAsiaTheme="majorEastAsia" w:hAnsiTheme="majorHAnsi" w:cstheme="maj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B24CDB"/>
    <w:rPr>
      <w:rFonts w:asciiTheme="majorHAnsi" w:eastAsiaTheme="majorEastAsia" w:hAnsiTheme="majorHAnsi" w:cstheme="maj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4CD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24CDB"/>
    <w:rPr>
      <w:rFonts w:ascii="Times New Roman" w:eastAsiaTheme="majorEastAsia"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DB7B8B"/>
    <w:pPr>
      <w:spacing w:line="240" w:lineRule="auto"/>
    </w:pPr>
    <w:rPr>
      <w:b/>
      <w:bCs/>
    </w:rPr>
  </w:style>
  <w:style w:type="character" w:customStyle="1" w:styleId="CommentSubjectChar">
    <w:name w:val="Comment Subject Char"/>
    <w:basedOn w:val="CommentTextChar"/>
    <w:link w:val="CommentSubject"/>
    <w:uiPriority w:val="99"/>
    <w:semiHidden/>
    <w:rsid w:val="00DB7B8B"/>
    <w:rPr>
      <w:rFonts w:asciiTheme="majorHAnsi" w:eastAsiaTheme="majorEastAsia" w:hAnsiTheme="majorHAnsi" w:cstheme="majorBidi"/>
      <w:b/>
      <w:bCs/>
      <w:sz w:val="20"/>
      <w:szCs w:val="20"/>
    </w:rPr>
  </w:style>
  <w:style w:type="paragraph" w:styleId="Header">
    <w:name w:val="header"/>
    <w:basedOn w:val="Normal"/>
    <w:link w:val="HeaderChar"/>
    <w:uiPriority w:val="99"/>
    <w:unhideWhenUsed/>
    <w:rsid w:val="002B1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59E"/>
    <w:rPr>
      <w:rFonts w:asciiTheme="majorHAnsi" w:eastAsiaTheme="majorEastAsia" w:hAnsiTheme="majorHAnsi" w:cstheme="majorBidi"/>
      <w:sz w:val="22"/>
      <w:szCs w:val="22"/>
    </w:rPr>
  </w:style>
  <w:style w:type="paragraph" w:styleId="Bibliography">
    <w:name w:val="Bibliography"/>
    <w:basedOn w:val="Normal"/>
    <w:next w:val="Normal"/>
    <w:uiPriority w:val="37"/>
    <w:unhideWhenUsed/>
    <w:rsid w:val="004A6DCC"/>
    <w:pPr>
      <w:tabs>
        <w:tab w:val="left" w:pos="260"/>
        <w:tab w:val="left" w:pos="380"/>
      </w:tabs>
      <w:spacing w:after="240" w:line="240" w:lineRule="auto"/>
      <w:ind w:left="264" w:hanging="264"/>
    </w:pPr>
  </w:style>
  <w:style w:type="paragraph" w:styleId="NoSpacing">
    <w:name w:val="No Spacing"/>
    <w:uiPriority w:val="1"/>
    <w:qFormat/>
    <w:rsid w:val="00AB799D"/>
    <w:pPr>
      <w:spacing w:after="240" w:line="480" w:lineRule="auto"/>
      <w:ind w:firstLine="360"/>
    </w:pPr>
    <w:rPr>
      <w:rFonts w:asciiTheme="majorHAnsi" w:eastAsiaTheme="majorEastAsia" w:hAnsiTheme="majorHAnsi" w:cstheme="majorBidi"/>
      <w:sz w:val="22"/>
      <w:szCs w:val="22"/>
      <w:lang w:val="en-GB"/>
    </w:rPr>
  </w:style>
  <w:style w:type="paragraph" w:customStyle="1" w:styleId="Body">
    <w:name w:val="Body"/>
    <w:rsid w:val="009D2690"/>
    <w:pPr>
      <w:pBdr>
        <w:top w:val="nil"/>
        <w:left w:val="nil"/>
        <w:bottom w:val="nil"/>
        <w:right w:val="nil"/>
        <w:between w:val="nil"/>
        <w:bar w:val="nil"/>
      </w:pBdr>
    </w:pPr>
    <w:rPr>
      <w:rFonts w:ascii="Calibri" w:eastAsia="Calibri" w:hAnsi="Calibri" w:cs="Calibri"/>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714760">
      <w:bodyDiv w:val="1"/>
      <w:marLeft w:val="0"/>
      <w:marRight w:val="0"/>
      <w:marTop w:val="0"/>
      <w:marBottom w:val="0"/>
      <w:divBdr>
        <w:top w:val="none" w:sz="0" w:space="0" w:color="auto"/>
        <w:left w:val="none" w:sz="0" w:space="0" w:color="auto"/>
        <w:bottom w:val="none" w:sz="0" w:space="0" w:color="auto"/>
        <w:right w:val="none" w:sz="0" w:space="0" w:color="auto"/>
      </w:divBdr>
    </w:div>
    <w:div w:id="15450208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11DAB5-C78B-2F47-85D5-F26130B4A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6494</Words>
  <Characters>41437</Characters>
  <Application>Microsoft Macintosh Word</Application>
  <DocSecurity>0</DocSecurity>
  <Lines>726</Lines>
  <Paragraphs>195</Paragraphs>
  <ScaleCrop>false</ScaleCrop>
  <HeadingPairs>
    <vt:vector size="2" baseType="variant">
      <vt:variant>
        <vt:lpstr>Title</vt:lpstr>
      </vt:variant>
      <vt:variant>
        <vt:i4>1</vt:i4>
      </vt:variant>
    </vt:vector>
  </HeadingPairs>
  <TitlesOfParts>
    <vt:vector size="1" baseType="lpstr">
      <vt:lpstr/>
    </vt:vector>
  </TitlesOfParts>
  <Company>IoP King's College</Company>
  <LinksUpToDate>false</LinksUpToDate>
  <CharactersWithSpaces>47736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Sameer Jauhar</dc:creator>
  <cp:lastModifiedBy>Jauhar, Sameer</cp:lastModifiedBy>
  <cp:revision>3</cp:revision>
  <cp:lastPrinted>2017-08-26T18:38:00Z</cp:lastPrinted>
  <dcterms:created xsi:type="dcterms:W3CDTF">2017-12-06T16:23:00Z</dcterms:created>
  <dcterms:modified xsi:type="dcterms:W3CDTF">2017-12-06T17:05:00Z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id="NDSvRays"/&gt;&lt;style id="http://www.zotero.org/styles/molecular-psychiatry" hasBibliography="1" bibliographyStyleHasBeenSet="1"/&gt;&lt;prefs&gt;&lt;pref name="fieldType" value="Field"/&gt;&lt;pref name="storeRefe</vt:lpwstr>
  </property>
  <property fmtid="{D5CDD505-2E9C-101B-9397-08002B2CF9AE}" pid="3" name="ZOTERO_PREF_2">
    <vt:lpwstr>rences" value="true"/&gt;&lt;pref name="automaticJournalAbbreviations" value=""/&gt;&lt;pref name="noteType" value=""/&gt;&lt;/prefs&gt;&lt;/data&gt;</vt:lpwstr>
  </property>
</Properties>
</file>