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17AC" w:rsidRDefault="005817AC" w:rsidP="005817AC">
      <w:pPr>
        <w:pStyle w:val="HTMLPreformatted"/>
        <w:spacing w:line="360" w:lineRule="auto"/>
        <w:ind w:right="1"/>
        <w:jc w:val="both"/>
        <w:rPr>
          <w:rFonts w:ascii="Times New Roman" w:hAnsi="Times New Roman" w:cs="Times New Roman"/>
          <w:b/>
          <w:sz w:val="22"/>
          <w:szCs w:val="22"/>
        </w:rPr>
      </w:pPr>
      <w:r w:rsidRPr="00041FD0">
        <w:rPr>
          <w:rFonts w:ascii="Times New Roman" w:hAnsi="Times New Roman" w:cs="Times New Roman"/>
          <w:b/>
          <w:sz w:val="22"/>
          <w:szCs w:val="22"/>
        </w:rPr>
        <w:t xml:space="preserve">Supplementary </w:t>
      </w:r>
      <w:r>
        <w:rPr>
          <w:rFonts w:ascii="Times New Roman" w:hAnsi="Times New Roman" w:cs="Times New Roman"/>
          <w:b/>
          <w:sz w:val="22"/>
          <w:szCs w:val="22"/>
        </w:rPr>
        <w:t>Methods</w:t>
      </w:r>
    </w:p>
    <w:p w:rsidR="005817AC" w:rsidRPr="00041FD0" w:rsidRDefault="005817AC" w:rsidP="005817AC">
      <w:pPr>
        <w:pStyle w:val="HTMLPreformatted"/>
        <w:spacing w:line="360" w:lineRule="auto"/>
        <w:ind w:right="1"/>
        <w:jc w:val="both"/>
        <w:rPr>
          <w:rFonts w:ascii="Times New Roman" w:hAnsi="Times New Roman" w:cs="Times New Roman"/>
          <w:sz w:val="22"/>
          <w:szCs w:val="22"/>
        </w:rPr>
      </w:pPr>
    </w:p>
    <w:p w:rsidR="005817AC" w:rsidRPr="00041FD0" w:rsidRDefault="005817AC" w:rsidP="005817AC">
      <w:pPr>
        <w:spacing w:line="360" w:lineRule="auto"/>
        <w:jc w:val="both"/>
        <w:rPr>
          <w:b/>
          <w:sz w:val="22"/>
          <w:szCs w:val="22"/>
        </w:rPr>
      </w:pPr>
      <w:r w:rsidRPr="00041FD0">
        <w:rPr>
          <w:b/>
          <w:sz w:val="22"/>
          <w:szCs w:val="22"/>
        </w:rPr>
        <w:t xml:space="preserve">Human </w:t>
      </w:r>
      <w:r>
        <w:rPr>
          <w:b/>
          <w:sz w:val="22"/>
          <w:szCs w:val="22"/>
        </w:rPr>
        <w:t>sporadic LO</w:t>
      </w:r>
      <w:r w:rsidRPr="00041FD0">
        <w:rPr>
          <w:b/>
          <w:sz w:val="22"/>
          <w:szCs w:val="22"/>
        </w:rPr>
        <w:t>AD postmortem brain gene expression network analysis</w:t>
      </w:r>
    </w:p>
    <w:p w:rsidR="005817AC" w:rsidRPr="00041FD0" w:rsidRDefault="005817AC" w:rsidP="00711E05">
      <w:pPr>
        <w:spacing w:line="360" w:lineRule="auto"/>
        <w:ind w:firstLine="720"/>
        <w:jc w:val="both"/>
        <w:rPr>
          <w:sz w:val="22"/>
          <w:szCs w:val="22"/>
        </w:rPr>
      </w:pPr>
      <w:r w:rsidRPr="00041FD0">
        <w:rPr>
          <w:sz w:val="22"/>
          <w:szCs w:val="22"/>
        </w:rPr>
        <w:t xml:space="preserve">We obtained human postmortem brain gene expression data </w:t>
      </w:r>
      <w:r>
        <w:rPr>
          <w:sz w:val="22"/>
          <w:szCs w:val="22"/>
        </w:rPr>
        <w:t>from</w:t>
      </w:r>
      <w:r w:rsidRPr="00041FD0">
        <w:rPr>
          <w:sz w:val="22"/>
          <w:szCs w:val="22"/>
        </w:rPr>
        <w:t xml:space="preserve"> two independent </w:t>
      </w:r>
      <w:r>
        <w:rPr>
          <w:sz w:val="22"/>
          <w:szCs w:val="22"/>
        </w:rPr>
        <w:t>LO</w:t>
      </w:r>
      <w:r w:rsidRPr="00041FD0">
        <w:rPr>
          <w:sz w:val="22"/>
          <w:szCs w:val="22"/>
        </w:rPr>
        <w:t>AD cohorts (MSBB</w:t>
      </w:r>
      <w:r w:rsidRPr="00D40805">
        <w:rPr>
          <w:rFonts w:eastAsia="Times New Roman"/>
          <w:sz w:val="22"/>
          <w:vertAlign w:val="superscript"/>
        </w:rPr>
        <w:t>5,8</w:t>
      </w:r>
      <w:r w:rsidRPr="00041FD0">
        <w:rPr>
          <w:sz w:val="22"/>
          <w:szCs w:val="22"/>
        </w:rPr>
        <w:t xml:space="preserve"> and ROSMAP</w:t>
      </w:r>
      <w:r w:rsidRPr="00041FD0">
        <w:rPr>
          <w:rFonts w:eastAsia="Times New Roman"/>
          <w:sz w:val="22"/>
          <w:vertAlign w:val="superscript"/>
        </w:rPr>
        <w:t>44,45</w:t>
      </w:r>
      <w:r w:rsidRPr="00041FD0">
        <w:rPr>
          <w:sz w:val="22"/>
          <w:szCs w:val="22"/>
        </w:rPr>
        <w:t>) from the AMP-AD Knowledge Portal (https://www.synapse.org/#!Synapse:syn2580853). There are 4 brain regions profiled in the MSBB cohort and 1 brain region in the ROSMAP cohort. In each cohort, genes expressed in at least 10% of the samples were selected and then the normalized data w</w:t>
      </w:r>
      <w:r>
        <w:rPr>
          <w:sz w:val="22"/>
          <w:szCs w:val="22"/>
        </w:rPr>
        <w:t>ere</w:t>
      </w:r>
      <w:r w:rsidRPr="00041FD0">
        <w:rPr>
          <w:sz w:val="22"/>
          <w:szCs w:val="22"/>
        </w:rPr>
        <w:t xml:space="preserve"> corrected for confounding factors including batch, PMI, sex, and RIN score, by using a linear regression. After data preprocessing, gene co-expression network was first constructed for each brain region by using R package WINA</w:t>
      </w:r>
      <w:r w:rsidRPr="00D40805">
        <w:rPr>
          <w:rFonts w:eastAsia="Times New Roman"/>
          <w:sz w:val="22"/>
          <w:vertAlign w:val="superscript"/>
        </w:rPr>
        <w:t>5</w:t>
      </w:r>
      <w:r w:rsidRPr="00041FD0">
        <w:rPr>
          <w:sz w:val="22"/>
          <w:szCs w:val="22"/>
        </w:rPr>
        <w:t>, which implements a computationally optimized procedure for weighted gene co</w:t>
      </w:r>
      <w:r>
        <w:rPr>
          <w:sz w:val="22"/>
          <w:szCs w:val="22"/>
        </w:rPr>
        <w:t>-</w:t>
      </w:r>
      <w:r w:rsidRPr="00041FD0">
        <w:rPr>
          <w:sz w:val="22"/>
          <w:szCs w:val="22"/>
        </w:rPr>
        <w:t>expression network analysis</w:t>
      </w:r>
      <w:r w:rsidRPr="00D40805">
        <w:rPr>
          <w:rFonts w:eastAsia="Times New Roman"/>
          <w:sz w:val="22"/>
          <w:vertAlign w:val="superscript"/>
        </w:rPr>
        <w:t>8</w:t>
      </w:r>
      <w:r w:rsidRPr="00041FD0">
        <w:rPr>
          <w:sz w:val="22"/>
          <w:szCs w:val="22"/>
        </w:rPr>
        <w:t xml:space="preserve">. In WINA analysis, we used power </w:t>
      </w:r>
      <w:r w:rsidRPr="00041FD0">
        <w:rPr>
          <w:i/>
          <w:sz w:val="22"/>
          <w:szCs w:val="22"/>
        </w:rPr>
        <w:t>β</w:t>
      </w:r>
      <w:r w:rsidRPr="00041FD0">
        <w:rPr>
          <w:sz w:val="22"/>
          <w:szCs w:val="22"/>
        </w:rPr>
        <w:t xml:space="preserve"> = 6 with other parameters set by default. Modules (i.e.</w:t>
      </w:r>
      <w:r>
        <w:rPr>
          <w:sz w:val="22"/>
          <w:szCs w:val="22"/>
        </w:rPr>
        <w:t>,</w:t>
      </w:r>
      <w:r w:rsidRPr="00041FD0">
        <w:rPr>
          <w:sz w:val="22"/>
          <w:szCs w:val="22"/>
        </w:rPr>
        <w:t xml:space="preserve"> clusters of gene</w:t>
      </w:r>
      <w:r>
        <w:rPr>
          <w:sz w:val="22"/>
          <w:szCs w:val="22"/>
        </w:rPr>
        <w:t>s</w:t>
      </w:r>
      <w:r w:rsidRPr="00041FD0">
        <w:rPr>
          <w:sz w:val="22"/>
          <w:szCs w:val="22"/>
        </w:rPr>
        <w:t xml:space="preserve"> showing highly correlated expression profiles across samples) were named by arbitrary colors and annotated by the most </w:t>
      </w:r>
      <w:r>
        <w:rPr>
          <w:sz w:val="22"/>
          <w:szCs w:val="22"/>
        </w:rPr>
        <w:t xml:space="preserve">highly </w:t>
      </w:r>
      <w:r w:rsidRPr="00041FD0">
        <w:rPr>
          <w:sz w:val="22"/>
          <w:szCs w:val="22"/>
        </w:rPr>
        <w:t>enriched gene ontology/canonical pathway term. The modules were rank</w:t>
      </w:r>
      <w:r>
        <w:rPr>
          <w:sz w:val="22"/>
          <w:szCs w:val="22"/>
        </w:rPr>
        <w:t>-</w:t>
      </w:r>
      <w:r w:rsidRPr="00041FD0">
        <w:rPr>
          <w:sz w:val="22"/>
          <w:szCs w:val="22"/>
        </w:rPr>
        <w:t>sorted in relation to AD pathology by multiple features following an ensemble sorting metric</w:t>
      </w:r>
      <w:r w:rsidRPr="00D40805">
        <w:rPr>
          <w:rFonts w:eastAsia="Times New Roman"/>
          <w:sz w:val="22"/>
          <w:vertAlign w:val="superscript"/>
        </w:rPr>
        <w:t>5</w:t>
      </w:r>
      <w:r w:rsidRPr="00041FD0">
        <w:rPr>
          <w:sz w:val="22"/>
          <w:szCs w:val="22"/>
        </w:rPr>
        <w:t xml:space="preserve">, including module-trait correlations and enrichment for AD related disease gene signatures including differentially expressed genes (DEGs) and trait-correlated genes regarding all available neuropathological/clinical traits </w:t>
      </w:r>
      <w:r>
        <w:rPr>
          <w:sz w:val="22"/>
          <w:szCs w:val="22"/>
        </w:rPr>
        <w:t>including</w:t>
      </w:r>
      <w:r w:rsidRPr="00041FD0">
        <w:rPr>
          <w:sz w:val="22"/>
          <w:szCs w:val="22"/>
        </w:rPr>
        <w:t xml:space="preserve"> </w:t>
      </w:r>
      <w:proofErr w:type="spellStart"/>
      <w:r w:rsidRPr="00041FD0">
        <w:rPr>
          <w:sz w:val="22"/>
          <w:szCs w:val="22"/>
        </w:rPr>
        <w:t>Braak</w:t>
      </w:r>
      <w:proofErr w:type="spellEnd"/>
      <w:r w:rsidRPr="00041FD0">
        <w:rPr>
          <w:sz w:val="22"/>
          <w:szCs w:val="22"/>
        </w:rPr>
        <w:t xml:space="preserve"> staging, cognitive score, CERAD neuropathological category, and plaque density.</w:t>
      </w:r>
    </w:p>
    <w:p w:rsidR="005817AC" w:rsidRDefault="005817AC" w:rsidP="005817AC">
      <w:pPr>
        <w:spacing w:line="360" w:lineRule="auto"/>
        <w:ind w:firstLine="720"/>
        <w:jc w:val="both"/>
        <w:rPr>
          <w:sz w:val="22"/>
          <w:szCs w:val="22"/>
        </w:rPr>
      </w:pPr>
      <w:r>
        <w:rPr>
          <w:sz w:val="22"/>
          <w:szCs w:val="22"/>
        </w:rPr>
        <w:t xml:space="preserve">A </w:t>
      </w:r>
      <w:r w:rsidRPr="00041FD0">
        <w:rPr>
          <w:sz w:val="22"/>
          <w:szCs w:val="22"/>
        </w:rPr>
        <w:t xml:space="preserve">Bayesian causal network was constructed </w:t>
      </w:r>
      <w:r>
        <w:rPr>
          <w:sz w:val="22"/>
          <w:szCs w:val="22"/>
        </w:rPr>
        <w:t xml:space="preserve">separately for each brain region </w:t>
      </w:r>
      <w:r w:rsidRPr="00041FD0">
        <w:rPr>
          <w:sz w:val="22"/>
          <w:szCs w:val="22"/>
        </w:rPr>
        <w:t>from genome-wide gene expression data. To assist with the inference of causal relations between genes, genotype</w:t>
      </w:r>
      <w:r>
        <w:rPr>
          <w:sz w:val="22"/>
          <w:szCs w:val="22"/>
        </w:rPr>
        <w:t>s</w:t>
      </w:r>
      <w:r w:rsidRPr="00041FD0">
        <w:rPr>
          <w:sz w:val="22"/>
          <w:szCs w:val="22"/>
        </w:rPr>
        <w:t xml:space="preserve"> from whole-exome sequencing (WES) w</w:t>
      </w:r>
      <w:r>
        <w:rPr>
          <w:sz w:val="22"/>
          <w:szCs w:val="22"/>
        </w:rPr>
        <w:t>ere</w:t>
      </w:r>
      <w:r w:rsidRPr="00041FD0">
        <w:rPr>
          <w:sz w:val="22"/>
          <w:szCs w:val="22"/>
        </w:rPr>
        <w:t xml:space="preserve"> used to compute the prior probability of causal links for the MSBB data. For the ROSMAP data, genome-wide SNP genotype and DNA methylation were also used to infer the prior probability of causal links. Briefly, we first computed expression quantitative trait loci (</w:t>
      </w:r>
      <w:proofErr w:type="spellStart"/>
      <w:r w:rsidRPr="00041FD0">
        <w:rPr>
          <w:sz w:val="22"/>
          <w:szCs w:val="22"/>
        </w:rPr>
        <w:t>eQTLs</w:t>
      </w:r>
      <w:proofErr w:type="spellEnd"/>
      <w:r w:rsidRPr="00041FD0">
        <w:rPr>
          <w:sz w:val="22"/>
          <w:szCs w:val="22"/>
        </w:rPr>
        <w:t xml:space="preserve">) based on associations between gene expression and SNP or WES genotype data by using R package </w:t>
      </w:r>
      <w:proofErr w:type="spellStart"/>
      <w:r w:rsidRPr="00041FD0">
        <w:rPr>
          <w:sz w:val="22"/>
          <w:szCs w:val="22"/>
        </w:rPr>
        <w:t>MatrixEQTL</w:t>
      </w:r>
      <w:proofErr w:type="spellEnd"/>
      <w:r w:rsidRPr="00041FD0">
        <w:rPr>
          <w:sz w:val="22"/>
          <w:szCs w:val="22"/>
        </w:rPr>
        <w:t xml:space="preserve"> and then employed a formal statistical causal inference test (CIT)</w:t>
      </w:r>
      <w:r>
        <w:rPr>
          <w:sz w:val="22"/>
          <w:szCs w:val="22"/>
        </w:rPr>
        <w:fldChar w:fldCharType="begin"/>
      </w:r>
      <w:r>
        <w:rPr>
          <w:sz w:val="22"/>
          <w:szCs w:val="22"/>
        </w:rPr>
        <w:instrText xml:space="preserve"> ADDIN ZOTERO_ITEM CSL_CITATION {"citationID":"Ml8piGHF","properties":{"formattedCitation":"\\super 61\\nosupersub{}","plainCitation":"61","noteIndex":0},"citationItems":[{"id":4665,"uris":["http://zotero.org/users/1184628/items/W9EBKR4M"],"uri":["http://zotero.org/users/1184628/items/W9EBKR4M"],"itemData":{"id":4665,"type":"article-journal","title":"Disentangling molecular relationships with a causal inference test","container-title":"BMC genetics","page":"23","volume":"10","source":"PubMed","abstract":"BACKGROUND: There has been intense effort over the past couple of decades to identify loci underlying quantitative traits as a key step in the process of elucidating the etiology of complex diseases. Recently there has been some effort to coalesce non-biased high-throughput data, e.g. high density genotyping and genome wide RNA expression, to drive understanding of the molecular basis of disease. However, a stumbling block has been the difficult question of how to leverage this information to identify molecular mechanisms that explain quantitative trait loci (QTL). We have developed a formal statistical hypothesis test, resulting in a p-value, to quantify uncertainty in a causal inference pertaining to a measured factor, e.g. a molecular species, which potentially mediates a known causal association between a locus and a quantitative trait.\nRESULTS: We treat the causal inference as a 'chain' of mathematical conditions that must be satisfied to conclude that the potential mediator is causal for the trait, where the inference is only as good as the weakest link in the chain. P-values are computed for the component conditions, which include tests of linkage and conditional independence. The Intersection-Union Test, in which a series of statistical tests are combined to form an omnibus test, is then employed to generate the overall test result. Using computer simulated mouse crosses, we show that type I error is low under a variety of conditions that include hidden variables and reactive pathways. We show that power under a simple causal model is comparable to other model selection techniques as well as Bayesian network reconstruction methods. We further show empirically that this method compares favorably to Bayesian network reconstruction methods for reconstructing transcriptional regulatory networks in yeast, recovering 7 out of 8 experimentally validated regulators.\nCONCLUSION: Here we propose a novel statistical framework in which existing notions of causal mediation are formalized into a hypothesis test, thus providing a standard quantitative measure of uncertainty in the form of a p-value. The method is theoretically and computationally accessible and with the provided software may prove a useful tool in disentangling molecular relationships.","DOI":"10.1186/1471-2156-10-23","ISSN":"1471-2156","note":"PMID: 19473544\nPMCID: PMC3224661","journalAbbreviation":"BMC Genet.","language":"eng","author":[{"family":"Millstein","given":"Joshua"},{"family":"Zhang","given":"Bin"},{"family":"Zhu","given":"Jun"},{"family":"Schadt","given":"Eric E."}],"issued":{"date-parts":[["2009",5,27]]}}}],"schema":"https://github.com/citation-style-language/schema/raw/master/csl-citation.json"} </w:instrText>
      </w:r>
      <w:r>
        <w:rPr>
          <w:sz w:val="22"/>
          <w:szCs w:val="22"/>
        </w:rPr>
        <w:fldChar w:fldCharType="separate"/>
      </w:r>
      <w:r w:rsidRPr="003E450B">
        <w:rPr>
          <w:sz w:val="22"/>
          <w:vertAlign w:val="superscript"/>
        </w:rPr>
        <w:t>61</w:t>
      </w:r>
      <w:r>
        <w:rPr>
          <w:sz w:val="22"/>
          <w:szCs w:val="22"/>
        </w:rPr>
        <w:fldChar w:fldCharType="end"/>
      </w:r>
      <w:r w:rsidRPr="00041FD0">
        <w:rPr>
          <w:rFonts w:eastAsia="Times New Roman"/>
          <w:sz w:val="22"/>
          <w:szCs w:val="22"/>
        </w:rPr>
        <w:t xml:space="preserve"> </w:t>
      </w:r>
      <w:r w:rsidRPr="00041FD0">
        <w:rPr>
          <w:sz w:val="22"/>
          <w:szCs w:val="22"/>
        </w:rPr>
        <w:t xml:space="preserve">to infer the causal probability between gene pairs associated with the same </w:t>
      </w:r>
      <w:proofErr w:type="spellStart"/>
      <w:r w:rsidRPr="00041FD0">
        <w:rPr>
          <w:sz w:val="22"/>
          <w:szCs w:val="22"/>
        </w:rPr>
        <w:t>eQTL</w:t>
      </w:r>
      <w:proofErr w:type="spellEnd"/>
      <w:r w:rsidRPr="00041FD0">
        <w:rPr>
          <w:sz w:val="22"/>
          <w:szCs w:val="22"/>
        </w:rPr>
        <w:t>. With a similar strategy, we also computed methylation QTLs (</w:t>
      </w:r>
      <w:proofErr w:type="spellStart"/>
      <w:r w:rsidRPr="00041FD0">
        <w:rPr>
          <w:sz w:val="22"/>
          <w:szCs w:val="22"/>
        </w:rPr>
        <w:t>mQTLs</w:t>
      </w:r>
      <w:proofErr w:type="spellEnd"/>
      <w:r w:rsidRPr="00041FD0">
        <w:rPr>
          <w:sz w:val="22"/>
          <w:szCs w:val="22"/>
        </w:rPr>
        <w:t xml:space="preserve">) and inferred causal probability of gene pairs mediated by DNA methylation for the ROSMAP data. The causal relationships inferred from </w:t>
      </w:r>
      <w:proofErr w:type="spellStart"/>
      <w:r w:rsidRPr="00041FD0">
        <w:rPr>
          <w:sz w:val="22"/>
          <w:szCs w:val="22"/>
        </w:rPr>
        <w:t>eQTLs</w:t>
      </w:r>
      <w:proofErr w:type="spellEnd"/>
      <w:r w:rsidRPr="00041FD0">
        <w:rPr>
          <w:sz w:val="22"/>
          <w:szCs w:val="22"/>
        </w:rPr>
        <w:t xml:space="preserve"> and </w:t>
      </w:r>
      <w:proofErr w:type="spellStart"/>
      <w:r w:rsidRPr="00041FD0">
        <w:rPr>
          <w:sz w:val="22"/>
          <w:szCs w:val="22"/>
        </w:rPr>
        <w:t>mQTLs</w:t>
      </w:r>
      <w:proofErr w:type="spellEnd"/>
      <w:r w:rsidRPr="00041FD0">
        <w:rPr>
          <w:sz w:val="22"/>
          <w:szCs w:val="22"/>
        </w:rPr>
        <w:t xml:space="preserve"> were combined with known transcription factor (TF)-target relationships obtained from ENCODE, and together they were subsequently used as priors for building a causal network through a Monte Carlo Markov Chain (MCMC) simulation based procedure</w:t>
      </w:r>
      <w:r>
        <w:rPr>
          <w:sz w:val="22"/>
          <w:szCs w:val="22"/>
        </w:rPr>
        <w:fldChar w:fldCharType="begin"/>
      </w:r>
      <w:r>
        <w:rPr>
          <w:sz w:val="22"/>
          <w:szCs w:val="22"/>
        </w:rPr>
        <w:instrText xml:space="preserve"> ADDIN ZOTERO_ITEM CSL_CITATION {"citationID":"6naOk3FX","properties":{"formattedCitation":"\\super 61\\nosupersub{}","plainCitation":"61","noteIndex":0},"citationItems":[{"id":4665,"uris":["http://zotero.org/users/1184628/items/W9EBKR4M"],"uri":["http://zotero.org/users/1184628/items/W9EBKR4M"],"itemData":{"id":4665,"type":"article-journal","title":"Disentangling molecular relationships with a causal inference test","container-title":"BMC genetics","page":"23","volume":"10","source":"PubMed","abstract":"BACKGROUND: There has been intense effort over the past couple of decades to identify loci underlying quantitative traits as a key step in the process of elucidating the etiology of complex diseases. Recently there has been some effort to coalesce non-biased high-throughput data, e.g. high density genotyping and genome wide RNA expression, to drive understanding of the molecular basis of disease. However, a stumbling block has been the difficult question of how to leverage this information to identify molecular mechanisms that explain quantitative trait loci (QTL). We have developed a formal statistical hypothesis test, resulting in a p-value, to quantify uncertainty in a causal inference pertaining to a measured factor, e.g. a molecular species, which potentially mediates a known causal association between a locus and a quantitative trait.\nRESULTS: We treat the causal inference as a 'chain' of mathematical conditions that must be satisfied to conclude that the potential mediator is causal for the trait, where the inference is only as good as the weakest link in the chain. P-values are computed for the component conditions, which include tests of linkage and conditional independence. The Intersection-Union Test, in which a series of statistical tests are combined to form an omnibus test, is then employed to generate the overall test result. Using computer simulated mouse crosses, we show that type I error is low under a variety of conditions that include hidden variables and reactive pathways. We show that power under a simple causal model is comparable to other model selection techniques as well as Bayesian network reconstruction methods. We further show empirically that this method compares favorably to Bayesian network reconstruction methods for reconstructing transcriptional regulatory networks in yeast, recovering 7 out of 8 experimentally validated regulators.\nCONCLUSION: Here we propose a novel statistical framework in which existing notions of causal mediation are formalized into a hypothesis test, thus providing a standard quantitative measure of uncertainty in the form of a p-value. The method is theoretically and computationally accessible and with the provided software may prove a useful tool in disentangling molecular relationships.","DOI":"10.1186/1471-2156-10-23","ISSN":"1471-2156","note":"PMID: 19473544\nPMCID: PMC3224661","journalAbbreviation":"BMC Genet.","language":"eng","author":[{"family":"Millstein","given":"Joshua"},{"family":"Zhang","given":"Bin"},{"family":"Zhu","given":"Jun"},{"family":"Schadt","given":"Eric E."}],"issued":{"date-parts":[["2009",5,27]]}}}],"schema":"https://github.com/citation-style-language/schema/raw/master/csl-citation.json"} </w:instrText>
      </w:r>
      <w:r>
        <w:rPr>
          <w:sz w:val="22"/>
          <w:szCs w:val="22"/>
        </w:rPr>
        <w:fldChar w:fldCharType="separate"/>
      </w:r>
      <w:r w:rsidRPr="003E450B">
        <w:rPr>
          <w:sz w:val="22"/>
          <w:vertAlign w:val="superscript"/>
        </w:rPr>
        <w:t>61</w:t>
      </w:r>
      <w:r>
        <w:rPr>
          <w:sz w:val="22"/>
          <w:szCs w:val="22"/>
        </w:rPr>
        <w:fldChar w:fldCharType="end"/>
      </w:r>
      <w:r w:rsidRPr="00041FD0">
        <w:rPr>
          <w:sz w:val="22"/>
          <w:szCs w:val="22"/>
        </w:rPr>
        <w:t>. After construction of individual networks, Bayesian networks previously constructed from the HBTRC gene expression data</w:t>
      </w:r>
      <w:r>
        <w:rPr>
          <w:sz w:val="22"/>
          <w:szCs w:val="22"/>
        </w:rPr>
        <w:fldChar w:fldCharType="begin"/>
      </w:r>
      <w:r>
        <w:rPr>
          <w:sz w:val="22"/>
          <w:szCs w:val="22"/>
        </w:rPr>
        <w:instrText xml:space="preserve"> ADDIN ZOTERO_ITEM CSL_CITATION {"citationID":"vTeh1tau","properties":{"formattedCitation":"\\super 61\\nosupersub{}","plainCitation":"61","noteIndex":0},"citationItems":[{"id":4665,"uris":["http://zotero.org/users/1184628/items/W9EBKR4M"],"uri":["http://zotero.org/users/1184628/items/W9EBKR4M"],"itemData":{"id":4665,"type":"article-journal","title":"Disentangling molecular relationships with a causal inference test","container-title":"BMC genetics","page":"23","volume":"10","source":"PubMed","abstract":"BACKGROUND: There has been intense effort over the past couple of decades to identify loci underlying quantitative traits as a key step in the process of elucidating the etiology of complex diseases. Recently there has been some effort to coalesce non-biased high-throughput data, e.g. high density genotyping and genome wide RNA expression, to drive understanding of the molecular basis of disease. However, a stumbling block has been the difficult question of how to leverage this information to identify molecular mechanisms that explain quantitative trait loci (QTL). We have developed a formal statistical hypothesis test, resulting in a p-value, to quantify uncertainty in a causal inference pertaining to a measured factor, e.g. a molecular species, which potentially mediates a known causal association between a locus and a quantitative trait.\nRESULTS: We treat the causal inference as a 'chain' of mathematical conditions that must be satisfied to conclude that the potential mediator is causal for the trait, where the inference is only as good as the weakest link in the chain. P-values are computed for the component conditions, which include tests of linkage and conditional independence. The Intersection-Union Test, in which a series of statistical tests are combined to form an omnibus test, is then employed to generate the overall test result. Using computer simulated mouse crosses, we show that type I error is low under a variety of conditions that include hidden variables and reactive pathways. We show that power under a simple causal model is comparable to other model selection techniques as well as Bayesian network reconstruction methods. We further show empirically that this method compares favorably to Bayesian network reconstruction methods for reconstructing transcriptional regulatory networks in yeast, recovering 7 out of 8 experimentally validated regulators.\nCONCLUSION: Here we propose a novel statistical framework in which existing notions of causal mediation are formalized into a hypothesis test, thus providing a standard quantitative measure of uncertainty in the form of a p-value. The method is theoretically and computationally accessible and with the provided software may prove a useful tool in disentangling molecular relationships.","DOI":"10.1186/1471-2156-10-23","ISSN":"1471-2156","note":"PMID: 19473544\nPMCID: PMC3224661","journalAbbreviation":"BMC Genet.","language":"eng","author":[{"family":"Millstein","given":"Joshua"},{"family":"Zhang","given":"Bin"},{"family":"Zhu","given":"Jun"},{"family":"Schadt","given":"Eric E."}],"issued":{"date-parts":[["2009",5,27]]}}}],"schema":"https://github.com/citation-style-language/schema/raw/master/csl-citation.json"} </w:instrText>
      </w:r>
      <w:r>
        <w:rPr>
          <w:sz w:val="22"/>
          <w:szCs w:val="22"/>
        </w:rPr>
        <w:fldChar w:fldCharType="separate"/>
      </w:r>
      <w:r w:rsidRPr="003E450B">
        <w:rPr>
          <w:sz w:val="22"/>
          <w:vertAlign w:val="superscript"/>
        </w:rPr>
        <w:t>61</w:t>
      </w:r>
      <w:r>
        <w:rPr>
          <w:sz w:val="22"/>
          <w:szCs w:val="22"/>
        </w:rPr>
        <w:fldChar w:fldCharType="end"/>
      </w:r>
      <w:r w:rsidRPr="00041FD0">
        <w:rPr>
          <w:sz w:val="22"/>
          <w:szCs w:val="22"/>
        </w:rPr>
        <w:t xml:space="preserve"> were merged</w:t>
      </w:r>
      <w:r>
        <w:rPr>
          <w:sz w:val="22"/>
          <w:szCs w:val="22"/>
        </w:rPr>
        <w:t xml:space="preserve"> </w:t>
      </w:r>
      <w:r w:rsidRPr="00041FD0">
        <w:rPr>
          <w:sz w:val="22"/>
          <w:szCs w:val="22"/>
        </w:rPr>
        <w:t>by combining directed links</w:t>
      </w:r>
      <w:r>
        <w:rPr>
          <w:sz w:val="22"/>
          <w:szCs w:val="22"/>
        </w:rPr>
        <w:t xml:space="preserve"> </w:t>
      </w:r>
      <w:r w:rsidRPr="00041FD0">
        <w:rPr>
          <w:sz w:val="22"/>
          <w:szCs w:val="22"/>
        </w:rPr>
        <w:t>with the present Bayesian networks to create a union Bayesian network.</w:t>
      </w:r>
    </w:p>
    <w:p w:rsidR="005817AC" w:rsidRDefault="005817AC" w:rsidP="005817AC">
      <w:pPr>
        <w:spacing w:line="360" w:lineRule="auto"/>
        <w:ind w:firstLine="720"/>
        <w:jc w:val="both"/>
        <w:rPr>
          <w:sz w:val="22"/>
          <w:szCs w:val="22"/>
        </w:rPr>
      </w:pPr>
    </w:p>
    <w:p w:rsidR="00711E05" w:rsidRDefault="005817AC" w:rsidP="005817AC">
      <w:pPr>
        <w:pStyle w:val="Normal1"/>
        <w:spacing w:line="360" w:lineRule="auto"/>
        <w:jc w:val="both"/>
        <w:outlineLvl w:val="0"/>
        <w:rPr>
          <w:rFonts w:ascii="Times New Roman" w:hAnsi="Times New Roman" w:cs="Times New Roman"/>
          <w:color w:val="auto"/>
          <w:szCs w:val="22"/>
        </w:rPr>
      </w:pPr>
      <w:r w:rsidRPr="00491C1B">
        <w:rPr>
          <w:rFonts w:ascii="Times New Roman" w:hAnsi="Times New Roman" w:cs="Times New Roman"/>
          <w:b/>
          <w:color w:val="auto"/>
          <w:szCs w:val="22"/>
        </w:rPr>
        <w:t>Immunohistochemistry.</w:t>
      </w:r>
      <w:r w:rsidRPr="00491C1B">
        <w:rPr>
          <w:rFonts w:ascii="Times New Roman" w:hAnsi="Times New Roman" w:cs="Times New Roman"/>
          <w:color w:val="auto"/>
          <w:szCs w:val="22"/>
        </w:rPr>
        <w:t xml:space="preserve"> </w:t>
      </w:r>
    </w:p>
    <w:p w:rsidR="005817AC" w:rsidRPr="00491C1B" w:rsidRDefault="005817AC" w:rsidP="00711E05">
      <w:pPr>
        <w:pStyle w:val="Normal1"/>
        <w:spacing w:line="360" w:lineRule="auto"/>
        <w:ind w:firstLine="720"/>
        <w:jc w:val="both"/>
        <w:outlineLvl w:val="0"/>
        <w:rPr>
          <w:rFonts w:ascii="Times New Roman" w:hAnsi="Times New Roman" w:cs="Times New Roman"/>
          <w:color w:val="auto"/>
          <w:szCs w:val="22"/>
        </w:rPr>
      </w:pPr>
      <w:r w:rsidRPr="00491C1B">
        <w:rPr>
          <w:rFonts w:ascii="Times New Roman" w:hAnsi="Times New Roman" w:cs="Times New Roman"/>
          <w:color w:val="auto"/>
          <w:szCs w:val="22"/>
        </w:rPr>
        <w:t>30 µm thick sagittal free-floating sections were pre-treated with 70% formic acid for 15min. Sections were blocked for 1h (10% goat serum, PBS, 0.3% Triton-X) and incubated overnight at 4°C with anti-Iba1 (1:500; cat# 019-19741, Wako, Richmond, VA</w:t>
      </w:r>
      <w:r>
        <w:rPr>
          <w:rFonts w:ascii="Times New Roman" w:hAnsi="Times New Roman" w:cs="Times New Roman"/>
          <w:color w:val="auto"/>
          <w:szCs w:val="22"/>
        </w:rPr>
        <w:t>, USA</w:t>
      </w:r>
      <w:r w:rsidRPr="00491C1B">
        <w:rPr>
          <w:rFonts w:ascii="Times New Roman" w:hAnsi="Times New Roman" w:cs="Times New Roman"/>
          <w:color w:val="auto"/>
          <w:szCs w:val="22"/>
        </w:rPr>
        <w:t xml:space="preserve">), 6E10 (1:1000; cat# </w:t>
      </w:r>
      <w:r w:rsidRPr="00491C1B">
        <w:rPr>
          <w:rFonts w:ascii="Times New Roman" w:hAnsi="Times New Roman" w:cs="Times New Roman"/>
          <w:szCs w:val="22"/>
        </w:rPr>
        <w:t xml:space="preserve">9320-500, </w:t>
      </w:r>
      <w:r w:rsidRPr="00491C1B">
        <w:rPr>
          <w:rFonts w:ascii="Times New Roman" w:hAnsi="Times New Roman" w:cs="Times New Roman"/>
          <w:color w:val="auto"/>
          <w:szCs w:val="22"/>
        </w:rPr>
        <w:t>Covance, Princeton, NJ</w:t>
      </w:r>
      <w:r>
        <w:rPr>
          <w:rFonts w:ascii="Times New Roman" w:hAnsi="Times New Roman" w:cs="Times New Roman"/>
          <w:color w:val="auto"/>
          <w:szCs w:val="22"/>
        </w:rPr>
        <w:t>, USA</w:t>
      </w:r>
      <w:r w:rsidRPr="00491C1B">
        <w:rPr>
          <w:rFonts w:ascii="Times New Roman" w:hAnsi="Times New Roman" w:cs="Times New Roman"/>
          <w:color w:val="auto"/>
          <w:szCs w:val="22"/>
        </w:rPr>
        <w:t xml:space="preserve">), or C1q (1:1000, cat# ab182451, </w:t>
      </w:r>
      <w:proofErr w:type="spellStart"/>
      <w:r w:rsidRPr="00491C1B">
        <w:rPr>
          <w:rFonts w:ascii="Times New Roman" w:hAnsi="Times New Roman" w:cs="Times New Roman"/>
          <w:color w:val="auto"/>
          <w:szCs w:val="22"/>
        </w:rPr>
        <w:t>Abcam</w:t>
      </w:r>
      <w:proofErr w:type="spellEnd"/>
      <w:r>
        <w:rPr>
          <w:rFonts w:ascii="Times New Roman" w:hAnsi="Times New Roman" w:cs="Times New Roman"/>
          <w:color w:val="auto"/>
          <w:szCs w:val="22"/>
        </w:rPr>
        <w:t xml:space="preserve">, </w:t>
      </w:r>
      <w:r w:rsidRPr="00D12445">
        <w:rPr>
          <w:rFonts w:ascii="Times New Roman" w:hAnsi="Times New Roman" w:cs="Times New Roman"/>
          <w:color w:val="auto"/>
          <w:szCs w:val="22"/>
        </w:rPr>
        <w:t>Cambridge, MA</w:t>
      </w:r>
      <w:r>
        <w:rPr>
          <w:rFonts w:ascii="Times New Roman" w:hAnsi="Times New Roman" w:cs="Times New Roman"/>
          <w:color w:val="auto"/>
          <w:szCs w:val="22"/>
        </w:rPr>
        <w:t>, USA</w:t>
      </w:r>
      <w:r w:rsidRPr="00491C1B">
        <w:rPr>
          <w:rFonts w:ascii="Times New Roman" w:hAnsi="Times New Roman" w:cs="Times New Roman"/>
          <w:color w:val="auto"/>
          <w:szCs w:val="22"/>
        </w:rPr>
        <w:t xml:space="preserve">) antibodies (1% goat serum, PBS, 0.1% Tween-20 =PBS-T). Sections probed with Iba1 and 6E10 antibodies were washed (PBS-T) and incubated for 1h with fluorescent conjugated secondary antibodies (1% goat </w:t>
      </w:r>
      <w:r w:rsidRPr="00491C1B">
        <w:rPr>
          <w:rFonts w:ascii="Times New Roman" w:hAnsi="Times New Roman" w:cs="Times New Roman"/>
          <w:color w:val="auto"/>
          <w:szCs w:val="22"/>
        </w:rPr>
        <w:lastRenderedPageBreak/>
        <w:t xml:space="preserve">serum, PBS-T) (anti-rabbit Alexa 488 (1:400, cat#A-11008, </w:t>
      </w:r>
      <w:proofErr w:type="spellStart"/>
      <w:r w:rsidRPr="00491C1B">
        <w:rPr>
          <w:rFonts w:ascii="Times New Roman" w:hAnsi="Times New Roman" w:cs="Times New Roman"/>
          <w:color w:val="auto"/>
          <w:szCs w:val="22"/>
        </w:rPr>
        <w:t>Thermo</w:t>
      </w:r>
      <w:proofErr w:type="spellEnd"/>
      <w:r w:rsidRPr="00491C1B">
        <w:rPr>
          <w:rFonts w:ascii="Times New Roman" w:hAnsi="Times New Roman" w:cs="Times New Roman"/>
          <w:color w:val="auto"/>
          <w:szCs w:val="22"/>
        </w:rPr>
        <w:t xml:space="preserve"> Fisher Scientific</w:t>
      </w:r>
      <w:r>
        <w:rPr>
          <w:rFonts w:ascii="Times New Roman" w:hAnsi="Times New Roman" w:cs="Times New Roman"/>
          <w:color w:val="auto"/>
          <w:szCs w:val="22"/>
        </w:rPr>
        <w:t xml:space="preserve">, </w:t>
      </w:r>
      <w:r w:rsidRPr="00D12445">
        <w:rPr>
          <w:rFonts w:ascii="Times New Roman" w:hAnsi="Times New Roman" w:cs="Times New Roman"/>
          <w:color w:val="auto"/>
          <w:szCs w:val="22"/>
        </w:rPr>
        <w:t>Grand Island, NY</w:t>
      </w:r>
      <w:r>
        <w:rPr>
          <w:rFonts w:ascii="Times New Roman" w:hAnsi="Times New Roman" w:cs="Times New Roman"/>
          <w:color w:val="auto"/>
          <w:szCs w:val="22"/>
        </w:rPr>
        <w:t>, USA</w:t>
      </w:r>
      <w:r w:rsidRPr="00491C1B">
        <w:rPr>
          <w:rFonts w:ascii="Times New Roman" w:hAnsi="Times New Roman" w:cs="Times New Roman"/>
          <w:color w:val="auto"/>
          <w:szCs w:val="22"/>
        </w:rPr>
        <w:t>) for Iba1 and anti-mouse Alexa 5</w:t>
      </w:r>
      <w:r>
        <w:rPr>
          <w:rFonts w:ascii="Times New Roman" w:hAnsi="Times New Roman" w:cs="Times New Roman"/>
          <w:color w:val="auto"/>
          <w:szCs w:val="22"/>
        </w:rPr>
        <w:t>94</w:t>
      </w:r>
      <w:r w:rsidRPr="00491C1B">
        <w:rPr>
          <w:rFonts w:ascii="Times New Roman" w:hAnsi="Times New Roman" w:cs="Times New Roman"/>
          <w:color w:val="auto"/>
          <w:szCs w:val="22"/>
        </w:rPr>
        <w:t xml:space="preserve"> (1:400, cat#A-1100</w:t>
      </w:r>
      <w:r>
        <w:rPr>
          <w:rFonts w:ascii="Times New Roman" w:hAnsi="Times New Roman" w:cs="Times New Roman"/>
          <w:color w:val="auto"/>
          <w:szCs w:val="22"/>
        </w:rPr>
        <w:t>5</w:t>
      </w:r>
      <w:r w:rsidRPr="00491C1B">
        <w:rPr>
          <w:rFonts w:ascii="Times New Roman" w:hAnsi="Times New Roman" w:cs="Times New Roman"/>
          <w:color w:val="auto"/>
          <w:szCs w:val="22"/>
        </w:rPr>
        <w:t xml:space="preserve">, </w:t>
      </w:r>
      <w:proofErr w:type="spellStart"/>
      <w:r w:rsidRPr="00491C1B">
        <w:rPr>
          <w:rFonts w:ascii="Times New Roman" w:hAnsi="Times New Roman" w:cs="Times New Roman"/>
          <w:color w:val="auto"/>
          <w:szCs w:val="22"/>
        </w:rPr>
        <w:t>The</w:t>
      </w:r>
      <w:r>
        <w:rPr>
          <w:rFonts w:ascii="Times New Roman" w:hAnsi="Times New Roman" w:cs="Times New Roman"/>
          <w:color w:val="auto"/>
          <w:szCs w:val="22"/>
        </w:rPr>
        <w:t>rmo</w:t>
      </w:r>
      <w:proofErr w:type="spellEnd"/>
      <w:r>
        <w:rPr>
          <w:rFonts w:ascii="Times New Roman" w:hAnsi="Times New Roman" w:cs="Times New Roman"/>
          <w:color w:val="auto"/>
          <w:szCs w:val="22"/>
        </w:rPr>
        <w:t xml:space="preserve"> Fisher Scientific) for 6E10)</w:t>
      </w:r>
      <w:r w:rsidRPr="00491C1B">
        <w:rPr>
          <w:rFonts w:ascii="Times New Roman" w:hAnsi="Times New Roman" w:cs="Times New Roman"/>
          <w:color w:val="auto"/>
          <w:szCs w:val="22"/>
        </w:rPr>
        <w:t>. Sections probed with C1q were washed (PBS-T), incubated for 1h with biotinylated anti-mouse antibody (1:1000, BA-9200, Vector laboratories</w:t>
      </w:r>
      <w:r>
        <w:rPr>
          <w:rFonts w:ascii="Times New Roman" w:hAnsi="Times New Roman" w:cs="Times New Roman"/>
          <w:color w:val="auto"/>
          <w:szCs w:val="22"/>
        </w:rPr>
        <w:t xml:space="preserve">, </w:t>
      </w:r>
      <w:r w:rsidRPr="00D12445">
        <w:rPr>
          <w:rFonts w:ascii="Times New Roman" w:hAnsi="Times New Roman" w:cs="Times New Roman"/>
          <w:color w:val="auto"/>
          <w:szCs w:val="22"/>
        </w:rPr>
        <w:t>Burlingame, CA, USA</w:t>
      </w:r>
      <w:r w:rsidRPr="00491C1B">
        <w:rPr>
          <w:rFonts w:ascii="Times New Roman" w:hAnsi="Times New Roman" w:cs="Times New Roman"/>
          <w:color w:val="auto"/>
          <w:szCs w:val="22"/>
        </w:rPr>
        <w:t xml:space="preserve">) (1% goat serum, PBS-T) and developed with </w:t>
      </w:r>
      <w:proofErr w:type="spellStart"/>
      <w:r w:rsidRPr="00491C1B">
        <w:rPr>
          <w:rFonts w:ascii="Times New Roman" w:hAnsi="Times New Roman" w:cs="Times New Roman"/>
          <w:color w:val="auto"/>
          <w:szCs w:val="22"/>
        </w:rPr>
        <w:t>Vectastain</w:t>
      </w:r>
      <w:proofErr w:type="spellEnd"/>
      <w:r w:rsidRPr="00491C1B">
        <w:rPr>
          <w:rFonts w:ascii="Times New Roman" w:hAnsi="Times New Roman" w:cs="Times New Roman"/>
          <w:color w:val="auto"/>
          <w:szCs w:val="22"/>
        </w:rPr>
        <w:t xml:space="preserve"> ABC Kit (PK-4000, Vector Laboratories). </w:t>
      </w:r>
    </w:p>
    <w:p w:rsidR="005817AC" w:rsidRDefault="005817AC" w:rsidP="005817AC">
      <w:pPr>
        <w:spacing w:line="360" w:lineRule="auto"/>
        <w:jc w:val="both"/>
        <w:rPr>
          <w:sz w:val="22"/>
          <w:szCs w:val="22"/>
        </w:rPr>
      </w:pPr>
    </w:p>
    <w:p w:rsidR="00711E05" w:rsidRDefault="005817AC" w:rsidP="005817AC">
      <w:pPr>
        <w:pStyle w:val="Normal1"/>
        <w:spacing w:line="360" w:lineRule="auto"/>
        <w:jc w:val="both"/>
        <w:outlineLvl w:val="0"/>
        <w:rPr>
          <w:rFonts w:ascii="Times New Roman" w:hAnsi="Times New Roman" w:cs="Times New Roman"/>
          <w:color w:val="auto"/>
          <w:szCs w:val="22"/>
        </w:rPr>
      </w:pPr>
      <w:r w:rsidRPr="00491C1B">
        <w:rPr>
          <w:rFonts w:ascii="Times New Roman" w:hAnsi="Times New Roman" w:cs="Times New Roman"/>
          <w:b/>
          <w:color w:val="auto"/>
          <w:szCs w:val="22"/>
        </w:rPr>
        <w:t>Western Blot.</w:t>
      </w:r>
      <w:r w:rsidRPr="00491C1B">
        <w:rPr>
          <w:rFonts w:ascii="Times New Roman" w:hAnsi="Times New Roman" w:cs="Times New Roman"/>
          <w:color w:val="auto"/>
          <w:szCs w:val="22"/>
        </w:rPr>
        <w:t xml:space="preserve"> </w:t>
      </w:r>
    </w:p>
    <w:p w:rsidR="005817AC" w:rsidRDefault="005817AC" w:rsidP="00711E05">
      <w:pPr>
        <w:pStyle w:val="Normal1"/>
        <w:spacing w:line="360" w:lineRule="auto"/>
        <w:ind w:firstLine="720"/>
        <w:jc w:val="both"/>
        <w:outlineLvl w:val="0"/>
        <w:rPr>
          <w:rFonts w:ascii="Times New Roman" w:hAnsi="Times New Roman" w:cs="Times New Roman"/>
          <w:color w:val="auto"/>
          <w:szCs w:val="22"/>
        </w:rPr>
      </w:pPr>
      <w:r w:rsidRPr="00491C1B">
        <w:rPr>
          <w:rFonts w:ascii="Times New Roman" w:hAnsi="Times New Roman" w:cs="Times New Roman"/>
          <w:color w:val="auto"/>
          <w:szCs w:val="22"/>
        </w:rPr>
        <w:t xml:space="preserve">30µg of protein lysates prepared from </w:t>
      </w:r>
      <w:proofErr w:type="spellStart"/>
      <w:r w:rsidRPr="00491C1B">
        <w:rPr>
          <w:rFonts w:ascii="Times New Roman" w:hAnsi="Times New Roman" w:cs="Times New Roman"/>
          <w:color w:val="auto"/>
          <w:szCs w:val="22"/>
        </w:rPr>
        <w:t>hemibrains</w:t>
      </w:r>
      <w:proofErr w:type="spellEnd"/>
      <w:r w:rsidRPr="00491C1B">
        <w:rPr>
          <w:rFonts w:ascii="Times New Roman" w:hAnsi="Times New Roman" w:cs="Times New Roman"/>
          <w:color w:val="auto"/>
          <w:szCs w:val="22"/>
        </w:rPr>
        <w:t xml:space="preserve"> homogenized in RIPA buffer (150mM </w:t>
      </w:r>
      <w:proofErr w:type="spellStart"/>
      <w:r w:rsidRPr="00491C1B">
        <w:rPr>
          <w:rFonts w:ascii="Times New Roman" w:hAnsi="Times New Roman" w:cs="Times New Roman"/>
          <w:color w:val="auto"/>
          <w:szCs w:val="22"/>
        </w:rPr>
        <w:t>NaCl</w:t>
      </w:r>
      <w:proofErr w:type="spellEnd"/>
      <w:r w:rsidRPr="00491C1B">
        <w:rPr>
          <w:rFonts w:ascii="Times New Roman" w:hAnsi="Times New Roman" w:cs="Times New Roman"/>
          <w:color w:val="auto"/>
          <w:szCs w:val="22"/>
        </w:rPr>
        <w:t xml:space="preserve">, 0.1% Triton-X, 0.5% sodium </w:t>
      </w:r>
      <w:proofErr w:type="spellStart"/>
      <w:r w:rsidRPr="00491C1B">
        <w:rPr>
          <w:rFonts w:ascii="Times New Roman" w:hAnsi="Times New Roman" w:cs="Times New Roman"/>
          <w:color w:val="auto"/>
          <w:szCs w:val="22"/>
        </w:rPr>
        <w:t>deoxycholate</w:t>
      </w:r>
      <w:proofErr w:type="spellEnd"/>
      <w:r w:rsidRPr="00491C1B">
        <w:rPr>
          <w:rFonts w:ascii="Times New Roman" w:hAnsi="Times New Roman" w:cs="Times New Roman"/>
          <w:color w:val="auto"/>
          <w:szCs w:val="22"/>
        </w:rPr>
        <w:t xml:space="preserve">, 0.1% SDS, 50mM </w:t>
      </w:r>
      <w:proofErr w:type="spellStart"/>
      <w:r w:rsidRPr="00491C1B">
        <w:rPr>
          <w:rFonts w:ascii="Times New Roman" w:hAnsi="Times New Roman" w:cs="Times New Roman"/>
          <w:color w:val="auto"/>
          <w:szCs w:val="22"/>
        </w:rPr>
        <w:t>Tris</w:t>
      </w:r>
      <w:proofErr w:type="spellEnd"/>
      <w:r w:rsidRPr="00491C1B">
        <w:rPr>
          <w:rFonts w:ascii="Times New Roman" w:hAnsi="Times New Roman" w:cs="Times New Roman"/>
          <w:color w:val="auto"/>
          <w:szCs w:val="22"/>
        </w:rPr>
        <w:t>-HCL pH</w:t>
      </w:r>
      <w:r>
        <w:rPr>
          <w:rFonts w:ascii="Times New Roman" w:hAnsi="Times New Roman" w:cs="Times New Roman"/>
          <w:color w:val="auto"/>
          <w:szCs w:val="22"/>
        </w:rPr>
        <w:t>=</w:t>
      </w:r>
      <w:r w:rsidRPr="00491C1B">
        <w:rPr>
          <w:rFonts w:ascii="Times New Roman" w:hAnsi="Times New Roman" w:cs="Times New Roman"/>
          <w:color w:val="auto"/>
          <w:szCs w:val="22"/>
        </w:rPr>
        <w:t xml:space="preserve">8.0) were loaded in Criterion XT 4-20% </w:t>
      </w:r>
      <w:proofErr w:type="spellStart"/>
      <w:r w:rsidRPr="00491C1B">
        <w:rPr>
          <w:rFonts w:ascii="Times New Roman" w:hAnsi="Times New Roman" w:cs="Times New Roman"/>
          <w:color w:val="auto"/>
          <w:szCs w:val="22"/>
        </w:rPr>
        <w:t>Bis-Tris</w:t>
      </w:r>
      <w:proofErr w:type="spellEnd"/>
      <w:r w:rsidRPr="00491C1B">
        <w:rPr>
          <w:rFonts w:ascii="Times New Roman" w:hAnsi="Times New Roman" w:cs="Times New Roman"/>
          <w:color w:val="auto"/>
          <w:szCs w:val="22"/>
        </w:rPr>
        <w:t xml:space="preserve"> gels and transferred onto activated/pre-wetted PVDF membrane (0.45μm; Millipore, Billerica, MA</w:t>
      </w:r>
      <w:r>
        <w:rPr>
          <w:rFonts w:ascii="Times New Roman" w:hAnsi="Times New Roman" w:cs="Times New Roman"/>
          <w:color w:val="auto"/>
          <w:szCs w:val="22"/>
        </w:rPr>
        <w:t>, USA</w:t>
      </w:r>
      <w:r w:rsidRPr="00491C1B">
        <w:rPr>
          <w:rFonts w:ascii="Times New Roman" w:hAnsi="Times New Roman" w:cs="Times New Roman"/>
          <w:color w:val="auto"/>
          <w:szCs w:val="22"/>
        </w:rPr>
        <w:t>). Membranes were blocked for 1h (5% non-fat milk, TBS-T) and probed overnight at 4°C with anti-C1q antibod</w:t>
      </w:r>
      <w:r>
        <w:rPr>
          <w:rFonts w:ascii="Times New Roman" w:hAnsi="Times New Roman" w:cs="Times New Roman"/>
          <w:color w:val="auto"/>
          <w:szCs w:val="22"/>
        </w:rPr>
        <w:t xml:space="preserve">y (1:1000, cat# ab182451, </w:t>
      </w:r>
      <w:proofErr w:type="spellStart"/>
      <w:r>
        <w:rPr>
          <w:rFonts w:ascii="Times New Roman" w:hAnsi="Times New Roman" w:cs="Times New Roman"/>
          <w:color w:val="auto"/>
          <w:szCs w:val="22"/>
        </w:rPr>
        <w:t>Abcam</w:t>
      </w:r>
      <w:proofErr w:type="spellEnd"/>
      <w:r w:rsidRPr="00491C1B">
        <w:rPr>
          <w:rFonts w:ascii="Times New Roman" w:hAnsi="Times New Roman" w:cs="Times New Roman"/>
          <w:color w:val="auto"/>
          <w:szCs w:val="22"/>
        </w:rPr>
        <w:t>) in blocking buffer. Membranes were washed (TBS-T), incubated with anti-rabbit HRP-conjugated secondary antibodies (</w:t>
      </w:r>
      <w:r w:rsidRPr="00616FC2">
        <w:rPr>
          <w:rFonts w:ascii="Times New Roman" w:hAnsi="Times New Roman" w:cs="Times New Roman"/>
          <w:color w:val="auto"/>
          <w:szCs w:val="22"/>
        </w:rPr>
        <w:t xml:space="preserve">1:2000, </w:t>
      </w:r>
      <w:r>
        <w:rPr>
          <w:rFonts w:ascii="Times New Roman" w:hAnsi="Times New Roman" w:cs="Times New Roman"/>
          <w:color w:val="auto"/>
          <w:szCs w:val="22"/>
        </w:rPr>
        <w:t xml:space="preserve">cat#PI-1000, </w:t>
      </w:r>
      <w:r w:rsidRPr="00616FC2">
        <w:rPr>
          <w:rFonts w:ascii="Times New Roman" w:hAnsi="Times New Roman" w:cs="Times New Roman"/>
          <w:color w:val="auto"/>
          <w:szCs w:val="22"/>
        </w:rPr>
        <w:t>Vector laboratories</w:t>
      </w:r>
      <w:r w:rsidRPr="00491C1B">
        <w:rPr>
          <w:rFonts w:ascii="Times New Roman" w:hAnsi="Times New Roman" w:cs="Times New Roman"/>
          <w:color w:val="auto"/>
          <w:szCs w:val="22"/>
        </w:rPr>
        <w:t>) for 1h in blocking buffer, washed again (TBS-T) and developed with ECL Western blotting substrate (Pierce</w:t>
      </w:r>
      <w:r>
        <w:rPr>
          <w:rFonts w:ascii="Times New Roman" w:hAnsi="Times New Roman" w:cs="Times New Roman"/>
          <w:color w:val="auto"/>
          <w:szCs w:val="22"/>
        </w:rPr>
        <w:t xml:space="preserve">, </w:t>
      </w:r>
      <w:r w:rsidRPr="00585A15">
        <w:rPr>
          <w:rFonts w:ascii="Times New Roman" w:hAnsi="Times New Roman" w:cs="Times New Roman"/>
          <w:color w:val="auto"/>
          <w:szCs w:val="22"/>
        </w:rPr>
        <w:t>Rockford, IL, USA</w:t>
      </w:r>
      <w:r w:rsidRPr="00491C1B">
        <w:rPr>
          <w:rFonts w:ascii="Times New Roman" w:hAnsi="Times New Roman" w:cs="Times New Roman"/>
          <w:color w:val="auto"/>
          <w:szCs w:val="22"/>
        </w:rPr>
        <w:t>) using the Fujifilm LAS-3000 developer</w:t>
      </w:r>
      <w:r>
        <w:rPr>
          <w:rFonts w:ascii="Times New Roman" w:hAnsi="Times New Roman" w:cs="Times New Roman"/>
          <w:color w:val="auto"/>
          <w:szCs w:val="22"/>
        </w:rPr>
        <w:t xml:space="preserve"> (</w:t>
      </w:r>
      <w:r w:rsidRPr="00585A15">
        <w:rPr>
          <w:rFonts w:ascii="Times New Roman" w:hAnsi="Times New Roman" w:cs="Times New Roman"/>
          <w:color w:val="auto"/>
          <w:szCs w:val="22"/>
        </w:rPr>
        <w:t>Stamford, CT, USA</w:t>
      </w:r>
      <w:r>
        <w:rPr>
          <w:rFonts w:ascii="Times New Roman" w:hAnsi="Times New Roman" w:cs="Times New Roman"/>
          <w:color w:val="auto"/>
          <w:szCs w:val="22"/>
        </w:rPr>
        <w:t>)</w:t>
      </w:r>
      <w:r w:rsidRPr="00491C1B">
        <w:rPr>
          <w:rFonts w:ascii="Times New Roman" w:hAnsi="Times New Roman" w:cs="Times New Roman"/>
          <w:color w:val="auto"/>
          <w:szCs w:val="22"/>
        </w:rPr>
        <w:t xml:space="preserve">. Normalization was achieved using anti-GAPDH antibody. Thus, membranes were stripped (Restore PLUS Western Blot Stripping Buffer, </w:t>
      </w:r>
      <w:proofErr w:type="spellStart"/>
      <w:r w:rsidRPr="00491C1B">
        <w:rPr>
          <w:rFonts w:ascii="Times New Roman" w:hAnsi="Times New Roman" w:cs="Times New Roman"/>
          <w:color w:val="auto"/>
          <w:szCs w:val="22"/>
        </w:rPr>
        <w:t>Thermo</w:t>
      </w:r>
      <w:proofErr w:type="spellEnd"/>
      <w:r w:rsidRPr="00491C1B">
        <w:rPr>
          <w:rFonts w:ascii="Times New Roman" w:hAnsi="Times New Roman" w:cs="Times New Roman"/>
          <w:color w:val="auto"/>
          <w:szCs w:val="22"/>
        </w:rPr>
        <w:t xml:space="preserve"> Scientific), washed, blocked 1h, probed 1h with anti-GAPDH antibody (1:5000, cat# sc32233, </w:t>
      </w:r>
      <w:r w:rsidRPr="00585A15">
        <w:rPr>
          <w:rFonts w:ascii="Times New Roman" w:hAnsi="Times New Roman" w:cs="Times New Roman"/>
          <w:color w:val="auto"/>
          <w:szCs w:val="22"/>
        </w:rPr>
        <w:t>Cruz Biotechnology, Dallas, TX, USA</w:t>
      </w:r>
      <w:r>
        <w:rPr>
          <w:rFonts w:ascii="Times New Roman" w:hAnsi="Times New Roman" w:cs="Times New Roman"/>
          <w:color w:val="auto"/>
          <w:szCs w:val="22"/>
        </w:rPr>
        <w:t xml:space="preserve">) </w:t>
      </w:r>
      <w:r w:rsidRPr="00491C1B">
        <w:rPr>
          <w:rFonts w:ascii="Times New Roman" w:hAnsi="Times New Roman" w:cs="Times New Roman"/>
          <w:color w:val="auto"/>
          <w:szCs w:val="22"/>
        </w:rPr>
        <w:t xml:space="preserve">in blocking buffer, and incubated </w:t>
      </w:r>
      <w:r>
        <w:rPr>
          <w:rFonts w:ascii="Times New Roman" w:hAnsi="Times New Roman" w:cs="Times New Roman"/>
          <w:color w:val="auto"/>
          <w:szCs w:val="22"/>
        </w:rPr>
        <w:t>with</w:t>
      </w:r>
      <w:r w:rsidRPr="00491C1B">
        <w:rPr>
          <w:rFonts w:ascii="Times New Roman" w:hAnsi="Times New Roman" w:cs="Times New Roman"/>
          <w:color w:val="auto"/>
          <w:szCs w:val="22"/>
        </w:rPr>
        <w:t xml:space="preserve"> anti-mouse HRP-conjugated secondary antibodies </w:t>
      </w:r>
      <w:r w:rsidRPr="00616FC2">
        <w:rPr>
          <w:rFonts w:ascii="Times New Roman" w:hAnsi="Times New Roman" w:cs="Times New Roman"/>
          <w:color w:val="auto"/>
          <w:szCs w:val="22"/>
        </w:rPr>
        <w:t xml:space="preserve">(1:2000, </w:t>
      </w:r>
      <w:r>
        <w:rPr>
          <w:rFonts w:ascii="Times New Roman" w:hAnsi="Times New Roman" w:cs="Times New Roman"/>
          <w:color w:val="auto"/>
          <w:szCs w:val="22"/>
        </w:rPr>
        <w:t xml:space="preserve">cat#PI-2000, </w:t>
      </w:r>
      <w:r w:rsidRPr="00616FC2">
        <w:rPr>
          <w:rFonts w:ascii="Times New Roman" w:hAnsi="Times New Roman" w:cs="Times New Roman"/>
          <w:color w:val="auto"/>
          <w:szCs w:val="22"/>
        </w:rPr>
        <w:t>Vector laboratories)</w:t>
      </w:r>
      <w:r w:rsidRPr="00491C1B">
        <w:rPr>
          <w:rFonts w:ascii="Times New Roman" w:hAnsi="Times New Roman" w:cs="Times New Roman"/>
          <w:color w:val="auto"/>
          <w:szCs w:val="22"/>
        </w:rPr>
        <w:t xml:space="preserve"> for 1h in blocking buffer. Membranes were developed as described above. Integrated density of </w:t>
      </w:r>
      <w:proofErr w:type="spellStart"/>
      <w:r w:rsidRPr="00491C1B">
        <w:rPr>
          <w:rFonts w:ascii="Times New Roman" w:hAnsi="Times New Roman" w:cs="Times New Roman"/>
          <w:color w:val="auto"/>
          <w:szCs w:val="22"/>
        </w:rPr>
        <w:t>immunoreactive</w:t>
      </w:r>
      <w:proofErr w:type="spellEnd"/>
      <w:r w:rsidRPr="00491C1B">
        <w:rPr>
          <w:rFonts w:ascii="Times New Roman" w:hAnsi="Times New Roman" w:cs="Times New Roman"/>
          <w:color w:val="auto"/>
          <w:szCs w:val="22"/>
        </w:rPr>
        <w:t xml:space="preserve"> bands were measured using </w:t>
      </w:r>
      <w:proofErr w:type="spellStart"/>
      <w:r w:rsidRPr="00491C1B">
        <w:rPr>
          <w:rFonts w:ascii="Times New Roman" w:hAnsi="Times New Roman" w:cs="Times New Roman"/>
          <w:color w:val="auto"/>
          <w:szCs w:val="22"/>
        </w:rPr>
        <w:t>MultiGauge</w:t>
      </w:r>
      <w:proofErr w:type="spellEnd"/>
      <w:r w:rsidRPr="00491C1B">
        <w:rPr>
          <w:rFonts w:ascii="Times New Roman" w:hAnsi="Times New Roman" w:cs="Times New Roman"/>
          <w:color w:val="auto"/>
          <w:szCs w:val="22"/>
        </w:rPr>
        <w:t xml:space="preserve"> Software (</w:t>
      </w:r>
      <w:proofErr w:type="spellStart"/>
      <w:r w:rsidRPr="00491C1B">
        <w:rPr>
          <w:rFonts w:ascii="Times New Roman" w:hAnsi="Times New Roman" w:cs="Times New Roman"/>
          <w:color w:val="auto"/>
          <w:szCs w:val="22"/>
        </w:rPr>
        <w:t>FujiFilm</w:t>
      </w:r>
      <w:proofErr w:type="spellEnd"/>
      <w:r w:rsidRPr="00491C1B">
        <w:rPr>
          <w:rFonts w:ascii="Times New Roman" w:hAnsi="Times New Roman" w:cs="Times New Roman"/>
          <w:color w:val="auto"/>
          <w:szCs w:val="22"/>
        </w:rPr>
        <w:t>).</w:t>
      </w:r>
    </w:p>
    <w:p w:rsidR="005817AC" w:rsidRDefault="005817AC" w:rsidP="005817AC">
      <w:pPr>
        <w:pStyle w:val="HTMLPreformatted"/>
        <w:spacing w:line="360" w:lineRule="auto"/>
        <w:ind w:right="1"/>
        <w:jc w:val="both"/>
        <w:rPr>
          <w:rFonts w:ascii="Times New Roman" w:hAnsi="Times New Roman" w:cs="Times New Roman"/>
          <w:b/>
          <w:sz w:val="22"/>
          <w:szCs w:val="22"/>
        </w:rPr>
      </w:pPr>
    </w:p>
    <w:p w:rsidR="00711E05" w:rsidRDefault="005817AC" w:rsidP="005817AC">
      <w:pPr>
        <w:pStyle w:val="Normal1"/>
        <w:spacing w:line="360" w:lineRule="auto"/>
        <w:jc w:val="both"/>
        <w:outlineLvl w:val="0"/>
        <w:rPr>
          <w:rFonts w:ascii="Times New Roman" w:hAnsi="Times New Roman" w:cs="Times New Roman"/>
          <w:b/>
          <w:color w:val="auto"/>
          <w:szCs w:val="22"/>
        </w:rPr>
      </w:pPr>
      <w:r w:rsidRPr="00491C1B">
        <w:rPr>
          <w:rFonts w:ascii="Times New Roman" w:hAnsi="Times New Roman" w:cs="Times New Roman"/>
          <w:b/>
          <w:color w:val="auto"/>
          <w:szCs w:val="22"/>
        </w:rPr>
        <w:t xml:space="preserve">Serial detergent fractionation with ultracentrifugation for </w:t>
      </w:r>
      <w:proofErr w:type="spellStart"/>
      <w:r w:rsidRPr="00AA1A77">
        <w:rPr>
          <w:rFonts w:ascii="Times New Roman" w:hAnsi="Times New Roman" w:cs="Times New Roman"/>
          <w:b/>
          <w:color w:val="auto"/>
          <w:szCs w:val="22"/>
        </w:rPr>
        <w:t>Aß</w:t>
      </w:r>
      <w:proofErr w:type="spellEnd"/>
      <w:r w:rsidRPr="00AA1A77">
        <w:rPr>
          <w:rFonts w:ascii="Times New Roman" w:hAnsi="Times New Roman" w:cs="Times New Roman"/>
          <w:b/>
          <w:color w:val="auto"/>
          <w:szCs w:val="22"/>
        </w:rPr>
        <w:t xml:space="preserve"> assays and oligomer epitope characterization</w:t>
      </w:r>
      <w:r w:rsidRPr="00041FD0">
        <w:rPr>
          <w:rFonts w:ascii="Times New Roman" w:hAnsi="Times New Roman" w:cs="Times New Roman"/>
          <w:b/>
          <w:color w:val="auto"/>
          <w:szCs w:val="22"/>
        </w:rPr>
        <w:t>.</w:t>
      </w:r>
    </w:p>
    <w:p w:rsidR="005817AC" w:rsidRDefault="005817AC" w:rsidP="00711E05">
      <w:pPr>
        <w:pStyle w:val="Normal1"/>
        <w:spacing w:line="360" w:lineRule="auto"/>
        <w:ind w:firstLine="720"/>
        <w:jc w:val="both"/>
        <w:outlineLvl w:val="0"/>
        <w:rPr>
          <w:rFonts w:ascii="Times New Roman" w:hAnsi="Times New Roman" w:cs="Times New Roman"/>
          <w:color w:val="auto"/>
          <w:szCs w:val="22"/>
        </w:rPr>
      </w:pPr>
      <w:proofErr w:type="spellStart"/>
      <w:r>
        <w:rPr>
          <w:rFonts w:ascii="Times New Roman" w:hAnsi="Times New Roman" w:cs="Times New Roman"/>
          <w:color w:val="auto"/>
          <w:szCs w:val="22"/>
        </w:rPr>
        <w:t>H</w:t>
      </w:r>
      <w:r w:rsidRPr="00041FD0">
        <w:rPr>
          <w:rFonts w:ascii="Times New Roman" w:hAnsi="Times New Roman" w:cs="Times New Roman"/>
          <w:color w:val="auto"/>
          <w:szCs w:val="22"/>
        </w:rPr>
        <w:t>emibrains</w:t>
      </w:r>
      <w:proofErr w:type="spellEnd"/>
      <w:r w:rsidRPr="00041FD0">
        <w:rPr>
          <w:rFonts w:ascii="Times New Roman" w:hAnsi="Times New Roman" w:cs="Times New Roman"/>
          <w:color w:val="auto"/>
          <w:szCs w:val="22"/>
        </w:rPr>
        <w:t xml:space="preserve"> were processed via </w:t>
      </w:r>
      <w:r>
        <w:rPr>
          <w:rFonts w:ascii="Times New Roman" w:hAnsi="Times New Roman" w:cs="Times New Roman"/>
          <w:color w:val="auto"/>
          <w:szCs w:val="22"/>
        </w:rPr>
        <w:t>serial</w:t>
      </w:r>
      <w:r w:rsidRPr="00041FD0">
        <w:rPr>
          <w:rFonts w:ascii="Times New Roman" w:hAnsi="Times New Roman" w:cs="Times New Roman"/>
          <w:color w:val="auto"/>
          <w:szCs w:val="22"/>
        </w:rPr>
        <w:t xml:space="preserve"> detergent </w:t>
      </w:r>
      <w:r>
        <w:rPr>
          <w:rFonts w:ascii="Times New Roman" w:hAnsi="Times New Roman" w:cs="Times New Roman"/>
          <w:color w:val="auto"/>
          <w:szCs w:val="22"/>
        </w:rPr>
        <w:t>fractionation with ultracentrifugation</w:t>
      </w:r>
      <w:r w:rsidRPr="00041FD0">
        <w:rPr>
          <w:rFonts w:ascii="Times New Roman" w:hAnsi="Times New Roman" w:cs="Times New Roman"/>
          <w:color w:val="auto"/>
          <w:szCs w:val="22"/>
        </w:rPr>
        <w:t xml:space="preserve"> to produce TBS-soluble, Triton-X-soluble and formic-acid</w:t>
      </w:r>
      <w:r>
        <w:rPr>
          <w:rFonts w:ascii="Times New Roman" w:hAnsi="Times New Roman" w:cs="Times New Roman"/>
          <w:color w:val="auto"/>
          <w:szCs w:val="22"/>
        </w:rPr>
        <w:t>-</w:t>
      </w:r>
      <w:r w:rsidRPr="00041FD0">
        <w:rPr>
          <w:rFonts w:ascii="Times New Roman" w:hAnsi="Times New Roman" w:cs="Times New Roman"/>
          <w:color w:val="auto"/>
          <w:szCs w:val="22"/>
        </w:rPr>
        <w:t xml:space="preserve">soluble Aβ fractions. </w:t>
      </w:r>
      <w:proofErr w:type="spellStart"/>
      <w:r>
        <w:rPr>
          <w:rFonts w:ascii="Times New Roman" w:hAnsi="Times New Roman" w:cs="Times New Roman"/>
          <w:color w:val="auto"/>
          <w:szCs w:val="22"/>
        </w:rPr>
        <w:t>H</w:t>
      </w:r>
      <w:r w:rsidRPr="00041FD0">
        <w:rPr>
          <w:rFonts w:ascii="Times New Roman" w:hAnsi="Times New Roman" w:cs="Times New Roman"/>
          <w:color w:val="auto"/>
          <w:szCs w:val="22"/>
        </w:rPr>
        <w:t>emibrains</w:t>
      </w:r>
      <w:proofErr w:type="spellEnd"/>
      <w:r>
        <w:rPr>
          <w:rFonts w:ascii="Times New Roman" w:hAnsi="Times New Roman" w:cs="Times New Roman"/>
          <w:color w:val="auto"/>
          <w:szCs w:val="22"/>
        </w:rPr>
        <w:t xml:space="preserve"> were homogenized </w:t>
      </w:r>
      <w:r w:rsidRPr="004623F4">
        <w:rPr>
          <w:rFonts w:ascii="Times New Roman" w:hAnsi="Times New Roman" w:cs="Times New Roman"/>
          <w:color w:val="auto"/>
          <w:szCs w:val="22"/>
        </w:rPr>
        <w:t xml:space="preserve">in ice-cold </w:t>
      </w:r>
      <w:r>
        <w:rPr>
          <w:rFonts w:ascii="Times New Roman" w:hAnsi="Times New Roman" w:cs="Times New Roman"/>
          <w:color w:val="auto"/>
          <w:szCs w:val="22"/>
        </w:rPr>
        <w:t>TBS (</w:t>
      </w:r>
      <w:r w:rsidRPr="004623F4">
        <w:rPr>
          <w:rFonts w:ascii="Times New Roman" w:hAnsi="Times New Roman" w:cs="Times New Roman"/>
          <w:color w:val="auto"/>
          <w:szCs w:val="22"/>
        </w:rPr>
        <w:t>pH</w:t>
      </w:r>
      <w:r>
        <w:rPr>
          <w:rFonts w:ascii="Times New Roman" w:hAnsi="Times New Roman" w:cs="Times New Roman"/>
          <w:color w:val="auto"/>
          <w:szCs w:val="22"/>
        </w:rPr>
        <w:t>=</w:t>
      </w:r>
      <w:r w:rsidRPr="004623F4">
        <w:rPr>
          <w:rFonts w:ascii="Times New Roman" w:hAnsi="Times New Roman" w:cs="Times New Roman"/>
          <w:color w:val="auto"/>
          <w:szCs w:val="22"/>
        </w:rPr>
        <w:t>7.6) (</w:t>
      </w:r>
      <w:r>
        <w:rPr>
          <w:rFonts w:ascii="Times New Roman" w:hAnsi="Times New Roman" w:cs="Times New Roman"/>
          <w:szCs w:val="22"/>
        </w:rPr>
        <w:t>200mg tissue/1</w:t>
      </w:r>
      <w:r w:rsidRPr="00491C1B">
        <w:rPr>
          <w:rFonts w:ascii="Times New Roman" w:hAnsi="Times New Roman" w:cs="Times New Roman"/>
          <w:szCs w:val="22"/>
        </w:rPr>
        <w:t>mL TBS)</w:t>
      </w:r>
      <w:r w:rsidRPr="00037DD5">
        <w:rPr>
          <w:rFonts w:ascii="Franklin Gothic Book" w:hAnsi="Franklin Gothic Book"/>
          <w:sz w:val="20"/>
          <w:szCs w:val="20"/>
        </w:rPr>
        <w:t xml:space="preserve"> </w:t>
      </w:r>
      <w:r w:rsidRPr="004623F4">
        <w:rPr>
          <w:rFonts w:ascii="Times New Roman" w:hAnsi="Times New Roman" w:cs="Times New Roman"/>
          <w:color w:val="auto"/>
          <w:szCs w:val="22"/>
        </w:rPr>
        <w:t>containing</w:t>
      </w:r>
      <w:r>
        <w:rPr>
          <w:rFonts w:ascii="Times New Roman" w:hAnsi="Times New Roman" w:cs="Times New Roman"/>
          <w:color w:val="auto"/>
          <w:szCs w:val="22"/>
        </w:rPr>
        <w:t xml:space="preserve"> protease/phosphatase inhibitor </w:t>
      </w:r>
      <w:r w:rsidRPr="004623F4">
        <w:rPr>
          <w:rFonts w:ascii="Times New Roman" w:hAnsi="Times New Roman" w:cs="Times New Roman"/>
          <w:color w:val="auto"/>
          <w:szCs w:val="22"/>
        </w:rPr>
        <w:t>cocktail (</w:t>
      </w:r>
      <w:r w:rsidRPr="004623F4">
        <w:rPr>
          <w:rFonts w:ascii="Times New Roman" w:hAnsi="Times New Roman" w:cs="Times New Roman"/>
          <w:szCs w:val="22"/>
        </w:rPr>
        <w:t>#</w:t>
      </w:r>
      <w:r w:rsidRPr="00491C1B">
        <w:rPr>
          <w:rFonts w:ascii="Times New Roman" w:hAnsi="Times New Roman" w:cs="Times New Roman"/>
          <w:szCs w:val="22"/>
        </w:rPr>
        <w:t>78443, Pierce)</w:t>
      </w:r>
      <w:r>
        <w:rPr>
          <w:rFonts w:ascii="Times New Roman" w:hAnsi="Times New Roman" w:cs="Times New Roman"/>
          <w:szCs w:val="22"/>
        </w:rPr>
        <w:t>.</w:t>
      </w:r>
      <w:r w:rsidRPr="004623F4">
        <w:rPr>
          <w:rFonts w:ascii="Times New Roman" w:hAnsi="Times New Roman" w:cs="Times New Roman"/>
          <w:color w:val="auto"/>
          <w:szCs w:val="22"/>
        </w:rPr>
        <w:t xml:space="preserve"> </w:t>
      </w:r>
      <w:r>
        <w:rPr>
          <w:rFonts w:ascii="Times New Roman" w:hAnsi="Times New Roman" w:cs="Times New Roman"/>
          <w:color w:val="auto"/>
          <w:szCs w:val="22"/>
        </w:rPr>
        <w:t xml:space="preserve">Homogenates were </w:t>
      </w:r>
      <w:proofErr w:type="spellStart"/>
      <w:r w:rsidRPr="004623F4">
        <w:rPr>
          <w:rFonts w:ascii="Times New Roman" w:hAnsi="Times New Roman" w:cs="Times New Roman"/>
          <w:color w:val="auto"/>
          <w:szCs w:val="22"/>
        </w:rPr>
        <w:t>ul</w:t>
      </w:r>
      <w:r>
        <w:rPr>
          <w:rFonts w:ascii="Times New Roman" w:hAnsi="Times New Roman" w:cs="Times New Roman"/>
          <w:color w:val="auto"/>
          <w:szCs w:val="22"/>
        </w:rPr>
        <w:t>tracentrifuged</w:t>
      </w:r>
      <w:proofErr w:type="spellEnd"/>
      <w:r>
        <w:rPr>
          <w:rFonts w:ascii="Times New Roman" w:hAnsi="Times New Roman" w:cs="Times New Roman"/>
          <w:color w:val="auto"/>
          <w:szCs w:val="22"/>
        </w:rPr>
        <w:t xml:space="preserve"> at 100,000xg for 1h at 4</w:t>
      </w:r>
      <w:r w:rsidRPr="004623F4">
        <w:rPr>
          <w:rFonts w:ascii="Times New Roman" w:hAnsi="Times New Roman" w:cs="Times New Roman"/>
          <w:color w:val="auto"/>
          <w:szCs w:val="22"/>
        </w:rPr>
        <w:t>°C a</w:t>
      </w:r>
      <w:r>
        <w:rPr>
          <w:rFonts w:ascii="Times New Roman" w:hAnsi="Times New Roman" w:cs="Times New Roman"/>
          <w:color w:val="auto"/>
          <w:szCs w:val="22"/>
        </w:rPr>
        <w:t>nd the supernatants were removed and stored at −80</w:t>
      </w:r>
      <w:r w:rsidRPr="004623F4">
        <w:rPr>
          <w:rFonts w:ascii="Times New Roman" w:hAnsi="Times New Roman" w:cs="Times New Roman"/>
          <w:color w:val="auto"/>
          <w:szCs w:val="22"/>
        </w:rPr>
        <w:t>°C until analysis</w:t>
      </w:r>
      <w:r>
        <w:rPr>
          <w:rFonts w:ascii="Times New Roman" w:hAnsi="Times New Roman" w:cs="Times New Roman"/>
          <w:color w:val="auto"/>
          <w:szCs w:val="22"/>
        </w:rPr>
        <w:t xml:space="preserve"> (TBS fraction). </w:t>
      </w:r>
      <w:r w:rsidRPr="004623F4">
        <w:rPr>
          <w:rFonts w:ascii="Times New Roman" w:hAnsi="Times New Roman" w:cs="Times New Roman"/>
          <w:color w:val="auto"/>
          <w:szCs w:val="22"/>
        </w:rPr>
        <w:t>The TBS-insoluble pe</w:t>
      </w:r>
      <w:r>
        <w:rPr>
          <w:rFonts w:ascii="Times New Roman" w:hAnsi="Times New Roman" w:cs="Times New Roman"/>
          <w:color w:val="auto"/>
          <w:szCs w:val="22"/>
        </w:rPr>
        <w:t xml:space="preserve">llets were then homogenized in Triton-X solution (TBS </w:t>
      </w:r>
      <w:r w:rsidRPr="00AA1A77">
        <w:rPr>
          <w:rFonts w:ascii="Times New Roman" w:hAnsi="Times New Roman" w:cs="Times New Roman"/>
          <w:color w:val="auto"/>
          <w:szCs w:val="22"/>
        </w:rPr>
        <w:t>1% (v/v) Triton-X-100</w:t>
      </w:r>
      <w:r>
        <w:rPr>
          <w:rFonts w:ascii="Times New Roman" w:hAnsi="Times New Roman" w:cs="Times New Roman"/>
          <w:color w:val="auto"/>
          <w:szCs w:val="22"/>
        </w:rPr>
        <w:t>)</w:t>
      </w:r>
      <w:r w:rsidRPr="00AA1A77">
        <w:rPr>
          <w:rFonts w:ascii="Times New Roman" w:hAnsi="Times New Roman" w:cs="Times New Roman"/>
          <w:color w:val="auto"/>
          <w:szCs w:val="22"/>
        </w:rPr>
        <w:t xml:space="preserve"> </w:t>
      </w:r>
      <w:r w:rsidRPr="004623F4">
        <w:rPr>
          <w:rFonts w:ascii="Times New Roman" w:hAnsi="Times New Roman" w:cs="Times New Roman"/>
          <w:color w:val="auto"/>
          <w:szCs w:val="22"/>
        </w:rPr>
        <w:t>containing</w:t>
      </w:r>
      <w:r>
        <w:rPr>
          <w:rFonts w:ascii="Times New Roman" w:hAnsi="Times New Roman" w:cs="Times New Roman"/>
          <w:color w:val="auto"/>
          <w:szCs w:val="22"/>
        </w:rPr>
        <w:t xml:space="preserve"> protease/phosphatase inhibitor </w:t>
      </w:r>
      <w:r w:rsidRPr="004623F4">
        <w:rPr>
          <w:rFonts w:ascii="Times New Roman" w:hAnsi="Times New Roman" w:cs="Times New Roman"/>
          <w:color w:val="auto"/>
          <w:szCs w:val="22"/>
        </w:rPr>
        <w:t xml:space="preserve">cocktail and </w:t>
      </w:r>
      <w:proofErr w:type="spellStart"/>
      <w:r w:rsidRPr="004623F4">
        <w:rPr>
          <w:rFonts w:ascii="Times New Roman" w:hAnsi="Times New Roman" w:cs="Times New Roman"/>
          <w:color w:val="auto"/>
          <w:szCs w:val="22"/>
        </w:rPr>
        <w:t>ultracentrifuged</w:t>
      </w:r>
      <w:proofErr w:type="spellEnd"/>
      <w:r w:rsidRPr="004623F4">
        <w:rPr>
          <w:rFonts w:ascii="Times New Roman" w:hAnsi="Times New Roman" w:cs="Times New Roman"/>
          <w:color w:val="auto"/>
          <w:szCs w:val="22"/>
        </w:rPr>
        <w:t xml:space="preserve"> as above. The supernatant</w:t>
      </w:r>
      <w:r>
        <w:rPr>
          <w:rFonts w:ascii="Times New Roman" w:hAnsi="Times New Roman" w:cs="Times New Roman"/>
          <w:color w:val="auto"/>
          <w:szCs w:val="22"/>
        </w:rPr>
        <w:t>s</w:t>
      </w:r>
      <w:r w:rsidRPr="004623F4">
        <w:rPr>
          <w:rFonts w:ascii="Times New Roman" w:hAnsi="Times New Roman" w:cs="Times New Roman"/>
          <w:color w:val="auto"/>
          <w:szCs w:val="22"/>
        </w:rPr>
        <w:t xml:space="preserve"> w</w:t>
      </w:r>
      <w:r>
        <w:rPr>
          <w:rFonts w:ascii="Times New Roman" w:hAnsi="Times New Roman" w:cs="Times New Roman"/>
          <w:color w:val="auto"/>
          <w:szCs w:val="22"/>
        </w:rPr>
        <w:t>ere</w:t>
      </w:r>
      <w:r w:rsidRPr="004623F4">
        <w:rPr>
          <w:rFonts w:ascii="Times New Roman" w:hAnsi="Times New Roman" w:cs="Times New Roman"/>
          <w:color w:val="auto"/>
          <w:szCs w:val="22"/>
        </w:rPr>
        <w:t xml:space="preserve"> </w:t>
      </w:r>
      <w:r>
        <w:rPr>
          <w:rFonts w:ascii="Times New Roman" w:hAnsi="Times New Roman" w:cs="Times New Roman"/>
          <w:color w:val="auto"/>
          <w:szCs w:val="22"/>
        </w:rPr>
        <w:t>removed and stored at -80</w:t>
      </w:r>
      <w:r w:rsidRPr="004623F4">
        <w:rPr>
          <w:rFonts w:ascii="Times New Roman" w:hAnsi="Times New Roman" w:cs="Times New Roman"/>
          <w:color w:val="auto"/>
          <w:szCs w:val="22"/>
        </w:rPr>
        <w:t>°C until analysis</w:t>
      </w:r>
      <w:r>
        <w:rPr>
          <w:rFonts w:ascii="Times New Roman" w:hAnsi="Times New Roman" w:cs="Times New Roman"/>
          <w:color w:val="auto"/>
          <w:szCs w:val="22"/>
        </w:rPr>
        <w:t xml:space="preserve"> (Triton-X fraction). The Triton-X</w:t>
      </w:r>
      <w:r w:rsidRPr="004623F4">
        <w:rPr>
          <w:rFonts w:ascii="Times New Roman" w:hAnsi="Times New Roman" w:cs="Times New Roman"/>
          <w:color w:val="auto"/>
          <w:szCs w:val="22"/>
        </w:rPr>
        <w:t>-insoluble pellet</w:t>
      </w:r>
      <w:r>
        <w:rPr>
          <w:rFonts w:ascii="Times New Roman" w:hAnsi="Times New Roman" w:cs="Times New Roman"/>
          <w:color w:val="auto"/>
          <w:szCs w:val="22"/>
        </w:rPr>
        <w:t>s</w:t>
      </w:r>
      <w:r w:rsidRPr="004623F4">
        <w:rPr>
          <w:rFonts w:ascii="Times New Roman" w:hAnsi="Times New Roman" w:cs="Times New Roman"/>
          <w:color w:val="auto"/>
          <w:szCs w:val="22"/>
        </w:rPr>
        <w:t xml:space="preserve"> w</w:t>
      </w:r>
      <w:r>
        <w:rPr>
          <w:rFonts w:ascii="Times New Roman" w:hAnsi="Times New Roman" w:cs="Times New Roman"/>
          <w:color w:val="auto"/>
          <w:szCs w:val="22"/>
        </w:rPr>
        <w:t>ere</w:t>
      </w:r>
      <w:r w:rsidRPr="004623F4">
        <w:rPr>
          <w:rFonts w:ascii="Times New Roman" w:hAnsi="Times New Roman" w:cs="Times New Roman"/>
          <w:color w:val="auto"/>
          <w:szCs w:val="22"/>
        </w:rPr>
        <w:t xml:space="preserve"> then homogenized in 70% formic acid, </w:t>
      </w:r>
      <w:proofErr w:type="spellStart"/>
      <w:r w:rsidRPr="004623F4">
        <w:rPr>
          <w:rFonts w:ascii="Times New Roman" w:hAnsi="Times New Roman" w:cs="Times New Roman"/>
          <w:color w:val="auto"/>
          <w:szCs w:val="22"/>
        </w:rPr>
        <w:t>ultracentrifuged</w:t>
      </w:r>
      <w:proofErr w:type="spellEnd"/>
      <w:r w:rsidRPr="004623F4">
        <w:rPr>
          <w:rFonts w:ascii="Times New Roman" w:hAnsi="Times New Roman" w:cs="Times New Roman"/>
          <w:color w:val="auto"/>
          <w:szCs w:val="22"/>
        </w:rPr>
        <w:t xml:space="preserve"> as above, neutralized by 1:20 dilution into 1M </w:t>
      </w:r>
      <w:proofErr w:type="spellStart"/>
      <w:r w:rsidRPr="004623F4">
        <w:rPr>
          <w:rFonts w:ascii="Times New Roman" w:hAnsi="Times New Roman" w:cs="Times New Roman"/>
          <w:color w:val="auto"/>
          <w:szCs w:val="22"/>
        </w:rPr>
        <w:t>Tris</w:t>
      </w:r>
      <w:proofErr w:type="spellEnd"/>
      <w:r w:rsidRPr="004623F4">
        <w:rPr>
          <w:rFonts w:ascii="Times New Roman" w:hAnsi="Times New Roman" w:cs="Times New Roman"/>
          <w:color w:val="auto"/>
          <w:szCs w:val="22"/>
        </w:rPr>
        <w:t xml:space="preserve"> (pH</w:t>
      </w:r>
      <w:r>
        <w:rPr>
          <w:rFonts w:ascii="Times New Roman" w:hAnsi="Times New Roman" w:cs="Times New Roman"/>
          <w:color w:val="auto"/>
          <w:szCs w:val="22"/>
        </w:rPr>
        <w:t>=</w:t>
      </w:r>
      <w:r w:rsidRPr="004623F4">
        <w:rPr>
          <w:rFonts w:ascii="Times New Roman" w:hAnsi="Times New Roman" w:cs="Times New Roman"/>
          <w:color w:val="auto"/>
          <w:szCs w:val="22"/>
        </w:rPr>
        <w:t>11.0)</w:t>
      </w:r>
      <w:r>
        <w:rPr>
          <w:rFonts w:ascii="Times New Roman" w:hAnsi="Times New Roman" w:cs="Times New Roman"/>
          <w:color w:val="auto"/>
          <w:szCs w:val="22"/>
        </w:rPr>
        <w:t xml:space="preserve">, and stored at -80°C (Formic acid fraction) (See </w:t>
      </w:r>
      <w:r w:rsidRPr="00616FC2">
        <w:rPr>
          <w:rFonts w:ascii="Times New Roman" w:hAnsi="Times New Roman" w:cs="Times New Roman"/>
          <w:b/>
          <w:color w:val="auto"/>
          <w:szCs w:val="22"/>
        </w:rPr>
        <w:t>Suppl. Figure 5a</w:t>
      </w:r>
      <w:r>
        <w:rPr>
          <w:rFonts w:ascii="Times New Roman" w:hAnsi="Times New Roman" w:cs="Times New Roman"/>
          <w:color w:val="auto"/>
          <w:szCs w:val="22"/>
        </w:rPr>
        <w:t>)</w:t>
      </w:r>
      <w:r w:rsidRPr="004623F4">
        <w:rPr>
          <w:rFonts w:ascii="Times New Roman" w:hAnsi="Times New Roman" w:cs="Times New Roman"/>
          <w:color w:val="auto"/>
          <w:szCs w:val="22"/>
        </w:rPr>
        <w:t>. All homogenization and sample collection steps were performed on ice</w:t>
      </w:r>
      <w:r>
        <w:rPr>
          <w:rFonts w:ascii="Times New Roman" w:hAnsi="Times New Roman" w:cs="Times New Roman"/>
          <w:color w:val="auto"/>
          <w:szCs w:val="22"/>
        </w:rPr>
        <w:t>,</w:t>
      </w:r>
      <w:r w:rsidRPr="004623F4">
        <w:rPr>
          <w:rFonts w:ascii="Times New Roman" w:hAnsi="Times New Roman" w:cs="Times New Roman"/>
          <w:color w:val="auto"/>
          <w:szCs w:val="22"/>
        </w:rPr>
        <w:t xml:space="preserve"> and samples were aliquoted to avoid denaturing of protein by repeated freeze–thaw cycles.</w:t>
      </w:r>
      <w:r>
        <w:rPr>
          <w:rFonts w:ascii="Times New Roman" w:hAnsi="Times New Roman" w:cs="Times New Roman"/>
          <w:color w:val="auto"/>
          <w:szCs w:val="22"/>
        </w:rPr>
        <w:t xml:space="preserve"> </w:t>
      </w:r>
    </w:p>
    <w:p w:rsidR="005817AC" w:rsidRDefault="005817AC" w:rsidP="005817AC">
      <w:pPr>
        <w:pStyle w:val="Normal1"/>
        <w:spacing w:line="360" w:lineRule="auto"/>
        <w:jc w:val="both"/>
        <w:outlineLvl w:val="0"/>
        <w:rPr>
          <w:rFonts w:ascii="Times New Roman" w:hAnsi="Times New Roman" w:cs="Times New Roman"/>
          <w:color w:val="auto"/>
          <w:szCs w:val="22"/>
        </w:rPr>
      </w:pPr>
    </w:p>
    <w:p w:rsidR="00711E05" w:rsidRDefault="005817AC" w:rsidP="005817AC">
      <w:pPr>
        <w:pStyle w:val="Normal1"/>
        <w:spacing w:line="360" w:lineRule="auto"/>
        <w:jc w:val="both"/>
        <w:outlineLvl w:val="0"/>
        <w:rPr>
          <w:rFonts w:ascii="Times New Roman" w:hAnsi="Times New Roman" w:cs="Times New Roman"/>
          <w:color w:val="auto"/>
          <w:szCs w:val="22"/>
        </w:rPr>
      </w:pPr>
      <w:proofErr w:type="spellStart"/>
      <w:r w:rsidRPr="00AA1A77">
        <w:rPr>
          <w:rFonts w:ascii="Times New Roman" w:hAnsi="Times New Roman" w:cs="Times New Roman"/>
          <w:b/>
          <w:color w:val="auto"/>
          <w:szCs w:val="22"/>
        </w:rPr>
        <w:t>Aß</w:t>
      </w:r>
      <w:proofErr w:type="spellEnd"/>
      <w:r w:rsidRPr="00AA1A77">
        <w:rPr>
          <w:rFonts w:ascii="Times New Roman" w:hAnsi="Times New Roman" w:cs="Times New Roman"/>
          <w:b/>
          <w:color w:val="auto"/>
          <w:szCs w:val="22"/>
        </w:rPr>
        <w:t xml:space="preserve"> assays and o</w:t>
      </w:r>
      <w:r w:rsidRPr="000B497F">
        <w:rPr>
          <w:rFonts w:ascii="Times New Roman" w:hAnsi="Times New Roman" w:cs="Times New Roman"/>
          <w:b/>
          <w:color w:val="auto"/>
          <w:szCs w:val="22"/>
        </w:rPr>
        <w:t>ligomer epitope characterization</w:t>
      </w:r>
      <w:r w:rsidRPr="00491C1B">
        <w:rPr>
          <w:b/>
          <w:szCs w:val="22"/>
        </w:rPr>
        <w:t>.</w:t>
      </w:r>
      <w:r>
        <w:rPr>
          <w:rFonts w:ascii="Times New Roman" w:hAnsi="Times New Roman" w:cs="Times New Roman"/>
          <w:color w:val="auto"/>
          <w:szCs w:val="22"/>
        </w:rPr>
        <w:t xml:space="preserve"> </w:t>
      </w:r>
    </w:p>
    <w:p w:rsidR="005817AC" w:rsidRPr="00041FD0" w:rsidRDefault="005817AC" w:rsidP="00711E05">
      <w:pPr>
        <w:pStyle w:val="Normal1"/>
        <w:spacing w:line="360" w:lineRule="auto"/>
        <w:ind w:firstLine="720"/>
        <w:jc w:val="both"/>
        <w:outlineLvl w:val="0"/>
        <w:rPr>
          <w:rFonts w:ascii="Times New Roman" w:hAnsi="Times New Roman" w:cs="Times New Roman"/>
          <w:color w:val="auto"/>
          <w:szCs w:val="22"/>
        </w:rPr>
      </w:pPr>
      <w:r w:rsidRPr="004623F4">
        <w:rPr>
          <w:rFonts w:ascii="Times New Roman" w:hAnsi="Times New Roman" w:cs="Times New Roman"/>
          <w:color w:val="auto"/>
          <w:szCs w:val="22"/>
        </w:rPr>
        <w:t>For</w:t>
      </w:r>
      <w:r w:rsidRPr="00041FD0">
        <w:rPr>
          <w:rFonts w:ascii="Times New Roman" w:hAnsi="Times New Roman" w:cs="Times New Roman"/>
          <w:color w:val="auto"/>
          <w:szCs w:val="22"/>
        </w:rPr>
        <w:t xml:space="preserve"> analysis of native oligomeric Aβ protein structure, 2μl protein samples from the TBS-soluble fraction were spotted onto activated P</w:t>
      </w:r>
      <w:r>
        <w:rPr>
          <w:rFonts w:ascii="Times New Roman" w:hAnsi="Times New Roman" w:cs="Times New Roman"/>
          <w:color w:val="auto"/>
          <w:szCs w:val="22"/>
        </w:rPr>
        <w:t>VDF membrane (0.22μm; Millipore</w:t>
      </w:r>
      <w:r w:rsidRPr="00041FD0">
        <w:rPr>
          <w:rFonts w:ascii="Times New Roman" w:hAnsi="Times New Roman" w:cs="Times New Roman"/>
          <w:color w:val="auto"/>
          <w:szCs w:val="22"/>
        </w:rPr>
        <w:t>). Membranes were blocked for 1h (5% non-fat milk</w:t>
      </w:r>
      <w:r>
        <w:rPr>
          <w:rFonts w:ascii="Times New Roman" w:hAnsi="Times New Roman" w:cs="Times New Roman"/>
          <w:color w:val="auto"/>
          <w:szCs w:val="22"/>
        </w:rPr>
        <w:t xml:space="preserve">, </w:t>
      </w:r>
      <w:r w:rsidRPr="00041FD0">
        <w:rPr>
          <w:rFonts w:ascii="Times New Roman" w:hAnsi="Times New Roman" w:cs="Times New Roman"/>
          <w:color w:val="auto"/>
          <w:szCs w:val="22"/>
        </w:rPr>
        <w:t>TBS</w:t>
      </w:r>
      <w:r>
        <w:rPr>
          <w:rFonts w:ascii="Times New Roman" w:hAnsi="Times New Roman" w:cs="Times New Roman"/>
          <w:color w:val="auto"/>
          <w:szCs w:val="22"/>
        </w:rPr>
        <w:t>-T</w:t>
      </w:r>
      <w:r w:rsidRPr="00041FD0">
        <w:rPr>
          <w:rFonts w:ascii="Times New Roman" w:hAnsi="Times New Roman" w:cs="Times New Roman"/>
          <w:color w:val="auto"/>
          <w:szCs w:val="22"/>
        </w:rPr>
        <w:t xml:space="preserve">) </w:t>
      </w:r>
      <w:r w:rsidRPr="007349BA">
        <w:rPr>
          <w:rFonts w:ascii="Times New Roman" w:hAnsi="Times New Roman" w:cs="Times New Roman"/>
          <w:color w:val="auto"/>
          <w:szCs w:val="22"/>
        </w:rPr>
        <w:t xml:space="preserve">and incubated overnight at 4°C in blocking buffer with either </w:t>
      </w:r>
      <w:r w:rsidRPr="007349BA">
        <w:rPr>
          <w:rFonts w:ascii="Times New Roman" w:hAnsi="Times New Roman" w:cs="Times New Roman"/>
          <w:szCs w:val="22"/>
        </w:rPr>
        <w:t xml:space="preserve">rabbit </w:t>
      </w:r>
      <w:proofErr w:type="spellStart"/>
      <w:r w:rsidRPr="007349BA">
        <w:rPr>
          <w:rFonts w:ascii="Times New Roman" w:hAnsi="Times New Roman" w:cs="Times New Roman"/>
          <w:szCs w:val="22"/>
        </w:rPr>
        <w:t>pAb</w:t>
      </w:r>
      <w:proofErr w:type="spellEnd"/>
      <w:r w:rsidRPr="007349BA">
        <w:rPr>
          <w:rFonts w:ascii="Times New Roman" w:hAnsi="Times New Roman" w:cs="Times New Roman"/>
          <w:szCs w:val="22"/>
        </w:rPr>
        <w:t xml:space="preserve"> A</w:t>
      </w:r>
      <w:r w:rsidR="007349BA" w:rsidRPr="007349BA">
        <w:rPr>
          <w:rFonts w:ascii="Times New Roman" w:hAnsi="Times New Roman" w:cs="Times New Roman"/>
          <w:szCs w:val="22"/>
        </w:rPr>
        <w:t>11 (anti-prefibrillar oligomers;</w:t>
      </w:r>
      <w:r w:rsidRPr="007349BA">
        <w:rPr>
          <w:rFonts w:ascii="Times New Roman" w:hAnsi="Times New Roman" w:cs="Times New Roman"/>
          <w:szCs w:val="22"/>
        </w:rPr>
        <w:t xml:space="preserve"> 0.5μg/ml</w:t>
      </w:r>
      <w:r w:rsidR="007349BA" w:rsidRPr="007349BA">
        <w:rPr>
          <w:rFonts w:ascii="Times New Roman" w:hAnsi="Times New Roman" w:cs="Times New Roman"/>
          <w:szCs w:val="22"/>
        </w:rPr>
        <w:t xml:space="preserve">; </w:t>
      </w:r>
      <w:r w:rsidR="007349BA" w:rsidRPr="007349BA">
        <w:rPr>
          <w:rFonts w:ascii="Times New Roman" w:hAnsi="Times New Roman" w:cs="Times New Roman"/>
          <w:szCs w:val="22"/>
        </w:rPr>
        <w:t xml:space="preserve">gift from Charles </w:t>
      </w:r>
      <w:proofErr w:type="spellStart"/>
      <w:r w:rsidR="007349BA" w:rsidRPr="007349BA">
        <w:rPr>
          <w:rFonts w:ascii="Times New Roman" w:hAnsi="Times New Roman" w:cs="Times New Roman"/>
          <w:szCs w:val="22"/>
        </w:rPr>
        <w:t>Glabe</w:t>
      </w:r>
      <w:proofErr w:type="spellEnd"/>
      <w:r w:rsidR="007349BA" w:rsidRPr="007349BA">
        <w:rPr>
          <w:rFonts w:ascii="Times New Roman" w:hAnsi="Times New Roman" w:cs="Times New Roman"/>
          <w:szCs w:val="22"/>
        </w:rPr>
        <w:t>, University of California Irvine</w:t>
      </w:r>
      <w:r w:rsidR="007349BA">
        <w:rPr>
          <w:rFonts w:ascii="Times New Roman" w:hAnsi="Times New Roman" w:cs="Times New Roman"/>
          <w:szCs w:val="22"/>
        </w:rPr>
        <w:t>)</w:t>
      </w:r>
      <w:r w:rsidRPr="007349BA">
        <w:rPr>
          <w:rFonts w:ascii="Times New Roman" w:hAnsi="Times New Roman" w:cs="Times New Roman"/>
          <w:szCs w:val="22"/>
        </w:rPr>
        <w:t>,</w:t>
      </w:r>
      <w:r w:rsidRPr="00041FD0">
        <w:rPr>
          <w:rFonts w:ascii="Times New Roman" w:hAnsi="Times New Roman" w:cs="Times New Roman"/>
          <w:szCs w:val="22"/>
        </w:rPr>
        <w:t xml:space="preserve"> rabbit </w:t>
      </w:r>
      <w:proofErr w:type="spellStart"/>
      <w:r w:rsidRPr="00041FD0">
        <w:rPr>
          <w:rFonts w:ascii="Times New Roman" w:hAnsi="Times New Roman" w:cs="Times New Roman"/>
          <w:szCs w:val="22"/>
        </w:rPr>
        <w:t>pAb</w:t>
      </w:r>
      <w:proofErr w:type="spellEnd"/>
      <w:r w:rsidRPr="00041FD0">
        <w:rPr>
          <w:rFonts w:ascii="Times New Roman" w:hAnsi="Times New Roman" w:cs="Times New Roman"/>
          <w:szCs w:val="22"/>
        </w:rPr>
        <w:t xml:space="preserve"> OC (anti-</w:t>
      </w:r>
      <w:proofErr w:type="spellStart"/>
      <w:r w:rsidRPr="00041FD0">
        <w:rPr>
          <w:rFonts w:ascii="Times New Roman" w:hAnsi="Times New Roman" w:cs="Times New Roman"/>
          <w:szCs w:val="22"/>
        </w:rPr>
        <w:t>fibrillar</w:t>
      </w:r>
      <w:proofErr w:type="spellEnd"/>
      <w:r w:rsidRPr="00041FD0">
        <w:rPr>
          <w:rFonts w:ascii="Times New Roman" w:hAnsi="Times New Roman" w:cs="Times New Roman"/>
          <w:szCs w:val="22"/>
        </w:rPr>
        <w:t xml:space="preserve"> oligomers and fibrils; 0.25μg/ml</w:t>
      </w:r>
      <w:r>
        <w:rPr>
          <w:rFonts w:ascii="Times New Roman" w:hAnsi="Times New Roman" w:cs="Times New Roman"/>
          <w:szCs w:val="22"/>
        </w:rPr>
        <w:t xml:space="preserve">; gift </w:t>
      </w:r>
      <w:r>
        <w:rPr>
          <w:rFonts w:ascii="Times New Roman" w:hAnsi="Times New Roman" w:cs="Times New Roman"/>
          <w:szCs w:val="22"/>
        </w:rPr>
        <w:lastRenderedPageBreak/>
        <w:t xml:space="preserve">from Charles </w:t>
      </w:r>
      <w:proofErr w:type="spellStart"/>
      <w:r>
        <w:rPr>
          <w:rFonts w:ascii="Times New Roman" w:hAnsi="Times New Roman" w:cs="Times New Roman"/>
          <w:szCs w:val="22"/>
        </w:rPr>
        <w:t>Glabe</w:t>
      </w:r>
      <w:proofErr w:type="spellEnd"/>
      <w:r w:rsidRPr="00041FD0">
        <w:rPr>
          <w:rFonts w:ascii="Times New Roman" w:hAnsi="Times New Roman" w:cs="Times New Roman"/>
          <w:szCs w:val="22"/>
        </w:rPr>
        <w:t xml:space="preserve">) </w:t>
      </w:r>
      <w:r>
        <w:rPr>
          <w:rFonts w:ascii="Times New Roman" w:hAnsi="Times New Roman" w:cs="Times New Roman"/>
          <w:szCs w:val="22"/>
        </w:rPr>
        <w:t>or</w:t>
      </w:r>
      <w:r w:rsidRPr="00041FD0">
        <w:rPr>
          <w:rFonts w:ascii="Times New Roman" w:hAnsi="Times New Roman" w:cs="Times New Roman"/>
          <w:szCs w:val="22"/>
        </w:rPr>
        <w:t xml:space="preserve"> mouse </w:t>
      </w:r>
      <w:proofErr w:type="spellStart"/>
      <w:r w:rsidRPr="00041FD0">
        <w:rPr>
          <w:rFonts w:ascii="Times New Roman" w:hAnsi="Times New Roman" w:cs="Times New Roman"/>
          <w:szCs w:val="22"/>
        </w:rPr>
        <w:t>mAb</w:t>
      </w:r>
      <w:proofErr w:type="spellEnd"/>
      <w:r w:rsidRPr="00041FD0">
        <w:rPr>
          <w:rFonts w:ascii="Times New Roman" w:hAnsi="Times New Roman" w:cs="Times New Roman"/>
          <w:szCs w:val="22"/>
        </w:rPr>
        <w:t xml:space="preserve"> N</w:t>
      </w:r>
      <w:r>
        <w:rPr>
          <w:rFonts w:ascii="Times New Roman" w:hAnsi="Times New Roman" w:cs="Times New Roman"/>
          <w:szCs w:val="22"/>
        </w:rPr>
        <w:t>U</w:t>
      </w:r>
      <w:r w:rsidRPr="00041FD0">
        <w:rPr>
          <w:rFonts w:ascii="Times New Roman" w:hAnsi="Times New Roman" w:cs="Times New Roman"/>
          <w:szCs w:val="22"/>
        </w:rPr>
        <w:t>-4 (anti-oligomers; 1μg/ml</w:t>
      </w:r>
      <w:r>
        <w:rPr>
          <w:rFonts w:ascii="Times New Roman" w:hAnsi="Times New Roman" w:cs="Times New Roman"/>
          <w:szCs w:val="22"/>
        </w:rPr>
        <w:t>; gift from William Klein, Northwestern University</w:t>
      </w:r>
      <w:r w:rsidRPr="00041FD0">
        <w:rPr>
          <w:rFonts w:ascii="Times New Roman" w:hAnsi="Times New Roman" w:cs="Times New Roman"/>
          <w:szCs w:val="22"/>
        </w:rPr>
        <w:t>)</w:t>
      </w:r>
      <w:r>
        <w:rPr>
          <w:szCs w:val="22"/>
        </w:rPr>
        <w:fldChar w:fldCharType="begin"/>
      </w:r>
      <w:r>
        <w:rPr>
          <w:rFonts w:ascii="Times New Roman" w:hAnsi="Times New Roman" w:cs="Times New Roman"/>
          <w:szCs w:val="22"/>
        </w:rPr>
        <w:instrText xml:space="preserve"> ADDIN ZOTERO_ITEM CSL_CITATION {"citationID":"mAvyT4yL","properties":{"formattedCitation":"\\super 28,39,40\\nosupersub{}","plainCitation":"28,39,40","noteIndex":0},"citationItems":[{"id":4613,"uris":["http://zotero.org/users/1184628/items/C8KI9N56"],"uri":["http://zotero.org/users/1184628/items/C8KI9N56"],"itemData":{"id":4613,"type":"article-journal","title":"Deficiency of TYROBP, an adapter protein for TREM2 and CR3 receptors, is neuroprotective in a mouse model of early Alzheimer's pathology","container-title":"Acta Neuropathologica","page":"769-788","volume":"134","issue":"5","source":"PubMed","abstract":"Conventional genetic approaches and computational strategies have converged on immune-inflammatory pathways as key events in the pathogenesis of late onset sporadic Alzheimer's disease (LOAD). Mutations and/or differential expression of microglial specific receptors such as TREM2, CD33, and CR3 have been associated with strong increased risk for developing Alzheimer's disease (AD). DAP12 (DNAX-activating protein 12)/TYROBP, a molecule localized to microglia, is a direct partner/adapter for TREM2, CD33, and CR3. We and others have previously shown that TYROBP expression is increased in AD patients and in mouse models. Moreover, missense mutations in the coding region of TYROBP have recently been identified in some AD patients. These lines of evidence, along with computational analysis of LOAD brain gene expression, point to DAP12/TYROBP as a potential hub or driver protein in the pathogenesis of AD. Using a comprehensive panel of biochemical, physiological, behavioral, and transcriptomic assays, we evaluated in a mouse model the role of TYROBP in early stage AD. We crossed an Alzheimer's model mutant APP KM670/671NL /PSEN1 Δexon9 (APP/PSEN1) mouse model with Tyrobp -/- mice to generate AD model mice deficient or null for TYROBP (APP/PSEN1; Tyrobp +/- or APP/PSEN1; Tyrobp -/-). While we observed relatively minor effects of TYROBP deficiency on steady-state levels of amyloid-β peptides, there was an effect of Tyrobp deficiency on the morphology of amyloid deposits resembling that reported by others for Trem2 -/- mice. We identified modulatory effects of TYROBP deficiency on the level of phosphorylation of TAU that was accompanied by a reduction in the severity of neuritic dystrophy. TYROBP deficiency also altered the expression of several AD related genes, including Cd33. Electrophysiological abnormalities and learning behavior deficits associated with APP/PSEN1 transgenes were greatly attenuated on a Tyrobp-null background. Some modulatory effects of TYROBP on Alzheimer's-related genes were only apparent on a background of mice with cerebral amyloidosis due to overexpression of mutant APP/PSEN1. These results suggest that reduction of TYROBP gene expression and/or protein levels could represent an immune-inflammatory therapeutic opportunity for modulating early stage LOAD, potentially leading to slowing or arresting the progression to full-blown clinical and pathological LOAD.","DOI":"10.1007/s00401-017-1737-3","ISSN":"1432-0533","note":"PMID: 28612290\nPMCID: PMC5645450","journalAbbreviation":"Acta Neuropathol.","language":"eng","author":[{"family":"Haure-Mirande","given":"Jean-Vianney"},{"family":"Audrain","given":"Mickael"},{"family":"Fanutza","given":"Tomas"},{"family":"Kim","given":"Soong Ho"},{"family":"Klein","given":"William L."},{"family":"Glabe","given":"Charles"},{"family":"Readhead","given":"Ben"},{"family":"Dudley","given":"Joel T."},{"family":"Blitzer","given":"Robert D."},{"family":"Wang","given":"Minghui"},{"family":"Zhang","given":"Bin"},{"family":"Schadt","given":"Eric E."},{"family":"Gandy","given":"Sam"},{"family":"Ehrlich","given":"Michelle E."}],"issued":{"date-parts":[["2017",11]]}},"label":"page"},{"id":4656,"uris":["http://zotero.org/users/1184628/items/82E7GUSZ"],"uri":["http://zotero.org/users/1184628/items/82E7GUSZ"],"itemData":{"id":4656,"type":"article-journal","title":"Monoclonal antibodies that target pathological assemblies of Abeta","container-title":"Journal of Neurochemistry","page":"23-35","volume":"100","issue":"1","source":"PubMed","abstract":"Amyloid beta (Abeta) immunotherapy for Alzheimer's disease has shown initial success in mouse models of Alzheimer's disease and in human patients. However, because of meningoencephalitis in clinical trials of active vaccination, approaches using therapeutic antibodies may be preferred. As a novel antigen to generate monoclonal antibodies, the current study has used Abeta oligomers (amyloid beta-derived diffusible ligands, ADDLs), pathological assemblies known to accumulate in Alzheimer's disease brain. Clones were selected for the ability to discriminate Alzheimer's disease from control brains in extracts and tissue sections. These antibodies recognized Abeta oligomers and fibrils but not the physiologically prevalent Abeta monomer. Discrimination derived from an epitope found in assemblies of Abeta1-28 and ADDLs but not in other sequences, including Abeta1-40. Immunoneutralization experiments showed that toxicity and attachment of ADDLs to synapses in culture could be prevented. ADDL-induced reactive oxygen species (ROS) generation was also inhibited, establishing this response to be oligomer-dependent. Inhibition occurred whether ADDLs were prepared in vitro or obtained from Alzheimer's disease brain. As conformationally sensitive monoclonal antibodies that selectively immunoneutralize binding and function of pathological Abeta assemblies, these antibodies provide tools by which pathological Abeta assemblies from Alzheimer's disease brain might be isolated and evaluated, as well as offering a valuable prototype for new antibodies useful for Alzheimer's disease therapeutics.","DOI":"10.1111/j.1471-4159.2006.04157.x","ISSN":"0022-3042","note":"PMID: 17116235","journalAbbreviation":"J. Neurochem.","language":"eng","author":[{"family":"Lambert","given":"Mary P."},{"family":"Velasco","given":"Pauline T."},{"family":"Chang","given":"Lei"},{"family":"Viola","given":"Kirsten L."},{"family":"Fernandez","given":"Sara"},{"family":"Lacor","given":"Pascale N."},{"family":"Khuon","given":"Daliya"},{"family":"Gong","given":"Yuesong"},{"family":"Bigio","given":"Eileen H."},{"family":"Shaw","given":"Pamela"},{"family":"De Felice","given":"Fernanda G."},{"family":"Krafft","given":"Grant A."},{"family":"Klein","given":"William L."}],"issued":{"date-parts":[["2007",1]]}},"label":"page"},{"id":4658,"uris":["http://zotero.org/users/1184628/items/D8IRS5NF"],"uri":["http://zotero.org/users/1184628/items/D8IRS5NF"],"itemData":{"id":4658,"type":"article-journal","title":"Soluble fibrillar oligomer levels are elevated in Alzheimer's disease brain and correlate with cognitive dysfunction","container-title":"Neurobiology of Disease","page":"352-358","volume":"35","issue":"3","source":"PubMed","abstract":"Recent evidence has suggested a role for soluble oligomeric Abeta species in the pathology of Alzheimer's disease (AD). Fibrillar plaque deposits are present in non-demented individuals and levels of soluble Abeta correlate better with cognitive dysfunction in AD and transgenic mouse models. We have previously reported that there are at least two conformationally distinct types of Abeta oligomers: prefibrillar oligomers that are kinetic intermediates in fibril assembly reactions and are specifically recognized by A11 antibody and fibrillar oligomers that may represent fibril seeds or small pieces of fibrils and are recognized by a fibril specific antibody, OC. We have examined the levels of these two types of oligomers in the PBS soluble fraction of brain tissue from control cases, cases with senile degenerative changes (SDC) and AD patients. We found that the levels of soluble fibrillar oligomers detected by OC antibody are significantly elevated in multiple brain regions of AD patients. The elevated fibrillar oligomer levels were found not to be an artifact of tissue homogenization, nor a result of increased Abeta or APP levels. The concentration of fibrillar oligomers in adjacent brain regions of the same patient can vary widely and were not detected in post-mortem cerebrospinal fluid. In contrast, the level of prefibrillar oligomers are variable in both AD and age matched controls, indicating that they are not correlated with cognitive dysfunction and suggesting that they precede dementia in AD. Significant correlations were found between the levels of fibrillar oligomers and cognitive decline (MMSE scores) as well as the neuropathological hallmarks of AD. These results indicate that fibrillar oligomers may play a key role in the pathology of AD and may be a new target for diagnostic and therapeutic development.","DOI":"10.1016/j.nbd.2009.05.024","ISSN":"1095-953X","note":"PMID: 19523517\nPMCID: PMC2725199","journalAbbreviation":"Neurobiol. Dis.","language":"eng","author":[{"family":"Tomic","given":"Jennifer L."},{"family":"Pensalfini","given":"Anna"},{"family":"Head","given":"Elizabeth"},{"family":"Glabe","given":"Charles G."}],"issued":{"date-parts":[["2009",9]]}},"label":"page"}],"schema":"https://github.com/citation-style-language/schema/raw/master/csl-citation.json"} </w:instrText>
      </w:r>
      <w:r>
        <w:rPr>
          <w:szCs w:val="22"/>
        </w:rPr>
        <w:fldChar w:fldCharType="separate"/>
      </w:r>
      <w:r w:rsidRPr="00D92452">
        <w:rPr>
          <w:rFonts w:ascii="Times New Roman" w:hAnsi="Times New Roman" w:cs="Times New Roman"/>
          <w:vertAlign w:val="superscript"/>
        </w:rPr>
        <w:t>28,39,40</w:t>
      </w:r>
      <w:r>
        <w:rPr>
          <w:szCs w:val="22"/>
        </w:rPr>
        <w:fldChar w:fldCharType="end"/>
      </w:r>
      <w:r w:rsidRPr="00D40805">
        <w:rPr>
          <w:rFonts w:ascii="Times New Roman" w:hAnsi="Times New Roman" w:cs="Times New Roman"/>
          <w:szCs w:val="22"/>
        </w:rPr>
        <w:t xml:space="preserve">. </w:t>
      </w:r>
      <w:r w:rsidRPr="00041FD0">
        <w:rPr>
          <w:rFonts w:ascii="Times New Roman" w:hAnsi="Times New Roman" w:cs="Times New Roman"/>
          <w:color w:val="auto"/>
          <w:szCs w:val="22"/>
        </w:rPr>
        <w:t>Generation, purification, and ch</w:t>
      </w:r>
      <w:r>
        <w:rPr>
          <w:rFonts w:ascii="Times New Roman" w:hAnsi="Times New Roman" w:cs="Times New Roman"/>
          <w:color w:val="auto"/>
          <w:szCs w:val="22"/>
        </w:rPr>
        <w:t>aracterization of A11, OC and NU</w:t>
      </w:r>
      <w:r w:rsidRPr="00041FD0">
        <w:rPr>
          <w:rFonts w:ascii="Times New Roman" w:hAnsi="Times New Roman" w:cs="Times New Roman"/>
          <w:color w:val="auto"/>
          <w:szCs w:val="22"/>
        </w:rPr>
        <w:t>-4 have been described previousl</w:t>
      </w:r>
      <w:r>
        <w:rPr>
          <w:rFonts w:ascii="Times New Roman" w:hAnsi="Times New Roman" w:cs="Times New Roman"/>
          <w:color w:val="auto"/>
          <w:szCs w:val="22"/>
        </w:rPr>
        <w:t>y</w:t>
      </w:r>
      <w:r>
        <w:rPr>
          <w:szCs w:val="22"/>
        </w:rPr>
        <w:fldChar w:fldCharType="begin"/>
      </w:r>
      <w:r>
        <w:rPr>
          <w:rFonts w:ascii="Times New Roman" w:hAnsi="Times New Roman" w:cs="Times New Roman"/>
          <w:szCs w:val="22"/>
        </w:rPr>
        <w:instrText xml:space="preserve"> ADDIN ZOTERO_ITEM CSL_CITATION {"citationID":"iHHDMajR","properties":{"formattedCitation":"\\super 39,40\\nosupersub{}","plainCitation":"39,40","noteIndex":0},"citationItems":[{"id":4656,"uris":["http://zotero.org/users/1184628/items/82E7GUSZ"],"uri":["http://zotero.org/users/1184628/items/82E7GUSZ"],"itemData":{"id":4656,"type":"article-journal","title":"Monoclonal antibodies that target pathological assemblies of Abeta","container-title":"Journal of Neurochemistry","page":"23-35","volume":"100","issue":"1","source":"PubMed","abstract":"Amyloid beta (Abeta) immunotherapy for Alzheimer's disease has shown initial success in mouse models of Alzheimer's disease and in human patients. However, because of meningoencephalitis in clinical trials of active vaccination, approaches using therapeutic antibodies may be preferred. As a novel antigen to generate monoclonal antibodies, the current study has used Abeta oligomers (amyloid beta-derived diffusible ligands, ADDLs), pathological assemblies known to accumulate in Alzheimer's disease brain. Clones were selected for the ability to discriminate Alzheimer's disease from control brains in extracts and tissue sections. These antibodies recognized Abeta oligomers and fibrils but not the physiologically prevalent Abeta monomer. Discrimination derived from an epitope found in assemblies of Abeta1-28 and ADDLs but not in other sequences, including Abeta1-40. Immunoneutralization experiments showed that toxicity and attachment of ADDLs to synapses in culture could be prevented. ADDL-induced reactive oxygen species (ROS) generation was also inhibited, establishing this response to be oligomer-dependent. Inhibition occurred whether ADDLs were prepared in vitro or obtained from Alzheimer's disease brain. As conformationally sensitive monoclonal antibodies that selectively immunoneutralize binding and function of pathological Abeta assemblies, these antibodies provide tools by which pathological Abeta assemblies from Alzheimer's disease brain might be isolated and evaluated, as well as offering a valuable prototype for new antibodies useful for Alzheimer's disease therapeutics.","DOI":"10.1111/j.1471-4159.2006.04157.x","ISSN":"0022-3042","note":"PMID: 17116235","journalAbbreviation":"J. Neurochem.","language":"eng","author":[{"family":"Lambert","given":"Mary P."},{"family":"Velasco","given":"Pauline T."},{"family":"Chang","given":"Lei"},{"family":"Viola","given":"Kirsten L."},{"family":"Fernandez","given":"Sara"},{"family":"Lacor","given":"Pascale N."},{"family":"Khuon","given":"Daliya"},{"family":"Gong","given":"Yuesong"},{"family":"Bigio","given":"Eileen H."},{"family":"Shaw","given":"Pamela"},{"family":"De Felice","given":"Fernanda G."},{"family":"Krafft","given":"Grant A."},{"family":"Klein","given":"William L."}],"issued":{"date-parts":[["2007",1]]}},"label":"page"},{"id":4658,"uris":["http://zotero.org/users/1184628/items/D8IRS5NF"],"uri":["http://zotero.org/users/1184628/items/D8IRS5NF"],"itemData":{"id":4658,"type":"article-journal","title":"Soluble fibrillar oligomer levels are elevated in Alzheimer's disease brain and correlate with cognitive dysfunction","container-title":"Neurobiology of Disease","page":"352-358","volume":"35","issue":"3","source":"PubMed","abstract":"Recent evidence has suggested a role for soluble oligomeric Abeta species in the pathology of Alzheimer's disease (AD). Fibrillar plaque deposits are present in non-demented individuals and levels of soluble Abeta correlate better with cognitive dysfunction in AD and transgenic mouse models. We have previously reported that there are at least two conformationally distinct types of Abeta oligomers: prefibrillar oligomers that are kinetic intermediates in fibril assembly reactions and are specifically recognized by A11 antibody and fibrillar oligomers that may represent fibril seeds or small pieces of fibrils and are recognized by a fibril specific antibody, OC. We have examined the levels of these two types of oligomers in the PBS soluble fraction of brain tissue from control cases, cases with senile degenerative changes (SDC) and AD patients. We found that the levels of soluble fibrillar oligomers detected by OC antibody are significantly elevated in multiple brain regions of AD patients. The elevated fibrillar oligomer levels were found not to be an artifact of tissue homogenization, nor a result of increased Abeta or APP levels. The concentration of fibrillar oligomers in adjacent brain regions of the same patient can vary widely and were not detected in post-mortem cerebrospinal fluid. In contrast, the level of prefibrillar oligomers are variable in both AD and age matched controls, indicating that they are not correlated with cognitive dysfunction and suggesting that they precede dementia in AD. Significant correlations were found between the levels of fibrillar oligomers and cognitive decline (MMSE scores) as well as the neuropathological hallmarks of AD. These results indicate that fibrillar oligomers may play a key role in the pathology of AD and may be a new target for diagnostic and therapeutic development.","DOI":"10.1016/j.nbd.2009.05.024","ISSN":"1095-953X","note":"PMID: 19523517\nPMCID: PMC2725199","journalAbbreviation":"Neurobiol. Dis.","language":"eng","author":[{"family":"Tomic","given":"Jennifer L."},{"family":"Pensalfini","given":"Anna"},{"family":"Head","given":"Elizabeth"},{"family":"Glabe","given":"Charles G."}],"issued":{"date-parts":[["2009",9]]}},"label":"page"}],"schema":"https://github.com/citation-style-language/schema/raw/master/csl-citation.json"} </w:instrText>
      </w:r>
      <w:r>
        <w:rPr>
          <w:szCs w:val="22"/>
        </w:rPr>
        <w:fldChar w:fldCharType="separate"/>
      </w:r>
      <w:r w:rsidRPr="00D92452">
        <w:rPr>
          <w:rFonts w:ascii="Times New Roman" w:hAnsi="Times New Roman" w:cs="Times New Roman"/>
          <w:vertAlign w:val="superscript"/>
        </w:rPr>
        <w:t>39,40</w:t>
      </w:r>
      <w:r>
        <w:rPr>
          <w:szCs w:val="22"/>
        </w:rPr>
        <w:fldChar w:fldCharType="end"/>
      </w:r>
      <w:r w:rsidRPr="00041FD0">
        <w:rPr>
          <w:rFonts w:ascii="Times New Roman" w:hAnsi="Times New Roman" w:cs="Times New Roman"/>
          <w:color w:val="auto"/>
          <w:szCs w:val="22"/>
        </w:rPr>
        <w:t xml:space="preserve">. Membranes were incubated with </w:t>
      </w:r>
      <w:r>
        <w:rPr>
          <w:rFonts w:ascii="Times New Roman" w:hAnsi="Times New Roman" w:cs="Times New Roman"/>
          <w:color w:val="auto"/>
          <w:szCs w:val="22"/>
        </w:rPr>
        <w:t xml:space="preserve">appropriate anti-mouse or -rabbit </w:t>
      </w:r>
      <w:r w:rsidRPr="00041FD0">
        <w:rPr>
          <w:rFonts w:ascii="Times New Roman" w:hAnsi="Times New Roman" w:cs="Times New Roman"/>
          <w:color w:val="auto"/>
          <w:szCs w:val="22"/>
        </w:rPr>
        <w:t>HRP-conjugated secondary antibody</w:t>
      </w:r>
      <w:r>
        <w:rPr>
          <w:rFonts w:ascii="Times New Roman" w:hAnsi="Times New Roman" w:cs="Times New Roman"/>
          <w:color w:val="auto"/>
          <w:szCs w:val="22"/>
        </w:rPr>
        <w:t xml:space="preserve"> (1:20,000; Vector laboratories</w:t>
      </w:r>
      <w:r w:rsidRPr="00041FD0">
        <w:rPr>
          <w:rFonts w:ascii="Times New Roman" w:hAnsi="Times New Roman" w:cs="Times New Roman"/>
          <w:color w:val="auto"/>
          <w:szCs w:val="22"/>
        </w:rPr>
        <w:t xml:space="preserve">) for 1h </w:t>
      </w:r>
      <w:r>
        <w:rPr>
          <w:rFonts w:ascii="Times New Roman" w:hAnsi="Times New Roman" w:cs="Times New Roman"/>
          <w:color w:val="auto"/>
          <w:szCs w:val="22"/>
        </w:rPr>
        <w:t>in blocking buffer</w:t>
      </w:r>
      <w:r w:rsidRPr="00041FD0">
        <w:rPr>
          <w:rFonts w:ascii="Times New Roman" w:hAnsi="Times New Roman" w:cs="Times New Roman"/>
          <w:color w:val="auto"/>
          <w:szCs w:val="22"/>
        </w:rPr>
        <w:t xml:space="preserve"> and developed </w:t>
      </w:r>
      <w:r>
        <w:rPr>
          <w:rFonts w:ascii="Times New Roman" w:hAnsi="Times New Roman" w:cs="Times New Roman"/>
          <w:color w:val="auto"/>
          <w:szCs w:val="22"/>
        </w:rPr>
        <w:t>as described in the western section</w:t>
      </w:r>
      <w:r w:rsidRPr="00041FD0">
        <w:rPr>
          <w:rFonts w:ascii="Times New Roman" w:hAnsi="Times New Roman" w:cs="Times New Roman"/>
          <w:color w:val="auto"/>
          <w:szCs w:val="22"/>
        </w:rPr>
        <w:t xml:space="preserve">. Normalization to total APP/Aβ signal was achieved by detection of human APP transgene metabolites with the </w:t>
      </w:r>
      <w:r>
        <w:rPr>
          <w:rFonts w:ascii="Times New Roman" w:hAnsi="Times New Roman" w:cs="Times New Roman"/>
          <w:color w:val="auto"/>
          <w:szCs w:val="22"/>
        </w:rPr>
        <w:t>anti-</w:t>
      </w:r>
      <w:proofErr w:type="spellStart"/>
      <w:r>
        <w:rPr>
          <w:rFonts w:ascii="Times New Roman" w:hAnsi="Times New Roman" w:cs="Times New Roman"/>
          <w:color w:val="auto"/>
          <w:szCs w:val="22"/>
        </w:rPr>
        <w:t>Aß</w:t>
      </w:r>
      <w:proofErr w:type="spellEnd"/>
      <w:r>
        <w:rPr>
          <w:rFonts w:ascii="Times New Roman" w:hAnsi="Times New Roman" w:cs="Times New Roman"/>
          <w:color w:val="auto"/>
          <w:szCs w:val="22"/>
        </w:rPr>
        <w:t xml:space="preserve"> antibody</w:t>
      </w:r>
      <w:r w:rsidRPr="00041FD0">
        <w:rPr>
          <w:rFonts w:ascii="Times New Roman" w:hAnsi="Times New Roman" w:cs="Times New Roman"/>
          <w:color w:val="auto"/>
          <w:szCs w:val="22"/>
        </w:rPr>
        <w:t xml:space="preserve"> 6E10</w:t>
      </w:r>
      <w:r>
        <w:rPr>
          <w:rFonts w:ascii="Times New Roman" w:hAnsi="Times New Roman" w:cs="Times New Roman"/>
          <w:color w:val="auto"/>
          <w:szCs w:val="22"/>
        </w:rPr>
        <w:t xml:space="preserve"> (1:1000; Covance</w:t>
      </w:r>
      <w:r w:rsidRPr="00041FD0">
        <w:rPr>
          <w:rFonts w:ascii="Times New Roman" w:hAnsi="Times New Roman" w:cs="Times New Roman"/>
          <w:color w:val="auto"/>
          <w:szCs w:val="22"/>
        </w:rPr>
        <w:t>). Thus, membranes were stripped in low pH stripping buff</w:t>
      </w:r>
      <w:bookmarkStart w:id="0" w:name="_GoBack"/>
      <w:bookmarkEnd w:id="0"/>
      <w:r w:rsidRPr="00041FD0">
        <w:rPr>
          <w:rFonts w:ascii="Times New Roman" w:hAnsi="Times New Roman" w:cs="Times New Roman"/>
          <w:color w:val="auto"/>
          <w:szCs w:val="22"/>
        </w:rPr>
        <w:t xml:space="preserve">er (25mM Glycine </w:t>
      </w:r>
      <w:proofErr w:type="spellStart"/>
      <w:r w:rsidRPr="00041FD0">
        <w:rPr>
          <w:rFonts w:ascii="Times New Roman" w:hAnsi="Times New Roman" w:cs="Times New Roman"/>
          <w:color w:val="auto"/>
          <w:szCs w:val="22"/>
        </w:rPr>
        <w:t>HCl</w:t>
      </w:r>
      <w:proofErr w:type="spellEnd"/>
      <w:r w:rsidRPr="00041FD0">
        <w:rPr>
          <w:rFonts w:ascii="Times New Roman" w:hAnsi="Times New Roman" w:cs="Times New Roman"/>
          <w:color w:val="auto"/>
          <w:szCs w:val="22"/>
        </w:rPr>
        <w:t>, pH=2.0 and 1% w/v SDS)</w:t>
      </w:r>
      <w:r>
        <w:rPr>
          <w:rFonts w:ascii="Times New Roman" w:hAnsi="Times New Roman" w:cs="Times New Roman"/>
          <w:color w:val="auto"/>
          <w:szCs w:val="22"/>
        </w:rPr>
        <w:t xml:space="preserve">, </w:t>
      </w:r>
      <w:r w:rsidRPr="00041FD0">
        <w:rPr>
          <w:rFonts w:ascii="Times New Roman" w:hAnsi="Times New Roman" w:cs="Times New Roman"/>
          <w:color w:val="auto"/>
          <w:szCs w:val="22"/>
        </w:rPr>
        <w:t xml:space="preserve">blocked 1h and probed </w:t>
      </w:r>
      <w:r>
        <w:rPr>
          <w:rFonts w:ascii="Times New Roman" w:hAnsi="Times New Roman" w:cs="Times New Roman"/>
          <w:color w:val="auto"/>
          <w:szCs w:val="22"/>
        </w:rPr>
        <w:t xml:space="preserve">overnight </w:t>
      </w:r>
      <w:r w:rsidRPr="00041FD0">
        <w:rPr>
          <w:rFonts w:ascii="Times New Roman" w:hAnsi="Times New Roman" w:cs="Times New Roman"/>
          <w:color w:val="auto"/>
          <w:szCs w:val="22"/>
        </w:rPr>
        <w:t xml:space="preserve">at 4°C in </w:t>
      </w:r>
      <w:r>
        <w:rPr>
          <w:rFonts w:ascii="Times New Roman" w:hAnsi="Times New Roman" w:cs="Times New Roman"/>
          <w:color w:val="auto"/>
          <w:szCs w:val="22"/>
        </w:rPr>
        <w:t>blocking buffer with</w:t>
      </w:r>
      <w:r w:rsidRPr="00041FD0">
        <w:rPr>
          <w:rFonts w:ascii="Times New Roman" w:hAnsi="Times New Roman" w:cs="Times New Roman"/>
          <w:color w:val="auto"/>
          <w:szCs w:val="22"/>
        </w:rPr>
        <w:t xml:space="preserve"> mouse 6E10</w:t>
      </w:r>
      <w:r>
        <w:rPr>
          <w:rFonts w:ascii="Times New Roman" w:hAnsi="Times New Roman" w:cs="Times New Roman"/>
          <w:color w:val="auto"/>
          <w:szCs w:val="22"/>
        </w:rPr>
        <w:t xml:space="preserve"> antibody</w:t>
      </w:r>
      <w:r w:rsidRPr="00041FD0">
        <w:rPr>
          <w:rFonts w:ascii="Times New Roman" w:hAnsi="Times New Roman" w:cs="Times New Roman"/>
          <w:color w:val="auto"/>
          <w:szCs w:val="22"/>
        </w:rPr>
        <w:t xml:space="preserve">. Membranes were then incubated in anti-mouse HRP-conjugated secondary antibody for 1h </w:t>
      </w:r>
      <w:r>
        <w:rPr>
          <w:rFonts w:ascii="Times New Roman" w:hAnsi="Times New Roman" w:cs="Times New Roman"/>
          <w:color w:val="auto"/>
          <w:szCs w:val="22"/>
        </w:rPr>
        <w:t>in blocking buffer and</w:t>
      </w:r>
      <w:r w:rsidRPr="00041FD0">
        <w:rPr>
          <w:rFonts w:ascii="Times New Roman" w:hAnsi="Times New Roman" w:cs="Times New Roman"/>
          <w:color w:val="auto"/>
          <w:szCs w:val="22"/>
        </w:rPr>
        <w:t xml:space="preserve"> developed</w:t>
      </w:r>
      <w:r>
        <w:rPr>
          <w:rFonts w:ascii="Times New Roman" w:hAnsi="Times New Roman" w:cs="Times New Roman"/>
          <w:color w:val="auto"/>
          <w:szCs w:val="22"/>
        </w:rPr>
        <w:t xml:space="preserve"> as described above.</w:t>
      </w:r>
    </w:p>
    <w:p w:rsidR="005817AC" w:rsidRDefault="005817AC" w:rsidP="005817AC">
      <w:pPr>
        <w:pStyle w:val="Normal1"/>
        <w:spacing w:line="360" w:lineRule="auto"/>
        <w:jc w:val="both"/>
        <w:outlineLvl w:val="0"/>
        <w:rPr>
          <w:rFonts w:ascii="Times New Roman" w:hAnsi="Times New Roman" w:cs="Times New Roman"/>
          <w:color w:val="auto"/>
          <w:szCs w:val="22"/>
        </w:rPr>
      </w:pPr>
    </w:p>
    <w:p w:rsidR="005817AC" w:rsidRPr="00461ADC" w:rsidRDefault="005817AC" w:rsidP="005817AC">
      <w:pPr>
        <w:spacing w:line="360" w:lineRule="auto"/>
        <w:jc w:val="both"/>
        <w:rPr>
          <w:sz w:val="22"/>
        </w:rPr>
      </w:pPr>
      <w:r>
        <w:rPr>
          <w:b/>
          <w:sz w:val="22"/>
        </w:rPr>
        <w:t>A</w:t>
      </w:r>
      <w:r w:rsidRPr="00461ADC">
        <w:rPr>
          <w:b/>
          <w:sz w:val="22"/>
        </w:rPr>
        <w:t>ntibodies used:</w:t>
      </w:r>
    </w:p>
    <w:p w:rsidR="005817AC" w:rsidRPr="00461ADC" w:rsidRDefault="005817AC" w:rsidP="005817AC">
      <w:pPr>
        <w:spacing w:line="360" w:lineRule="auto"/>
        <w:jc w:val="both"/>
        <w:rPr>
          <w:sz w:val="22"/>
        </w:rPr>
      </w:pPr>
      <w:r>
        <w:rPr>
          <w:sz w:val="22"/>
        </w:rPr>
        <w:t>anti-Iba1: Wako, cat#019-19741, lot#</w:t>
      </w:r>
      <w:r w:rsidRPr="00461ADC">
        <w:rPr>
          <w:sz w:val="22"/>
        </w:rPr>
        <w:t>WDK2121; validated for IHC in human, mouse and rat</w:t>
      </w:r>
      <w:r>
        <w:rPr>
          <w:sz w:val="22"/>
        </w:rPr>
        <w:t>.</w:t>
      </w:r>
    </w:p>
    <w:p w:rsidR="005817AC" w:rsidRPr="00461ADC" w:rsidRDefault="005817AC" w:rsidP="005817AC">
      <w:pPr>
        <w:spacing w:line="360" w:lineRule="auto"/>
        <w:jc w:val="both"/>
        <w:rPr>
          <w:sz w:val="22"/>
        </w:rPr>
      </w:pPr>
      <w:r>
        <w:rPr>
          <w:sz w:val="22"/>
        </w:rPr>
        <w:t>anti-6E10: Covance, cat#9320-500, lot#</w:t>
      </w:r>
      <w:r w:rsidRPr="00461ADC">
        <w:rPr>
          <w:sz w:val="22"/>
        </w:rPr>
        <w:t>D14FF01323; validated for Elisa, WB, IHC, IP and reactive to amino acid residue 1-16 of beta amyloid.</w:t>
      </w:r>
    </w:p>
    <w:p w:rsidR="005817AC" w:rsidRPr="00461ADC" w:rsidRDefault="005817AC" w:rsidP="005817AC">
      <w:pPr>
        <w:spacing w:line="360" w:lineRule="auto"/>
        <w:jc w:val="both"/>
        <w:rPr>
          <w:sz w:val="22"/>
        </w:rPr>
      </w:pPr>
      <w:r w:rsidRPr="00461ADC">
        <w:rPr>
          <w:sz w:val="22"/>
        </w:rPr>
        <w:t>anti-</w:t>
      </w:r>
      <w:r>
        <w:rPr>
          <w:sz w:val="22"/>
        </w:rPr>
        <w:t xml:space="preserve">C1q: </w:t>
      </w:r>
      <w:proofErr w:type="spellStart"/>
      <w:r>
        <w:rPr>
          <w:sz w:val="22"/>
        </w:rPr>
        <w:t>Abcam</w:t>
      </w:r>
      <w:proofErr w:type="spellEnd"/>
      <w:r>
        <w:rPr>
          <w:sz w:val="22"/>
        </w:rPr>
        <w:t>, cat#ab182451, lot#</w:t>
      </w:r>
      <w:r w:rsidRPr="00461ADC">
        <w:rPr>
          <w:sz w:val="22"/>
        </w:rPr>
        <w:t>GR290355-11, Clone 4.8; validated for IHC in mouse</w:t>
      </w:r>
      <w:r>
        <w:rPr>
          <w:sz w:val="22"/>
        </w:rPr>
        <w:t>.</w:t>
      </w:r>
    </w:p>
    <w:p w:rsidR="005817AC" w:rsidRPr="00461ADC" w:rsidRDefault="005817AC" w:rsidP="005817AC">
      <w:pPr>
        <w:spacing w:line="360" w:lineRule="auto"/>
        <w:jc w:val="both"/>
        <w:rPr>
          <w:sz w:val="22"/>
        </w:rPr>
      </w:pPr>
      <w:r>
        <w:rPr>
          <w:sz w:val="22"/>
        </w:rPr>
        <w:t>anti-GAPDH: Santa Cruz, cat#sc32233, lot#</w:t>
      </w:r>
      <w:r w:rsidRPr="00461ADC">
        <w:rPr>
          <w:sz w:val="22"/>
        </w:rPr>
        <w:t xml:space="preserve">H2114, clone 6C5; validated for WB, IP, IHC in mouse, rat, human, rabbit and </w:t>
      </w:r>
      <w:proofErr w:type="spellStart"/>
      <w:r w:rsidRPr="00461ADC">
        <w:rPr>
          <w:sz w:val="22"/>
        </w:rPr>
        <w:t>Xenopus</w:t>
      </w:r>
      <w:proofErr w:type="spellEnd"/>
      <w:r w:rsidRPr="00461ADC">
        <w:rPr>
          <w:sz w:val="22"/>
        </w:rPr>
        <w:t xml:space="preserve"> </w:t>
      </w:r>
      <w:proofErr w:type="spellStart"/>
      <w:r w:rsidRPr="00461ADC">
        <w:rPr>
          <w:sz w:val="22"/>
        </w:rPr>
        <w:t>laevis</w:t>
      </w:r>
      <w:proofErr w:type="spellEnd"/>
      <w:r w:rsidRPr="00461ADC">
        <w:rPr>
          <w:sz w:val="22"/>
        </w:rPr>
        <w:t>.</w:t>
      </w:r>
    </w:p>
    <w:p w:rsidR="005817AC" w:rsidRPr="00461ADC" w:rsidRDefault="005817AC" w:rsidP="005817AC">
      <w:pPr>
        <w:spacing w:line="360" w:lineRule="auto"/>
        <w:jc w:val="both"/>
        <w:rPr>
          <w:sz w:val="22"/>
        </w:rPr>
      </w:pPr>
      <w:r w:rsidRPr="00461ADC">
        <w:rPr>
          <w:sz w:val="22"/>
        </w:rPr>
        <w:t>anti-N</w:t>
      </w:r>
      <w:r>
        <w:rPr>
          <w:sz w:val="22"/>
        </w:rPr>
        <w:t>U</w:t>
      </w:r>
      <w:r w:rsidRPr="00461ADC">
        <w:rPr>
          <w:sz w:val="22"/>
        </w:rPr>
        <w:t xml:space="preserve">-4: anti-oligomers; </w:t>
      </w:r>
      <w:r w:rsidRPr="006B0024">
        <w:rPr>
          <w:sz w:val="22"/>
        </w:rPr>
        <w:t>gift from William Klein, Northwestern University</w:t>
      </w:r>
      <w:r w:rsidR="00D600A8">
        <w:rPr>
          <w:sz w:val="22"/>
        </w:rPr>
        <w:t>;</w:t>
      </w:r>
      <w:r w:rsidRPr="006B0024">
        <w:rPr>
          <w:sz w:val="22"/>
        </w:rPr>
        <w:t xml:space="preserve"> </w:t>
      </w:r>
      <w:r w:rsidRPr="00461ADC">
        <w:rPr>
          <w:sz w:val="22"/>
        </w:rPr>
        <w:t xml:space="preserve">characterized by Lambert et al. and others for WB, IHC and dot blot. </w:t>
      </w:r>
    </w:p>
    <w:p w:rsidR="005817AC" w:rsidRPr="00461ADC" w:rsidRDefault="005817AC" w:rsidP="005817AC">
      <w:pPr>
        <w:spacing w:line="360" w:lineRule="auto"/>
        <w:jc w:val="both"/>
        <w:rPr>
          <w:sz w:val="22"/>
        </w:rPr>
      </w:pPr>
      <w:r w:rsidRPr="00461ADC">
        <w:rPr>
          <w:sz w:val="22"/>
        </w:rPr>
        <w:t xml:space="preserve">anti-OC: anti-fibrils and </w:t>
      </w:r>
      <w:proofErr w:type="spellStart"/>
      <w:r w:rsidRPr="00461ADC">
        <w:rPr>
          <w:sz w:val="22"/>
        </w:rPr>
        <w:t>fibrillar</w:t>
      </w:r>
      <w:proofErr w:type="spellEnd"/>
      <w:r w:rsidRPr="00461ADC">
        <w:rPr>
          <w:sz w:val="22"/>
        </w:rPr>
        <w:t xml:space="preserve"> oligomers; </w:t>
      </w:r>
      <w:r w:rsidRPr="006B0024">
        <w:rPr>
          <w:sz w:val="22"/>
          <w:szCs w:val="22"/>
        </w:rPr>
        <w:t xml:space="preserve">gift from Charles </w:t>
      </w:r>
      <w:proofErr w:type="spellStart"/>
      <w:r w:rsidRPr="006B0024">
        <w:rPr>
          <w:sz w:val="22"/>
          <w:szCs w:val="22"/>
        </w:rPr>
        <w:t>Glabe</w:t>
      </w:r>
      <w:proofErr w:type="spellEnd"/>
      <w:r w:rsidRPr="006B0024">
        <w:rPr>
          <w:sz w:val="22"/>
          <w:szCs w:val="22"/>
        </w:rPr>
        <w:t xml:space="preserve">, </w:t>
      </w:r>
      <w:r w:rsidR="00D600A8">
        <w:rPr>
          <w:sz w:val="22"/>
          <w:szCs w:val="22"/>
        </w:rPr>
        <w:t>University of California Irvine;</w:t>
      </w:r>
      <w:r w:rsidRPr="006B0024">
        <w:rPr>
          <w:sz w:val="22"/>
          <w:szCs w:val="22"/>
        </w:rPr>
        <w:t xml:space="preserve"> </w:t>
      </w:r>
      <w:r w:rsidRPr="00461ADC">
        <w:rPr>
          <w:sz w:val="22"/>
        </w:rPr>
        <w:t xml:space="preserve">characterized by </w:t>
      </w:r>
      <w:proofErr w:type="spellStart"/>
      <w:r w:rsidRPr="00461ADC">
        <w:rPr>
          <w:sz w:val="22"/>
        </w:rPr>
        <w:t>Tomic</w:t>
      </w:r>
      <w:proofErr w:type="spellEnd"/>
      <w:r w:rsidRPr="00461ADC">
        <w:rPr>
          <w:sz w:val="22"/>
        </w:rPr>
        <w:t xml:space="preserve"> et al, 2009 </w:t>
      </w:r>
      <w:r w:rsidR="00D600A8">
        <w:rPr>
          <w:sz w:val="22"/>
        </w:rPr>
        <w:t xml:space="preserve">and others </w:t>
      </w:r>
      <w:r w:rsidRPr="00461ADC">
        <w:rPr>
          <w:sz w:val="22"/>
        </w:rPr>
        <w:t>for WB and dot blot assay</w:t>
      </w:r>
      <w:r>
        <w:rPr>
          <w:sz w:val="22"/>
        </w:rPr>
        <w:t>.</w:t>
      </w:r>
    </w:p>
    <w:p w:rsidR="005817AC" w:rsidRPr="00517D6E" w:rsidRDefault="005817AC" w:rsidP="005817AC">
      <w:pPr>
        <w:spacing w:line="360" w:lineRule="auto"/>
        <w:jc w:val="both"/>
        <w:rPr>
          <w:sz w:val="22"/>
          <w:szCs w:val="22"/>
        </w:rPr>
      </w:pPr>
      <w:r w:rsidRPr="00517D6E">
        <w:rPr>
          <w:sz w:val="22"/>
          <w:szCs w:val="22"/>
        </w:rPr>
        <w:t xml:space="preserve">anti-A11: anti-prefibrillar oligomers; </w:t>
      </w:r>
      <w:r w:rsidR="00D600A8" w:rsidRPr="00D600A8">
        <w:rPr>
          <w:sz w:val="22"/>
          <w:szCs w:val="22"/>
        </w:rPr>
        <w:t xml:space="preserve">gift from Charles </w:t>
      </w:r>
      <w:proofErr w:type="spellStart"/>
      <w:r w:rsidR="00D600A8" w:rsidRPr="00D600A8">
        <w:rPr>
          <w:sz w:val="22"/>
          <w:szCs w:val="22"/>
        </w:rPr>
        <w:t>Glabe</w:t>
      </w:r>
      <w:proofErr w:type="spellEnd"/>
      <w:r w:rsidR="00D600A8" w:rsidRPr="00D600A8">
        <w:rPr>
          <w:sz w:val="22"/>
          <w:szCs w:val="22"/>
        </w:rPr>
        <w:t>, University of California Irvine</w:t>
      </w:r>
      <w:r w:rsidR="00D600A8">
        <w:rPr>
          <w:sz w:val="22"/>
          <w:szCs w:val="22"/>
        </w:rPr>
        <w:t>;</w:t>
      </w:r>
      <w:r w:rsidR="00D600A8" w:rsidRPr="00D600A8">
        <w:rPr>
          <w:sz w:val="22"/>
          <w:szCs w:val="22"/>
        </w:rPr>
        <w:t xml:space="preserve"> </w:t>
      </w:r>
      <w:r w:rsidRPr="00517D6E">
        <w:rPr>
          <w:sz w:val="22"/>
          <w:szCs w:val="22"/>
        </w:rPr>
        <w:t xml:space="preserve">characterized by </w:t>
      </w:r>
      <w:proofErr w:type="spellStart"/>
      <w:r w:rsidRPr="00517D6E">
        <w:rPr>
          <w:sz w:val="22"/>
          <w:szCs w:val="22"/>
        </w:rPr>
        <w:t>Tomic</w:t>
      </w:r>
      <w:proofErr w:type="spellEnd"/>
      <w:r w:rsidRPr="00517D6E">
        <w:rPr>
          <w:sz w:val="22"/>
          <w:szCs w:val="22"/>
        </w:rPr>
        <w:t xml:space="preserve"> et al, 2009 </w:t>
      </w:r>
      <w:r w:rsidR="00D600A8">
        <w:rPr>
          <w:sz w:val="22"/>
          <w:szCs w:val="22"/>
        </w:rPr>
        <w:t xml:space="preserve">and others </w:t>
      </w:r>
      <w:r w:rsidRPr="00517D6E">
        <w:rPr>
          <w:sz w:val="22"/>
          <w:szCs w:val="22"/>
        </w:rPr>
        <w:t>for WB and dot blot assay</w:t>
      </w:r>
      <w:r>
        <w:rPr>
          <w:sz w:val="22"/>
          <w:szCs w:val="22"/>
        </w:rPr>
        <w:t>.</w:t>
      </w:r>
    </w:p>
    <w:p w:rsidR="005817AC" w:rsidRPr="00517D6E" w:rsidRDefault="005817AC" w:rsidP="005817AC">
      <w:pPr>
        <w:autoSpaceDE w:val="0"/>
        <w:autoSpaceDN w:val="0"/>
        <w:adjustRightInd w:val="0"/>
        <w:spacing w:line="360" w:lineRule="auto"/>
        <w:ind w:right="-720"/>
        <w:rPr>
          <w:sz w:val="22"/>
          <w:szCs w:val="22"/>
        </w:rPr>
      </w:pPr>
      <w:r w:rsidRPr="00517D6E">
        <w:rPr>
          <w:sz w:val="22"/>
          <w:szCs w:val="22"/>
        </w:rPr>
        <w:t>anti-rabbit Alexa 488</w:t>
      </w:r>
      <w:r>
        <w:rPr>
          <w:sz w:val="22"/>
          <w:szCs w:val="22"/>
        </w:rPr>
        <w:t xml:space="preserve">: </w:t>
      </w:r>
      <w:proofErr w:type="spellStart"/>
      <w:r w:rsidRPr="00517D6E">
        <w:rPr>
          <w:sz w:val="22"/>
          <w:szCs w:val="22"/>
        </w:rPr>
        <w:t>Thermo</w:t>
      </w:r>
      <w:proofErr w:type="spellEnd"/>
      <w:r w:rsidRPr="00517D6E">
        <w:rPr>
          <w:sz w:val="22"/>
          <w:szCs w:val="22"/>
        </w:rPr>
        <w:t xml:space="preserve"> Fisher Scientific</w:t>
      </w:r>
      <w:r>
        <w:rPr>
          <w:sz w:val="22"/>
          <w:szCs w:val="22"/>
        </w:rPr>
        <w:t>, C</w:t>
      </w:r>
      <w:r w:rsidRPr="00517D6E">
        <w:rPr>
          <w:sz w:val="22"/>
          <w:szCs w:val="22"/>
        </w:rPr>
        <w:t>at#A-11008</w:t>
      </w:r>
      <w:r>
        <w:rPr>
          <w:sz w:val="22"/>
          <w:szCs w:val="22"/>
        </w:rPr>
        <w:t>, lot#1885240.</w:t>
      </w:r>
    </w:p>
    <w:p w:rsidR="005817AC" w:rsidRPr="00517D6E" w:rsidRDefault="005817AC" w:rsidP="005817AC">
      <w:pPr>
        <w:autoSpaceDE w:val="0"/>
        <w:autoSpaceDN w:val="0"/>
        <w:adjustRightInd w:val="0"/>
        <w:spacing w:line="360" w:lineRule="auto"/>
        <w:ind w:right="-720"/>
        <w:rPr>
          <w:sz w:val="22"/>
          <w:szCs w:val="22"/>
        </w:rPr>
      </w:pPr>
      <w:r w:rsidRPr="00517D6E">
        <w:rPr>
          <w:sz w:val="22"/>
          <w:szCs w:val="22"/>
        </w:rPr>
        <w:t>anti-mouse Alexa 5</w:t>
      </w:r>
      <w:r>
        <w:rPr>
          <w:sz w:val="22"/>
          <w:szCs w:val="22"/>
        </w:rPr>
        <w:t xml:space="preserve">94: </w:t>
      </w:r>
      <w:proofErr w:type="spellStart"/>
      <w:r w:rsidRPr="00517D6E">
        <w:rPr>
          <w:sz w:val="22"/>
          <w:szCs w:val="22"/>
        </w:rPr>
        <w:t>Thermo</w:t>
      </w:r>
      <w:proofErr w:type="spellEnd"/>
      <w:r w:rsidRPr="00517D6E">
        <w:rPr>
          <w:sz w:val="22"/>
          <w:szCs w:val="22"/>
        </w:rPr>
        <w:t xml:space="preserve"> Fisher Scientific</w:t>
      </w:r>
      <w:r>
        <w:rPr>
          <w:sz w:val="22"/>
          <w:szCs w:val="22"/>
        </w:rPr>
        <w:t>, C</w:t>
      </w:r>
      <w:r w:rsidRPr="00517D6E">
        <w:rPr>
          <w:sz w:val="22"/>
          <w:szCs w:val="22"/>
        </w:rPr>
        <w:t>at#A-1100</w:t>
      </w:r>
      <w:r>
        <w:rPr>
          <w:sz w:val="22"/>
          <w:szCs w:val="22"/>
        </w:rPr>
        <w:t>5, lot#1310420.</w:t>
      </w:r>
    </w:p>
    <w:p w:rsidR="005817AC" w:rsidRPr="00517D6E" w:rsidRDefault="00D11A34" w:rsidP="005817AC">
      <w:pPr>
        <w:autoSpaceDE w:val="0"/>
        <w:autoSpaceDN w:val="0"/>
        <w:adjustRightInd w:val="0"/>
        <w:spacing w:line="360" w:lineRule="auto"/>
        <w:ind w:right="-720"/>
        <w:rPr>
          <w:sz w:val="22"/>
          <w:szCs w:val="22"/>
        </w:rPr>
      </w:pPr>
      <w:r>
        <w:rPr>
          <w:sz w:val="22"/>
          <w:szCs w:val="22"/>
        </w:rPr>
        <w:t>b</w:t>
      </w:r>
      <w:r w:rsidR="005817AC" w:rsidRPr="00517D6E">
        <w:rPr>
          <w:sz w:val="22"/>
          <w:szCs w:val="22"/>
        </w:rPr>
        <w:t>iotinylated anti-mouse antibody</w:t>
      </w:r>
      <w:r w:rsidR="005817AC">
        <w:rPr>
          <w:sz w:val="22"/>
          <w:szCs w:val="22"/>
        </w:rPr>
        <w:t xml:space="preserve">: </w:t>
      </w:r>
      <w:r w:rsidR="005817AC" w:rsidRPr="00517D6E">
        <w:rPr>
          <w:sz w:val="22"/>
          <w:szCs w:val="22"/>
        </w:rPr>
        <w:t>Vector laboratories</w:t>
      </w:r>
      <w:r w:rsidR="005817AC">
        <w:rPr>
          <w:sz w:val="22"/>
          <w:szCs w:val="22"/>
        </w:rPr>
        <w:t>, Cat#</w:t>
      </w:r>
      <w:r w:rsidR="005817AC" w:rsidRPr="00517D6E">
        <w:rPr>
          <w:sz w:val="22"/>
          <w:szCs w:val="22"/>
        </w:rPr>
        <w:t>BA-9200</w:t>
      </w:r>
      <w:r w:rsidR="005817AC">
        <w:rPr>
          <w:sz w:val="22"/>
          <w:szCs w:val="22"/>
        </w:rPr>
        <w:t>, lot#W0206.</w:t>
      </w:r>
    </w:p>
    <w:p w:rsidR="005817AC" w:rsidRDefault="005817AC" w:rsidP="005817AC">
      <w:pPr>
        <w:autoSpaceDE w:val="0"/>
        <w:autoSpaceDN w:val="0"/>
        <w:adjustRightInd w:val="0"/>
        <w:spacing w:line="360" w:lineRule="auto"/>
        <w:ind w:right="-720"/>
        <w:rPr>
          <w:sz w:val="22"/>
          <w:szCs w:val="22"/>
        </w:rPr>
      </w:pPr>
      <w:r w:rsidRPr="00517D6E">
        <w:rPr>
          <w:sz w:val="22"/>
          <w:szCs w:val="22"/>
        </w:rPr>
        <w:t>anti-rabbit HRP-conjugated secondary antibodies</w:t>
      </w:r>
      <w:r>
        <w:rPr>
          <w:sz w:val="22"/>
          <w:szCs w:val="22"/>
        </w:rPr>
        <w:t xml:space="preserve">: </w:t>
      </w:r>
      <w:r w:rsidRPr="00517D6E">
        <w:rPr>
          <w:sz w:val="22"/>
          <w:szCs w:val="22"/>
        </w:rPr>
        <w:t>Vector laboratories</w:t>
      </w:r>
      <w:r>
        <w:rPr>
          <w:sz w:val="22"/>
          <w:szCs w:val="22"/>
        </w:rPr>
        <w:t>, Cat#PI-1000, lot#ZC0304.</w:t>
      </w:r>
    </w:p>
    <w:p w:rsidR="005817AC" w:rsidRPr="00491C1B" w:rsidRDefault="005817AC" w:rsidP="005817AC">
      <w:pPr>
        <w:autoSpaceDE w:val="0"/>
        <w:autoSpaceDN w:val="0"/>
        <w:adjustRightInd w:val="0"/>
        <w:spacing w:line="360" w:lineRule="auto"/>
        <w:ind w:right="-720"/>
        <w:rPr>
          <w:szCs w:val="22"/>
        </w:rPr>
      </w:pPr>
      <w:r w:rsidRPr="00517D6E">
        <w:rPr>
          <w:sz w:val="22"/>
          <w:szCs w:val="22"/>
        </w:rPr>
        <w:t>anti-mouse HRP-conjugated secondary antibodies</w:t>
      </w:r>
      <w:r>
        <w:rPr>
          <w:sz w:val="22"/>
          <w:szCs w:val="22"/>
        </w:rPr>
        <w:t xml:space="preserve">: </w:t>
      </w:r>
      <w:r w:rsidRPr="00517D6E">
        <w:rPr>
          <w:sz w:val="22"/>
          <w:szCs w:val="22"/>
        </w:rPr>
        <w:t>Vector laboratories</w:t>
      </w:r>
      <w:r>
        <w:rPr>
          <w:sz w:val="22"/>
          <w:szCs w:val="22"/>
        </w:rPr>
        <w:t>, Cat#PI-2000, lot#ZC1212.</w:t>
      </w:r>
    </w:p>
    <w:p w:rsidR="005817AC" w:rsidRPr="00B448C5" w:rsidRDefault="005817AC" w:rsidP="005817AC">
      <w:pPr>
        <w:spacing w:line="360" w:lineRule="auto"/>
        <w:ind w:firstLine="720"/>
        <w:jc w:val="both"/>
        <w:rPr>
          <w:sz w:val="22"/>
          <w:szCs w:val="22"/>
        </w:rPr>
      </w:pPr>
    </w:p>
    <w:p w:rsidR="00596F78" w:rsidRDefault="00596F78" w:rsidP="005817AC"/>
    <w:sectPr w:rsidR="00596F78" w:rsidSect="006508FB">
      <w:headerReference w:type="default" r:id="rId6"/>
      <w:pgSz w:w="12240" w:h="15840"/>
      <w:pgMar w:top="864" w:right="720" w:bottom="86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515D" w:rsidRDefault="006B515D" w:rsidP="005817AC">
      <w:r>
        <w:separator/>
      </w:r>
    </w:p>
  </w:endnote>
  <w:endnote w:type="continuationSeparator" w:id="0">
    <w:p w:rsidR="006B515D" w:rsidRDefault="006B515D" w:rsidP="00581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515D" w:rsidRDefault="006B515D" w:rsidP="005817AC">
      <w:r>
        <w:separator/>
      </w:r>
    </w:p>
  </w:footnote>
  <w:footnote w:type="continuationSeparator" w:id="0">
    <w:p w:rsidR="006B515D" w:rsidRDefault="006B515D" w:rsidP="00581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17AC" w:rsidRPr="00041FD0" w:rsidRDefault="005817AC" w:rsidP="005817AC">
    <w:pPr>
      <w:pStyle w:val="Header"/>
      <w:jc w:val="right"/>
      <w:rPr>
        <w:i/>
        <w:sz w:val="18"/>
        <w:szCs w:val="18"/>
      </w:rPr>
    </w:pPr>
    <w:r>
      <w:tab/>
      <w:t xml:space="preserve">                                                                        </w:t>
    </w:r>
    <w:r w:rsidRPr="00041FD0">
      <w:rPr>
        <w:i/>
        <w:sz w:val="18"/>
        <w:szCs w:val="18"/>
      </w:rPr>
      <w:t xml:space="preserve">Haure-Mirande et al, </w:t>
    </w:r>
    <w:proofErr w:type="spellStart"/>
    <w:r>
      <w:rPr>
        <w:i/>
        <w:sz w:val="18"/>
        <w:szCs w:val="18"/>
      </w:rPr>
      <w:t>Tyrobp</w:t>
    </w:r>
    <w:proofErr w:type="spellEnd"/>
    <w:r>
      <w:rPr>
        <w:i/>
        <w:sz w:val="18"/>
        <w:szCs w:val="18"/>
      </w:rPr>
      <w:t>/Dap12 modulates</w:t>
    </w:r>
    <w:r w:rsidRPr="00041FD0">
      <w:rPr>
        <w:i/>
        <w:sz w:val="18"/>
        <w:szCs w:val="18"/>
      </w:rPr>
      <w:t xml:space="preserve"> human AD network </w:t>
    </w:r>
  </w:p>
  <w:p w:rsidR="005817AC" w:rsidRDefault="005817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7AC"/>
    <w:rsid w:val="00016E44"/>
    <w:rsid w:val="000A4C1C"/>
    <w:rsid w:val="000C01B2"/>
    <w:rsid w:val="000D72D1"/>
    <w:rsid w:val="000F361D"/>
    <w:rsid w:val="000F377A"/>
    <w:rsid w:val="00137F09"/>
    <w:rsid w:val="00160025"/>
    <w:rsid w:val="001A231C"/>
    <w:rsid w:val="001E096B"/>
    <w:rsid w:val="00200AE5"/>
    <w:rsid w:val="002105B5"/>
    <w:rsid w:val="0024307F"/>
    <w:rsid w:val="00306CFC"/>
    <w:rsid w:val="00321272"/>
    <w:rsid w:val="00356379"/>
    <w:rsid w:val="003D0FFD"/>
    <w:rsid w:val="00450DB0"/>
    <w:rsid w:val="0045679D"/>
    <w:rsid w:val="00465C14"/>
    <w:rsid w:val="00482018"/>
    <w:rsid w:val="00495407"/>
    <w:rsid w:val="004A2E9E"/>
    <w:rsid w:val="004B07D5"/>
    <w:rsid w:val="005048F0"/>
    <w:rsid w:val="00523F5E"/>
    <w:rsid w:val="005817AC"/>
    <w:rsid w:val="00596F78"/>
    <w:rsid w:val="005C5B09"/>
    <w:rsid w:val="006508FB"/>
    <w:rsid w:val="0066525E"/>
    <w:rsid w:val="006920BD"/>
    <w:rsid w:val="006A6954"/>
    <w:rsid w:val="006B515D"/>
    <w:rsid w:val="006B7DC4"/>
    <w:rsid w:val="00711E05"/>
    <w:rsid w:val="007349BA"/>
    <w:rsid w:val="007618A5"/>
    <w:rsid w:val="007C414B"/>
    <w:rsid w:val="007E24C7"/>
    <w:rsid w:val="00897F60"/>
    <w:rsid w:val="008C12F6"/>
    <w:rsid w:val="009D6C84"/>
    <w:rsid w:val="00A14536"/>
    <w:rsid w:val="00A332F6"/>
    <w:rsid w:val="00A41EEC"/>
    <w:rsid w:val="00A47FBB"/>
    <w:rsid w:val="00A71312"/>
    <w:rsid w:val="00A76C4C"/>
    <w:rsid w:val="00B3613D"/>
    <w:rsid w:val="00BA7252"/>
    <w:rsid w:val="00BD4E77"/>
    <w:rsid w:val="00BE0562"/>
    <w:rsid w:val="00BE26A0"/>
    <w:rsid w:val="00CA5214"/>
    <w:rsid w:val="00CE4BC8"/>
    <w:rsid w:val="00D11A34"/>
    <w:rsid w:val="00D600A8"/>
    <w:rsid w:val="00D61ED8"/>
    <w:rsid w:val="00E06FD1"/>
    <w:rsid w:val="00E42258"/>
    <w:rsid w:val="00E747D4"/>
    <w:rsid w:val="00EC10CC"/>
    <w:rsid w:val="00F0779C"/>
    <w:rsid w:val="00F90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E2F5E8"/>
  <w15:chartTrackingRefBased/>
  <w15:docId w15:val="{27DE97EC-FEC9-9347-929A-F752F8407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17AC"/>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5817AC"/>
    <w:pPr>
      <w:spacing w:line="276" w:lineRule="auto"/>
    </w:pPr>
    <w:rPr>
      <w:rFonts w:ascii="Arial" w:eastAsia="Arial" w:hAnsi="Arial" w:cs="Arial"/>
      <w:color w:val="000000"/>
      <w:sz w:val="22"/>
    </w:rPr>
  </w:style>
  <w:style w:type="paragraph" w:styleId="HTMLPreformatted">
    <w:name w:val="HTML Preformatted"/>
    <w:basedOn w:val="Normal"/>
    <w:link w:val="HTMLPreformattedChar"/>
    <w:uiPriority w:val="99"/>
    <w:unhideWhenUsed/>
    <w:rsid w:val="00581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817AC"/>
    <w:rPr>
      <w:rFonts w:ascii="Courier New" w:hAnsi="Courier New" w:cs="Courier New"/>
      <w:sz w:val="20"/>
      <w:szCs w:val="20"/>
    </w:rPr>
  </w:style>
  <w:style w:type="paragraph" w:styleId="Header">
    <w:name w:val="header"/>
    <w:basedOn w:val="Normal"/>
    <w:link w:val="HeaderChar"/>
    <w:uiPriority w:val="99"/>
    <w:unhideWhenUsed/>
    <w:rsid w:val="005817AC"/>
    <w:pPr>
      <w:tabs>
        <w:tab w:val="center" w:pos="4680"/>
        <w:tab w:val="right" w:pos="9360"/>
      </w:tabs>
    </w:pPr>
  </w:style>
  <w:style w:type="character" w:customStyle="1" w:styleId="HeaderChar">
    <w:name w:val="Header Char"/>
    <w:basedOn w:val="DefaultParagraphFont"/>
    <w:link w:val="Header"/>
    <w:uiPriority w:val="99"/>
    <w:rsid w:val="005817AC"/>
    <w:rPr>
      <w:rFonts w:ascii="Times New Roman" w:hAnsi="Times New Roman" w:cs="Times New Roman"/>
    </w:rPr>
  </w:style>
  <w:style w:type="paragraph" w:styleId="Footer">
    <w:name w:val="footer"/>
    <w:basedOn w:val="Normal"/>
    <w:link w:val="FooterChar"/>
    <w:uiPriority w:val="99"/>
    <w:unhideWhenUsed/>
    <w:rsid w:val="005817AC"/>
    <w:pPr>
      <w:tabs>
        <w:tab w:val="center" w:pos="4680"/>
        <w:tab w:val="right" w:pos="9360"/>
      </w:tabs>
    </w:pPr>
  </w:style>
  <w:style w:type="character" w:customStyle="1" w:styleId="FooterChar">
    <w:name w:val="Footer Char"/>
    <w:basedOn w:val="DefaultParagraphFont"/>
    <w:link w:val="Footer"/>
    <w:uiPriority w:val="99"/>
    <w:rsid w:val="005817A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4939</Words>
  <Characters>28998</Characters>
  <Application>Microsoft Office Word</Application>
  <DocSecurity>0</DocSecurity>
  <Lines>397</Lines>
  <Paragraphs>109</Paragraphs>
  <ScaleCrop>false</ScaleCrop>
  <Company/>
  <LinksUpToDate>false</LinksUpToDate>
  <CharactersWithSpaces>33828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vianney haure-mirande</dc:creator>
  <cp:keywords/>
  <dc:description/>
  <cp:lastModifiedBy>vianney haure-mirande</cp:lastModifiedBy>
  <cp:revision>6</cp:revision>
  <cp:lastPrinted>2018-04-09T15:24:00Z</cp:lastPrinted>
  <dcterms:created xsi:type="dcterms:W3CDTF">2018-04-09T14:54:00Z</dcterms:created>
  <dcterms:modified xsi:type="dcterms:W3CDTF">2018-04-09T16:00:00Z</dcterms:modified>
</cp:coreProperties>
</file>