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607F7A" w14:textId="77777777" w:rsidR="00421FF9" w:rsidRPr="00BD7456" w:rsidRDefault="00421FF9" w:rsidP="00421FF9">
      <w:pPr>
        <w:spacing w:line="360" w:lineRule="auto"/>
        <w:jc w:val="both"/>
        <w:rPr>
          <w:b/>
          <w:sz w:val="22"/>
          <w:szCs w:val="22"/>
        </w:rPr>
      </w:pPr>
      <w:bookmarkStart w:id="0" w:name="_GoBack"/>
      <w:bookmarkEnd w:id="0"/>
      <w:r w:rsidRPr="00BD7456">
        <w:rPr>
          <w:b/>
          <w:sz w:val="22"/>
          <w:szCs w:val="22"/>
        </w:rPr>
        <w:t>Supplementary Figures</w:t>
      </w:r>
    </w:p>
    <w:p w14:paraId="24073786" w14:textId="77777777" w:rsidR="00421FF9" w:rsidRPr="00BD7456" w:rsidRDefault="00421FF9" w:rsidP="00421FF9">
      <w:pPr>
        <w:spacing w:line="360" w:lineRule="auto"/>
        <w:jc w:val="both"/>
        <w:rPr>
          <w:sz w:val="22"/>
          <w:szCs w:val="22"/>
        </w:rPr>
      </w:pPr>
      <w:r w:rsidRPr="00BD7456">
        <w:rPr>
          <w:b/>
          <w:sz w:val="22"/>
          <w:szCs w:val="22"/>
        </w:rPr>
        <w:t xml:space="preserve">Supplementary Figure 1. Schematic overview of the analyses performed to validate </w:t>
      </w:r>
      <w:r w:rsidRPr="00BD7456">
        <w:rPr>
          <w:b/>
          <w:i/>
          <w:sz w:val="22"/>
          <w:szCs w:val="22"/>
        </w:rPr>
        <w:t>in vivo</w:t>
      </w:r>
      <w:r w:rsidRPr="00BD7456">
        <w:rPr>
          <w:b/>
          <w:sz w:val="22"/>
          <w:szCs w:val="22"/>
        </w:rPr>
        <w:t xml:space="preserve"> in mice the driver role of </w:t>
      </w:r>
      <w:r w:rsidRPr="00BD7456">
        <w:rPr>
          <w:b/>
          <w:i/>
          <w:sz w:val="22"/>
          <w:szCs w:val="22"/>
        </w:rPr>
        <w:t>TYROBP</w:t>
      </w:r>
      <w:r w:rsidRPr="00BD7456">
        <w:rPr>
          <w:b/>
          <w:sz w:val="22"/>
          <w:szCs w:val="22"/>
        </w:rPr>
        <w:t xml:space="preserve"> in sporadic late onset Alzheimer’s disease (LOAD). (a) </w:t>
      </w:r>
      <w:r w:rsidRPr="00BD7456">
        <w:rPr>
          <w:sz w:val="22"/>
          <w:szCs w:val="22"/>
        </w:rPr>
        <w:t xml:space="preserve">We previously performed a multiscale gene network analysis of human brain specimens from visual cortex (VC), dorsolateral PFC, and cerebellum (CB) in 376 AD patients and 173 non-demented controls. We identified </w:t>
      </w:r>
      <w:r w:rsidRPr="00BD7456">
        <w:rPr>
          <w:i/>
          <w:sz w:val="22"/>
          <w:szCs w:val="22"/>
        </w:rPr>
        <w:t>TYROBP</w:t>
      </w:r>
      <w:r w:rsidRPr="00BD7456">
        <w:rPr>
          <w:sz w:val="22"/>
          <w:szCs w:val="22"/>
        </w:rPr>
        <w:t xml:space="preserve"> as a key driver gene in the pathogenesis of sporadic LOAD</w:t>
      </w:r>
      <w:r w:rsidRPr="00BD7456">
        <w:rPr>
          <w:sz w:val="22"/>
          <w:szCs w:val="22"/>
        </w:rPr>
        <w:fldChar w:fldCharType="begin"/>
      </w:r>
      <w:r w:rsidRPr="00BD7456">
        <w:rPr>
          <w:sz w:val="22"/>
          <w:szCs w:val="22"/>
        </w:rPr>
        <w:instrText xml:space="preserve"> ADDIN ZOTERO_ITEM CSL_CITATION {"citationID":"hdz3dwNN","properties":{"formattedCitation":"\\super 5\\nosupersub{}","plainCitation":"5","noteIndex":0},"citationItems":[{"id":4581,"uris":["http://zotero.org/users/1184628/items/6THSD8G9"],"uri":["http://zotero.org/users/1184628/items/6THSD8G9"],"itemData":{"id":4581,"type":"article-journal","title":"Integrated systems approach identifies genetic nodes and networks in late-onset Alzheimer's disease","container-title":"Cell","page":"707-720","volume":"153","issue":"3","source":"PubMed","abstract":"The genetics of complex disease produce alterations in the molecular interactions of cellular pathways whose collective effect may become clear through the organized structure of molecular networks. To characterize molecular systems associated with late-onset Alzheimer's disease (LOAD), we constructed gene-regulatory networks in 1,647 postmortem brain tissues from LOAD patients and nondemented subjects, and we demonstrate that LOAD reconfigures specific portions of the molecular interaction structure. Through an integrative network-based approach, we rank-ordered these network structures for relevance to LOAD pathology, highlighting an immune- and microglia-specific module that is dominated by genes involved in pathogen phagocytosis, contains TYROBP as a key regulator, and is upregulated in LOAD. Mouse microglia cells overexpressing intact or truncated TYROBP revealed expression changes that significantly overlapped the human brain TYROBP network. Thus the causal network structure is a useful predictor of response to gene perturbations and presents a framework to test models of disease mechanisms underlying LOAD.","DOI":"10.1016/j.cell.2013.03.030","ISSN":"1097-4172","note":"PMID: 23622250\nPMCID: PMC3677161","journalAbbreviation":"Cell","language":"eng","author":[{"family":"Zhang","given":"Bin"},{"family":"Gaiteri","given":"Chris"},{"family":"Bodea","given":"Liviu-Gabriel"},{"family":"Wang","given":"Zhi"},{"family":"McElwee","given":"Joshua"},{"family":"Podtelezhnikov","given":"Alexei A."},{"family":"Zhang","given":"Chunsheng"},{"family":"Xie","given":"Tao"},{"family":"Tran","given":"Linh"},{"family":"Dobrin","given":"Radu"},{"family":"Fluder","given":"Eugene"},{"family":"Clurman","given":"Bruce"},{"family":"Melquist","given":"Stacey"},{"family":"Narayanan","given":"Manikandan"},{"family":"Suver","given":"Christine"},{"family":"Shah","given":"Hardik"},{"family":"Mahajan","given":"Milind"},{"family":"Gillis","given":"Tammy"},{"family":"Mysore","given":"Jayalakshmi"},{"family":"MacDonald","given":"Marcy E."},{"family":"Lamb","given":"John R."},{"family":"Bennett","given":"David A."},{"family":"Molony","given":"Cliona"},{"family":"Stone","given":"David J."},{"family":"Gudnason","given":"Vilmundur"},{"family":"Myers","given":"Amanda J."},{"family":"Schadt","given":"Eric E."},{"family":"Neumann","given":"Harald"},{"family":"Zhu","given":"Jun"},{"family":"Emilsson","given":"Valur"}],"issued":{"date-parts":[["2013",4,25]]}}}],"schema":"https://github.com/citation-style-language/schema/raw/master/csl-citation.json"} </w:instrText>
      </w:r>
      <w:r w:rsidRPr="00BD7456">
        <w:rPr>
          <w:sz w:val="22"/>
          <w:szCs w:val="22"/>
        </w:rPr>
        <w:fldChar w:fldCharType="separate"/>
      </w:r>
      <w:r w:rsidRPr="00BD7456">
        <w:rPr>
          <w:sz w:val="22"/>
          <w:vertAlign w:val="superscript"/>
        </w:rPr>
        <w:t>5</w:t>
      </w:r>
      <w:r w:rsidRPr="00BD7456">
        <w:rPr>
          <w:sz w:val="22"/>
          <w:szCs w:val="22"/>
        </w:rPr>
        <w:fldChar w:fldCharType="end"/>
      </w:r>
      <w:r w:rsidRPr="00BD7456">
        <w:rPr>
          <w:sz w:val="22"/>
          <w:szCs w:val="22"/>
        </w:rPr>
        <w:t xml:space="preserve">. </w:t>
      </w:r>
      <w:r w:rsidRPr="00BD7456">
        <w:rPr>
          <w:b/>
          <w:sz w:val="22"/>
          <w:szCs w:val="22"/>
        </w:rPr>
        <w:t>(b)</w:t>
      </w:r>
      <w:r w:rsidRPr="00BD7456">
        <w:rPr>
          <w:sz w:val="22"/>
          <w:szCs w:val="22"/>
        </w:rPr>
        <w:t xml:space="preserve"> We generated WT or </w:t>
      </w:r>
      <w:r w:rsidRPr="00BD7456">
        <w:rPr>
          <w:i/>
          <w:sz w:val="22"/>
          <w:szCs w:val="22"/>
        </w:rPr>
        <w:t>APP/PSEN1</w:t>
      </w:r>
      <w:r w:rsidRPr="00BD7456">
        <w:rPr>
          <w:sz w:val="22"/>
          <w:szCs w:val="22"/>
        </w:rPr>
        <w:t xml:space="preserve"> mice that are either WT, heterozygous- or homozygous-null for </w:t>
      </w:r>
      <w:proofErr w:type="spellStart"/>
      <w:r w:rsidRPr="00BD7456">
        <w:rPr>
          <w:i/>
          <w:sz w:val="22"/>
          <w:szCs w:val="22"/>
        </w:rPr>
        <w:t>Tyrobp</w:t>
      </w:r>
      <w:proofErr w:type="spellEnd"/>
      <w:r w:rsidRPr="00BD7456">
        <w:rPr>
          <w:sz w:val="22"/>
          <w:szCs w:val="22"/>
        </w:rPr>
        <w:t xml:space="preserve">. At 8-months-old, we performed RNA sequencing on the </w:t>
      </w:r>
      <w:proofErr w:type="spellStart"/>
      <w:r w:rsidRPr="00BD7456">
        <w:rPr>
          <w:sz w:val="22"/>
          <w:szCs w:val="22"/>
        </w:rPr>
        <w:t>prefontral</w:t>
      </w:r>
      <w:proofErr w:type="spellEnd"/>
      <w:r w:rsidRPr="00BD7456">
        <w:rPr>
          <w:sz w:val="22"/>
          <w:szCs w:val="22"/>
        </w:rPr>
        <w:t xml:space="preserve"> cortices of the six groups of mice. The mouse molecular signatures were projected onto the human LOAD molecular signature to evaluate the degree to which the </w:t>
      </w:r>
      <w:proofErr w:type="spellStart"/>
      <w:r w:rsidRPr="00BD7456">
        <w:rPr>
          <w:i/>
          <w:sz w:val="22"/>
          <w:szCs w:val="22"/>
        </w:rPr>
        <w:t>Tyrobp</w:t>
      </w:r>
      <w:proofErr w:type="spellEnd"/>
      <w:r w:rsidRPr="00BD7456">
        <w:rPr>
          <w:i/>
          <w:sz w:val="22"/>
          <w:szCs w:val="22"/>
        </w:rPr>
        <w:t xml:space="preserve"> </w:t>
      </w:r>
      <w:r w:rsidRPr="00BD7456">
        <w:rPr>
          <w:sz w:val="22"/>
          <w:szCs w:val="22"/>
        </w:rPr>
        <w:t>mouse model predicted LOAD perturbation signatures. We performed molecular, behavioral and synaptic plasticity assays to evaluate the functional role of TYROBP in WT and amyloidogenic context.</w:t>
      </w:r>
    </w:p>
    <w:p w14:paraId="43E9DF1B" w14:textId="77777777" w:rsidR="00421FF9" w:rsidRPr="00BD7456" w:rsidRDefault="00421FF9" w:rsidP="00421FF9">
      <w:pPr>
        <w:spacing w:line="360" w:lineRule="auto"/>
        <w:jc w:val="both"/>
        <w:rPr>
          <w:sz w:val="22"/>
          <w:szCs w:val="22"/>
        </w:rPr>
      </w:pPr>
    </w:p>
    <w:p w14:paraId="7E20D6F6" w14:textId="77777777" w:rsidR="00421FF9" w:rsidRPr="00BD7456" w:rsidRDefault="00421FF9" w:rsidP="00421FF9">
      <w:pPr>
        <w:spacing w:line="360" w:lineRule="auto"/>
        <w:jc w:val="both"/>
        <w:rPr>
          <w:b/>
          <w:sz w:val="22"/>
          <w:szCs w:val="22"/>
        </w:rPr>
      </w:pPr>
      <w:r w:rsidRPr="00BD7456">
        <w:rPr>
          <w:b/>
          <w:sz w:val="22"/>
          <w:szCs w:val="22"/>
        </w:rPr>
        <w:t xml:space="preserve">Supplementary Figure 2. Gene expression of </w:t>
      </w:r>
      <w:r w:rsidRPr="00BD7456">
        <w:rPr>
          <w:b/>
          <w:i/>
          <w:sz w:val="22"/>
          <w:szCs w:val="22"/>
        </w:rPr>
        <w:t>TYROBP</w:t>
      </w:r>
      <w:r w:rsidRPr="00BD7456">
        <w:rPr>
          <w:b/>
          <w:sz w:val="22"/>
          <w:szCs w:val="22"/>
        </w:rPr>
        <w:t xml:space="preserve"> in LOAD.</w:t>
      </w:r>
      <w:r w:rsidRPr="00BD7456">
        <w:rPr>
          <w:sz w:val="22"/>
          <w:szCs w:val="22"/>
        </w:rPr>
        <w:t xml:space="preserve"> </w:t>
      </w:r>
      <w:r w:rsidRPr="00BD7456">
        <w:rPr>
          <w:i/>
          <w:sz w:val="22"/>
          <w:szCs w:val="22"/>
        </w:rPr>
        <w:t>TYROBP</w:t>
      </w:r>
      <w:r w:rsidRPr="00BD7456">
        <w:rPr>
          <w:sz w:val="22"/>
          <w:szCs w:val="22"/>
        </w:rPr>
        <w:t xml:space="preserve"> mRNA is upregulated in brains from patients with dementia in 4 brain regions profiled by RNA-</w:t>
      </w:r>
      <w:proofErr w:type="spellStart"/>
      <w:r w:rsidRPr="00BD7456">
        <w:rPr>
          <w:sz w:val="22"/>
          <w:szCs w:val="22"/>
        </w:rPr>
        <w:t>seq</w:t>
      </w:r>
      <w:proofErr w:type="spellEnd"/>
      <w:r w:rsidRPr="00BD7456">
        <w:rPr>
          <w:sz w:val="22"/>
          <w:szCs w:val="22"/>
        </w:rPr>
        <w:t xml:space="preserve"> in the MSBB AD cohort. BM10: frontopolar prefrontal cortex; BM22: superior temporal gyrus; BM36: </w:t>
      </w:r>
      <w:proofErr w:type="spellStart"/>
      <w:r w:rsidRPr="00BD7456">
        <w:rPr>
          <w:sz w:val="22"/>
          <w:szCs w:val="22"/>
        </w:rPr>
        <w:t>parahippocampal</w:t>
      </w:r>
      <w:proofErr w:type="spellEnd"/>
      <w:r w:rsidRPr="00BD7456">
        <w:rPr>
          <w:sz w:val="22"/>
          <w:szCs w:val="22"/>
        </w:rPr>
        <w:t xml:space="preserve"> gyrus; BM44: inferior frontal gyrus. </w:t>
      </w:r>
    </w:p>
    <w:p w14:paraId="4CE3987F" w14:textId="77777777" w:rsidR="00421FF9" w:rsidRPr="00BD7456" w:rsidRDefault="00421FF9" w:rsidP="00421FF9">
      <w:pPr>
        <w:spacing w:line="360" w:lineRule="auto"/>
        <w:jc w:val="both"/>
        <w:rPr>
          <w:sz w:val="22"/>
          <w:szCs w:val="22"/>
        </w:rPr>
      </w:pPr>
    </w:p>
    <w:p w14:paraId="525E272A" w14:textId="77777777" w:rsidR="00421FF9" w:rsidRPr="00BD7456" w:rsidRDefault="00421FF9" w:rsidP="00421FF9">
      <w:pPr>
        <w:spacing w:line="360" w:lineRule="auto"/>
        <w:jc w:val="both"/>
        <w:rPr>
          <w:bCs/>
          <w:kern w:val="24"/>
          <w:sz w:val="22"/>
          <w:szCs w:val="22"/>
        </w:rPr>
      </w:pPr>
      <w:r w:rsidRPr="00BD7456">
        <w:rPr>
          <w:b/>
          <w:bCs/>
          <w:kern w:val="24"/>
          <w:sz w:val="22"/>
          <w:szCs w:val="22"/>
        </w:rPr>
        <w:t xml:space="preserve">Supplementary Figure 3. RNA sequencing. (a) </w:t>
      </w:r>
      <w:r w:rsidRPr="00BD7456">
        <w:rPr>
          <w:bCs/>
          <w:kern w:val="24"/>
          <w:sz w:val="22"/>
          <w:szCs w:val="22"/>
        </w:rPr>
        <w:t xml:space="preserve">Number of differentially expressed genes in 4 and 8-month-old mice WT, deficient or KO for TYROBP in </w:t>
      </w:r>
      <w:r w:rsidRPr="00BD7456">
        <w:rPr>
          <w:bCs/>
          <w:i/>
          <w:kern w:val="24"/>
          <w:sz w:val="22"/>
          <w:szCs w:val="22"/>
        </w:rPr>
        <w:t>APP/PSEN1</w:t>
      </w:r>
      <w:r w:rsidRPr="00BD7456">
        <w:rPr>
          <w:bCs/>
          <w:kern w:val="24"/>
          <w:sz w:val="22"/>
          <w:szCs w:val="22"/>
        </w:rPr>
        <w:t xml:space="preserve"> or WT background. </w:t>
      </w:r>
      <w:r w:rsidRPr="00BD7456">
        <w:rPr>
          <w:b/>
          <w:bCs/>
          <w:kern w:val="24"/>
          <w:sz w:val="22"/>
          <w:szCs w:val="22"/>
        </w:rPr>
        <w:t>(b)</w:t>
      </w:r>
      <w:r w:rsidRPr="00BD7456">
        <w:rPr>
          <w:bCs/>
          <w:kern w:val="24"/>
          <w:sz w:val="22"/>
          <w:szCs w:val="22"/>
        </w:rPr>
        <w:t xml:space="preserve"> </w:t>
      </w:r>
      <w:r w:rsidRPr="00BD7456">
        <w:rPr>
          <w:sz w:val="22"/>
          <w:szCs w:val="22"/>
        </w:rPr>
        <w:t>Heatmap of dysregulated canonical pathways in PFCs of</w:t>
      </w:r>
      <w:r w:rsidRPr="00BD7456">
        <w:rPr>
          <w:i/>
          <w:sz w:val="22"/>
          <w:szCs w:val="22"/>
        </w:rPr>
        <w:t xml:space="preserve"> APP/PSEN</w:t>
      </w:r>
      <w:proofErr w:type="gramStart"/>
      <w:r w:rsidRPr="00BD7456">
        <w:rPr>
          <w:i/>
          <w:sz w:val="22"/>
          <w:szCs w:val="22"/>
        </w:rPr>
        <w:t>1;Tyrobp</w:t>
      </w:r>
      <w:proofErr w:type="gramEnd"/>
      <w:r w:rsidRPr="00BD7456">
        <w:rPr>
          <w:i/>
          <w:sz w:val="22"/>
          <w:szCs w:val="22"/>
          <w:vertAlign w:val="superscript"/>
        </w:rPr>
        <w:t>-/-</w:t>
      </w:r>
      <w:r w:rsidRPr="00BD7456">
        <w:rPr>
          <w:i/>
          <w:sz w:val="22"/>
          <w:szCs w:val="22"/>
        </w:rPr>
        <w:t xml:space="preserve"> vs.</w:t>
      </w:r>
      <w:r w:rsidRPr="00BD7456">
        <w:rPr>
          <w:sz w:val="22"/>
          <w:szCs w:val="22"/>
        </w:rPr>
        <w:t xml:space="preserve"> </w:t>
      </w:r>
      <w:r w:rsidRPr="00BD7456">
        <w:rPr>
          <w:i/>
          <w:sz w:val="22"/>
          <w:szCs w:val="22"/>
        </w:rPr>
        <w:t>APP/PSEN1</w:t>
      </w:r>
      <w:r w:rsidRPr="00BD7456">
        <w:rPr>
          <w:sz w:val="22"/>
          <w:szCs w:val="22"/>
        </w:rPr>
        <w:t xml:space="preserve"> mice</w:t>
      </w:r>
      <w:r w:rsidRPr="00BD7456">
        <w:rPr>
          <w:i/>
          <w:sz w:val="22"/>
          <w:szCs w:val="22"/>
        </w:rPr>
        <w:t xml:space="preserve"> </w:t>
      </w:r>
      <w:r w:rsidRPr="00BD7456">
        <w:rPr>
          <w:sz w:val="22"/>
          <w:szCs w:val="22"/>
        </w:rPr>
        <w:t>at 4- and 8-month-old of age. Data presented as -</w:t>
      </w:r>
      <w:proofErr w:type="gramStart"/>
      <w:r w:rsidRPr="00BD7456">
        <w:rPr>
          <w:sz w:val="22"/>
          <w:szCs w:val="22"/>
        </w:rPr>
        <w:t>log(</w:t>
      </w:r>
      <w:proofErr w:type="gramEnd"/>
      <w:r w:rsidRPr="00BD7456">
        <w:rPr>
          <w:sz w:val="22"/>
          <w:szCs w:val="22"/>
        </w:rPr>
        <w:t xml:space="preserve">FDR). </w:t>
      </w:r>
      <w:r w:rsidRPr="00BD7456">
        <w:rPr>
          <w:b/>
          <w:sz w:val="22"/>
          <w:szCs w:val="22"/>
        </w:rPr>
        <w:t>(c)</w:t>
      </w:r>
      <w:r w:rsidRPr="00BD7456">
        <w:rPr>
          <w:sz w:val="22"/>
          <w:szCs w:val="22"/>
        </w:rPr>
        <w:t xml:space="preserve"> List of the 86 shared DEGs (FDR 0.05) between </w:t>
      </w:r>
      <w:r w:rsidRPr="00BD7456">
        <w:rPr>
          <w:i/>
          <w:sz w:val="22"/>
          <w:szCs w:val="22"/>
        </w:rPr>
        <w:t xml:space="preserve">APP/PSEN1 vs. </w:t>
      </w:r>
      <w:r w:rsidRPr="00BD7456">
        <w:rPr>
          <w:sz w:val="22"/>
          <w:szCs w:val="22"/>
        </w:rPr>
        <w:t>WT</w:t>
      </w:r>
      <w:r w:rsidRPr="00BD7456">
        <w:rPr>
          <w:i/>
          <w:sz w:val="22"/>
          <w:szCs w:val="22"/>
        </w:rPr>
        <w:t xml:space="preserve"> </w:t>
      </w:r>
      <w:r w:rsidRPr="00BD7456">
        <w:rPr>
          <w:sz w:val="22"/>
          <w:szCs w:val="22"/>
        </w:rPr>
        <w:t xml:space="preserve">and </w:t>
      </w:r>
      <w:r w:rsidRPr="00BD7456">
        <w:rPr>
          <w:i/>
          <w:sz w:val="22"/>
          <w:szCs w:val="22"/>
        </w:rPr>
        <w:t>APP/PSEN</w:t>
      </w:r>
      <w:proofErr w:type="gramStart"/>
      <w:r w:rsidRPr="00BD7456">
        <w:rPr>
          <w:i/>
          <w:sz w:val="22"/>
          <w:szCs w:val="22"/>
        </w:rPr>
        <w:t>1;Tyrobp</w:t>
      </w:r>
      <w:proofErr w:type="gramEnd"/>
      <w:r w:rsidRPr="00BD7456">
        <w:rPr>
          <w:sz w:val="22"/>
          <w:szCs w:val="22"/>
          <w:vertAlign w:val="superscript"/>
        </w:rPr>
        <w:t>-/-</w:t>
      </w:r>
      <w:r w:rsidRPr="00BD7456">
        <w:rPr>
          <w:sz w:val="22"/>
          <w:szCs w:val="22"/>
        </w:rPr>
        <w:t xml:space="preserve"> </w:t>
      </w:r>
      <w:r w:rsidRPr="00BD7456">
        <w:rPr>
          <w:i/>
          <w:sz w:val="22"/>
          <w:szCs w:val="22"/>
        </w:rPr>
        <w:t>vs. APP/PSEN1.</w:t>
      </w:r>
      <w:r w:rsidRPr="00BD7456">
        <w:rPr>
          <w:sz w:val="22"/>
          <w:szCs w:val="22"/>
        </w:rPr>
        <w:t xml:space="preserve"> </w:t>
      </w:r>
      <w:r w:rsidRPr="00BD7456">
        <w:rPr>
          <w:b/>
          <w:sz w:val="22"/>
          <w:szCs w:val="22"/>
        </w:rPr>
        <w:t>(d)</w:t>
      </w:r>
      <w:r w:rsidRPr="00BD7456">
        <w:rPr>
          <w:sz w:val="22"/>
          <w:szCs w:val="22"/>
        </w:rPr>
        <w:t xml:space="preserve"> Comparison of the shared and unique DEGs (FDR 0.05) in </w:t>
      </w:r>
      <w:r w:rsidRPr="00BD7456">
        <w:rPr>
          <w:i/>
          <w:sz w:val="22"/>
          <w:szCs w:val="22"/>
        </w:rPr>
        <w:t>APP/PSEN1, APP/PSEN</w:t>
      </w:r>
      <w:proofErr w:type="gramStart"/>
      <w:r w:rsidRPr="00BD7456">
        <w:rPr>
          <w:i/>
          <w:sz w:val="22"/>
          <w:szCs w:val="22"/>
        </w:rPr>
        <w:t>1;Tyrobp</w:t>
      </w:r>
      <w:proofErr w:type="gramEnd"/>
      <w:r w:rsidRPr="00BD7456">
        <w:rPr>
          <w:sz w:val="22"/>
          <w:szCs w:val="22"/>
          <w:vertAlign w:val="superscript"/>
        </w:rPr>
        <w:t>+/-</w:t>
      </w:r>
      <w:r w:rsidRPr="00BD7456">
        <w:rPr>
          <w:sz w:val="22"/>
          <w:szCs w:val="22"/>
        </w:rPr>
        <w:t xml:space="preserve"> and </w:t>
      </w:r>
      <w:r w:rsidRPr="00BD7456">
        <w:rPr>
          <w:i/>
          <w:sz w:val="22"/>
          <w:szCs w:val="22"/>
        </w:rPr>
        <w:t>APP/PSEN1;Tyrobp</w:t>
      </w:r>
      <w:r w:rsidRPr="00BD7456">
        <w:rPr>
          <w:sz w:val="22"/>
          <w:szCs w:val="22"/>
          <w:vertAlign w:val="superscript"/>
        </w:rPr>
        <w:t>-/-</w:t>
      </w:r>
      <w:r w:rsidRPr="00BD7456">
        <w:rPr>
          <w:sz w:val="22"/>
          <w:szCs w:val="22"/>
        </w:rPr>
        <w:t xml:space="preserve"> mice. </w:t>
      </w:r>
      <w:r w:rsidRPr="00BD7456">
        <w:rPr>
          <w:bCs/>
          <w:kern w:val="24"/>
          <w:sz w:val="22"/>
          <w:szCs w:val="22"/>
        </w:rPr>
        <w:t>(up: upregulated; down: downregulated genes)</w:t>
      </w:r>
    </w:p>
    <w:p w14:paraId="011146BC" w14:textId="77777777" w:rsidR="00421FF9" w:rsidRPr="00BD7456" w:rsidRDefault="00421FF9" w:rsidP="00421FF9">
      <w:pPr>
        <w:spacing w:line="360" w:lineRule="auto"/>
        <w:jc w:val="both"/>
        <w:rPr>
          <w:sz w:val="22"/>
          <w:szCs w:val="22"/>
        </w:rPr>
      </w:pPr>
    </w:p>
    <w:p w14:paraId="0ED350EC" w14:textId="77777777" w:rsidR="00421FF9" w:rsidRPr="00BD7456" w:rsidRDefault="00421FF9" w:rsidP="00421FF9">
      <w:pPr>
        <w:spacing w:line="360" w:lineRule="auto"/>
        <w:jc w:val="both"/>
        <w:rPr>
          <w:sz w:val="22"/>
          <w:szCs w:val="22"/>
        </w:rPr>
      </w:pPr>
      <w:r w:rsidRPr="00BD7456">
        <w:rPr>
          <w:b/>
          <w:sz w:val="22"/>
          <w:szCs w:val="22"/>
        </w:rPr>
        <w:t xml:space="preserve">Supplementary Figure 4. C1q mRNA and protein levels are reduced in </w:t>
      </w:r>
      <w:r w:rsidRPr="00BD7456">
        <w:rPr>
          <w:b/>
          <w:i/>
          <w:sz w:val="22"/>
          <w:szCs w:val="22"/>
        </w:rPr>
        <w:t>APP/PSEN1</w:t>
      </w:r>
      <w:r w:rsidRPr="00BD7456">
        <w:rPr>
          <w:b/>
          <w:sz w:val="22"/>
          <w:szCs w:val="22"/>
        </w:rPr>
        <w:t xml:space="preserve"> mice that are constitutively deficient in TYROBP</w:t>
      </w:r>
      <w:r w:rsidRPr="00BD7456">
        <w:rPr>
          <w:b/>
          <w:i/>
          <w:sz w:val="22"/>
          <w:szCs w:val="22"/>
        </w:rPr>
        <w:t>.</w:t>
      </w:r>
      <w:r w:rsidRPr="00BD7456">
        <w:rPr>
          <w:b/>
          <w:sz w:val="22"/>
          <w:szCs w:val="22"/>
        </w:rPr>
        <w:t xml:space="preserve"> (a)</w:t>
      </w:r>
      <w:r w:rsidRPr="00BD7456">
        <w:rPr>
          <w:sz w:val="22"/>
          <w:szCs w:val="22"/>
        </w:rPr>
        <w:t xml:space="preserve"> qPCR analysis of C1q mRNA expression in frontal cortices from 8-month-old male and female </w:t>
      </w:r>
      <w:r w:rsidRPr="00BD7456">
        <w:rPr>
          <w:i/>
          <w:sz w:val="22"/>
          <w:szCs w:val="22"/>
        </w:rPr>
        <w:t xml:space="preserve">WT </w:t>
      </w:r>
      <w:r w:rsidRPr="00BD7456">
        <w:rPr>
          <w:sz w:val="22"/>
          <w:szCs w:val="22"/>
        </w:rPr>
        <w:t>(n=9)</w:t>
      </w:r>
      <w:r w:rsidRPr="00BD7456">
        <w:rPr>
          <w:i/>
          <w:sz w:val="22"/>
          <w:szCs w:val="22"/>
        </w:rPr>
        <w:t>,</w:t>
      </w:r>
      <w:r w:rsidRPr="00BD7456">
        <w:rPr>
          <w:sz w:val="22"/>
          <w:szCs w:val="22"/>
        </w:rPr>
        <w:t xml:space="preserve"> </w:t>
      </w:r>
      <w:r w:rsidRPr="00BD7456">
        <w:rPr>
          <w:i/>
          <w:sz w:val="22"/>
          <w:szCs w:val="22"/>
        </w:rPr>
        <w:t xml:space="preserve">APP/PSEN1 </w:t>
      </w:r>
      <w:r w:rsidRPr="00BD7456">
        <w:rPr>
          <w:sz w:val="22"/>
          <w:szCs w:val="22"/>
        </w:rPr>
        <w:t>(n=9)</w:t>
      </w:r>
      <w:r w:rsidRPr="00BD7456">
        <w:rPr>
          <w:i/>
          <w:sz w:val="22"/>
          <w:szCs w:val="22"/>
        </w:rPr>
        <w:t>, APP/PSEN</w:t>
      </w:r>
      <w:proofErr w:type="gramStart"/>
      <w:r w:rsidRPr="00BD7456">
        <w:rPr>
          <w:i/>
          <w:sz w:val="22"/>
          <w:szCs w:val="22"/>
        </w:rPr>
        <w:t>1;Tyrobp</w:t>
      </w:r>
      <w:proofErr w:type="gramEnd"/>
      <w:r w:rsidRPr="00BD7456">
        <w:rPr>
          <w:i/>
          <w:sz w:val="22"/>
          <w:szCs w:val="22"/>
          <w:vertAlign w:val="superscript"/>
        </w:rPr>
        <w:t>+/-</w:t>
      </w:r>
      <w:r w:rsidRPr="00BD7456">
        <w:rPr>
          <w:i/>
          <w:sz w:val="22"/>
          <w:szCs w:val="22"/>
        </w:rPr>
        <w:t xml:space="preserve"> </w:t>
      </w:r>
      <w:r w:rsidRPr="00BD7456">
        <w:rPr>
          <w:sz w:val="22"/>
          <w:szCs w:val="22"/>
        </w:rPr>
        <w:t>(n=8) and</w:t>
      </w:r>
      <w:r w:rsidRPr="00BD7456">
        <w:rPr>
          <w:i/>
          <w:sz w:val="22"/>
          <w:szCs w:val="22"/>
        </w:rPr>
        <w:t xml:space="preserve"> APP/PSEN1;Tyrobp</w:t>
      </w:r>
      <w:r w:rsidRPr="00BD7456">
        <w:rPr>
          <w:i/>
          <w:sz w:val="22"/>
          <w:szCs w:val="22"/>
          <w:vertAlign w:val="superscript"/>
        </w:rPr>
        <w:t>-/-</w:t>
      </w:r>
      <w:r w:rsidRPr="00BD7456">
        <w:rPr>
          <w:b/>
          <w:i/>
          <w:sz w:val="22"/>
          <w:szCs w:val="22"/>
        </w:rPr>
        <w:t xml:space="preserve"> </w:t>
      </w:r>
      <w:r w:rsidRPr="00BD7456">
        <w:rPr>
          <w:sz w:val="22"/>
          <w:szCs w:val="22"/>
        </w:rPr>
        <w:t xml:space="preserve">(n=9) mice. One-way </w:t>
      </w:r>
      <w:r w:rsidRPr="00BD7456">
        <w:rPr>
          <w:kern w:val="24"/>
          <w:sz w:val="22"/>
          <w:szCs w:val="22"/>
        </w:rPr>
        <w:t>ANOVA corrected for multiple comparisons (Tukey) was used for statistical comparisons.</w:t>
      </w:r>
      <w:r w:rsidRPr="00BD7456">
        <w:rPr>
          <w:sz w:val="22"/>
          <w:szCs w:val="22"/>
        </w:rPr>
        <w:t xml:space="preserve"> </w:t>
      </w:r>
      <w:r w:rsidRPr="00BD7456">
        <w:rPr>
          <w:sz w:val="22"/>
          <w:szCs w:val="22"/>
          <w:vertAlign w:val="superscript"/>
        </w:rPr>
        <w:t>$</w:t>
      </w:r>
      <w:r w:rsidRPr="00BD7456">
        <w:rPr>
          <w:sz w:val="22"/>
          <w:szCs w:val="22"/>
        </w:rPr>
        <w:t xml:space="preserve">p&lt;0.05; </w:t>
      </w:r>
      <w:r w:rsidRPr="00BD7456">
        <w:rPr>
          <w:sz w:val="22"/>
          <w:szCs w:val="22"/>
          <w:vertAlign w:val="superscript"/>
        </w:rPr>
        <w:t>$$</w:t>
      </w:r>
      <w:r w:rsidRPr="00BD7456">
        <w:rPr>
          <w:sz w:val="22"/>
          <w:szCs w:val="22"/>
        </w:rPr>
        <w:t xml:space="preserve">p&lt;0.01 </w:t>
      </w:r>
      <w:r w:rsidRPr="00BD7456">
        <w:rPr>
          <w:i/>
          <w:sz w:val="22"/>
          <w:szCs w:val="22"/>
        </w:rPr>
        <w:t>vs</w:t>
      </w:r>
      <w:r w:rsidRPr="00BD7456">
        <w:rPr>
          <w:sz w:val="22"/>
          <w:szCs w:val="22"/>
        </w:rPr>
        <w:t xml:space="preserve">. WT. </w:t>
      </w:r>
      <w:r w:rsidRPr="00BD7456">
        <w:rPr>
          <w:kern w:val="24"/>
          <w:sz w:val="22"/>
          <w:szCs w:val="22"/>
        </w:rPr>
        <w:t xml:space="preserve">****p &lt; 0.0001 </w:t>
      </w:r>
      <w:r w:rsidRPr="00BD7456">
        <w:rPr>
          <w:i/>
          <w:kern w:val="24"/>
          <w:sz w:val="22"/>
          <w:szCs w:val="22"/>
        </w:rPr>
        <w:t>vs. APP/PSEN1</w:t>
      </w:r>
      <w:r w:rsidRPr="00BD7456">
        <w:rPr>
          <w:kern w:val="24"/>
          <w:sz w:val="22"/>
          <w:szCs w:val="22"/>
        </w:rPr>
        <w:t xml:space="preserve">. Data presented as </w:t>
      </w:r>
      <w:proofErr w:type="spellStart"/>
      <w:r w:rsidRPr="00BD7456">
        <w:rPr>
          <w:kern w:val="24"/>
          <w:sz w:val="22"/>
          <w:szCs w:val="22"/>
        </w:rPr>
        <w:t>mean±SEM</w:t>
      </w:r>
      <w:proofErr w:type="spellEnd"/>
      <w:r w:rsidRPr="00BD7456">
        <w:rPr>
          <w:kern w:val="24"/>
          <w:sz w:val="22"/>
          <w:szCs w:val="22"/>
        </w:rPr>
        <w:t xml:space="preserve">. </w:t>
      </w:r>
      <w:r w:rsidRPr="00BD7456">
        <w:rPr>
          <w:b/>
          <w:sz w:val="22"/>
          <w:szCs w:val="22"/>
        </w:rPr>
        <w:t>(b)</w:t>
      </w:r>
      <w:r w:rsidRPr="00BD7456">
        <w:rPr>
          <w:sz w:val="22"/>
          <w:szCs w:val="22"/>
        </w:rPr>
        <w:t xml:space="preserve"> Western blot analysis of C1q and GAPDH proteins in brain protein homogenates from 8-month-old male and female </w:t>
      </w:r>
      <w:r w:rsidRPr="00BD7456">
        <w:rPr>
          <w:i/>
          <w:sz w:val="22"/>
          <w:szCs w:val="22"/>
        </w:rPr>
        <w:t>APP/PSEN1, APP/PSEN</w:t>
      </w:r>
      <w:proofErr w:type="gramStart"/>
      <w:r w:rsidRPr="00BD7456">
        <w:rPr>
          <w:i/>
          <w:sz w:val="22"/>
          <w:szCs w:val="22"/>
        </w:rPr>
        <w:t>1;Tyrobp</w:t>
      </w:r>
      <w:proofErr w:type="gramEnd"/>
      <w:r w:rsidRPr="00BD7456">
        <w:rPr>
          <w:i/>
          <w:sz w:val="22"/>
          <w:szCs w:val="22"/>
          <w:vertAlign w:val="superscript"/>
        </w:rPr>
        <w:t>+/-</w:t>
      </w:r>
      <w:r w:rsidRPr="00BD7456">
        <w:rPr>
          <w:i/>
          <w:sz w:val="22"/>
          <w:szCs w:val="22"/>
        </w:rPr>
        <w:t xml:space="preserve"> </w:t>
      </w:r>
      <w:r w:rsidRPr="00BD7456">
        <w:rPr>
          <w:sz w:val="22"/>
          <w:szCs w:val="22"/>
        </w:rPr>
        <w:t>and</w:t>
      </w:r>
      <w:r w:rsidRPr="00BD7456">
        <w:rPr>
          <w:i/>
          <w:sz w:val="22"/>
          <w:szCs w:val="22"/>
        </w:rPr>
        <w:t xml:space="preserve"> APP/PSEN1;Tyrobp</w:t>
      </w:r>
      <w:r w:rsidRPr="00BD7456">
        <w:rPr>
          <w:i/>
          <w:sz w:val="22"/>
          <w:szCs w:val="22"/>
          <w:vertAlign w:val="superscript"/>
        </w:rPr>
        <w:t>-/-</w:t>
      </w:r>
      <w:r w:rsidRPr="00BD7456">
        <w:rPr>
          <w:b/>
          <w:i/>
          <w:sz w:val="22"/>
          <w:szCs w:val="22"/>
        </w:rPr>
        <w:t xml:space="preserve"> </w:t>
      </w:r>
      <w:r w:rsidRPr="00BD7456">
        <w:rPr>
          <w:sz w:val="22"/>
          <w:szCs w:val="22"/>
        </w:rPr>
        <w:t xml:space="preserve">mice. Representative </w:t>
      </w:r>
      <w:proofErr w:type="spellStart"/>
      <w:r w:rsidRPr="00BD7456">
        <w:rPr>
          <w:sz w:val="22"/>
          <w:szCs w:val="22"/>
        </w:rPr>
        <w:t>immunoreactive</w:t>
      </w:r>
      <w:proofErr w:type="spellEnd"/>
      <w:r w:rsidRPr="00BD7456">
        <w:rPr>
          <w:sz w:val="22"/>
          <w:szCs w:val="22"/>
        </w:rPr>
        <w:t xml:space="preserve"> bands for C1q and GAPDH proteins. </w:t>
      </w:r>
      <w:r w:rsidRPr="00BD7456">
        <w:rPr>
          <w:b/>
          <w:sz w:val="22"/>
          <w:szCs w:val="22"/>
        </w:rPr>
        <w:t xml:space="preserve">(c) </w:t>
      </w:r>
      <w:r w:rsidRPr="00BD7456">
        <w:rPr>
          <w:sz w:val="22"/>
          <w:szCs w:val="22"/>
        </w:rPr>
        <w:t xml:space="preserve">Integrated density of </w:t>
      </w:r>
      <w:proofErr w:type="spellStart"/>
      <w:r w:rsidRPr="00BD7456">
        <w:rPr>
          <w:sz w:val="22"/>
          <w:szCs w:val="22"/>
        </w:rPr>
        <w:t>immunoreactive</w:t>
      </w:r>
      <w:proofErr w:type="spellEnd"/>
      <w:r w:rsidRPr="00BD7456">
        <w:rPr>
          <w:sz w:val="22"/>
          <w:szCs w:val="22"/>
        </w:rPr>
        <w:t xml:space="preserve"> western blot bands were measured for C1q and normalized on GAPDH (n=8/group).</w:t>
      </w:r>
      <w:r w:rsidRPr="00BD7456">
        <w:rPr>
          <w:b/>
          <w:sz w:val="22"/>
          <w:szCs w:val="22"/>
        </w:rPr>
        <w:t xml:space="preserve"> </w:t>
      </w:r>
      <w:r w:rsidRPr="00BD7456">
        <w:rPr>
          <w:sz w:val="22"/>
          <w:szCs w:val="22"/>
        </w:rPr>
        <w:t xml:space="preserve">At least 2 independent western blot analyses were performed. One-way </w:t>
      </w:r>
      <w:r w:rsidRPr="00BD7456">
        <w:rPr>
          <w:kern w:val="24"/>
          <w:sz w:val="22"/>
          <w:szCs w:val="22"/>
        </w:rPr>
        <w:t>ANOVA corrected for multiple comparisons (Tukey) was used for statistical comparisons, *p&lt;0.05; ****p&lt;0.0001. Data presented as mean ± SEM.</w:t>
      </w:r>
      <w:r w:rsidRPr="00BD7456" w:rsidDel="00BC7661">
        <w:rPr>
          <w:sz w:val="22"/>
          <w:szCs w:val="22"/>
        </w:rPr>
        <w:t xml:space="preserve"> </w:t>
      </w:r>
      <w:r w:rsidRPr="00BD7456">
        <w:rPr>
          <w:b/>
          <w:sz w:val="22"/>
          <w:szCs w:val="22"/>
        </w:rPr>
        <w:t>(d)</w:t>
      </w:r>
      <w:r w:rsidRPr="00BD7456">
        <w:rPr>
          <w:sz w:val="22"/>
          <w:szCs w:val="22"/>
        </w:rPr>
        <w:t xml:space="preserve"> Representative </w:t>
      </w:r>
      <w:proofErr w:type="spellStart"/>
      <w:r w:rsidRPr="00BD7456">
        <w:rPr>
          <w:sz w:val="22"/>
          <w:szCs w:val="22"/>
        </w:rPr>
        <w:t>immunohistological</w:t>
      </w:r>
      <w:proofErr w:type="spellEnd"/>
      <w:r w:rsidRPr="00BD7456">
        <w:rPr>
          <w:sz w:val="22"/>
          <w:szCs w:val="22"/>
        </w:rPr>
        <w:t xml:space="preserve"> staining of C1q (frontal cortex) in </w:t>
      </w:r>
      <w:r w:rsidRPr="00BD7456">
        <w:rPr>
          <w:i/>
          <w:sz w:val="22"/>
          <w:szCs w:val="22"/>
        </w:rPr>
        <w:t xml:space="preserve">APP/PSEN1 </w:t>
      </w:r>
      <w:r w:rsidRPr="00BD7456">
        <w:rPr>
          <w:sz w:val="22"/>
          <w:szCs w:val="22"/>
        </w:rPr>
        <w:t>and</w:t>
      </w:r>
      <w:r w:rsidRPr="00BD7456">
        <w:rPr>
          <w:i/>
          <w:sz w:val="22"/>
          <w:szCs w:val="22"/>
        </w:rPr>
        <w:t xml:space="preserve"> APP/PSEN</w:t>
      </w:r>
      <w:proofErr w:type="gramStart"/>
      <w:r w:rsidRPr="00BD7456">
        <w:rPr>
          <w:i/>
          <w:sz w:val="22"/>
          <w:szCs w:val="22"/>
        </w:rPr>
        <w:t>1;Tyrobp</w:t>
      </w:r>
      <w:proofErr w:type="gramEnd"/>
      <w:r w:rsidRPr="00BD7456">
        <w:rPr>
          <w:i/>
          <w:sz w:val="22"/>
          <w:szCs w:val="22"/>
          <w:vertAlign w:val="superscript"/>
        </w:rPr>
        <w:t>-/-</w:t>
      </w:r>
      <w:r w:rsidRPr="00BD7456">
        <w:rPr>
          <w:b/>
          <w:i/>
          <w:sz w:val="22"/>
          <w:szCs w:val="22"/>
        </w:rPr>
        <w:t xml:space="preserve"> </w:t>
      </w:r>
      <w:r w:rsidRPr="00BD7456">
        <w:rPr>
          <w:sz w:val="22"/>
          <w:szCs w:val="22"/>
        </w:rPr>
        <w:t>mice.</w:t>
      </w:r>
    </w:p>
    <w:p w14:paraId="5BD4312B" w14:textId="77777777" w:rsidR="00421FF9" w:rsidRPr="00BD7456" w:rsidRDefault="00421FF9" w:rsidP="00421FF9">
      <w:pPr>
        <w:spacing w:line="360" w:lineRule="auto"/>
        <w:jc w:val="both"/>
        <w:rPr>
          <w:sz w:val="22"/>
          <w:szCs w:val="22"/>
        </w:rPr>
      </w:pPr>
    </w:p>
    <w:p w14:paraId="766F363E" w14:textId="77777777" w:rsidR="00421FF9" w:rsidRPr="00BD7456" w:rsidRDefault="00421FF9" w:rsidP="00421FF9">
      <w:pPr>
        <w:spacing w:line="360" w:lineRule="auto"/>
        <w:jc w:val="both"/>
        <w:rPr>
          <w:sz w:val="22"/>
          <w:szCs w:val="22"/>
        </w:rPr>
      </w:pPr>
      <w:r w:rsidRPr="00BD7456">
        <w:rPr>
          <w:b/>
          <w:sz w:val="22"/>
          <w:szCs w:val="22"/>
        </w:rPr>
        <w:t xml:space="preserve">Supplementary Figure 5. </w:t>
      </w:r>
      <w:r w:rsidRPr="00BD7456">
        <w:rPr>
          <w:sz w:val="22"/>
          <w:szCs w:val="22"/>
        </w:rPr>
        <w:t xml:space="preserve">Genes upregulated in </w:t>
      </w:r>
      <w:r w:rsidRPr="00BD7456">
        <w:rPr>
          <w:i/>
          <w:sz w:val="22"/>
          <w:szCs w:val="22"/>
        </w:rPr>
        <w:t>APP/PSEN1</w:t>
      </w:r>
      <w:r w:rsidRPr="00BD7456">
        <w:rPr>
          <w:sz w:val="22"/>
          <w:szCs w:val="22"/>
        </w:rPr>
        <w:t xml:space="preserve"> mice are enriched in the subnetwork neighboring TYROBP (9.9-fold, FET P value 4.3×10</w:t>
      </w:r>
      <w:r w:rsidRPr="00BD7456">
        <w:rPr>
          <w:sz w:val="22"/>
          <w:szCs w:val="22"/>
          <w:vertAlign w:val="superscript"/>
        </w:rPr>
        <w:t>-71</w:t>
      </w:r>
      <w:r w:rsidRPr="00BD7456">
        <w:rPr>
          <w:sz w:val="22"/>
          <w:szCs w:val="22"/>
        </w:rPr>
        <w:t>). Red color denotes upregulated genes while yellow denotes genes without significant change in expression.</w:t>
      </w:r>
    </w:p>
    <w:p w14:paraId="2380D52C" w14:textId="77777777" w:rsidR="00421FF9" w:rsidRPr="00BD7456" w:rsidRDefault="00421FF9" w:rsidP="00421FF9">
      <w:pPr>
        <w:spacing w:line="360" w:lineRule="auto"/>
        <w:jc w:val="both"/>
        <w:rPr>
          <w:sz w:val="22"/>
          <w:szCs w:val="22"/>
        </w:rPr>
      </w:pPr>
    </w:p>
    <w:p w14:paraId="207EBB26" w14:textId="77777777" w:rsidR="00421FF9" w:rsidRPr="00BD7456" w:rsidRDefault="00421FF9" w:rsidP="00421FF9">
      <w:pPr>
        <w:spacing w:line="360" w:lineRule="auto"/>
        <w:jc w:val="both"/>
        <w:rPr>
          <w:sz w:val="22"/>
          <w:szCs w:val="22"/>
        </w:rPr>
      </w:pPr>
      <w:r w:rsidRPr="00BD7456">
        <w:rPr>
          <w:b/>
          <w:sz w:val="22"/>
          <w:szCs w:val="22"/>
        </w:rPr>
        <w:t xml:space="preserve">Supplementary Figure 6. Absence of TYROBP increased the levels of </w:t>
      </w:r>
      <w:proofErr w:type="spellStart"/>
      <w:r w:rsidRPr="00BD7456">
        <w:rPr>
          <w:b/>
          <w:sz w:val="22"/>
          <w:szCs w:val="22"/>
        </w:rPr>
        <w:t>Aß</w:t>
      </w:r>
      <w:proofErr w:type="spellEnd"/>
      <w:r w:rsidRPr="00BD7456">
        <w:rPr>
          <w:b/>
          <w:sz w:val="22"/>
          <w:szCs w:val="22"/>
        </w:rPr>
        <w:t xml:space="preserve"> in TBS fraction but decreased the levels of </w:t>
      </w:r>
      <w:proofErr w:type="spellStart"/>
      <w:r w:rsidRPr="00BD7456">
        <w:rPr>
          <w:b/>
          <w:sz w:val="22"/>
          <w:szCs w:val="22"/>
        </w:rPr>
        <w:t>Aß</w:t>
      </w:r>
      <w:proofErr w:type="spellEnd"/>
      <w:r w:rsidRPr="00BD7456">
        <w:rPr>
          <w:b/>
          <w:sz w:val="22"/>
          <w:szCs w:val="22"/>
        </w:rPr>
        <w:t xml:space="preserve"> in Triton-X fraction in 8-month-old </w:t>
      </w:r>
      <w:r w:rsidRPr="00BD7456">
        <w:rPr>
          <w:b/>
          <w:i/>
          <w:sz w:val="22"/>
          <w:szCs w:val="22"/>
        </w:rPr>
        <w:t>APP/PSEN1</w:t>
      </w:r>
      <w:r w:rsidRPr="00BD7456">
        <w:rPr>
          <w:b/>
          <w:sz w:val="22"/>
          <w:szCs w:val="22"/>
        </w:rPr>
        <w:t xml:space="preserve"> mice. (a)</w:t>
      </w:r>
      <w:r w:rsidRPr="00BD7456">
        <w:rPr>
          <w:sz w:val="22"/>
          <w:szCs w:val="22"/>
        </w:rPr>
        <w:t xml:space="preserve"> Schematic overview of the mouse genotypes and experiment. Aß40, Aß42, and oligomer levels were measured in hemibrains of female and male </w:t>
      </w:r>
      <w:r w:rsidRPr="00BD7456">
        <w:rPr>
          <w:i/>
          <w:sz w:val="22"/>
          <w:szCs w:val="22"/>
        </w:rPr>
        <w:t>APP/PSEN1</w:t>
      </w:r>
      <w:r w:rsidRPr="00BD7456">
        <w:rPr>
          <w:sz w:val="22"/>
          <w:szCs w:val="22"/>
        </w:rPr>
        <w:t xml:space="preserve"> and </w:t>
      </w:r>
      <w:r w:rsidRPr="00BD7456">
        <w:rPr>
          <w:i/>
          <w:sz w:val="22"/>
          <w:szCs w:val="22"/>
        </w:rPr>
        <w:t>APP/PSEN</w:t>
      </w:r>
      <w:proofErr w:type="gramStart"/>
      <w:r w:rsidRPr="00BD7456">
        <w:rPr>
          <w:i/>
          <w:sz w:val="22"/>
          <w:szCs w:val="22"/>
        </w:rPr>
        <w:t>1;Tyrobp</w:t>
      </w:r>
      <w:proofErr w:type="gramEnd"/>
      <w:r w:rsidRPr="00BD7456">
        <w:rPr>
          <w:i/>
          <w:sz w:val="22"/>
          <w:szCs w:val="22"/>
          <w:vertAlign w:val="superscript"/>
        </w:rPr>
        <w:t>-/-</w:t>
      </w:r>
      <w:r w:rsidRPr="00BD7456">
        <w:rPr>
          <w:b/>
          <w:i/>
          <w:sz w:val="22"/>
          <w:szCs w:val="22"/>
        </w:rPr>
        <w:t xml:space="preserve"> </w:t>
      </w:r>
      <w:r w:rsidRPr="00BD7456">
        <w:rPr>
          <w:sz w:val="22"/>
          <w:szCs w:val="22"/>
        </w:rPr>
        <w:t xml:space="preserve">mice. Hemibrains were processed via differential detergent solubilization to produce fractions of TBS soluble, Triton-X soluble and formic acid soluble Aβ. Levels of Aß40 </w:t>
      </w:r>
      <w:r w:rsidRPr="00BD7456">
        <w:rPr>
          <w:b/>
          <w:sz w:val="22"/>
          <w:szCs w:val="22"/>
        </w:rPr>
        <w:t>(</w:t>
      </w:r>
      <w:proofErr w:type="spellStart"/>
      <w:proofErr w:type="gramStart"/>
      <w:r w:rsidRPr="00BD7456">
        <w:rPr>
          <w:b/>
          <w:sz w:val="22"/>
          <w:szCs w:val="22"/>
        </w:rPr>
        <w:t>b,e</w:t>
      </w:r>
      <w:proofErr w:type="gramEnd"/>
      <w:r w:rsidRPr="00BD7456">
        <w:rPr>
          <w:b/>
          <w:sz w:val="22"/>
          <w:szCs w:val="22"/>
        </w:rPr>
        <w:t>,h</w:t>
      </w:r>
      <w:proofErr w:type="spellEnd"/>
      <w:r w:rsidRPr="00BD7456">
        <w:rPr>
          <w:b/>
          <w:sz w:val="22"/>
          <w:szCs w:val="22"/>
        </w:rPr>
        <w:t>)</w:t>
      </w:r>
      <w:r w:rsidRPr="00BD7456">
        <w:rPr>
          <w:sz w:val="22"/>
          <w:szCs w:val="22"/>
        </w:rPr>
        <w:t xml:space="preserve"> and Aß42 </w:t>
      </w:r>
      <w:r w:rsidRPr="00BD7456">
        <w:rPr>
          <w:b/>
          <w:sz w:val="22"/>
          <w:szCs w:val="22"/>
        </w:rPr>
        <w:t>(</w:t>
      </w:r>
      <w:proofErr w:type="spellStart"/>
      <w:r w:rsidRPr="00BD7456">
        <w:rPr>
          <w:b/>
          <w:sz w:val="22"/>
          <w:szCs w:val="22"/>
        </w:rPr>
        <w:t>c,f,i</w:t>
      </w:r>
      <w:proofErr w:type="spellEnd"/>
      <w:r w:rsidRPr="00BD7456">
        <w:rPr>
          <w:b/>
          <w:sz w:val="22"/>
          <w:szCs w:val="22"/>
        </w:rPr>
        <w:t>)</w:t>
      </w:r>
      <w:r w:rsidRPr="00BD7456">
        <w:rPr>
          <w:sz w:val="22"/>
          <w:szCs w:val="22"/>
        </w:rPr>
        <w:t xml:space="preserve"> were determined from each fraction via ELISA. The Aβ42/40 ratio was calculated for each fraction </w:t>
      </w:r>
      <w:r w:rsidRPr="00BD7456">
        <w:rPr>
          <w:b/>
          <w:sz w:val="22"/>
          <w:szCs w:val="22"/>
        </w:rPr>
        <w:t>(</w:t>
      </w:r>
      <w:proofErr w:type="spellStart"/>
      <w:proofErr w:type="gramStart"/>
      <w:r w:rsidRPr="00BD7456">
        <w:rPr>
          <w:b/>
          <w:sz w:val="22"/>
          <w:szCs w:val="22"/>
        </w:rPr>
        <w:t>d,g</w:t>
      </w:r>
      <w:proofErr w:type="gramEnd"/>
      <w:r w:rsidRPr="00BD7456">
        <w:rPr>
          <w:b/>
          <w:sz w:val="22"/>
          <w:szCs w:val="22"/>
        </w:rPr>
        <w:t>,j</w:t>
      </w:r>
      <w:proofErr w:type="spellEnd"/>
      <w:r w:rsidRPr="00BD7456">
        <w:rPr>
          <w:b/>
          <w:sz w:val="22"/>
          <w:szCs w:val="22"/>
        </w:rPr>
        <w:t>)</w:t>
      </w:r>
      <w:r w:rsidRPr="00BD7456">
        <w:rPr>
          <w:sz w:val="22"/>
          <w:szCs w:val="22"/>
        </w:rPr>
        <w:t xml:space="preserve">. </w:t>
      </w:r>
      <w:r w:rsidRPr="00BD7456">
        <w:rPr>
          <w:b/>
          <w:sz w:val="22"/>
          <w:szCs w:val="22"/>
        </w:rPr>
        <w:t>(</w:t>
      </w:r>
      <w:proofErr w:type="spellStart"/>
      <w:proofErr w:type="gramStart"/>
      <w:r w:rsidRPr="00BD7456">
        <w:rPr>
          <w:b/>
          <w:sz w:val="22"/>
          <w:szCs w:val="22"/>
        </w:rPr>
        <w:t>k,l</w:t>
      </w:r>
      <w:proofErr w:type="gramEnd"/>
      <w:r w:rsidRPr="00BD7456">
        <w:rPr>
          <w:b/>
          <w:sz w:val="22"/>
          <w:szCs w:val="22"/>
        </w:rPr>
        <w:t>,m</w:t>
      </w:r>
      <w:proofErr w:type="spellEnd"/>
      <w:r w:rsidRPr="00BD7456">
        <w:rPr>
          <w:b/>
          <w:sz w:val="22"/>
          <w:szCs w:val="22"/>
        </w:rPr>
        <w:t>)</w:t>
      </w:r>
      <w:r w:rsidRPr="00BD7456">
        <w:rPr>
          <w:sz w:val="22"/>
          <w:szCs w:val="22"/>
        </w:rPr>
        <w:t xml:space="preserve"> Oligomeric Aβ was assessed from the TBS-soluble fraction via dot blot analyses using NU-4 </w:t>
      </w:r>
      <w:r w:rsidRPr="00BD7456">
        <w:rPr>
          <w:b/>
          <w:sz w:val="22"/>
          <w:szCs w:val="22"/>
        </w:rPr>
        <w:t>(k)</w:t>
      </w:r>
      <w:r w:rsidRPr="00BD7456">
        <w:rPr>
          <w:sz w:val="22"/>
          <w:szCs w:val="22"/>
        </w:rPr>
        <w:t xml:space="preserve">, A11 </w:t>
      </w:r>
      <w:r w:rsidRPr="00BD7456">
        <w:rPr>
          <w:b/>
          <w:sz w:val="22"/>
          <w:szCs w:val="22"/>
        </w:rPr>
        <w:t>(l)</w:t>
      </w:r>
      <w:r w:rsidRPr="00BD7456">
        <w:rPr>
          <w:sz w:val="22"/>
          <w:szCs w:val="22"/>
        </w:rPr>
        <w:t xml:space="preserve"> and OC </w:t>
      </w:r>
      <w:r w:rsidRPr="00BD7456">
        <w:rPr>
          <w:b/>
          <w:sz w:val="22"/>
          <w:szCs w:val="22"/>
        </w:rPr>
        <w:t>(m)</w:t>
      </w:r>
      <w:r w:rsidRPr="00BD7456">
        <w:rPr>
          <w:sz w:val="22"/>
          <w:szCs w:val="22"/>
        </w:rPr>
        <w:t xml:space="preserve"> antibodies. Mann-Whitney test. n=4-5 per group per sex. *p&lt;0.05; **p&lt;0.01; ***p&lt;0.001. ns: not significant. Data presented as mean ± SEM.</w:t>
      </w:r>
    </w:p>
    <w:p w14:paraId="38DE6331" w14:textId="77777777" w:rsidR="00421FF9" w:rsidRPr="00BD7456" w:rsidRDefault="00421FF9" w:rsidP="00421FF9">
      <w:pPr>
        <w:spacing w:line="360" w:lineRule="auto"/>
        <w:jc w:val="both"/>
        <w:rPr>
          <w:sz w:val="22"/>
          <w:szCs w:val="22"/>
        </w:rPr>
      </w:pPr>
    </w:p>
    <w:p w14:paraId="46902618" w14:textId="77777777" w:rsidR="00421FF9" w:rsidRPr="00BD7456" w:rsidRDefault="00421FF9" w:rsidP="00421FF9">
      <w:pPr>
        <w:spacing w:line="360" w:lineRule="auto"/>
        <w:jc w:val="both"/>
        <w:rPr>
          <w:sz w:val="22"/>
          <w:szCs w:val="22"/>
        </w:rPr>
      </w:pPr>
    </w:p>
    <w:p w14:paraId="231231A6" w14:textId="77777777" w:rsidR="00421FF9" w:rsidRPr="00BD7456" w:rsidRDefault="00421FF9" w:rsidP="00421FF9">
      <w:pPr>
        <w:spacing w:line="360" w:lineRule="auto"/>
        <w:jc w:val="both"/>
        <w:rPr>
          <w:b/>
          <w:sz w:val="22"/>
          <w:szCs w:val="22"/>
        </w:rPr>
      </w:pPr>
      <w:r w:rsidRPr="00BD7456">
        <w:rPr>
          <w:b/>
          <w:sz w:val="22"/>
          <w:szCs w:val="22"/>
        </w:rPr>
        <w:t>Supplementary Files</w:t>
      </w:r>
    </w:p>
    <w:p w14:paraId="0C07795C" w14:textId="77777777" w:rsidR="00421FF9" w:rsidRPr="00BD7456" w:rsidRDefault="00421FF9" w:rsidP="00421FF9">
      <w:pPr>
        <w:spacing w:line="360" w:lineRule="auto"/>
        <w:jc w:val="both"/>
        <w:rPr>
          <w:sz w:val="22"/>
          <w:szCs w:val="22"/>
        </w:rPr>
      </w:pPr>
      <w:r w:rsidRPr="00BD7456">
        <w:rPr>
          <w:b/>
          <w:sz w:val="22"/>
          <w:szCs w:val="22"/>
        </w:rPr>
        <w:t>Supplementary Table 1:</w:t>
      </w:r>
      <w:r w:rsidRPr="00BD7456">
        <w:rPr>
          <w:sz w:val="22"/>
          <w:szCs w:val="22"/>
        </w:rPr>
        <w:t xml:space="preserve"> Differential gene expression (DE) results</w:t>
      </w:r>
    </w:p>
    <w:p w14:paraId="15C77FE9" w14:textId="77777777" w:rsidR="00421FF9" w:rsidRPr="00BD7456" w:rsidRDefault="00421FF9" w:rsidP="00421FF9">
      <w:pPr>
        <w:spacing w:line="360" w:lineRule="auto"/>
        <w:jc w:val="both"/>
        <w:rPr>
          <w:sz w:val="22"/>
          <w:szCs w:val="22"/>
        </w:rPr>
      </w:pPr>
      <w:r w:rsidRPr="00BD7456">
        <w:rPr>
          <w:b/>
          <w:sz w:val="22"/>
          <w:szCs w:val="22"/>
        </w:rPr>
        <w:t xml:space="preserve">Supplementary Table 2: </w:t>
      </w:r>
      <w:r w:rsidRPr="00BD7456">
        <w:rPr>
          <w:sz w:val="22"/>
          <w:szCs w:val="22"/>
        </w:rPr>
        <w:t>Gene set enrichment analysis results</w:t>
      </w:r>
    </w:p>
    <w:p w14:paraId="2182DE0B" w14:textId="77777777" w:rsidR="00421FF9" w:rsidRPr="00BD7456" w:rsidRDefault="00421FF9" w:rsidP="00421FF9">
      <w:pPr>
        <w:spacing w:line="360" w:lineRule="auto"/>
        <w:jc w:val="both"/>
        <w:rPr>
          <w:sz w:val="22"/>
          <w:szCs w:val="22"/>
        </w:rPr>
      </w:pPr>
      <w:r w:rsidRPr="00BD7456">
        <w:rPr>
          <w:b/>
          <w:sz w:val="22"/>
          <w:szCs w:val="22"/>
        </w:rPr>
        <w:t xml:space="preserve">Supplementary Table 3: </w:t>
      </w:r>
      <w:r w:rsidRPr="00BD7456">
        <w:rPr>
          <w:sz w:val="22"/>
          <w:szCs w:val="22"/>
        </w:rPr>
        <w:t xml:space="preserve">Intersection analysis of </w:t>
      </w:r>
      <w:r w:rsidRPr="00BD7456">
        <w:rPr>
          <w:i/>
          <w:sz w:val="22"/>
          <w:szCs w:val="22"/>
        </w:rPr>
        <w:t>APP/PSEN1</w:t>
      </w:r>
      <w:r w:rsidRPr="00BD7456">
        <w:rPr>
          <w:sz w:val="22"/>
          <w:szCs w:val="22"/>
        </w:rPr>
        <w:t xml:space="preserve"> mouse signature with multiple AD gene expression signatures previously identified in human brains. Intersection analysis results were obtained from the Fisher’s exact test (FET).</w:t>
      </w:r>
    </w:p>
    <w:p w14:paraId="348D2204" w14:textId="77777777" w:rsidR="00421FF9" w:rsidRPr="00BD7456" w:rsidRDefault="00421FF9" w:rsidP="00421FF9">
      <w:pPr>
        <w:spacing w:line="360" w:lineRule="auto"/>
        <w:jc w:val="both"/>
        <w:rPr>
          <w:sz w:val="22"/>
          <w:szCs w:val="22"/>
        </w:rPr>
      </w:pPr>
      <w:r w:rsidRPr="00BD7456">
        <w:rPr>
          <w:b/>
          <w:sz w:val="22"/>
          <w:szCs w:val="22"/>
        </w:rPr>
        <w:t xml:space="preserve">Supplementary Table 4: </w:t>
      </w:r>
      <w:r w:rsidRPr="00BD7456">
        <w:rPr>
          <w:sz w:val="22"/>
          <w:szCs w:val="22"/>
        </w:rPr>
        <w:t>Intersection of mouse gene signatures on to co-expression network modules identified across multiple human AD datasets.</w:t>
      </w:r>
    </w:p>
    <w:p w14:paraId="255EBB03" w14:textId="77777777" w:rsidR="00421FF9" w:rsidRPr="00BD7456" w:rsidRDefault="00421FF9" w:rsidP="00421FF9">
      <w:pPr>
        <w:spacing w:line="360" w:lineRule="auto"/>
        <w:jc w:val="both"/>
        <w:rPr>
          <w:sz w:val="22"/>
          <w:szCs w:val="22"/>
        </w:rPr>
      </w:pPr>
      <w:r w:rsidRPr="00BD7456">
        <w:rPr>
          <w:b/>
          <w:sz w:val="22"/>
          <w:szCs w:val="22"/>
        </w:rPr>
        <w:t>Supplementary Methods</w:t>
      </w:r>
    </w:p>
    <w:p w14:paraId="57470BC1" w14:textId="77777777" w:rsidR="00596F78" w:rsidRDefault="00596F78"/>
    <w:sectPr w:rsidR="00596F78" w:rsidSect="006508FB">
      <w:pgSz w:w="12240" w:h="15840"/>
      <w:pgMar w:top="864" w:right="720" w:bottom="864"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FF9"/>
    <w:rsid w:val="00016E44"/>
    <w:rsid w:val="000657F9"/>
    <w:rsid w:val="000A4C1C"/>
    <w:rsid w:val="000C01B2"/>
    <w:rsid w:val="000D5D66"/>
    <w:rsid w:val="000D72D1"/>
    <w:rsid w:val="000E71AC"/>
    <w:rsid w:val="000F361D"/>
    <w:rsid w:val="000F377A"/>
    <w:rsid w:val="00137F09"/>
    <w:rsid w:val="00160025"/>
    <w:rsid w:val="00170BBD"/>
    <w:rsid w:val="001937A6"/>
    <w:rsid w:val="001A4F49"/>
    <w:rsid w:val="001C390B"/>
    <w:rsid w:val="001E096B"/>
    <w:rsid w:val="001E586D"/>
    <w:rsid w:val="00200AE5"/>
    <w:rsid w:val="002105B5"/>
    <w:rsid w:val="0024307F"/>
    <w:rsid w:val="00306CFC"/>
    <w:rsid w:val="00321272"/>
    <w:rsid w:val="00350430"/>
    <w:rsid w:val="00356379"/>
    <w:rsid w:val="003717A9"/>
    <w:rsid w:val="00372355"/>
    <w:rsid w:val="00376D61"/>
    <w:rsid w:val="003C2B8F"/>
    <w:rsid w:val="003D0FFD"/>
    <w:rsid w:val="003E1225"/>
    <w:rsid w:val="003F16D8"/>
    <w:rsid w:val="00413A4E"/>
    <w:rsid w:val="00421FF9"/>
    <w:rsid w:val="00434661"/>
    <w:rsid w:val="00450DB0"/>
    <w:rsid w:val="0045679D"/>
    <w:rsid w:val="00465C14"/>
    <w:rsid w:val="00482018"/>
    <w:rsid w:val="00493422"/>
    <w:rsid w:val="00495407"/>
    <w:rsid w:val="004A2E9E"/>
    <w:rsid w:val="004B07D5"/>
    <w:rsid w:val="005048F0"/>
    <w:rsid w:val="00523F5E"/>
    <w:rsid w:val="00546DD1"/>
    <w:rsid w:val="00556262"/>
    <w:rsid w:val="005808EA"/>
    <w:rsid w:val="00596F78"/>
    <w:rsid w:val="00607CCC"/>
    <w:rsid w:val="00642B98"/>
    <w:rsid w:val="006508FB"/>
    <w:rsid w:val="0065216A"/>
    <w:rsid w:val="0066525E"/>
    <w:rsid w:val="0066591E"/>
    <w:rsid w:val="006920BD"/>
    <w:rsid w:val="006A6954"/>
    <w:rsid w:val="006B7DC4"/>
    <w:rsid w:val="00753762"/>
    <w:rsid w:val="007618A5"/>
    <w:rsid w:val="00770241"/>
    <w:rsid w:val="00792181"/>
    <w:rsid w:val="007C414B"/>
    <w:rsid w:val="007E24C7"/>
    <w:rsid w:val="007E5201"/>
    <w:rsid w:val="0084779A"/>
    <w:rsid w:val="00854EB5"/>
    <w:rsid w:val="00855FB9"/>
    <w:rsid w:val="00897F60"/>
    <w:rsid w:val="008C12F6"/>
    <w:rsid w:val="008C4A53"/>
    <w:rsid w:val="008F787C"/>
    <w:rsid w:val="00920B4D"/>
    <w:rsid w:val="009874AF"/>
    <w:rsid w:val="009D6C84"/>
    <w:rsid w:val="009F1172"/>
    <w:rsid w:val="00A14536"/>
    <w:rsid w:val="00A20118"/>
    <w:rsid w:val="00A332F6"/>
    <w:rsid w:val="00A47FBB"/>
    <w:rsid w:val="00A51177"/>
    <w:rsid w:val="00A71312"/>
    <w:rsid w:val="00A76C4C"/>
    <w:rsid w:val="00AB2DF7"/>
    <w:rsid w:val="00AC78F6"/>
    <w:rsid w:val="00B06DC4"/>
    <w:rsid w:val="00B3613D"/>
    <w:rsid w:val="00B57365"/>
    <w:rsid w:val="00BA7252"/>
    <w:rsid w:val="00BD4E77"/>
    <w:rsid w:val="00BE0562"/>
    <w:rsid w:val="00BE26A0"/>
    <w:rsid w:val="00BE5473"/>
    <w:rsid w:val="00BF26EE"/>
    <w:rsid w:val="00C471F2"/>
    <w:rsid w:val="00CA5214"/>
    <w:rsid w:val="00CB7B40"/>
    <w:rsid w:val="00CE4BC8"/>
    <w:rsid w:val="00CE4DE6"/>
    <w:rsid w:val="00CF7D2D"/>
    <w:rsid w:val="00D5047F"/>
    <w:rsid w:val="00D61ED8"/>
    <w:rsid w:val="00D65373"/>
    <w:rsid w:val="00DE23C7"/>
    <w:rsid w:val="00E06FD1"/>
    <w:rsid w:val="00E3275F"/>
    <w:rsid w:val="00E42258"/>
    <w:rsid w:val="00E424F2"/>
    <w:rsid w:val="00E6480A"/>
    <w:rsid w:val="00E65471"/>
    <w:rsid w:val="00E747D4"/>
    <w:rsid w:val="00E87F74"/>
    <w:rsid w:val="00E93347"/>
    <w:rsid w:val="00EB15C3"/>
    <w:rsid w:val="00EC10CC"/>
    <w:rsid w:val="00F0779C"/>
    <w:rsid w:val="00F314A9"/>
    <w:rsid w:val="00F805FE"/>
    <w:rsid w:val="00F90B7D"/>
    <w:rsid w:val="00FE258E"/>
    <w:rsid w:val="00FE7FDE"/>
    <w:rsid w:val="00FF0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799FAE"/>
  <w15:chartTrackingRefBased/>
  <w15:docId w15:val="{6B0A5F90-30A1-D843-A601-592900FA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1FF9"/>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1179</Words>
  <Characters>6726</Characters>
  <Application>Microsoft Office Word</Application>
  <DocSecurity>0</DocSecurity>
  <Lines>56</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vianney haure-mirande</dc:creator>
  <cp:keywords/>
  <dc:description/>
  <cp:lastModifiedBy>vianney haure-mirande</cp:lastModifiedBy>
  <cp:revision>1</cp:revision>
  <dcterms:created xsi:type="dcterms:W3CDTF">2018-07-04T18:44:00Z</dcterms:created>
  <dcterms:modified xsi:type="dcterms:W3CDTF">2018-07-04T18:44:00Z</dcterms:modified>
</cp:coreProperties>
</file>