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9F1D4" w14:textId="476FCC25" w:rsidR="00586750" w:rsidRPr="006335D7" w:rsidRDefault="008452CF" w:rsidP="008452CF">
      <w:pPr>
        <w:spacing w:line="360" w:lineRule="auto"/>
        <w:jc w:val="both"/>
        <w:rPr>
          <w:rFonts w:ascii="Arial" w:hAnsi="Arial" w:cs="Arial"/>
          <w:b/>
          <w:color w:val="000000" w:themeColor="text1"/>
          <w:sz w:val="32"/>
          <w:szCs w:val="32"/>
        </w:rPr>
      </w:pPr>
      <w:bookmarkStart w:id="0" w:name="_GoBack"/>
      <w:bookmarkEnd w:id="0"/>
      <w:r>
        <w:rPr>
          <w:rFonts w:ascii="Arial" w:hAnsi="Arial" w:cs="Arial"/>
          <w:b/>
          <w:color w:val="000000" w:themeColor="text1"/>
          <w:sz w:val="32"/>
          <w:szCs w:val="32"/>
        </w:rPr>
        <w:t>Supplementary Figure Legends</w:t>
      </w:r>
    </w:p>
    <w:p w14:paraId="6011C06D" w14:textId="77777777" w:rsidR="006335D7" w:rsidRPr="006335D7" w:rsidRDefault="006335D7" w:rsidP="006335D7">
      <w:pPr>
        <w:spacing w:line="360" w:lineRule="auto"/>
        <w:rPr>
          <w:color w:val="000000" w:themeColor="text1"/>
        </w:rPr>
      </w:pPr>
    </w:p>
    <w:p w14:paraId="24100D7C" w14:textId="77777777" w:rsidR="006335D7" w:rsidRPr="006335D7" w:rsidRDefault="006335D7" w:rsidP="006335D7">
      <w:pPr>
        <w:pStyle w:val="Caption"/>
        <w:spacing w:line="360" w:lineRule="auto"/>
        <w:jc w:val="both"/>
        <w:rPr>
          <w:rFonts w:ascii="Arial" w:hAnsi="Arial" w:cs="Arial"/>
          <w:i w:val="0"/>
          <w:color w:val="000000" w:themeColor="text1"/>
          <w:sz w:val="24"/>
          <w:szCs w:val="24"/>
        </w:rPr>
      </w:pPr>
      <w:r w:rsidRPr="006335D7">
        <w:rPr>
          <w:rFonts w:ascii="Arial" w:hAnsi="Arial" w:cs="Arial"/>
          <w:b/>
          <w:i w:val="0"/>
          <w:color w:val="000000" w:themeColor="text1"/>
          <w:sz w:val="24"/>
          <w:szCs w:val="24"/>
        </w:rPr>
        <w:t xml:space="preserve">Supplementary Figure </w:t>
      </w:r>
      <w:r w:rsidRPr="006335D7">
        <w:rPr>
          <w:rFonts w:ascii="Arial" w:hAnsi="Arial" w:cs="Arial"/>
          <w:b/>
          <w:i w:val="0"/>
          <w:color w:val="000000" w:themeColor="text1"/>
          <w:sz w:val="24"/>
          <w:szCs w:val="24"/>
        </w:rPr>
        <w:fldChar w:fldCharType="begin"/>
      </w:r>
      <w:r w:rsidRPr="006335D7">
        <w:rPr>
          <w:rFonts w:ascii="Arial" w:hAnsi="Arial" w:cs="Arial"/>
          <w:b/>
          <w:i w:val="0"/>
          <w:color w:val="000000" w:themeColor="text1"/>
          <w:sz w:val="24"/>
          <w:szCs w:val="24"/>
        </w:rPr>
        <w:instrText xml:space="preserve"> SEQ Supplementary_Figure \* ARABIC </w:instrText>
      </w:r>
      <w:r w:rsidRPr="006335D7">
        <w:rPr>
          <w:rFonts w:ascii="Arial" w:hAnsi="Arial" w:cs="Arial"/>
          <w:b/>
          <w:i w:val="0"/>
          <w:color w:val="000000" w:themeColor="text1"/>
          <w:sz w:val="24"/>
          <w:szCs w:val="24"/>
        </w:rPr>
        <w:fldChar w:fldCharType="separate"/>
      </w:r>
      <w:r w:rsidRPr="006335D7">
        <w:rPr>
          <w:rFonts w:ascii="Arial" w:hAnsi="Arial" w:cs="Arial"/>
          <w:b/>
          <w:i w:val="0"/>
          <w:noProof/>
          <w:color w:val="000000" w:themeColor="text1"/>
          <w:sz w:val="24"/>
          <w:szCs w:val="24"/>
        </w:rPr>
        <w:t>1</w:t>
      </w:r>
      <w:r w:rsidRPr="006335D7">
        <w:rPr>
          <w:rFonts w:ascii="Arial" w:hAnsi="Arial" w:cs="Arial"/>
          <w:b/>
          <w:i w:val="0"/>
          <w:color w:val="000000" w:themeColor="text1"/>
          <w:sz w:val="24"/>
          <w:szCs w:val="24"/>
        </w:rPr>
        <w:fldChar w:fldCharType="end"/>
      </w:r>
      <w:r w:rsidRPr="006335D7">
        <w:rPr>
          <w:rFonts w:ascii="Arial" w:hAnsi="Arial" w:cs="Arial"/>
          <w:b/>
          <w:i w:val="0"/>
          <w:color w:val="000000" w:themeColor="text1"/>
          <w:sz w:val="24"/>
          <w:szCs w:val="24"/>
        </w:rPr>
        <w:t>.</w:t>
      </w:r>
      <w:r w:rsidRPr="006335D7">
        <w:rPr>
          <w:rFonts w:ascii="Arial" w:hAnsi="Arial" w:cs="Arial"/>
          <w:i w:val="0"/>
          <w:color w:val="000000" w:themeColor="text1"/>
          <w:sz w:val="24"/>
          <w:szCs w:val="24"/>
        </w:rPr>
        <w:t xml:space="preserve"> Astrocyte activation is increased in the ACC of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compared to that in the ACC of WT mice at PND40. No microglia activation in the somatosensory cortex of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mice at PND40. (A) Schematic representation of the ACC, followed by confocal images (Scale bar: 30 </w:t>
      </w:r>
      <w:proofErr w:type="spellStart"/>
      <w:r w:rsidRPr="006335D7">
        <w:rPr>
          <w:rFonts w:ascii="Arial" w:hAnsi="Arial" w:cs="Arial"/>
          <w:i w:val="0"/>
          <w:color w:val="000000" w:themeColor="text1"/>
          <w:sz w:val="24"/>
          <w:szCs w:val="24"/>
        </w:rPr>
        <w:t>μm</w:t>
      </w:r>
      <w:proofErr w:type="spellEnd"/>
      <w:r w:rsidRPr="006335D7">
        <w:rPr>
          <w:rFonts w:ascii="Arial" w:hAnsi="Arial" w:cs="Arial"/>
          <w:i w:val="0"/>
          <w:color w:val="000000" w:themeColor="text1"/>
          <w:sz w:val="24"/>
          <w:szCs w:val="24"/>
        </w:rPr>
        <w:t xml:space="preserve">) showing S100B staining and the quantification graph of the cell number at PND40. (B) Schematic representation of somatosensory cortex, where Iba1 and CD11b staining were visualized by confocal images (Scale bar: 30 </w:t>
      </w:r>
      <w:proofErr w:type="spellStart"/>
      <w:r w:rsidRPr="006335D7">
        <w:rPr>
          <w:rFonts w:ascii="Arial" w:hAnsi="Arial" w:cs="Arial"/>
          <w:i w:val="0"/>
          <w:color w:val="000000" w:themeColor="text1"/>
          <w:sz w:val="24"/>
          <w:szCs w:val="24"/>
        </w:rPr>
        <w:t>μm</w:t>
      </w:r>
      <w:proofErr w:type="spellEnd"/>
      <w:r w:rsidRPr="006335D7">
        <w:rPr>
          <w:rFonts w:ascii="Arial" w:hAnsi="Arial" w:cs="Arial"/>
          <w:i w:val="0"/>
          <w:color w:val="000000" w:themeColor="text1"/>
          <w:sz w:val="24"/>
          <w:szCs w:val="24"/>
        </w:rPr>
        <w:t xml:space="preserve">) and quantified in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and WT mice at PND40. (A-B) Data are expressed as the mean ± </w:t>
      </w:r>
      <w:proofErr w:type="spellStart"/>
      <w:r w:rsidRPr="006335D7">
        <w:rPr>
          <w:rFonts w:ascii="Arial" w:hAnsi="Arial" w:cs="Arial"/>
          <w:i w:val="0"/>
          <w:color w:val="000000" w:themeColor="text1"/>
          <w:sz w:val="24"/>
          <w:szCs w:val="24"/>
        </w:rPr>
        <w:t>s.e.d</w:t>
      </w:r>
      <w:proofErr w:type="spellEnd"/>
      <w:r w:rsidRPr="006335D7">
        <w:rPr>
          <w:rFonts w:ascii="Arial" w:hAnsi="Arial" w:cs="Arial"/>
          <w:i w:val="0"/>
          <w:color w:val="000000" w:themeColor="text1"/>
          <w:sz w:val="24"/>
          <w:szCs w:val="24"/>
        </w:rPr>
        <w:t>. (n = 5-6). ** P &lt; 0.01; analyzed by Student’s t test.</w:t>
      </w:r>
    </w:p>
    <w:p w14:paraId="16E21981" w14:textId="77777777" w:rsidR="006335D7" w:rsidRPr="006335D7" w:rsidRDefault="006335D7" w:rsidP="006335D7">
      <w:pPr>
        <w:spacing w:line="360" w:lineRule="auto"/>
        <w:rPr>
          <w:color w:val="000000" w:themeColor="text1"/>
        </w:rPr>
      </w:pPr>
    </w:p>
    <w:p w14:paraId="7AF919F7" w14:textId="77777777" w:rsidR="006335D7" w:rsidRPr="006335D7" w:rsidRDefault="006335D7" w:rsidP="006335D7">
      <w:pPr>
        <w:pStyle w:val="Caption"/>
        <w:spacing w:line="360" w:lineRule="auto"/>
        <w:jc w:val="both"/>
        <w:rPr>
          <w:rFonts w:ascii="Arial" w:hAnsi="Arial" w:cs="Arial"/>
          <w:i w:val="0"/>
          <w:color w:val="000000" w:themeColor="text1"/>
          <w:sz w:val="24"/>
          <w:szCs w:val="24"/>
        </w:rPr>
      </w:pPr>
      <w:r w:rsidRPr="006335D7">
        <w:rPr>
          <w:rFonts w:ascii="Arial" w:hAnsi="Arial" w:cs="Arial"/>
          <w:b/>
          <w:i w:val="0"/>
          <w:color w:val="000000" w:themeColor="text1"/>
          <w:sz w:val="24"/>
          <w:szCs w:val="24"/>
        </w:rPr>
        <w:t xml:space="preserve">Supplementary Figure </w:t>
      </w:r>
      <w:r w:rsidRPr="006335D7">
        <w:rPr>
          <w:rFonts w:ascii="Arial" w:hAnsi="Arial" w:cs="Arial"/>
          <w:b/>
          <w:i w:val="0"/>
          <w:color w:val="000000" w:themeColor="text1"/>
          <w:sz w:val="24"/>
          <w:szCs w:val="24"/>
        </w:rPr>
        <w:fldChar w:fldCharType="begin"/>
      </w:r>
      <w:r w:rsidRPr="006335D7">
        <w:rPr>
          <w:rFonts w:ascii="Arial" w:hAnsi="Arial" w:cs="Arial"/>
          <w:b/>
          <w:i w:val="0"/>
          <w:color w:val="000000" w:themeColor="text1"/>
          <w:sz w:val="24"/>
          <w:szCs w:val="24"/>
        </w:rPr>
        <w:instrText xml:space="preserve"> SEQ Supplementary_Figure \* ARABIC </w:instrText>
      </w:r>
      <w:r w:rsidRPr="006335D7">
        <w:rPr>
          <w:rFonts w:ascii="Arial" w:hAnsi="Arial" w:cs="Arial"/>
          <w:b/>
          <w:i w:val="0"/>
          <w:color w:val="000000" w:themeColor="text1"/>
          <w:sz w:val="24"/>
          <w:szCs w:val="24"/>
        </w:rPr>
        <w:fldChar w:fldCharType="separate"/>
      </w:r>
      <w:r w:rsidRPr="006335D7">
        <w:rPr>
          <w:rFonts w:ascii="Arial" w:hAnsi="Arial" w:cs="Arial"/>
          <w:b/>
          <w:i w:val="0"/>
          <w:noProof/>
          <w:color w:val="000000" w:themeColor="text1"/>
          <w:sz w:val="24"/>
          <w:szCs w:val="24"/>
        </w:rPr>
        <w:t>2</w:t>
      </w:r>
      <w:r w:rsidRPr="006335D7">
        <w:rPr>
          <w:rFonts w:ascii="Arial" w:hAnsi="Arial" w:cs="Arial"/>
          <w:b/>
          <w:i w:val="0"/>
          <w:color w:val="000000" w:themeColor="text1"/>
          <w:sz w:val="24"/>
          <w:szCs w:val="24"/>
        </w:rPr>
        <w:fldChar w:fldCharType="end"/>
      </w:r>
      <w:r w:rsidRPr="006335D7">
        <w:rPr>
          <w:rFonts w:ascii="Arial" w:hAnsi="Arial" w:cs="Arial"/>
          <w:b/>
          <w:i w:val="0"/>
          <w:color w:val="000000" w:themeColor="text1"/>
          <w:sz w:val="24"/>
          <w:szCs w:val="24"/>
        </w:rPr>
        <w:t>.</w:t>
      </w:r>
      <w:r w:rsidRPr="006335D7">
        <w:rPr>
          <w:rFonts w:ascii="Arial" w:hAnsi="Arial" w:cs="Arial"/>
          <w:i w:val="0"/>
          <w:color w:val="000000" w:themeColor="text1"/>
          <w:sz w:val="24"/>
          <w:szCs w:val="24"/>
        </w:rPr>
        <w:t xml:space="preserve"> RAGE shedding and MMP9 protein are increased in the ACC of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compared to that in the ACC of WT mice at an early stage of development. (A) Schematic representation of MMP9 activation by oxidative stress via its cysteine switch. (B) Confocal images (Scale bar: 30 </w:t>
      </w:r>
      <w:proofErr w:type="spellStart"/>
      <w:r w:rsidRPr="006335D7">
        <w:rPr>
          <w:rFonts w:ascii="Arial" w:hAnsi="Arial" w:cs="Arial"/>
          <w:i w:val="0"/>
          <w:color w:val="000000" w:themeColor="text1"/>
          <w:sz w:val="24"/>
          <w:szCs w:val="24"/>
        </w:rPr>
        <w:t>μm</w:t>
      </w:r>
      <w:proofErr w:type="spellEnd"/>
      <w:r w:rsidRPr="006335D7">
        <w:rPr>
          <w:rFonts w:ascii="Arial" w:hAnsi="Arial" w:cs="Arial"/>
          <w:i w:val="0"/>
          <w:color w:val="000000" w:themeColor="text1"/>
          <w:sz w:val="24"/>
          <w:szCs w:val="24"/>
        </w:rPr>
        <w:t xml:space="preserve">) of RAGE shedding with the corresponding quantification graph (Intra-RAGE/Extra-RAGE) for PND20, PND40 and PND90. (C) Confocal images (Scale bar: 30 </w:t>
      </w:r>
      <w:proofErr w:type="spellStart"/>
      <w:r w:rsidRPr="006335D7">
        <w:rPr>
          <w:rFonts w:ascii="Arial" w:hAnsi="Arial" w:cs="Arial"/>
          <w:i w:val="0"/>
          <w:color w:val="000000" w:themeColor="text1"/>
          <w:sz w:val="24"/>
          <w:szCs w:val="24"/>
        </w:rPr>
        <w:t>μm</w:t>
      </w:r>
      <w:proofErr w:type="spellEnd"/>
      <w:r w:rsidRPr="006335D7">
        <w:rPr>
          <w:rFonts w:ascii="Arial" w:hAnsi="Arial" w:cs="Arial"/>
          <w:i w:val="0"/>
          <w:color w:val="000000" w:themeColor="text1"/>
          <w:sz w:val="24"/>
          <w:szCs w:val="24"/>
        </w:rPr>
        <w:t xml:space="preserve">) showing MMP9 staining and the corresponding quantification graphs for PND20, PND40 and PND90. (B-C) Data are expressed as the mean ± </w:t>
      </w:r>
      <w:proofErr w:type="spellStart"/>
      <w:r w:rsidRPr="006335D7">
        <w:rPr>
          <w:rFonts w:ascii="Arial" w:hAnsi="Arial" w:cs="Arial"/>
          <w:i w:val="0"/>
          <w:color w:val="000000" w:themeColor="text1"/>
          <w:sz w:val="24"/>
          <w:szCs w:val="24"/>
        </w:rPr>
        <w:t>s.e.d</w:t>
      </w:r>
      <w:proofErr w:type="spellEnd"/>
      <w:r w:rsidRPr="006335D7">
        <w:rPr>
          <w:rFonts w:ascii="Arial" w:hAnsi="Arial" w:cs="Arial"/>
          <w:i w:val="0"/>
          <w:color w:val="000000" w:themeColor="text1"/>
          <w:sz w:val="24"/>
          <w:szCs w:val="24"/>
        </w:rPr>
        <w:t>. (n = 5-6). Analyzed by 2-way ANOVA with 2 factors (genotype and age) followed by Tukey post hoc test. For genotype effect: **** P &lt; 0.0001, *** P &lt; 0.001, ** P &lt; 0.01; For age effect: &amp;&amp;&amp; P &lt; 0.001, &amp;&amp; P &lt; 0.01, &amp; P &lt; 0.05.</w:t>
      </w:r>
    </w:p>
    <w:p w14:paraId="41660A19" w14:textId="77777777" w:rsidR="006335D7" w:rsidRPr="006335D7" w:rsidRDefault="006335D7" w:rsidP="006335D7">
      <w:pPr>
        <w:keepNext/>
        <w:spacing w:line="360" w:lineRule="auto"/>
        <w:jc w:val="center"/>
        <w:rPr>
          <w:color w:val="000000" w:themeColor="text1"/>
        </w:rPr>
      </w:pPr>
    </w:p>
    <w:p w14:paraId="029E342E" w14:textId="77777777" w:rsidR="006335D7" w:rsidRPr="006335D7" w:rsidRDefault="006335D7" w:rsidP="006335D7">
      <w:pPr>
        <w:pStyle w:val="Caption"/>
        <w:spacing w:line="360" w:lineRule="auto"/>
        <w:jc w:val="both"/>
        <w:rPr>
          <w:rFonts w:ascii="Arial" w:hAnsi="Arial" w:cs="Arial"/>
          <w:b/>
          <w:i w:val="0"/>
          <w:color w:val="000000" w:themeColor="text1"/>
          <w:sz w:val="24"/>
          <w:szCs w:val="24"/>
        </w:rPr>
      </w:pPr>
      <w:r w:rsidRPr="006335D7">
        <w:rPr>
          <w:rFonts w:ascii="Arial" w:hAnsi="Arial" w:cs="Arial"/>
          <w:b/>
          <w:i w:val="0"/>
          <w:color w:val="000000" w:themeColor="text1"/>
          <w:sz w:val="24"/>
          <w:szCs w:val="24"/>
        </w:rPr>
        <w:t xml:space="preserve">Supplementary Figure </w:t>
      </w:r>
      <w:r w:rsidRPr="006335D7">
        <w:rPr>
          <w:rFonts w:ascii="Arial" w:hAnsi="Arial" w:cs="Arial"/>
          <w:b/>
          <w:i w:val="0"/>
          <w:color w:val="000000" w:themeColor="text1"/>
          <w:sz w:val="24"/>
          <w:szCs w:val="24"/>
        </w:rPr>
        <w:fldChar w:fldCharType="begin"/>
      </w:r>
      <w:r w:rsidRPr="006335D7">
        <w:rPr>
          <w:rFonts w:ascii="Arial" w:hAnsi="Arial" w:cs="Arial"/>
          <w:b/>
          <w:i w:val="0"/>
          <w:color w:val="000000" w:themeColor="text1"/>
          <w:sz w:val="24"/>
          <w:szCs w:val="24"/>
        </w:rPr>
        <w:instrText xml:space="preserve"> SEQ Supplementary_Figure \* ARABIC </w:instrText>
      </w:r>
      <w:r w:rsidRPr="006335D7">
        <w:rPr>
          <w:rFonts w:ascii="Arial" w:hAnsi="Arial" w:cs="Arial"/>
          <w:b/>
          <w:i w:val="0"/>
          <w:color w:val="000000" w:themeColor="text1"/>
          <w:sz w:val="24"/>
          <w:szCs w:val="24"/>
        </w:rPr>
        <w:fldChar w:fldCharType="separate"/>
      </w:r>
      <w:r w:rsidRPr="006335D7">
        <w:rPr>
          <w:rFonts w:ascii="Arial" w:hAnsi="Arial" w:cs="Arial"/>
          <w:b/>
          <w:i w:val="0"/>
          <w:noProof/>
          <w:color w:val="000000" w:themeColor="text1"/>
          <w:sz w:val="24"/>
          <w:szCs w:val="24"/>
        </w:rPr>
        <w:t>3</w:t>
      </w:r>
      <w:r w:rsidRPr="006335D7">
        <w:rPr>
          <w:rFonts w:ascii="Arial" w:hAnsi="Arial" w:cs="Arial"/>
          <w:b/>
          <w:i w:val="0"/>
          <w:color w:val="000000" w:themeColor="text1"/>
          <w:sz w:val="24"/>
          <w:szCs w:val="24"/>
        </w:rPr>
        <w:fldChar w:fldCharType="end"/>
      </w:r>
      <w:r w:rsidRPr="006335D7">
        <w:rPr>
          <w:rFonts w:ascii="Arial" w:hAnsi="Arial" w:cs="Arial"/>
          <w:b/>
          <w:i w:val="0"/>
          <w:color w:val="000000" w:themeColor="text1"/>
          <w:sz w:val="24"/>
          <w:szCs w:val="24"/>
        </w:rPr>
        <w:t>.</w:t>
      </w:r>
      <w:r w:rsidRPr="006335D7">
        <w:rPr>
          <w:rFonts w:ascii="Arial" w:hAnsi="Arial" w:cs="Arial"/>
          <w:i w:val="0"/>
          <w:color w:val="000000" w:themeColor="text1"/>
          <w:sz w:val="24"/>
          <w:szCs w:val="24"/>
        </w:rPr>
        <w:t xml:space="preserve"> Methodological validation of the MMP2/9 inhibitor SB-3CT for peripheral injections. (A) Schematic representation of the SB-3CT intracortical injection site and protocol. PND40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-KO mice were sacrificed 5 min after SB-3CT injection at 3 different doses (50 µM, 27 µM, 9 µM), and brains were dissected to obtain the tissue containing the injection site and the tissue anterior to the injection site. The ipsilateral and contralateral Cortex (</w:t>
      </w:r>
      <w:proofErr w:type="spellStart"/>
      <w:r w:rsidRPr="006335D7">
        <w:rPr>
          <w:rFonts w:ascii="Arial" w:hAnsi="Arial" w:cs="Arial"/>
          <w:i w:val="0"/>
          <w:color w:val="000000" w:themeColor="text1"/>
          <w:sz w:val="24"/>
          <w:szCs w:val="24"/>
        </w:rPr>
        <w:t>Cx</w:t>
      </w:r>
      <w:proofErr w:type="spellEnd"/>
      <w:r w:rsidRPr="006335D7">
        <w:rPr>
          <w:rFonts w:ascii="Arial" w:hAnsi="Arial" w:cs="Arial"/>
          <w:i w:val="0"/>
          <w:color w:val="000000" w:themeColor="text1"/>
          <w:sz w:val="24"/>
          <w:szCs w:val="24"/>
        </w:rPr>
        <w:t xml:space="preserve">) were separated in each slice containing the injection site and anterior to the injection site. MMP9 activity was measured by gelatin zymography and is </w:t>
      </w:r>
      <w:r w:rsidRPr="006335D7">
        <w:rPr>
          <w:rFonts w:ascii="Arial" w:hAnsi="Arial" w:cs="Arial"/>
          <w:i w:val="0"/>
          <w:color w:val="000000" w:themeColor="text1"/>
          <w:sz w:val="24"/>
          <w:szCs w:val="24"/>
        </w:rPr>
        <w:lastRenderedPageBreak/>
        <w:t xml:space="preserve">represented in the graph. (B) Schematic representation of the SB-3CT intraperitoneal injection protocol. PND10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mice were sacrificed 2 h or 4 h after injection, and brains were then dissected to obtain 3 slices, an anterior, middle and posterior slice of the </w:t>
      </w:r>
      <w:proofErr w:type="spellStart"/>
      <w:r w:rsidRPr="006335D7">
        <w:rPr>
          <w:rFonts w:ascii="Arial" w:hAnsi="Arial" w:cs="Arial"/>
          <w:i w:val="0"/>
          <w:color w:val="000000" w:themeColor="text1"/>
          <w:sz w:val="24"/>
          <w:szCs w:val="24"/>
        </w:rPr>
        <w:t>Cx</w:t>
      </w:r>
      <w:proofErr w:type="spellEnd"/>
      <w:r w:rsidRPr="006335D7">
        <w:rPr>
          <w:rFonts w:ascii="Arial" w:hAnsi="Arial" w:cs="Arial"/>
          <w:i w:val="0"/>
          <w:color w:val="000000" w:themeColor="text1"/>
          <w:sz w:val="24"/>
          <w:szCs w:val="24"/>
        </w:rPr>
        <w:t xml:space="preserve">, for the detection of MMP9 activity, represented in the graph. (A-B) Data are expressed as the mean ± </w:t>
      </w:r>
      <w:proofErr w:type="spellStart"/>
      <w:r w:rsidRPr="006335D7">
        <w:rPr>
          <w:rFonts w:ascii="Arial" w:hAnsi="Arial" w:cs="Arial"/>
          <w:i w:val="0"/>
          <w:color w:val="000000" w:themeColor="text1"/>
          <w:sz w:val="24"/>
          <w:szCs w:val="24"/>
        </w:rPr>
        <w:t>s.e.d</w:t>
      </w:r>
      <w:proofErr w:type="spellEnd"/>
      <w:r w:rsidRPr="006335D7">
        <w:rPr>
          <w:rFonts w:ascii="Arial" w:hAnsi="Arial" w:cs="Arial"/>
          <w:i w:val="0"/>
          <w:color w:val="000000" w:themeColor="text1"/>
          <w:sz w:val="24"/>
          <w:szCs w:val="24"/>
        </w:rPr>
        <w:t xml:space="preserve">. (n = 2-5). *** P &lt; 0.001, ** P &lt; 0.01; analyzed by 2-way ANOVA and Tukey post hoc test. SB, SB-3CT; </w:t>
      </w:r>
      <w:proofErr w:type="spellStart"/>
      <w:r w:rsidRPr="006335D7">
        <w:rPr>
          <w:rFonts w:ascii="Arial" w:hAnsi="Arial" w:cs="Arial"/>
          <w:i w:val="0"/>
          <w:color w:val="000000" w:themeColor="text1"/>
          <w:sz w:val="24"/>
          <w:szCs w:val="24"/>
        </w:rPr>
        <w:t>Vcl</w:t>
      </w:r>
      <w:proofErr w:type="spellEnd"/>
      <w:r w:rsidRPr="006335D7">
        <w:rPr>
          <w:rFonts w:ascii="Arial" w:hAnsi="Arial" w:cs="Arial"/>
          <w:i w:val="0"/>
          <w:color w:val="000000" w:themeColor="text1"/>
          <w:sz w:val="24"/>
          <w:szCs w:val="24"/>
        </w:rPr>
        <w:t xml:space="preserve">, vehicle; </w:t>
      </w:r>
      <w:proofErr w:type="spellStart"/>
      <w:r w:rsidRPr="006335D7">
        <w:rPr>
          <w:rFonts w:ascii="Arial" w:hAnsi="Arial" w:cs="Arial"/>
          <w:i w:val="0"/>
          <w:color w:val="000000" w:themeColor="text1"/>
          <w:sz w:val="24"/>
          <w:szCs w:val="24"/>
        </w:rPr>
        <w:t>I.P.inj</w:t>
      </w:r>
      <w:proofErr w:type="spellEnd"/>
      <w:r w:rsidRPr="006335D7">
        <w:rPr>
          <w:rFonts w:ascii="Arial" w:hAnsi="Arial" w:cs="Arial"/>
          <w:i w:val="0"/>
          <w:color w:val="000000" w:themeColor="text1"/>
          <w:sz w:val="24"/>
          <w:szCs w:val="24"/>
        </w:rPr>
        <w:t>., intraperitoneal injection.</w:t>
      </w:r>
    </w:p>
    <w:p w14:paraId="0A448D0D" w14:textId="77777777" w:rsidR="006335D7" w:rsidRPr="006335D7" w:rsidRDefault="006335D7" w:rsidP="006335D7">
      <w:pPr>
        <w:keepNext/>
        <w:spacing w:line="360" w:lineRule="auto"/>
        <w:jc w:val="center"/>
        <w:rPr>
          <w:color w:val="000000" w:themeColor="text1"/>
        </w:rPr>
      </w:pPr>
    </w:p>
    <w:p w14:paraId="02E3D204" w14:textId="77777777" w:rsidR="006335D7" w:rsidRPr="006335D7" w:rsidRDefault="006335D7" w:rsidP="006335D7">
      <w:pPr>
        <w:pStyle w:val="Caption"/>
        <w:spacing w:line="360" w:lineRule="auto"/>
        <w:jc w:val="both"/>
        <w:rPr>
          <w:rFonts w:ascii="Arial" w:hAnsi="Arial" w:cs="Arial"/>
          <w:i w:val="0"/>
          <w:color w:val="000000" w:themeColor="text1"/>
          <w:sz w:val="24"/>
          <w:szCs w:val="24"/>
        </w:rPr>
      </w:pPr>
      <w:r w:rsidRPr="006335D7">
        <w:rPr>
          <w:rFonts w:ascii="Arial" w:hAnsi="Arial" w:cs="Arial"/>
          <w:b/>
          <w:i w:val="0"/>
          <w:color w:val="000000" w:themeColor="text1"/>
          <w:sz w:val="24"/>
          <w:szCs w:val="24"/>
        </w:rPr>
        <w:t xml:space="preserve">Supplementary Figure </w:t>
      </w:r>
      <w:r w:rsidRPr="006335D7">
        <w:rPr>
          <w:rFonts w:ascii="Arial" w:hAnsi="Arial" w:cs="Arial"/>
          <w:b/>
          <w:i w:val="0"/>
          <w:color w:val="000000" w:themeColor="text1"/>
          <w:sz w:val="24"/>
          <w:szCs w:val="24"/>
        </w:rPr>
        <w:fldChar w:fldCharType="begin"/>
      </w:r>
      <w:r w:rsidRPr="006335D7">
        <w:rPr>
          <w:rFonts w:ascii="Arial" w:hAnsi="Arial" w:cs="Arial"/>
          <w:b/>
          <w:i w:val="0"/>
          <w:color w:val="000000" w:themeColor="text1"/>
          <w:sz w:val="24"/>
          <w:szCs w:val="24"/>
        </w:rPr>
        <w:instrText xml:space="preserve"> SEQ Supplementary_Figure \* ARABIC </w:instrText>
      </w:r>
      <w:r w:rsidRPr="006335D7">
        <w:rPr>
          <w:rFonts w:ascii="Arial" w:hAnsi="Arial" w:cs="Arial"/>
          <w:b/>
          <w:i w:val="0"/>
          <w:color w:val="000000" w:themeColor="text1"/>
          <w:sz w:val="24"/>
          <w:szCs w:val="24"/>
        </w:rPr>
        <w:fldChar w:fldCharType="separate"/>
      </w:r>
      <w:r w:rsidRPr="006335D7">
        <w:rPr>
          <w:rFonts w:ascii="Arial" w:hAnsi="Arial" w:cs="Arial"/>
          <w:b/>
          <w:i w:val="0"/>
          <w:noProof/>
          <w:color w:val="000000" w:themeColor="text1"/>
          <w:sz w:val="24"/>
          <w:szCs w:val="24"/>
        </w:rPr>
        <w:t>4</w:t>
      </w:r>
      <w:r w:rsidRPr="006335D7">
        <w:rPr>
          <w:rFonts w:ascii="Arial" w:hAnsi="Arial" w:cs="Arial"/>
          <w:b/>
          <w:i w:val="0"/>
          <w:color w:val="000000" w:themeColor="text1"/>
          <w:sz w:val="24"/>
          <w:szCs w:val="24"/>
        </w:rPr>
        <w:fldChar w:fldCharType="end"/>
      </w:r>
      <w:r w:rsidRPr="006335D7">
        <w:rPr>
          <w:rFonts w:ascii="Arial" w:hAnsi="Arial" w:cs="Arial"/>
          <w:b/>
          <w:i w:val="0"/>
          <w:color w:val="000000" w:themeColor="text1"/>
          <w:sz w:val="24"/>
          <w:szCs w:val="24"/>
        </w:rPr>
        <w:t>.</w:t>
      </w:r>
      <w:r w:rsidRPr="006335D7">
        <w:rPr>
          <w:rFonts w:ascii="Arial" w:hAnsi="Arial" w:cs="Arial"/>
          <w:i w:val="0"/>
          <w:color w:val="000000" w:themeColor="text1"/>
          <w:sz w:val="24"/>
          <w:szCs w:val="24"/>
        </w:rPr>
        <w:t xml:space="preserve"> Inhibition of MMP9 by SB-3CT prevents RAGE shedding and decreases the MMP9 protein level in the ACC of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mice compared to that in the ACC of WT mice at PND40. (A) Confocal images (Scale bar: 30 </w:t>
      </w:r>
      <w:proofErr w:type="spellStart"/>
      <w:r w:rsidRPr="006335D7">
        <w:rPr>
          <w:rFonts w:ascii="Arial" w:hAnsi="Arial" w:cs="Arial"/>
          <w:i w:val="0"/>
          <w:color w:val="000000" w:themeColor="text1"/>
          <w:sz w:val="24"/>
          <w:szCs w:val="24"/>
        </w:rPr>
        <w:t>μm</w:t>
      </w:r>
      <w:proofErr w:type="spellEnd"/>
      <w:r w:rsidRPr="006335D7">
        <w:rPr>
          <w:rFonts w:ascii="Arial" w:hAnsi="Arial" w:cs="Arial"/>
          <w:i w:val="0"/>
          <w:color w:val="000000" w:themeColor="text1"/>
          <w:sz w:val="24"/>
          <w:szCs w:val="24"/>
        </w:rPr>
        <w:t xml:space="preserve">) showing RAGE shedding in </w:t>
      </w:r>
      <w:proofErr w:type="spellStart"/>
      <w:r w:rsidRPr="006335D7">
        <w:rPr>
          <w:rFonts w:ascii="Arial" w:hAnsi="Arial" w:cs="Arial"/>
          <w:i w:val="0"/>
          <w:color w:val="000000" w:themeColor="text1"/>
          <w:sz w:val="24"/>
          <w:szCs w:val="24"/>
        </w:rPr>
        <w:t>Gclm</w:t>
      </w:r>
      <w:proofErr w:type="spellEnd"/>
      <w:r w:rsidRPr="006335D7">
        <w:rPr>
          <w:rFonts w:ascii="Arial" w:hAnsi="Arial" w:cs="Arial"/>
          <w:i w:val="0"/>
          <w:color w:val="000000" w:themeColor="text1"/>
          <w:sz w:val="24"/>
          <w:szCs w:val="24"/>
        </w:rPr>
        <w:t xml:space="preserve">-KO and WT mice after 4 injections of SB-3CT (25 mg/kg), each injection separated by 4 days, from PND18 until PND30 as shown in the schematic representation of the protocol. The graph represents the Intra-RAGE/Extra-RAGE ratio. (B) Confocal images (Scale bar: 30 </w:t>
      </w:r>
      <w:proofErr w:type="spellStart"/>
      <w:r w:rsidRPr="006335D7">
        <w:rPr>
          <w:rFonts w:ascii="Arial" w:hAnsi="Arial" w:cs="Arial"/>
          <w:i w:val="0"/>
          <w:color w:val="000000" w:themeColor="text1"/>
          <w:sz w:val="24"/>
          <w:szCs w:val="24"/>
        </w:rPr>
        <w:t>μm</w:t>
      </w:r>
      <w:proofErr w:type="spellEnd"/>
      <w:r w:rsidRPr="006335D7">
        <w:rPr>
          <w:rFonts w:ascii="Arial" w:hAnsi="Arial" w:cs="Arial"/>
          <w:i w:val="0"/>
          <w:color w:val="000000" w:themeColor="text1"/>
          <w:sz w:val="24"/>
          <w:szCs w:val="24"/>
        </w:rPr>
        <w:t xml:space="preserve">) showing the MMP9 protein level at PND40 after SB-3CT injections and the corresponding quantification graph. (A-B) Data are expressed as the mean ± </w:t>
      </w:r>
      <w:proofErr w:type="spellStart"/>
      <w:r w:rsidRPr="006335D7">
        <w:rPr>
          <w:rFonts w:ascii="Arial" w:hAnsi="Arial" w:cs="Arial"/>
          <w:i w:val="0"/>
          <w:color w:val="000000" w:themeColor="text1"/>
          <w:sz w:val="24"/>
          <w:szCs w:val="24"/>
        </w:rPr>
        <w:t>s.e.d</w:t>
      </w:r>
      <w:proofErr w:type="spellEnd"/>
      <w:r w:rsidRPr="006335D7">
        <w:rPr>
          <w:rFonts w:ascii="Arial" w:hAnsi="Arial" w:cs="Arial"/>
          <w:i w:val="0"/>
          <w:color w:val="000000" w:themeColor="text1"/>
          <w:sz w:val="24"/>
          <w:szCs w:val="24"/>
        </w:rPr>
        <w:t xml:space="preserve">. (n = 5-8). *** P &lt; 0.001; analyzed by 2-way ANOVA and Tukey post hoc test. </w:t>
      </w:r>
      <w:proofErr w:type="spellStart"/>
      <w:r w:rsidRPr="006335D7">
        <w:rPr>
          <w:rFonts w:ascii="Arial" w:hAnsi="Arial" w:cs="Arial"/>
          <w:i w:val="0"/>
          <w:color w:val="000000" w:themeColor="text1"/>
          <w:sz w:val="24"/>
          <w:szCs w:val="24"/>
        </w:rPr>
        <w:t>I.P.inj</w:t>
      </w:r>
      <w:proofErr w:type="spellEnd"/>
      <w:r w:rsidRPr="006335D7">
        <w:rPr>
          <w:rFonts w:ascii="Arial" w:hAnsi="Arial" w:cs="Arial"/>
          <w:i w:val="0"/>
          <w:color w:val="000000" w:themeColor="text1"/>
          <w:sz w:val="24"/>
          <w:szCs w:val="24"/>
        </w:rPr>
        <w:t>., intraperitoneal injection.</w:t>
      </w:r>
    </w:p>
    <w:p w14:paraId="78FCA6F3" w14:textId="77777777" w:rsidR="006335D7" w:rsidRPr="006335D7" w:rsidRDefault="006335D7" w:rsidP="006335D7"/>
    <w:p w14:paraId="140CF6BC" w14:textId="4355E25B" w:rsidR="00585EAC" w:rsidRPr="00A72455" w:rsidRDefault="00224DF5" w:rsidP="00224DF5">
      <w:pPr>
        <w:spacing w:line="360" w:lineRule="auto"/>
        <w:jc w:val="both"/>
        <w:rPr>
          <w:rFonts w:ascii="Arial" w:hAnsi="Arial" w:cs="Arial"/>
          <w:i/>
          <w:color w:val="000000" w:themeColor="text1"/>
        </w:rPr>
      </w:pPr>
      <w:r w:rsidRPr="006335D7">
        <w:rPr>
          <w:rFonts w:ascii="Arial" w:hAnsi="Arial" w:cs="Arial"/>
          <w:i/>
          <w:color w:val="000000" w:themeColor="text1"/>
        </w:rPr>
        <w:fldChar w:fldCharType="begin"/>
      </w:r>
      <w:r w:rsidRPr="006335D7">
        <w:rPr>
          <w:rFonts w:ascii="Arial" w:hAnsi="Arial" w:cs="Arial"/>
          <w:i/>
          <w:color w:val="000000" w:themeColor="text1"/>
        </w:rPr>
        <w:instrText xml:space="preserve"> ADDIN PAPERS2_CITATIONS &lt;papers2_bibliography/&gt;</w:instrText>
      </w:r>
      <w:r w:rsidRPr="006335D7">
        <w:rPr>
          <w:rFonts w:ascii="Arial" w:hAnsi="Arial" w:cs="Arial"/>
          <w:i/>
          <w:color w:val="000000" w:themeColor="text1"/>
        </w:rPr>
        <w:fldChar w:fldCharType="end"/>
      </w:r>
    </w:p>
    <w:sectPr w:rsidR="00585EAC" w:rsidRPr="00A72455" w:rsidSect="00F23128">
      <w:footerReference w:type="default" r:id="rId8"/>
      <w:pgSz w:w="11900" w:h="16840"/>
      <w:pgMar w:top="1440" w:right="1800" w:bottom="1440" w:left="1800" w:header="708" w:footer="708" w:gutter="0"/>
      <w:lnNumType w:countBy="1"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3FE03" w14:textId="77777777" w:rsidR="0041112A" w:rsidRDefault="0041112A" w:rsidP="0050520C">
      <w:r>
        <w:separator/>
      </w:r>
    </w:p>
  </w:endnote>
  <w:endnote w:type="continuationSeparator" w:id="0">
    <w:p w14:paraId="1EF23EB1" w14:textId="77777777" w:rsidR="0041112A" w:rsidRDefault="0041112A" w:rsidP="00505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09916"/>
      <w:docPartObj>
        <w:docPartGallery w:val="Page Numbers (Bottom of Page)"/>
        <w:docPartUnique/>
      </w:docPartObj>
    </w:sdtPr>
    <w:sdtEndPr/>
    <w:sdtContent>
      <w:p w14:paraId="1362DA15" w14:textId="05294BA7" w:rsidR="00C34822" w:rsidRDefault="00C34822">
        <w:pPr>
          <w:pStyle w:val="Footer"/>
          <w:jc w:val="center"/>
        </w:pPr>
        <w:r>
          <w:fldChar w:fldCharType="begin"/>
        </w:r>
        <w:r>
          <w:instrText xml:space="preserve"> PAGE   \* MERGEFORMAT </w:instrText>
        </w:r>
        <w:r>
          <w:fldChar w:fldCharType="separate"/>
        </w:r>
        <w:r w:rsidR="000E338D">
          <w:rPr>
            <w:noProof/>
          </w:rPr>
          <w:t>31</w:t>
        </w:r>
        <w:r>
          <w:rPr>
            <w:noProof/>
          </w:rPr>
          <w:fldChar w:fldCharType="end"/>
        </w:r>
      </w:p>
    </w:sdtContent>
  </w:sdt>
  <w:p w14:paraId="525512BF" w14:textId="77777777" w:rsidR="00C34822" w:rsidRDefault="00C34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10B04" w14:textId="77777777" w:rsidR="0041112A" w:rsidRDefault="0041112A" w:rsidP="0050520C">
      <w:r>
        <w:separator/>
      </w:r>
    </w:p>
  </w:footnote>
  <w:footnote w:type="continuationSeparator" w:id="0">
    <w:p w14:paraId="28B8EE00" w14:textId="77777777" w:rsidR="0041112A" w:rsidRDefault="0041112A" w:rsidP="00505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05546"/>
    <w:multiLevelType w:val="hybridMultilevel"/>
    <w:tmpl w:val="65C8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DE6D5D"/>
    <w:multiLevelType w:val="hybridMultilevel"/>
    <w:tmpl w:val="AFEC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embedSystemFonts/>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de-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4096" w:nlCheck="1" w:checkStyle="0"/>
  <w:activeWritingStyle w:appName="MSWord" w:lang="it-IT" w:vendorID="64" w:dllVersion="6" w:nlCheck="1" w:checkStyle="0"/>
  <w:activeWritingStyle w:appName="MSWord" w:lang="en-GB" w:vendorID="64" w:dllVersion="6" w:nlCheck="1" w:checkStyle="1"/>
  <w:activeWritingStyle w:appName="MSWord" w:lang="it-IT" w:vendorID="64" w:dllVersion="4096" w:nlCheck="1" w:checkStyle="0"/>
  <w:proofState w:spelling="clean" w:grammar="clean"/>
  <w:defaultTabStop w:val="720"/>
  <w:hyphenationZone w:val="425"/>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ordTimer" w:val="22480"/>
  </w:docVars>
  <w:rsids>
    <w:rsidRoot w:val="00EB7899"/>
    <w:rsid w:val="0000047F"/>
    <w:rsid w:val="00000500"/>
    <w:rsid w:val="00002000"/>
    <w:rsid w:val="0000233B"/>
    <w:rsid w:val="00002ED4"/>
    <w:rsid w:val="000034DF"/>
    <w:rsid w:val="00004017"/>
    <w:rsid w:val="00005089"/>
    <w:rsid w:val="00005D3D"/>
    <w:rsid w:val="00006971"/>
    <w:rsid w:val="00007D9F"/>
    <w:rsid w:val="00010DF5"/>
    <w:rsid w:val="00012284"/>
    <w:rsid w:val="000130EF"/>
    <w:rsid w:val="00013170"/>
    <w:rsid w:val="000137D4"/>
    <w:rsid w:val="00014142"/>
    <w:rsid w:val="0001442F"/>
    <w:rsid w:val="0001532C"/>
    <w:rsid w:val="00017B40"/>
    <w:rsid w:val="00017C5B"/>
    <w:rsid w:val="00021F47"/>
    <w:rsid w:val="00021FE5"/>
    <w:rsid w:val="000227D2"/>
    <w:rsid w:val="000242DD"/>
    <w:rsid w:val="000251E3"/>
    <w:rsid w:val="00026618"/>
    <w:rsid w:val="000269B8"/>
    <w:rsid w:val="00027D6F"/>
    <w:rsid w:val="00031C5A"/>
    <w:rsid w:val="0003246A"/>
    <w:rsid w:val="00032C1E"/>
    <w:rsid w:val="0003436C"/>
    <w:rsid w:val="00037ED0"/>
    <w:rsid w:val="00040B09"/>
    <w:rsid w:val="00040B73"/>
    <w:rsid w:val="0004174A"/>
    <w:rsid w:val="0004495C"/>
    <w:rsid w:val="00045305"/>
    <w:rsid w:val="00045351"/>
    <w:rsid w:val="00051616"/>
    <w:rsid w:val="0005177F"/>
    <w:rsid w:val="00051A3A"/>
    <w:rsid w:val="00051B81"/>
    <w:rsid w:val="00051C64"/>
    <w:rsid w:val="0005214B"/>
    <w:rsid w:val="00053912"/>
    <w:rsid w:val="000548B3"/>
    <w:rsid w:val="00055087"/>
    <w:rsid w:val="00056BF9"/>
    <w:rsid w:val="00056BFE"/>
    <w:rsid w:val="000607FE"/>
    <w:rsid w:val="00061C33"/>
    <w:rsid w:val="0006259A"/>
    <w:rsid w:val="0006302F"/>
    <w:rsid w:val="0006592A"/>
    <w:rsid w:val="00066317"/>
    <w:rsid w:val="00066922"/>
    <w:rsid w:val="000670D8"/>
    <w:rsid w:val="00067D25"/>
    <w:rsid w:val="000702F2"/>
    <w:rsid w:val="0007279F"/>
    <w:rsid w:val="00072B03"/>
    <w:rsid w:val="00074132"/>
    <w:rsid w:val="00074359"/>
    <w:rsid w:val="00075458"/>
    <w:rsid w:val="00075953"/>
    <w:rsid w:val="00075CEC"/>
    <w:rsid w:val="000777A3"/>
    <w:rsid w:val="00081511"/>
    <w:rsid w:val="0008270A"/>
    <w:rsid w:val="00084F58"/>
    <w:rsid w:val="00085720"/>
    <w:rsid w:val="00085D0C"/>
    <w:rsid w:val="0008658E"/>
    <w:rsid w:val="00086912"/>
    <w:rsid w:val="0009574A"/>
    <w:rsid w:val="00096AA6"/>
    <w:rsid w:val="00097170"/>
    <w:rsid w:val="00097423"/>
    <w:rsid w:val="00097EB9"/>
    <w:rsid w:val="000A0ED0"/>
    <w:rsid w:val="000A1E5C"/>
    <w:rsid w:val="000A33B7"/>
    <w:rsid w:val="000A4BA9"/>
    <w:rsid w:val="000A701E"/>
    <w:rsid w:val="000B1F43"/>
    <w:rsid w:val="000B302C"/>
    <w:rsid w:val="000B44A7"/>
    <w:rsid w:val="000B6123"/>
    <w:rsid w:val="000C00CF"/>
    <w:rsid w:val="000C209A"/>
    <w:rsid w:val="000C282D"/>
    <w:rsid w:val="000C3A8B"/>
    <w:rsid w:val="000D0972"/>
    <w:rsid w:val="000D1039"/>
    <w:rsid w:val="000D417C"/>
    <w:rsid w:val="000D48FE"/>
    <w:rsid w:val="000D618E"/>
    <w:rsid w:val="000D63F4"/>
    <w:rsid w:val="000D6DA9"/>
    <w:rsid w:val="000E305D"/>
    <w:rsid w:val="000E338D"/>
    <w:rsid w:val="000F5ABA"/>
    <w:rsid w:val="000F5AC9"/>
    <w:rsid w:val="000F7EA6"/>
    <w:rsid w:val="00100CD1"/>
    <w:rsid w:val="001034E2"/>
    <w:rsid w:val="00103A3A"/>
    <w:rsid w:val="00103B87"/>
    <w:rsid w:val="00104CE5"/>
    <w:rsid w:val="00105FCD"/>
    <w:rsid w:val="0010641F"/>
    <w:rsid w:val="00110055"/>
    <w:rsid w:val="001106C0"/>
    <w:rsid w:val="00112F7C"/>
    <w:rsid w:val="00113745"/>
    <w:rsid w:val="00113F54"/>
    <w:rsid w:val="001142ED"/>
    <w:rsid w:val="00115CCB"/>
    <w:rsid w:val="001169F0"/>
    <w:rsid w:val="00117DEA"/>
    <w:rsid w:val="00120BBE"/>
    <w:rsid w:val="00121A04"/>
    <w:rsid w:val="001222D3"/>
    <w:rsid w:val="00124374"/>
    <w:rsid w:val="00127FF0"/>
    <w:rsid w:val="0013122B"/>
    <w:rsid w:val="00133195"/>
    <w:rsid w:val="00135F94"/>
    <w:rsid w:val="00137A98"/>
    <w:rsid w:val="00140478"/>
    <w:rsid w:val="0014051D"/>
    <w:rsid w:val="001406E3"/>
    <w:rsid w:val="0014080A"/>
    <w:rsid w:val="0014200F"/>
    <w:rsid w:val="0014397D"/>
    <w:rsid w:val="0014432D"/>
    <w:rsid w:val="0014686F"/>
    <w:rsid w:val="00146D47"/>
    <w:rsid w:val="00150E84"/>
    <w:rsid w:val="00152BE9"/>
    <w:rsid w:val="00154A72"/>
    <w:rsid w:val="001552D8"/>
    <w:rsid w:val="00155BE5"/>
    <w:rsid w:val="00157640"/>
    <w:rsid w:val="00160552"/>
    <w:rsid w:val="001668E4"/>
    <w:rsid w:val="00171289"/>
    <w:rsid w:val="001715EA"/>
    <w:rsid w:val="001721D4"/>
    <w:rsid w:val="001725D8"/>
    <w:rsid w:val="0017331A"/>
    <w:rsid w:val="00173404"/>
    <w:rsid w:val="001754AE"/>
    <w:rsid w:val="00176403"/>
    <w:rsid w:val="00176B26"/>
    <w:rsid w:val="00176C3E"/>
    <w:rsid w:val="001818D0"/>
    <w:rsid w:val="0018207E"/>
    <w:rsid w:val="00182A67"/>
    <w:rsid w:val="00183C1D"/>
    <w:rsid w:val="0018408F"/>
    <w:rsid w:val="00185217"/>
    <w:rsid w:val="0018610F"/>
    <w:rsid w:val="00186E92"/>
    <w:rsid w:val="00187DA2"/>
    <w:rsid w:val="00187FAA"/>
    <w:rsid w:val="00190012"/>
    <w:rsid w:val="001900A1"/>
    <w:rsid w:val="0019023B"/>
    <w:rsid w:val="00190A64"/>
    <w:rsid w:val="00191136"/>
    <w:rsid w:val="0019178F"/>
    <w:rsid w:val="001A0F6B"/>
    <w:rsid w:val="001A794F"/>
    <w:rsid w:val="001B3186"/>
    <w:rsid w:val="001B558B"/>
    <w:rsid w:val="001B5B3A"/>
    <w:rsid w:val="001B5E75"/>
    <w:rsid w:val="001B711B"/>
    <w:rsid w:val="001C1857"/>
    <w:rsid w:val="001C3CFF"/>
    <w:rsid w:val="001C5D9F"/>
    <w:rsid w:val="001D0B3A"/>
    <w:rsid w:val="001D201C"/>
    <w:rsid w:val="001D3F72"/>
    <w:rsid w:val="001D6F20"/>
    <w:rsid w:val="001E0527"/>
    <w:rsid w:val="001E07C0"/>
    <w:rsid w:val="001E4254"/>
    <w:rsid w:val="001E57D6"/>
    <w:rsid w:val="001E5DEB"/>
    <w:rsid w:val="001E6448"/>
    <w:rsid w:val="001F2D15"/>
    <w:rsid w:val="001F30F4"/>
    <w:rsid w:val="001F38A6"/>
    <w:rsid w:val="001F3A4A"/>
    <w:rsid w:val="001F4346"/>
    <w:rsid w:val="001F527D"/>
    <w:rsid w:val="001F681C"/>
    <w:rsid w:val="001F71DF"/>
    <w:rsid w:val="001F7FBB"/>
    <w:rsid w:val="0020001C"/>
    <w:rsid w:val="00204914"/>
    <w:rsid w:val="00206672"/>
    <w:rsid w:val="0021073D"/>
    <w:rsid w:val="0021135B"/>
    <w:rsid w:val="002113D5"/>
    <w:rsid w:val="00211C4E"/>
    <w:rsid w:val="00214520"/>
    <w:rsid w:val="002145F0"/>
    <w:rsid w:val="002146FE"/>
    <w:rsid w:val="00215ED1"/>
    <w:rsid w:val="00217168"/>
    <w:rsid w:val="00220561"/>
    <w:rsid w:val="00220839"/>
    <w:rsid w:val="00220B00"/>
    <w:rsid w:val="00220C32"/>
    <w:rsid w:val="00221816"/>
    <w:rsid w:val="00223276"/>
    <w:rsid w:val="002247A0"/>
    <w:rsid w:val="00224DF5"/>
    <w:rsid w:val="00226768"/>
    <w:rsid w:val="00227F29"/>
    <w:rsid w:val="002307F9"/>
    <w:rsid w:val="002315C9"/>
    <w:rsid w:val="00232EC6"/>
    <w:rsid w:val="00233FBD"/>
    <w:rsid w:val="00234A16"/>
    <w:rsid w:val="00235DD7"/>
    <w:rsid w:val="00235DEE"/>
    <w:rsid w:val="002368E9"/>
    <w:rsid w:val="002375A4"/>
    <w:rsid w:val="002420F1"/>
    <w:rsid w:val="002432C5"/>
    <w:rsid w:val="00244E49"/>
    <w:rsid w:val="00245202"/>
    <w:rsid w:val="0025250A"/>
    <w:rsid w:val="00252AAF"/>
    <w:rsid w:val="002554E2"/>
    <w:rsid w:val="002559AE"/>
    <w:rsid w:val="00256312"/>
    <w:rsid w:val="00257C9D"/>
    <w:rsid w:val="00260B74"/>
    <w:rsid w:val="002613B1"/>
    <w:rsid w:val="002622C5"/>
    <w:rsid w:val="00265711"/>
    <w:rsid w:val="00267E7D"/>
    <w:rsid w:val="00270026"/>
    <w:rsid w:val="00271EB7"/>
    <w:rsid w:val="00272EB0"/>
    <w:rsid w:val="00272F07"/>
    <w:rsid w:val="00274EBD"/>
    <w:rsid w:val="00274FF3"/>
    <w:rsid w:val="00275069"/>
    <w:rsid w:val="0027562B"/>
    <w:rsid w:val="00276919"/>
    <w:rsid w:val="0028075E"/>
    <w:rsid w:val="00281665"/>
    <w:rsid w:val="00281E53"/>
    <w:rsid w:val="00282486"/>
    <w:rsid w:val="0028378C"/>
    <w:rsid w:val="00283B8E"/>
    <w:rsid w:val="00283D5D"/>
    <w:rsid w:val="002840AD"/>
    <w:rsid w:val="00284306"/>
    <w:rsid w:val="002849C8"/>
    <w:rsid w:val="00284A93"/>
    <w:rsid w:val="002867A5"/>
    <w:rsid w:val="00287A1F"/>
    <w:rsid w:val="00287C28"/>
    <w:rsid w:val="00287FB6"/>
    <w:rsid w:val="00290B1A"/>
    <w:rsid w:val="0029203D"/>
    <w:rsid w:val="0029594E"/>
    <w:rsid w:val="00297F48"/>
    <w:rsid w:val="002A089F"/>
    <w:rsid w:val="002B072E"/>
    <w:rsid w:val="002B1698"/>
    <w:rsid w:val="002B21AA"/>
    <w:rsid w:val="002B2ED8"/>
    <w:rsid w:val="002B3D37"/>
    <w:rsid w:val="002B4FE2"/>
    <w:rsid w:val="002B567D"/>
    <w:rsid w:val="002B679F"/>
    <w:rsid w:val="002B6802"/>
    <w:rsid w:val="002B70B0"/>
    <w:rsid w:val="002B7499"/>
    <w:rsid w:val="002B7A5E"/>
    <w:rsid w:val="002C14E4"/>
    <w:rsid w:val="002C3A5A"/>
    <w:rsid w:val="002C50D9"/>
    <w:rsid w:val="002C5540"/>
    <w:rsid w:val="002C657C"/>
    <w:rsid w:val="002C6601"/>
    <w:rsid w:val="002C794E"/>
    <w:rsid w:val="002D102E"/>
    <w:rsid w:val="002D1599"/>
    <w:rsid w:val="002D1CBC"/>
    <w:rsid w:val="002D29D0"/>
    <w:rsid w:val="002D401A"/>
    <w:rsid w:val="002D6EB9"/>
    <w:rsid w:val="002D767A"/>
    <w:rsid w:val="002D775B"/>
    <w:rsid w:val="002D7D17"/>
    <w:rsid w:val="002E08E6"/>
    <w:rsid w:val="002E13FB"/>
    <w:rsid w:val="002E15B0"/>
    <w:rsid w:val="002E1D03"/>
    <w:rsid w:val="002E1F63"/>
    <w:rsid w:val="002E2E69"/>
    <w:rsid w:val="002E4590"/>
    <w:rsid w:val="002E6979"/>
    <w:rsid w:val="002F1A8A"/>
    <w:rsid w:val="002F2B83"/>
    <w:rsid w:val="002F4E44"/>
    <w:rsid w:val="002F5A65"/>
    <w:rsid w:val="002F747C"/>
    <w:rsid w:val="002F79F5"/>
    <w:rsid w:val="003005B3"/>
    <w:rsid w:val="00300BE5"/>
    <w:rsid w:val="00301F4E"/>
    <w:rsid w:val="00302664"/>
    <w:rsid w:val="0030446D"/>
    <w:rsid w:val="00305407"/>
    <w:rsid w:val="0030597C"/>
    <w:rsid w:val="003066AA"/>
    <w:rsid w:val="003067A9"/>
    <w:rsid w:val="00306874"/>
    <w:rsid w:val="00307049"/>
    <w:rsid w:val="00310899"/>
    <w:rsid w:val="00311CAE"/>
    <w:rsid w:val="00312CC6"/>
    <w:rsid w:val="00312DDE"/>
    <w:rsid w:val="00314747"/>
    <w:rsid w:val="00316145"/>
    <w:rsid w:val="00316404"/>
    <w:rsid w:val="00316AD6"/>
    <w:rsid w:val="0031710D"/>
    <w:rsid w:val="003218CA"/>
    <w:rsid w:val="00321A29"/>
    <w:rsid w:val="00322FCB"/>
    <w:rsid w:val="00323256"/>
    <w:rsid w:val="003242B5"/>
    <w:rsid w:val="003318C0"/>
    <w:rsid w:val="00333C8C"/>
    <w:rsid w:val="00334097"/>
    <w:rsid w:val="0033595C"/>
    <w:rsid w:val="00335BB3"/>
    <w:rsid w:val="00335C7C"/>
    <w:rsid w:val="00341D9E"/>
    <w:rsid w:val="003439ED"/>
    <w:rsid w:val="00344F37"/>
    <w:rsid w:val="0034558D"/>
    <w:rsid w:val="00347D21"/>
    <w:rsid w:val="00351442"/>
    <w:rsid w:val="00353DAF"/>
    <w:rsid w:val="003546E4"/>
    <w:rsid w:val="003574A9"/>
    <w:rsid w:val="003607B5"/>
    <w:rsid w:val="00360A18"/>
    <w:rsid w:val="0036208D"/>
    <w:rsid w:val="00362EA7"/>
    <w:rsid w:val="00363056"/>
    <w:rsid w:val="00363B53"/>
    <w:rsid w:val="0036446E"/>
    <w:rsid w:val="00365243"/>
    <w:rsid w:val="0037079C"/>
    <w:rsid w:val="00370AA2"/>
    <w:rsid w:val="00371B55"/>
    <w:rsid w:val="0037379E"/>
    <w:rsid w:val="00377780"/>
    <w:rsid w:val="00377C51"/>
    <w:rsid w:val="00377C59"/>
    <w:rsid w:val="003823A2"/>
    <w:rsid w:val="003850AF"/>
    <w:rsid w:val="003866DF"/>
    <w:rsid w:val="00386817"/>
    <w:rsid w:val="00386B4D"/>
    <w:rsid w:val="00387A5C"/>
    <w:rsid w:val="0039025D"/>
    <w:rsid w:val="00390547"/>
    <w:rsid w:val="00393A6C"/>
    <w:rsid w:val="003958C4"/>
    <w:rsid w:val="00396411"/>
    <w:rsid w:val="003A09B9"/>
    <w:rsid w:val="003A2696"/>
    <w:rsid w:val="003A390F"/>
    <w:rsid w:val="003A57B1"/>
    <w:rsid w:val="003A77E4"/>
    <w:rsid w:val="003B2515"/>
    <w:rsid w:val="003B4B64"/>
    <w:rsid w:val="003B53D7"/>
    <w:rsid w:val="003B68C1"/>
    <w:rsid w:val="003B741C"/>
    <w:rsid w:val="003B7834"/>
    <w:rsid w:val="003C02A2"/>
    <w:rsid w:val="003C232C"/>
    <w:rsid w:val="003C4C33"/>
    <w:rsid w:val="003C5934"/>
    <w:rsid w:val="003C78C4"/>
    <w:rsid w:val="003D29D9"/>
    <w:rsid w:val="003D3D2E"/>
    <w:rsid w:val="003D3FB2"/>
    <w:rsid w:val="003D40FB"/>
    <w:rsid w:val="003D52AD"/>
    <w:rsid w:val="003D6C72"/>
    <w:rsid w:val="003D747C"/>
    <w:rsid w:val="003E1507"/>
    <w:rsid w:val="003E34E8"/>
    <w:rsid w:val="003E3A64"/>
    <w:rsid w:val="003E3B2C"/>
    <w:rsid w:val="003E7B25"/>
    <w:rsid w:val="003F21F6"/>
    <w:rsid w:val="003F3306"/>
    <w:rsid w:val="003F43C2"/>
    <w:rsid w:val="003F7865"/>
    <w:rsid w:val="003F7E62"/>
    <w:rsid w:val="0040174B"/>
    <w:rsid w:val="0040336D"/>
    <w:rsid w:val="00404D49"/>
    <w:rsid w:val="0041002C"/>
    <w:rsid w:val="00410052"/>
    <w:rsid w:val="004104D9"/>
    <w:rsid w:val="0041112A"/>
    <w:rsid w:val="00411534"/>
    <w:rsid w:val="00411ECA"/>
    <w:rsid w:val="004121F9"/>
    <w:rsid w:val="0041417C"/>
    <w:rsid w:val="004159A0"/>
    <w:rsid w:val="00415DAE"/>
    <w:rsid w:val="0041621A"/>
    <w:rsid w:val="00417792"/>
    <w:rsid w:val="00417DB4"/>
    <w:rsid w:val="00422967"/>
    <w:rsid w:val="00426423"/>
    <w:rsid w:val="00427FB1"/>
    <w:rsid w:val="00431EB8"/>
    <w:rsid w:val="0043212D"/>
    <w:rsid w:val="004369BC"/>
    <w:rsid w:val="00436DB3"/>
    <w:rsid w:val="004406A6"/>
    <w:rsid w:val="0044092C"/>
    <w:rsid w:val="004424EF"/>
    <w:rsid w:val="004427C9"/>
    <w:rsid w:val="00447964"/>
    <w:rsid w:val="00447C4C"/>
    <w:rsid w:val="00452626"/>
    <w:rsid w:val="00453281"/>
    <w:rsid w:val="00453F43"/>
    <w:rsid w:val="00455DDD"/>
    <w:rsid w:val="00456DF2"/>
    <w:rsid w:val="00460EF0"/>
    <w:rsid w:val="00461472"/>
    <w:rsid w:val="00462050"/>
    <w:rsid w:val="00463F71"/>
    <w:rsid w:val="00464CA0"/>
    <w:rsid w:val="00464FA5"/>
    <w:rsid w:val="004651D3"/>
    <w:rsid w:val="00466EC6"/>
    <w:rsid w:val="004740A0"/>
    <w:rsid w:val="00474E4A"/>
    <w:rsid w:val="00475114"/>
    <w:rsid w:val="0047697E"/>
    <w:rsid w:val="00477D79"/>
    <w:rsid w:val="00481913"/>
    <w:rsid w:val="00481A96"/>
    <w:rsid w:val="004835FB"/>
    <w:rsid w:val="00483FEF"/>
    <w:rsid w:val="00485ACE"/>
    <w:rsid w:val="004861B0"/>
    <w:rsid w:val="00486B40"/>
    <w:rsid w:val="00486D64"/>
    <w:rsid w:val="004870FC"/>
    <w:rsid w:val="00490BBE"/>
    <w:rsid w:val="00491688"/>
    <w:rsid w:val="004964F7"/>
    <w:rsid w:val="00496514"/>
    <w:rsid w:val="004A0AB1"/>
    <w:rsid w:val="004A0F6F"/>
    <w:rsid w:val="004A2A46"/>
    <w:rsid w:val="004A2FD9"/>
    <w:rsid w:val="004A31E0"/>
    <w:rsid w:val="004A452B"/>
    <w:rsid w:val="004B081A"/>
    <w:rsid w:val="004B1211"/>
    <w:rsid w:val="004B1E52"/>
    <w:rsid w:val="004B3307"/>
    <w:rsid w:val="004B3FD0"/>
    <w:rsid w:val="004B45B4"/>
    <w:rsid w:val="004B462A"/>
    <w:rsid w:val="004C0269"/>
    <w:rsid w:val="004C26E8"/>
    <w:rsid w:val="004C5151"/>
    <w:rsid w:val="004C6118"/>
    <w:rsid w:val="004D38E9"/>
    <w:rsid w:val="004D66A6"/>
    <w:rsid w:val="004D6CC9"/>
    <w:rsid w:val="004E000F"/>
    <w:rsid w:val="004E028D"/>
    <w:rsid w:val="004E0AF4"/>
    <w:rsid w:val="004E1303"/>
    <w:rsid w:val="004E1F67"/>
    <w:rsid w:val="004E24D4"/>
    <w:rsid w:val="004E2AD8"/>
    <w:rsid w:val="004E2C08"/>
    <w:rsid w:val="004E3FD3"/>
    <w:rsid w:val="004E7424"/>
    <w:rsid w:val="004E7A29"/>
    <w:rsid w:val="004F06A0"/>
    <w:rsid w:val="004F1C20"/>
    <w:rsid w:val="004F1F54"/>
    <w:rsid w:val="004F35AC"/>
    <w:rsid w:val="004F3627"/>
    <w:rsid w:val="004F61E2"/>
    <w:rsid w:val="004F6B11"/>
    <w:rsid w:val="004F6EE1"/>
    <w:rsid w:val="005005A3"/>
    <w:rsid w:val="005041EA"/>
    <w:rsid w:val="005050F8"/>
    <w:rsid w:val="0050520C"/>
    <w:rsid w:val="005110B2"/>
    <w:rsid w:val="00511161"/>
    <w:rsid w:val="00511BB7"/>
    <w:rsid w:val="00513D33"/>
    <w:rsid w:val="00515144"/>
    <w:rsid w:val="00516436"/>
    <w:rsid w:val="00516951"/>
    <w:rsid w:val="005179A4"/>
    <w:rsid w:val="00520086"/>
    <w:rsid w:val="00520D81"/>
    <w:rsid w:val="005233FE"/>
    <w:rsid w:val="005241BE"/>
    <w:rsid w:val="00524716"/>
    <w:rsid w:val="00524997"/>
    <w:rsid w:val="00524F9A"/>
    <w:rsid w:val="005305FB"/>
    <w:rsid w:val="005306B2"/>
    <w:rsid w:val="005338BB"/>
    <w:rsid w:val="00533AB9"/>
    <w:rsid w:val="005344D5"/>
    <w:rsid w:val="00535EDB"/>
    <w:rsid w:val="005372EB"/>
    <w:rsid w:val="005373CE"/>
    <w:rsid w:val="00537D94"/>
    <w:rsid w:val="00540FDE"/>
    <w:rsid w:val="005435CE"/>
    <w:rsid w:val="00545D3D"/>
    <w:rsid w:val="005503FD"/>
    <w:rsid w:val="0055243B"/>
    <w:rsid w:val="00552645"/>
    <w:rsid w:val="00557F40"/>
    <w:rsid w:val="005604B7"/>
    <w:rsid w:val="00561246"/>
    <w:rsid w:val="00562B8E"/>
    <w:rsid w:val="005641F4"/>
    <w:rsid w:val="00565618"/>
    <w:rsid w:val="0056575D"/>
    <w:rsid w:val="00566DA5"/>
    <w:rsid w:val="00567E91"/>
    <w:rsid w:val="00570BD1"/>
    <w:rsid w:val="00572348"/>
    <w:rsid w:val="00572706"/>
    <w:rsid w:val="00574A96"/>
    <w:rsid w:val="005757B5"/>
    <w:rsid w:val="00576262"/>
    <w:rsid w:val="0058007C"/>
    <w:rsid w:val="00582276"/>
    <w:rsid w:val="00582985"/>
    <w:rsid w:val="00582EF9"/>
    <w:rsid w:val="00583315"/>
    <w:rsid w:val="00583AF3"/>
    <w:rsid w:val="00584147"/>
    <w:rsid w:val="00585EAC"/>
    <w:rsid w:val="00586750"/>
    <w:rsid w:val="00587844"/>
    <w:rsid w:val="00587B2D"/>
    <w:rsid w:val="00587B99"/>
    <w:rsid w:val="005922BF"/>
    <w:rsid w:val="00592CA1"/>
    <w:rsid w:val="0059484F"/>
    <w:rsid w:val="005A007B"/>
    <w:rsid w:val="005A0722"/>
    <w:rsid w:val="005A17EB"/>
    <w:rsid w:val="005A2545"/>
    <w:rsid w:val="005A2559"/>
    <w:rsid w:val="005A3042"/>
    <w:rsid w:val="005A3E3B"/>
    <w:rsid w:val="005A5C44"/>
    <w:rsid w:val="005A65BA"/>
    <w:rsid w:val="005A745F"/>
    <w:rsid w:val="005A7EC8"/>
    <w:rsid w:val="005B08E3"/>
    <w:rsid w:val="005B15D1"/>
    <w:rsid w:val="005B72F4"/>
    <w:rsid w:val="005B7429"/>
    <w:rsid w:val="005B7A40"/>
    <w:rsid w:val="005B7B34"/>
    <w:rsid w:val="005C0F4E"/>
    <w:rsid w:val="005D0E48"/>
    <w:rsid w:val="005D1605"/>
    <w:rsid w:val="005D37F2"/>
    <w:rsid w:val="005D3840"/>
    <w:rsid w:val="005D6344"/>
    <w:rsid w:val="005D6CD8"/>
    <w:rsid w:val="005D76A3"/>
    <w:rsid w:val="005E0B2B"/>
    <w:rsid w:val="005E0DB6"/>
    <w:rsid w:val="005E26F0"/>
    <w:rsid w:val="005E3868"/>
    <w:rsid w:val="005E52B9"/>
    <w:rsid w:val="005E67B7"/>
    <w:rsid w:val="005F08E7"/>
    <w:rsid w:val="005F19C1"/>
    <w:rsid w:val="005F4059"/>
    <w:rsid w:val="005F4D96"/>
    <w:rsid w:val="005F4E6F"/>
    <w:rsid w:val="005F5817"/>
    <w:rsid w:val="005F610F"/>
    <w:rsid w:val="005F6D12"/>
    <w:rsid w:val="005F7035"/>
    <w:rsid w:val="00604C46"/>
    <w:rsid w:val="00610A82"/>
    <w:rsid w:val="00612615"/>
    <w:rsid w:val="00612C9A"/>
    <w:rsid w:val="00615946"/>
    <w:rsid w:val="00621EC0"/>
    <w:rsid w:val="0062321E"/>
    <w:rsid w:val="00626814"/>
    <w:rsid w:val="006302B9"/>
    <w:rsid w:val="006304A5"/>
    <w:rsid w:val="006316D5"/>
    <w:rsid w:val="00631F97"/>
    <w:rsid w:val="00632F16"/>
    <w:rsid w:val="006335D7"/>
    <w:rsid w:val="00634BB6"/>
    <w:rsid w:val="00636BEA"/>
    <w:rsid w:val="00640785"/>
    <w:rsid w:val="00641419"/>
    <w:rsid w:val="0064221B"/>
    <w:rsid w:val="00645776"/>
    <w:rsid w:val="006459FD"/>
    <w:rsid w:val="00646257"/>
    <w:rsid w:val="00646313"/>
    <w:rsid w:val="00646386"/>
    <w:rsid w:val="00646D66"/>
    <w:rsid w:val="00647706"/>
    <w:rsid w:val="0065056B"/>
    <w:rsid w:val="00650B8B"/>
    <w:rsid w:val="0065167C"/>
    <w:rsid w:val="006526D4"/>
    <w:rsid w:val="00652B8E"/>
    <w:rsid w:val="00652E86"/>
    <w:rsid w:val="006537CC"/>
    <w:rsid w:val="00654102"/>
    <w:rsid w:val="006550A0"/>
    <w:rsid w:val="00655431"/>
    <w:rsid w:val="00657242"/>
    <w:rsid w:val="006601F5"/>
    <w:rsid w:val="006619B8"/>
    <w:rsid w:val="00664985"/>
    <w:rsid w:val="00664C01"/>
    <w:rsid w:val="00667E32"/>
    <w:rsid w:val="00670FDD"/>
    <w:rsid w:val="0067235D"/>
    <w:rsid w:val="00672A61"/>
    <w:rsid w:val="0067337C"/>
    <w:rsid w:val="00680607"/>
    <w:rsid w:val="006811F8"/>
    <w:rsid w:val="006812B8"/>
    <w:rsid w:val="0068314F"/>
    <w:rsid w:val="00683B7A"/>
    <w:rsid w:val="0068519E"/>
    <w:rsid w:val="00685239"/>
    <w:rsid w:val="00686147"/>
    <w:rsid w:val="00687041"/>
    <w:rsid w:val="00687DA8"/>
    <w:rsid w:val="006900F1"/>
    <w:rsid w:val="00692C15"/>
    <w:rsid w:val="0069347A"/>
    <w:rsid w:val="00693B9B"/>
    <w:rsid w:val="0069505C"/>
    <w:rsid w:val="00696423"/>
    <w:rsid w:val="0069649F"/>
    <w:rsid w:val="00696CDD"/>
    <w:rsid w:val="006A0E2E"/>
    <w:rsid w:val="006A2888"/>
    <w:rsid w:val="006A2CD3"/>
    <w:rsid w:val="006A3652"/>
    <w:rsid w:val="006A3ED0"/>
    <w:rsid w:val="006A4649"/>
    <w:rsid w:val="006A4E09"/>
    <w:rsid w:val="006A5748"/>
    <w:rsid w:val="006A5A27"/>
    <w:rsid w:val="006B1B07"/>
    <w:rsid w:val="006B1CF2"/>
    <w:rsid w:val="006B40BD"/>
    <w:rsid w:val="006B63D3"/>
    <w:rsid w:val="006C08A6"/>
    <w:rsid w:val="006C12D5"/>
    <w:rsid w:val="006C285A"/>
    <w:rsid w:val="006C28F0"/>
    <w:rsid w:val="006C36CC"/>
    <w:rsid w:val="006C567F"/>
    <w:rsid w:val="006C7BF7"/>
    <w:rsid w:val="006D0378"/>
    <w:rsid w:val="006D4027"/>
    <w:rsid w:val="006D5516"/>
    <w:rsid w:val="006D6B19"/>
    <w:rsid w:val="006D6F77"/>
    <w:rsid w:val="006D6FCA"/>
    <w:rsid w:val="006E0D1E"/>
    <w:rsid w:val="006E227D"/>
    <w:rsid w:val="006E2E27"/>
    <w:rsid w:val="006E34A7"/>
    <w:rsid w:val="006E3880"/>
    <w:rsid w:val="006E7638"/>
    <w:rsid w:val="006F0551"/>
    <w:rsid w:val="006F262D"/>
    <w:rsid w:val="006F4174"/>
    <w:rsid w:val="006F4A77"/>
    <w:rsid w:val="006F63BC"/>
    <w:rsid w:val="007006E7"/>
    <w:rsid w:val="00700E9C"/>
    <w:rsid w:val="0070159A"/>
    <w:rsid w:val="00701932"/>
    <w:rsid w:val="00701B0A"/>
    <w:rsid w:val="00701DBB"/>
    <w:rsid w:val="00703D4B"/>
    <w:rsid w:val="0070782D"/>
    <w:rsid w:val="00710845"/>
    <w:rsid w:val="00710BE2"/>
    <w:rsid w:val="00711D0A"/>
    <w:rsid w:val="0071476F"/>
    <w:rsid w:val="00717CBE"/>
    <w:rsid w:val="00717D55"/>
    <w:rsid w:val="00720042"/>
    <w:rsid w:val="00722A11"/>
    <w:rsid w:val="00723B3A"/>
    <w:rsid w:val="00725DF9"/>
    <w:rsid w:val="00725E72"/>
    <w:rsid w:val="0072792C"/>
    <w:rsid w:val="00731430"/>
    <w:rsid w:val="0073191E"/>
    <w:rsid w:val="00732E66"/>
    <w:rsid w:val="0073429B"/>
    <w:rsid w:val="0073466D"/>
    <w:rsid w:val="00734B21"/>
    <w:rsid w:val="007351C5"/>
    <w:rsid w:val="007357D1"/>
    <w:rsid w:val="0073610B"/>
    <w:rsid w:val="007362F5"/>
    <w:rsid w:val="0073738A"/>
    <w:rsid w:val="0074090C"/>
    <w:rsid w:val="0074225F"/>
    <w:rsid w:val="00742F05"/>
    <w:rsid w:val="00745C19"/>
    <w:rsid w:val="00751E1B"/>
    <w:rsid w:val="00753960"/>
    <w:rsid w:val="00754B44"/>
    <w:rsid w:val="00756AAE"/>
    <w:rsid w:val="00757487"/>
    <w:rsid w:val="0076030F"/>
    <w:rsid w:val="00761F8C"/>
    <w:rsid w:val="00763A08"/>
    <w:rsid w:val="007640B2"/>
    <w:rsid w:val="00764DF3"/>
    <w:rsid w:val="00766AB9"/>
    <w:rsid w:val="0076726F"/>
    <w:rsid w:val="00767345"/>
    <w:rsid w:val="00767D3A"/>
    <w:rsid w:val="00772BE0"/>
    <w:rsid w:val="00772E4E"/>
    <w:rsid w:val="00772F32"/>
    <w:rsid w:val="007816CE"/>
    <w:rsid w:val="00781A35"/>
    <w:rsid w:val="0078212A"/>
    <w:rsid w:val="00784360"/>
    <w:rsid w:val="00786540"/>
    <w:rsid w:val="00786A3D"/>
    <w:rsid w:val="0078711A"/>
    <w:rsid w:val="0079465F"/>
    <w:rsid w:val="00795B79"/>
    <w:rsid w:val="007962B3"/>
    <w:rsid w:val="00797ADF"/>
    <w:rsid w:val="00797C01"/>
    <w:rsid w:val="007A342C"/>
    <w:rsid w:val="007A5734"/>
    <w:rsid w:val="007A5B7A"/>
    <w:rsid w:val="007A613A"/>
    <w:rsid w:val="007A706F"/>
    <w:rsid w:val="007A746B"/>
    <w:rsid w:val="007B0B27"/>
    <w:rsid w:val="007B183B"/>
    <w:rsid w:val="007B2961"/>
    <w:rsid w:val="007B3A66"/>
    <w:rsid w:val="007B4289"/>
    <w:rsid w:val="007B503B"/>
    <w:rsid w:val="007B534D"/>
    <w:rsid w:val="007B5B86"/>
    <w:rsid w:val="007C19A7"/>
    <w:rsid w:val="007C19AC"/>
    <w:rsid w:val="007C2186"/>
    <w:rsid w:val="007C3913"/>
    <w:rsid w:val="007D12FA"/>
    <w:rsid w:val="007D3D75"/>
    <w:rsid w:val="007E2C96"/>
    <w:rsid w:val="007E2CB4"/>
    <w:rsid w:val="007E36ED"/>
    <w:rsid w:val="007E5149"/>
    <w:rsid w:val="007E5C0A"/>
    <w:rsid w:val="007E6806"/>
    <w:rsid w:val="007E6937"/>
    <w:rsid w:val="007E76E1"/>
    <w:rsid w:val="007F1089"/>
    <w:rsid w:val="007F1D99"/>
    <w:rsid w:val="007F2C88"/>
    <w:rsid w:val="007F351B"/>
    <w:rsid w:val="007F6059"/>
    <w:rsid w:val="0080054C"/>
    <w:rsid w:val="008037FC"/>
    <w:rsid w:val="00804765"/>
    <w:rsid w:val="00804FE8"/>
    <w:rsid w:val="00807857"/>
    <w:rsid w:val="008100F3"/>
    <w:rsid w:val="00811A86"/>
    <w:rsid w:val="00812E9C"/>
    <w:rsid w:val="00814CCD"/>
    <w:rsid w:val="00820C37"/>
    <w:rsid w:val="00820E8A"/>
    <w:rsid w:val="008215CF"/>
    <w:rsid w:val="00821EED"/>
    <w:rsid w:val="00826EA5"/>
    <w:rsid w:val="008277A5"/>
    <w:rsid w:val="00827BA7"/>
    <w:rsid w:val="00827E0E"/>
    <w:rsid w:val="00832822"/>
    <w:rsid w:val="00832E9A"/>
    <w:rsid w:val="0083419D"/>
    <w:rsid w:val="008354E5"/>
    <w:rsid w:val="008356ED"/>
    <w:rsid w:val="00841132"/>
    <w:rsid w:val="008416A1"/>
    <w:rsid w:val="00842597"/>
    <w:rsid w:val="00842731"/>
    <w:rsid w:val="00842824"/>
    <w:rsid w:val="0084398F"/>
    <w:rsid w:val="008452CF"/>
    <w:rsid w:val="00846A44"/>
    <w:rsid w:val="00846ED9"/>
    <w:rsid w:val="008477F4"/>
    <w:rsid w:val="00847DF3"/>
    <w:rsid w:val="00852E4C"/>
    <w:rsid w:val="00855059"/>
    <w:rsid w:val="008563AE"/>
    <w:rsid w:val="008608BF"/>
    <w:rsid w:val="008617DE"/>
    <w:rsid w:val="00863822"/>
    <w:rsid w:val="00864CB0"/>
    <w:rsid w:val="00864F38"/>
    <w:rsid w:val="00865255"/>
    <w:rsid w:val="00866711"/>
    <w:rsid w:val="008672AB"/>
    <w:rsid w:val="008727B9"/>
    <w:rsid w:val="00872ED0"/>
    <w:rsid w:val="00874DA8"/>
    <w:rsid w:val="00876782"/>
    <w:rsid w:val="00880296"/>
    <w:rsid w:val="00880706"/>
    <w:rsid w:val="00881224"/>
    <w:rsid w:val="0088371D"/>
    <w:rsid w:val="00884C6C"/>
    <w:rsid w:val="00884E0B"/>
    <w:rsid w:val="008850A9"/>
    <w:rsid w:val="00886756"/>
    <w:rsid w:val="0088711B"/>
    <w:rsid w:val="00894802"/>
    <w:rsid w:val="00897D89"/>
    <w:rsid w:val="008A2EE2"/>
    <w:rsid w:val="008A4BDB"/>
    <w:rsid w:val="008A734C"/>
    <w:rsid w:val="008A742D"/>
    <w:rsid w:val="008A7810"/>
    <w:rsid w:val="008B0757"/>
    <w:rsid w:val="008B08E2"/>
    <w:rsid w:val="008B19C5"/>
    <w:rsid w:val="008B1FEF"/>
    <w:rsid w:val="008B3877"/>
    <w:rsid w:val="008B41E4"/>
    <w:rsid w:val="008B5EBA"/>
    <w:rsid w:val="008B640B"/>
    <w:rsid w:val="008B6FF8"/>
    <w:rsid w:val="008B7D8D"/>
    <w:rsid w:val="008C103C"/>
    <w:rsid w:val="008C50C2"/>
    <w:rsid w:val="008C7483"/>
    <w:rsid w:val="008D00EA"/>
    <w:rsid w:val="008D1824"/>
    <w:rsid w:val="008D1F17"/>
    <w:rsid w:val="008D2256"/>
    <w:rsid w:val="008D50AC"/>
    <w:rsid w:val="008D5512"/>
    <w:rsid w:val="008D61C9"/>
    <w:rsid w:val="008D6F2A"/>
    <w:rsid w:val="008E09E3"/>
    <w:rsid w:val="008E3913"/>
    <w:rsid w:val="008E45D6"/>
    <w:rsid w:val="008E4B29"/>
    <w:rsid w:val="008E6852"/>
    <w:rsid w:val="008E6B0E"/>
    <w:rsid w:val="008F07A3"/>
    <w:rsid w:val="008F1E83"/>
    <w:rsid w:val="008F39F1"/>
    <w:rsid w:val="008F3B3D"/>
    <w:rsid w:val="008F4DF8"/>
    <w:rsid w:val="008F6A8F"/>
    <w:rsid w:val="00900C37"/>
    <w:rsid w:val="009011FD"/>
    <w:rsid w:val="009019A8"/>
    <w:rsid w:val="009019AF"/>
    <w:rsid w:val="00901A1E"/>
    <w:rsid w:val="00904F6E"/>
    <w:rsid w:val="00906A7B"/>
    <w:rsid w:val="00906E66"/>
    <w:rsid w:val="00910348"/>
    <w:rsid w:val="0091166C"/>
    <w:rsid w:val="0091386D"/>
    <w:rsid w:val="0091394A"/>
    <w:rsid w:val="00915069"/>
    <w:rsid w:val="00915A24"/>
    <w:rsid w:val="009175DB"/>
    <w:rsid w:val="00921E97"/>
    <w:rsid w:val="00924AB4"/>
    <w:rsid w:val="00926BBF"/>
    <w:rsid w:val="00930287"/>
    <w:rsid w:val="00932D27"/>
    <w:rsid w:val="0093394E"/>
    <w:rsid w:val="00933F3C"/>
    <w:rsid w:val="00933F92"/>
    <w:rsid w:val="0093447E"/>
    <w:rsid w:val="00935BDF"/>
    <w:rsid w:val="00937736"/>
    <w:rsid w:val="00941133"/>
    <w:rsid w:val="00941600"/>
    <w:rsid w:val="009418E9"/>
    <w:rsid w:val="00942B78"/>
    <w:rsid w:val="009454F0"/>
    <w:rsid w:val="00946526"/>
    <w:rsid w:val="00947C0A"/>
    <w:rsid w:val="00951E49"/>
    <w:rsid w:val="00954B12"/>
    <w:rsid w:val="0095626B"/>
    <w:rsid w:val="00956DF6"/>
    <w:rsid w:val="00956F77"/>
    <w:rsid w:val="009606B0"/>
    <w:rsid w:val="00960C98"/>
    <w:rsid w:val="00962A36"/>
    <w:rsid w:val="00965A59"/>
    <w:rsid w:val="00967720"/>
    <w:rsid w:val="00970ED0"/>
    <w:rsid w:val="00971F10"/>
    <w:rsid w:val="00972F17"/>
    <w:rsid w:val="00972FB6"/>
    <w:rsid w:val="00974FEF"/>
    <w:rsid w:val="0097582A"/>
    <w:rsid w:val="009765BC"/>
    <w:rsid w:val="009771BA"/>
    <w:rsid w:val="009775FA"/>
    <w:rsid w:val="00977739"/>
    <w:rsid w:val="009807B4"/>
    <w:rsid w:val="00982162"/>
    <w:rsid w:val="0098461B"/>
    <w:rsid w:val="00986D6F"/>
    <w:rsid w:val="00987069"/>
    <w:rsid w:val="00987D3D"/>
    <w:rsid w:val="00992527"/>
    <w:rsid w:val="00992D19"/>
    <w:rsid w:val="00992FB0"/>
    <w:rsid w:val="00994968"/>
    <w:rsid w:val="00996EA5"/>
    <w:rsid w:val="00997FAE"/>
    <w:rsid w:val="009A0875"/>
    <w:rsid w:val="009A0D32"/>
    <w:rsid w:val="009A3E0F"/>
    <w:rsid w:val="009A4D27"/>
    <w:rsid w:val="009A5FE6"/>
    <w:rsid w:val="009A6B92"/>
    <w:rsid w:val="009A6E75"/>
    <w:rsid w:val="009A7CCC"/>
    <w:rsid w:val="009B03B3"/>
    <w:rsid w:val="009B0DCD"/>
    <w:rsid w:val="009B2704"/>
    <w:rsid w:val="009B3207"/>
    <w:rsid w:val="009B3C98"/>
    <w:rsid w:val="009B43B2"/>
    <w:rsid w:val="009B5330"/>
    <w:rsid w:val="009B554D"/>
    <w:rsid w:val="009B7A63"/>
    <w:rsid w:val="009C1BBD"/>
    <w:rsid w:val="009C1DB2"/>
    <w:rsid w:val="009C2057"/>
    <w:rsid w:val="009C71A1"/>
    <w:rsid w:val="009D0E45"/>
    <w:rsid w:val="009D2305"/>
    <w:rsid w:val="009D23A2"/>
    <w:rsid w:val="009D2D1B"/>
    <w:rsid w:val="009D3751"/>
    <w:rsid w:val="009D3E6E"/>
    <w:rsid w:val="009D40BB"/>
    <w:rsid w:val="009D5211"/>
    <w:rsid w:val="009D6252"/>
    <w:rsid w:val="009D7395"/>
    <w:rsid w:val="009D7BB8"/>
    <w:rsid w:val="009E0F36"/>
    <w:rsid w:val="009E4845"/>
    <w:rsid w:val="009E590C"/>
    <w:rsid w:val="009E5D5E"/>
    <w:rsid w:val="009E601D"/>
    <w:rsid w:val="009E6D9D"/>
    <w:rsid w:val="009F0DEC"/>
    <w:rsid w:val="009F1F2C"/>
    <w:rsid w:val="009F252E"/>
    <w:rsid w:val="009F6102"/>
    <w:rsid w:val="009F6BD0"/>
    <w:rsid w:val="009F796D"/>
    <w:rsid w:val="009F7ACC"/>
    <w:rsid w:val="00A00795"/>
    <w:rsid w:val="00A00CCE"/>
    <w:rsid w:val="00A01FD9"/>
    <w:rsid w:val="00A02BE0"/>
    <w:rsid w:val="00A04960"/>
    <w:rsid w:val="00A04F26"/>
    <w:rsid w:val="00A0553C"/>
    <w:rsid w:val="00A05670"/>
    <w:rsid w:val="00A07E72"/>
    <w:rsid w:val="00A1126E"/>
    <w:rsid w:val="00A119F8"/>
    <w:rsid w:val="00A126F1"/>
    <w:rsid w:val="00A13B8C"/>
    <w:rsid w:val="00A22AB0"/>
    <w:rsid w:val="00A24551"/>
    <w:rsid w:val="00A262EB"/>
    <w:rsid w:val="00A27F6D"/>
    <w:rsid w:val="00A30414"/>
    <w:rsid w:val="00A32CF2"/>
    <w:rsid w:val="00A33AE6"/>
    <w:rsid w:val="00A33F4B"/>
    <w:rsid w:val="00A34550"/>
    <w:rsid w:val="00A34DD7"/>
    <w:rsid w:val="00A3594D"/>
    <w:rsid w:val="00A36BC0"/>
    <w:rsid w:val="00A40ECC"/>
    <w:rsid w:val="00A41003"/>
    <w:rsid w:val="00A430D2"/>
    <w:rsid w:val="00A43A88"/>
    <w:rsid w:val="00A47A27"/>
    <w:rsid w:val="00A515C7"/>
    <w:rsid w:val="00A51CFE"/>
    <w:rsid w:val="00A5297D"/>
    <w:rsid w:val="00A53544"/>
    <w:rsid w:val="00A5590B"/>
    <w:rsid w:val="00A57583"/>
    <w:rsid w:val="00A60184"/>
    <w:rsid w:val="00A64BD0"/>
    <w:rsid w:val="00A64F90"/>
    <w:rsid w:val="00A67455"/>
    <w:rsid w:val="00A67BD6"/>
    <w:rsid w:val="00A7169C"/>
    <w:rsid w:val="00A72455"/>
    <w:rsid w:val="00A72FA4"/>
    <w:rsid w:val="00A73F4D"/>
    <w:rsid w:val="00A770AE"/>
    <w:rsid w:val="00A80400"/>
    <w:rsid w:val="00A8343C"/>
    <w:rsid w:val="00A86F06"/>
    <w:rsid w:val="00A8753F"/>
    <w:rsid w:val="00A87757"/>
    <w:rsid w:val="00A93AEA"/>
    <w:rsid w:val="00A9586B"/>
    <w:rsid w:val="00A96551"/>
    <w:rsid w:val="00A973BE"/>
    <w:rsid w:val="00AA0CF9"/>
    <w:rsid w:val="00AA2B5D"/>
    <w:rsid w:val="00AA2F1C"/>
    <w:rsid w:val="00AA38AA"/>
    <w:rsid w:val="00AA440D"/>
    <w:rsid w:val="00AA5409"/>
    <w:rsid w:val="00AA54EC"/>
    <w:rsid w:val="00AA5629"/>
    <w:rsid w:val="00AA74AA"/>
    <w:rsid w:val="00AB2DEE"/>
    <w:rsid w:val="00AB395A"/>
    <w:rsid w:val="00AB42C1"/>
    <w:rsid w:val="00AB5FB0"/>
    <w:rsid w:val="00AB7092"/>
    <w:rsid w:val="00AC09CE"/>
    <w:rsid w:val="00AC12E9"/>
    <w:rsid w:val="00AC336E"/>
    <w:rsid w:val="00AC6356"/>
    <w:rsid w:val="00AC7FD1"/>
    <w:rsid w:val="00AD0E46"/>
    <w:rsid w:val="00AD1575"/>
    <w:rsid w:val="00AD2B44"/>
    <w:rsid w:val="00AD2FC4"/>
    <w:rsid w:val="00AD3A34"/>
    <w:rsid w:val="00AD3DD1"/>
    <w:rsid w:val="00AE1AAF"/>
    <w:rsid w:val="00AE4F15"/>
    <w:rsid w:val="00AE794D"/>
    <w:rsid w:val="00AF3573"/>
    <w:rsid w:val="00AF529D"/>
    <w:rsid w:val="00B0216C"/>
    <w:rsid w:val="00B02867"/>
    <w:rsid w:val="00B03E9A"/>
    <w:rsid w:val="00B05041"/>
    <w:rsid w:val="00B0750A"/>
    <w:rsid w:val="00B07AA0"/>
    <w:rsid w:val="00B10842"/>
    <w:rsid w:val="00B12255"/>
    <w:rsid w:val="00B12E3A"/>
    <w:rsid w:val="00B1316D"/>
    <w:rsid w:val="00B16AB3"/>
    <w:rsid w:val="00B21081"/>
    <w:rsid w:val="00B23D52"/>
    <w:rsid w:val="00B25388"/>
    <w:rsid w:val="00B2549B"/>
    <w:rsid w:val="00B27669"/>
    <w:rsid w:val="00B2766E"/>
    <w:rsid w:val="00B30D0D"/>
    <w:rsid w:val="00B32750"/>
    <w:rsid w:val="00B32CFB"/>
    <w:rsid w:val="00B365E2"/>
    <w:rsid w:val="00B37790"/>
    <w:rsid w:val="00B40036"/>
    <w:rsid w:val="00B40269"/>
    <w:rsid w:val="00B40300"/>
    <w:rsid w:val="00B44B15"/>
    <w:rsid w:val="00B4529B"/>
    <w:rsid w:val="00B46ACF"/>
    <w:rsid w:val="00B53547"/>
    <w:rsid w:val="00B56960"/>
    <w:rsid w:val="00B56AA7"/>
    <w:rsid w:val="00B56EDE"/>
    <w:rsid w:val="00B60625"/>
    <w:rsid w:val="00B606E2"/>
    <w:rsid w:val="00B629A8"/>
    <w:rsid w:val="00B658CB"/>
    <w:rsid w:val="00B65BEE"/>
    <w:rsid w:val="00B65C60"/>
    <w:rsid w:val="00B66D6A"/>
    <w:rsid w:val="00B66E73"/>
    <w:rsid w:val="00B66E85"/>
    <w:rsid w:val="00B672DF"/>
    <w:rsid w:val="00B701C9"/>
    <w:rsid w:val="00B713D0"/>
    <w:rsid w:val="00B717CC"/>
    <w:rsid w:val="00B74031"/>
    <w:rsid w:val="00B77620"/>
    <w:rsid w:val="00B80B92"/>
    <w:rsid w:val="00B844B0"/>
    <w:rsid w:val="00B92045"/>
    <w:rsid w:val="00B93A27"/>
    <w:rsid w:val="00B95955"/>
    <w:rsid w:val="00BA1E68"/>
    <w:rsid w:val="00BA39CA"/>
    <w:rsid w:val="00BA740E"/>
    <w:rsid w:val="00BB05AD"/>
    <w:rsid w:val="00BB1766"/>
    <w:rsid w:val="00BB1993"/>
    <w:rsid w:val="00BB2B7F"/>
    <w:rsid w:val="00BB3EE7"/>
    <w:rsid w:val="00BC04C8"/>
    <w:rsid w:val="00BC17B2"/>
    <w:rsid w:val="00BC19A2"/>
    <w:rsid w:val="00BC3901"/>
    <w:rsid w:val="00BC42E7"/>
    <w:rsid w:val="00BC4E4B"/>
    <w:rsid w:val="00BC5010"/>
    <w:rsid w:val="00BC75EB"/>
    <w:rsid w:val="00BD026C"/>
    <w:rsid w:val="00BD2052"/>
    <w:rsid w:val="00BD2B65"/>
    <w:rsid w:val="00BD4FCB"/>
    <w:rsid w:val="00BD601C"/>
    <w:rsid w:val="00BD6327"/>
    <w:rsid w:val="00BD7138"/>
    <w:rsid w:val="00BD7BED"/>
    <w:rsid w:val="00BE27F0"/>
    <w:rsid w:val="00BE5878"/>
    <w:rsid w:val="00BF10CC"/>
    <w:rsid w:val="00BF1A04"/>
    <w:rsid w:val="00BF1A72"/>
    <w:rsid w:val="00BF3597"/>
    <w:rsid w:val="00BF3671"/>
    <w:rsid w:val="00BF3E74"/>
    <w:rsid w:val="00BF43DF"/>
    <w:rsid w:val="00BF6897"/>
    <w:rsid w:val="00BF6963"/>
    <w:rsid w:val="00C01F46"/>
    <w:rsid w:val="00C03354"/>
    <w:rsid w:val="00C03ABA"/>
    <w:rsid w:val="00C10546"/>
    <w:rsid w:val="00C1107D"/>
    <w:rsid w:val="00C11392"/>
    <w:rsid w:val="00C1144D"/>
    <w:rsid w:val="00C1357C"/>
    <w:rsid w:val="00C1375F"/>
    <w:rsid w:val="00C14C3A"/>
    <w:rsid w:val="00C16CD1"/>
    <w:rsid w:val="00C17C56"/>
    <w:rsid w:val="00C23855"/>
    <w:rsid w:val="00C24B73"/>
    <w:rsid w:val="00C26EB6"/>
    <w:rsid w:val="00C26F13"/>
    <w:rsid w:val="00C275AA"/>
    <w:rsid w:val="00C275FB"/>
    <w:rsid w:val="00C2784F"/>
    <w:rsid w:val="00C30150"/>
    <w:rsid w:val="00C31B4B"/>
    <w:rsid w:val="00C326C4"/>
    <w:rsid w:val="00C32ADB"/>
    <w:rsid w:val="00C32F1C"/>
    <w:rsid w:val="00C341F4"/>
    <w:rsid w:val="00C34822"/>
    <w:rsid w:val="00C374AD"/>
    <w:rsid w:val="00C447A5"/>
    <w:rsid w:val="00C5403E"/>
    <w:rsid w:val="00C5470C"/>
    <w:rsid w:val="00C56929"/>
    <w:rsid w:val="00C571CF"/>
    <w:rsid w:val="00C57742"/>
    <w:rsid w:val="00C57F86"/>
    <w:rsid w:val="00C617F8"/>
    <w:rsid w:val="00C62A2E"/>
    <w:rsid w:val="00C62F90"/>
    <w:rsid w:val="00C631A1"/>
    <w:rsid w:val="00C63711"/>
    <w:rsid w:val="00C64140"/>
    <w:rsid w:val="00C650F6"/>
    <w:rsid w:val="00C67A9A"/>
    <w:rsid w:val="00C67C19"/>
    <w:rsid w:val="00C67DA8"/>
    <w:rsid w:val="00C70E55"/>
    <w:rsid w:val="00C70F9A"/>
    <w:rsid w:val="00C73002"/>
    <w:rsid w:val="00C756D8"/>
    <w:rsid w:val="00C75AFA"/>
    <w:rsid w:val="00C75DC3"/>
    <w:rsid w:val="00C76F88"/>
    <w:rsid w:val="00C80769"/>
    <w:rsid w:val="00C83013"/>
    <w:rsid w:val="00C83020"/>
    <w:rsid w:val="00C83B1C"/>
    <w:rsid w:val="00C85008"/>
    <w:rsid w:val="00C8588B"/>
    <w:rsid w:val="00C85AA2"/>
    <w:rsid w:val="00C85B6F"/>
    <w:rsid w:val="00C85BFE"/>
    <w:rsid w:val="00C900B8"/>
    <w:rsid w:val="00C9044A"/>
    <w:rsid w:val="00C91AB9"/>
    <w:rsid w:val="00C91FA4"/>
    <w:rsid w:val="00C9267E"/>
    <w:rsid w:val="00C9269C"/>
    <w:rsid w:val="00C926EC"/>
    <w:rsid w:val="00C927DA"/>
    <w:rsid w:val="00C93869"/>
    <w:rsid w:val="00C95F16"/>
    <w:rsid w:val="00C9618D"/>
    <w:rsid w:val="00C97E60"/>
    <w:rsid w:val="00CA0038"/>
    <w:rsid w:val="00CA0A22"/>
    <w:rsid w:val="00CA1507"/>
    <w:rsid w:val="00CA30AF"/>
    <w:rsid w:val="00CA45B6"/>
    <w:rsid w:val="00CB036B"/>
    <w:rsid w:val="00CB12F7"/>
    <w:rsid w:val="00CB1B9D"/>
    <w:rsid w:val="00CB251E"/>
    <w:rsid w:val="00CB2B71"/>
    <w:rsid w:val="00CB3596"/>
    <w:rsid w:val="00CB3EE1"/>
    <w:rsid w:val="00CB443A"/>
    <w:rsid w:val="00CB445D"/>
    <w:rsid w:val="00CB52D1"/>
    <w:rsid w:val="00CC1AFE"/>
    <w:rsid w:val="00CC255E"/>
    <w:rsid w:val="00CC3B0A"/>
    <w:rsid w:val="00CC6AB3"/>
    <w:rsid w:val="00CC6AC0"/>
    <w:rsid w:val="00CD0541"/>
    <w:rsid w:val="00CD1F7D"/>
    <w:rsid w:val="00CD3127"/>
    <w:rsid w:val="00CD46C7"/>
    <w:rsid w:val="00CD6282"/>
    <w:rsid w:val="00CD6878"/>
    <w:rsid w:val="00CD6C52"/>
    <w:rsid w:val="00CD6C90"/>
    <w:rsid w:val="00CD6DD0"/>
    <w:rsid w:val="00CD768F"/>
    <w:rsid w:val="00CE1768"/>
    <w:rsid w:val="00CE32BA"/>
    <w:rsid w:val="00CE518E"/>
    <w:rsid w:val="00CE54C6"/>
    <w:rsid w:val="00CF0A15"/>
    <w:rsid w:val="00CF2925"/>
    <w:rsid w:val="00D00DFE"/>
    <w:rsid w:val="00D030FE"/>
    <w:rsid w:val="00D03EF6"/>
    <w:rsid w:val="00D05239"/>
    <w:rsid w:val="00D05FA9"/>
    <w:rsid w:val="00D06EFC"/>
    <w:rsid w:val="00D07245"/>
    <w:rsid w:val="00D13E22"/>
    <w:rsid w:val="00D14232"/>
    <w:rsid w:val="00D17D48"/>
    <w:rsid w:val="00D202AC"/>
    <w:rsid w:val="00D2245A"/>
    <w:rsid w:val="00D23D41"/>
    <w:rsid w:val="00D24E24"/>
    <w:rsid w:val="00D26C57"/>
    <w:rsid w:val="00D26E73"/>
    <w:rsid w:val="00D27AA0"/>
    <w:rsid w:val="00D33069"/>
    <w:rsid w:val="00D336E1"/>
    <w:rsid w:val="00D367F5"/>
    <w:rsid w:val="00D368D0"/>
    <w:rsid w:val="00D4094D"/>
    <w:rsid w:val="00D4207F"/>
    <w:rsid w:val="00D43750"/>
    <w:rsid w:val="00D448A9"/>
    <w:rsid w:val="00D44C24"/>
    <w:rsid w:val="00D45717"/>
    <w:rsid w:val="00D45757"/>
    <w:rsid w:val="00D46FE1"/>
    <w:rsid w:val="00D509EC"/>
    <w:rsid w:val="00D51558"/>
    <w:rsid w:val="00D52686"/>
    <w:rsid w:val="00D534F7"/>
    <w:rsid w:val="00D5435F"/>
    <w:rsid w:val="00D55D13"/>
    <w:rsid w:val="00D606F4"/>
    <w:rsid w:val="00D648A8"/>
    <w:rsid w:val="00D649F0"/>
    <w:rsid w:val="00D71419"/>
    <w:rsid w:val="00D74787"/>
    <w:rsid w:val="00D778F1"/>
    <w:rsid w:val="00D80AAC"/>
    <w:rsid w:val="00D80FC0"/>
    <w:rsid w:val="00D8243E"/>
    <w:rsid w:val="00D83AAF"/>
    <w:rsid w:val="00D854D0"/>
    <w:rsid w:val="00D86EB9"/>
    <w:rsid w:val="00D87D15"/>
    <w:rsid w:val="00D90376"/>
    <w:rsid w:val="00D92B48"/>
    <w:rsid w:val="00D96AA7"/>
    <w:rsid w:val="00D97176"/>
    <w:rsid w:val="00D97873"/>
    <w:rsid w:val="00D97A58"/>
    <w:rsid w:val="00DA0AA0"/>
    <w:rsid w:val="00DA1AC5"/>
    <w:rsid w:val="00DA2B74"/>
    <w:rsid w:val="00DA48C1"/>
    <w:rsid w:val="00DA584E"/>
    <w:rsid w:val="00DA7CD3"/>
    <w:rsid w:val="00DB0E9F"/>
    <w:rsid w:val="00DB17D4"/>
    <w:rsid w:val="00DB1BB0"/>
    <w:rsid w:val="00DB2259"/>
    <w:rsid w:val="00DB4851"/>
    <w:rsid w:val="00DB4EBF"/>
    <w:rsid w:val="00DC2817"/>
    <w:rsid w:val="00DC3097"/>
    <w:rsid w:val="00DC4208"/>
    <w:rsid w:val="00DC4832"/>
    <w:rsid w:val="00DC49DD"/>
    <w:rsid w:val="00DC5880"/>
    <w:rsid w:val="00DC72DA"/>
    <w:rsid w:val="00DD07EA"/>
    <w:rsid w:val="00DD17AB"/>
    <w:rsid w:val="00DD1EBD"/>
    <w:rsid w:val="00DD2159"/>
    <w:rsid w:val="00DD252E"/>
    <w:rsid w:val="00DD3D99"/>
    <w:rsid w:val="00DD4904"/>
    <w:rsid w:val="00DD572F"/>
    <w:rsid w:val="00DD6C35"/>
    <w:rsid w:val="00DD7E23"/>
    <w:rsid w:val="00DE01B0"/>
    <w:rsid w:val="00DE0ABF"/>
    <w:rsid w:val="00DE2197"/>
    <w:rsid w:val="00DE2E72"/>
    <w:rsid w:val="00DE3BDD"/>
    <w:rsid w:val="00DE4AE8"/>
    <w:rsid w:val="00DE6644"/>
    <w:rsid w:val="00DE7975"/>
    <w:rsid w:val="00DF13D6"/>
    <w:rsid w:val="00DF1EC2"/>
    <w:rsid w:val="00DF31E6"/>
    <w:rsid w:val="00DF5D7F"/>
    <w:rsid w:val="00DF62B2"/>
    <w:rsid w:val="00DF6AC9"/>
    <w:rsid w:val="00DF7B01"/>
    <w:rsid w:val="00E0265B"/>
    <w:rsid w:val="00E05919"/>
    <w:rsid w:val="00E067B1"/>
    <w:rsid w:val="00E069B9"/>
    <w:rsid w:val="00E073DC"/>
    <w:rsid w:val="00E07DF7"/>
    <w:rsid w:val="00E111DF"/>
    <w:rsid w:val="00E118FB"/>
    <w:rsid w:val="00E132C2"/>
    <w:rsid w:val="00E14351"/>
    <w:rsid w:val="00E147A0"/>
    <w:rsid w:val="00E15861"/>
    <w:rsid w:val="00E21C56"/>
    <w:rsid w:val="00E25A01"/>
    <w:rsid w:val="00E25A7D"/>
    <w:rsid w:val="00E25D68"/>
    <w:rsid w:val="00E30043"/>
    <w:rsid w:val="00E34090"/>
    <w:rsid w:val="00E354A4"/>
    <w:rsid w:val="00E35BB1"/>
    <w:rsid w:val="00E40CA6"/>
    <w:rsid w:val="00E428AF"/>
    <w:rsid w:val="00E42BDB"/>
    <w:rsid w:val="00E433EE"/>
    <w:rsid w:val="00E44A7C"/>
    <w:rsid w:val="00E45424"/>
    <w:rsid w:val="00E45B30"/>
    <w:rsid w:val="00E461AD"/>
    <w:rsid w:val="00E477FA"/>
    <w:rsid w:val="00E50C29"/>
    <w:rsid w:val="00E51526"/>
    <w:rsid w:val="00E51561"/>
    <w:rsid w:val="00E571CB"/>
    <w:rsid w:val="00E6025C"/>
    <w:rsid w:val="00E60A5C"/>
    <w:rsid w:val="00E624B8"/>
    <w:rsid w:val="00E6472F"/>
    <w:rsid w:val="00E702C6"/>
    <w:rsid w:val="00E729E3"/>
    <w:rsid w:val="00E72F57"/>
    <w:rsid w:val="00E74675"/>
    <w:rsid w:val="00E75A2B"/>
    <w:rsid w:val="00E76C5E"/>
    <w:rsid w:val="00E77437"/>
    <w:rsid w:val="00E8008A"/>
    <w:rsid w:val="00E80655"/>
    <w:rsid w:val="00E828EE"/>
    <w:rsid w:val="00E864FD"/>
    <w:rsid w:val="00E86DAF"/>
    <w:rsid w:val="00E86E4F"/>
    <w:rsid w:val="00E94A23"/>
    <w:rsid w:val="00EA1E8C"/>
    <w:rsid w:val="00EA30EC"/>
    <w:rsid w:val="00EA3E03"/>
    <w:rsid w:val="00EA3EC0"/>
    <w:rsid w:val="00EA5EA8"/>
    <w:rsid w:val="00EB08FE"/>
    <w:rsid w:val="00EB315E"/>
    <w:rsid w:val="00EB3A0B"/>
    <w:rsid w:val="00EB46B0"/>
    <w:rsid w:val="00EB769A"/>
    <w:rsid w:val="00EB7899"/>
    <w:rsid w:val="00EC18E4"/>
    <w:rsid w:val="00EC3F5A"/>
    <w:rsid w:val="00EC4B9D"/>
    <w:rsid w:val="00EC58D3"/>
    <w:rsid w:val="00EC629A"/>
    <w:rsid w:val="00EC6ED2"/>
    <w:rsid w:val="00EC71A7"/>
    <w:rsid w:val="00ED00E5"/>
    <w:rsid w:val="00ED0469"/>
    <w:rsid w:val="00ED169C"/>
    <w:rsid w:val="00ED1BC7"/>
    <w:rsid w:val="00ED2EE0"/>
    <w:rsid w:val="00ED621E"/>
    <w:rsid w:val="00ED7661"/>
    <w:rsid w:val="00EE43E4"/>
    <w:rsid w:val="00EE46F8"/>
    <w:rsid w:val="00EE4849"/>
    <w:rsid w:val="00EE5829"/>
    <w:rsid w:val="00EE5B90"/>
    <w:rsid w:val="00EE5C81"/>
    <w:rsid w:val="00EE6830"/>
    <w:rsid w:val="00EE76DE"/>
    <w:rsid w:val="00EE7FA7"/>
    <w:rsid w:val="00EF0234"/>
    <w:rsid w:val="00EF116A"/>
    <w:rsid w:val="00EF20A1"/>
    <w:rsid w:val="00EF29E9"/>
    <w:rsid w:val="00EF498B"/>
    <w:rsid w:val="00EF7D8E"/>
    <w:rsid w:val="00F044A8"/>
    <w:rsid w:val="00F0562B"/>
    <w:rsid w:val="00F07637"/>
    <w:rsid w:val="00F10A75"/>
    <w:rsid w:val="00F10AE5"/>
    <w:rsid w:val="00F10E75"/>
    <w:rsid w:val="00F11440"/>
    <w:rsid w:val="00F11894"/>
    <w:rsid w:val="00F12762"/>
    <w:rsid w:val="00F12CB1"/>
    <w:rsid w:val="00F136F3"/>
    <w:rsid w:val="00F161EC"/>
    <w:rsid w:val="00F17410"/>
    <w:rsid w:val="00F17EC1"/>
    <w:rsid w:val="00F17FBB"/>
    <w:rsid w:val="00F20727"/>
    <w:rsid w:val="00F23128"/>
    <w:rsid w:val="00F24A25"/>
    <w:rsid w:val="00F25238"/>
    <w:rsid w:val="00F26A9E"/>
    <w:rsid w:val="00F277D0"/>
    <w:rsid w:val="00F27EAA"/>
    <w:rsid w:val="00F31595"/>
    <w:rsid w:val="00F318D2"/>
    <w:rsid w:val="00F321DC"/>
    <w:rsid w:val="00F3286A"/>
    <w:rsid w:val="00F353DE"/>
    <w:rsid w:val="00F36475"/>
    <w:rsid w:val="00F36A51"/>
    <w:rsid w:val="00F36A55"/>
    <w:rsid w:val="00F36BE8"/>
    <w:rsid w:val="00F3741D"/>
    <w:rsid w:val="00F40363"/>
    <w:rsid w:val="00F4496F"/>
    <w:rsid w:val="00F44E45"/>
    <w:rsid w:val="00F45034"/>
    <w:rsid w:val="00F45802"/>
    <w:rsid w:val="00F45C72"/>
    <w:rsid w:val="00F56A33"/>
    <w:rsid w:val="00F60478"/>
    <w:rsid w:val="00F614A9"/>
    <w:rsid w:val="00F61CFE"/>
    <w:rsid w:val="00F6503D"/>
    <w:rsid w:val="00F667D2"/>
    <w:rsid w:val="00F74D51"/>
    <w:rsid w:val="00F81A51"/>
    <w:rsid w:val="00F84006"/>
    <w:rsid w:val="00F85D43"/>
    <w:rsid w:val="00F939DF"/>
    <w:rsid w:val="00F960ED"/>
    <w:rsid w:val="00F97F3B"/>
    <w:rsid w:val="00FA159E"/>
    <w:rsid w:val="00FA2A82"/>
    <w:rsid w:val="00FA2C8F"/>
    <w:rsid w:val="00FA352E"/>
    <w:rsid w:val="00FA4047"/>
    <w:rsid w:val="00FA48C5"/>
    <w:rsid w:val="00FA4C56"/>
    <w:rsid w:val="00FA4FE1"/>
    <w:rsid w:val="00FA77CE"/>
    <w:rsid w:val="00FA7F2C"/>
    <w:rsid w:val="00FB013B"/>
    <w:rsid w:val="00FB1778"/>
    <w:rsid w:val="00FB34CB"/>
    <w:rsid w:val="00FB5384"/>
    <w:rsid w:val="00FB76E7"/>
    <w:rsid w:val="00FC1716"/>
    <w:rsid w:val="00FC2300"/>
    <w:rsid w:val="00FC25A6"/>
    <w:rsid w:val="00FC271C"/>
    <w:rsid w:val="00FC33CB"/>
    <w:rsid w:val="00FC3903"/>
    <w:rsid w:val="00FC6021"/>
    <w:rsid w:val="00FC6B21"/>
    <w:rsid w:val="00FC7585"/>
    <w:rsid w:val="00FD17D9"/>
    <w:rsid w:val="00FD455B"/>
    <w:rsid w:val="00FD561F"/>
    <w:rsid w:val="00FE08C0"/>
    <w:rsid w:val="00FE1A12"/>
    <w:rsid w:val="00FE1DD9"/>
    <w:rsid w:val="00FE268E"/>
    <w:rsid w:val="00FE2783"/>
    <w:rsid w:val="00FE44D8"/>
    <w:rsid w:val="00FE47ED"/>
    <w:rsid w:val="00FE48E9"/>
    <w:rsid w:val="00FE4E4B"/>
    <w:rsid w:val="00FE5405"/>
    <w:rsid w:val="00FE6A36"/>
    <w:rsid w:val="00FE73C5"/>
    <w:rsid w:val="00FE752D"/>
    <w:rsid w:val="00FF13FA"/>
    <w:rsid w:val="00FF3AA5"/>
    <w:rsid w:val="00FF3F30"/>
    <w:rsid w:val="00FF4282"/>
    <w:rsid w:val="00FF4FE7"/>
    <w:rsid w:val="00FF5192"/>
  </w:rsids>
  <m:mathPr>
    <m:mathFont m:val="Cambria Math"/>
    <m:brkBin m:val="before"/>
    <m:brkBinSub m:val="--"/>
    <m:smallFrac/>
    <m:dispDef/>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729DA4"/>
  <w15:docId w15:val="{71F3E334-9400-D045-8581-02B3EC07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F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E6F"/>
    <w:pPr>
      <w:ind w:left="720"/>
      <w:contextualSpacing/>
    </w:pPr>
  </w:style>
  <w:style w:type="paragraph" w:styleId="BalloonText">
    <w:name w:val="Balloon Text"/>
    <w:basedOn w:val="Normal"/>
    <w:link w:val="BalloonTextChar"/>
    <w:uiPriority w:val="99"/>
    <w:semiHidden/>
    <w:unhideWhenUsed/>
    <w:rsid w:val="0079465F"/>
    <w:rPr>
      <w:rFonts w:ascii="Tahoma" w:hAnsi="Tahoma" w:cs="Tahoma"/>
      <w:sz w:val="16"/>
      <w:szCs w:val="18"/>
    </w:rPr>
  </w:style>
  <w:style w:type="character" w:customStyle="1" w:styleId="BalloonTextChar">
    <w:name w:val="Balloon Text Char"/>
    <w:basedOn w:val="DefaultParagraphFont"/>
    <w:link w:val="BalloonText"/>
    <w:uiPriority w:val="99"/>
    <w:semiHidden/>
    <w:rsid w:val="0079465F"/>
    <w:rPr>
      <w:rFonts w:ascii="Tahoma" w:hAnsi="Tahoma" w:cs="Tahoma"/>
      <w:sz w:val="16"/>
      <w:szCs w:val="18"/>
    </w:rPr>
  </w:style>
  <w:style w:type="character" w:styleId="CommentReference">
    <w:name w:val="annotation reference"/>
    <w:basedOn w:val="DefaultParagraphFont"/>
    <w:uiPriority w:val="99"/>
    <w:semiHidden/>
    <w:unhideWhenUsed/>
    <w:rsid w:val="00C70E55"/>
    <w:rPr>
      <w:sz w:val="16"/>
      <w:szCs w:val="16"/>
    </w:rPr>
  </w:style>
  <w:style w:type="paragraph" w:styleId="CommentText">
    <w:name w:val="annotation text"/>
    <w:basedOn w:val="Normal"/>
    <w:link w:val="CommentTextChar"/>
    <w:uiPriority w:val="99"/>
    <w:semiHidden/>
    <w:unhideWhenUsed/>
    <w:rsid w:val="00C70E55"/>
    <w:rPr>
      <w:rFonts w:ascii="Tahoma" w:hAnsi="Tahoma" w:cs="Tahoma"/>
      <w:sz w:val="16"/>
      <w:szCs w:val="20"/>
    </w:rPr>
  </w:style>
  <w:style w:type="character" w:customStyle="1" w:styleId="CommentTextChar">
    <w:name w:val="Comment Text Char"/>
    <w:basedOn w:val="DefaultParagraphFont"/>
    <w:link w:val="CommentText"/>
    <w:uiPriority w:val="99"/>
    <w:semiHidden/>
    <w:rsid w:val="00C70E55"/>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70E55"/>
    <w:rPr>
      <w:b/>
      <w:bCs/>
    </w:rPr>
  </w:style>
  <w:style w:type="character" w:customStyle="1" w:styleId="CommentSubjectChar">
    <w:name w:val="Comment Subject Char"/>
    <w:basedOn w:val="CommentTextChar"/>
    <w:link w:val="CommentSubject"/>
    <w:uiPriority w:val="99"/>
    <w:semiHidden/>
    <w:rsid w:val="00C70E55"/>
    <w:rPr>
      <w:rFonts w:ascii="Tahoma" w:hAnsi="Tahoma" w:cs="Tahoma"/>
      <w:b/>
      <w:bCs/>
      <w:sz w:val="20"/>
      <w:szCs w:val="20"/>
    </w:rPr>
  </w:style>
  <w:style w:type="paragraph" w:styleId="Revision">
    <w:name w:val="Revision"/>
    <w:hidden/>
    <w:uiPriority w:val="99"/>
    <w:semiHidden/>
    <w:rsid w:val="00540FDE"/>
  </w:style>
  <w:style w:type="paragraph" w:styleId="Header">
    <w:name w:val="header"/>
    <w:basedOn w:val="Normal"/>
    <w:link w:val="HeaderChar"/>
    <w:uiPriority w:val="99"/>
    <w:unhideWhenUsed/>
    <w:rsid w:val="0050520C"/>
    <w:pPr>
      <w:tabs>
        <w:tab w:val="center" w:pos="4536"/>
        <w:tab w:val="right" w:pos="9072"/>
      </w:tabs>
    </w:pPr>
  </w:style>
  <w:style w:type="character" w:customStyle="1" w:styleId="HeaderChar">
    <w:name w:val="Header Char"/>
    <w:basedOn w:val="DefaultParagraphFont"/>
    <w:link w:val="Header"/>
    <w:uiPriority w:val="99"/>
    <w:rsid w:val="0050520C"/>
  </w:style>
  <w:style w:type="paragraph" w:styleId="Footer">
    <w:name w:val="footer"/>
    <w:basedOn w:val="Normal"/>
    <w:link w:val="FooterChar"/>
    <w:uiPriority w:val="99"/>
    <w:unhideWhenUsed/>
    <w:rsid w:val="0050520C"/>
    <w:pPr>
      <w:tabs>
        <w:tab w:val="center" w:pos="4536"/>
        <w:tab w:val="right" w:pos="9072"/>
      </w:tabs>
    </w:pPr>
  </w:style>
  <w:style w:type="character" w:customStyle="1" w:styleId="FooterChar">
    <w:name w:val="Footer Char"/>
    <w:basedOn w:val="DefaultParagraphFont"/>
    <w:link w:val="Footer"/>
    <w:uiPriority w:val="99"/>
    <w:rsid w:val="0050520C"/>
  </w:style>
  <w:style w:type="paragraph" w:styleId="Caption">
    <w:name w:val="caption"/>
    <w:basedOn w:val="Normal"/>
    <w:next w:val="Normal"/>
    <w:uiPriority w:val="35"/>
    <w:unhideWhenUsed/>
    <w:qFormat/>
    <w:rsid w:val="002B1698"/>
    <w:pPr>
      <w:spacing w:after="200"/>
    </w:pPr>
    <w:rPr>
      <w:i/>
      <w:iCs/>
      <w:color w:val="1F497D" w:themeColor="text2"/>
      <w:sz w:val="18"/>
      <w:szCs w:val="18"/>
    </w:rPr>
  </w:style>
  <w:style w:type="character" w:styleId="LineNumber">
    <w:name w:val="line number"/>
    <w:basedOn w:val="DefaultParagraphFont"/>
    <w:uiPriority w:val="99"/>
    <w:semiHidden/>
    <w:unhideWhenUsed/>
    <w:rsid w:val="004A4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16051">
      <w:bodyDiv w:val="1"/>
      <w:marLeft w:val="0"/>
      <w:marRight w:val="0"/>
      <w:marTop w:val="0"/>
      <w:marBottom w:val="0"/>
      <w:divBdr>
        <w:top w:val="none" w:sz="0" w:space="0" w:color="auto"/>
        <w:left w:val="none" w:sz="0" w:space="0" w:color="auto"/>
        <w:bottom w:val="none" w:sz="0" w:space="0" w:color="auto"/>
        <w:right w:val="none" w:sz="0" w:space="0" w:color="auto"/>
      </w:divBdr>
    </w:div>
    <w:div w:id="123891351">
      <w:bodyDiv w:val="1"/>
      <w:marLeft w:val="0"/>
      <w:marRight w:val="0"/>
      <w:marTop w:val="0"/>
      <w:marBottom w:val="0"/>
      <w:divBdr>
        <w:top w:val="none" w:sz="0" w:space="0" w:color="auto"/>
        <w:left w:val="none" w:sz="0" w:space="0" w:color="auto"/>
        <w:bottom w:val="none" w:sz="0" w:space="0" w:color="auto"/>
        <w:right w:val="none" w:sz="0" w:space="0" w:color="auto"/>
      </w:divBdr>
    </w:div>
    <w:div w:id="148596796">
      <w:bodyDiv w:val="1"/>
      <w:marLeft w:val="0"/>
      <w:marRight w:val="0"/>
      <w:marTop w:val="0"/>
      <w:marBottom w:val="0"/>
      <w:divBdr>
        <w:top w:val="none" w:sz="0" w:space="0" w:color="auto"/>
        <w:left w:val="none" w:sz="0" w:space="0" w:color="auto"/>
        <w:bottom w:val="none" w:sz="0" w:space="0" w:color="auto"/>
        <w:right w:val="none" w:sz="0" w:space="0" w:color="auto"/>
      </w:divBdr>
      <w:divsChild>
        <w:div w:id="1423068125">
          <w:marLeft w:val="420"/>
          <w:marRight w:val="0"/>
          <w:marTop w:val="0"/>
          <w:marBottom w:val="0"/>
          <w:divBdr>
            <w:top w:val="none" w:sz="0" w:space="0" w:color="auto"/>
            <w:left w:val="none" w:sz="0" w:space="0" w:color="auto"/>
            <w:bottom w:val="none" w:sz="0" w:space="0" w:color="auto"/>
            <w:right w:val="none" w:sz="0" w:space="0" w:color="auto"/>
          </w:divBdr>
          <w:divsChild>
            <w:div w:id="212665616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595794451">
      <w:bodyDiv w:val="1"/>
      <w:marLeft w:val="0"/>
      <w:marRight w:val="0"/>
      <w:marTop w:val="0"/>
      <w:marBottom w:val="0"/>
      <w:divBdr>
        <w:top w:val="none" w:sz="0" w:space="0" w:color="auto"/>
        <w:left w:val="none" w:sz="0" w:space="0" w:color="auto"/>
        <w:bottom w:val="none" w:sz="0" w:space="0" w:color="auto"/>
        <w:right w:val="none" w:sz="0" w:space="0" w:color="auto"/>
      </w:divBdr>
      <w:divsChild>
        <w:div w:id="1282146778">
          <w:marLeft w:val="0"/>
          <w:marRight w:val="0"/>
          <w:marTop w:val="34"/>
          <w:marBottom w:val="34"/>
          <w:divBdr>
            <w:top w:val="none" w:sz="0" w:space="0" w:color="auto"/>
            <w:left w:val="none" w:sz="0" w:space="0" w:color="auto"/>
            <w:bottom w:val="none" w:sz="0" w:space="0" w:color="auto"/>
            <w:right w:val="none" w:sz="0" w:space="0" w:color="auto"/>
          </w:divBdr>
        </w:div>
      </w:divsChild>
    </w:div>
    <w:div w:id="632828805">
      <w:bodyDiv w:val="1"/>
      <w:marLeft w:val="0"/>
      <w:marRight w:val="0"/>
      <w:marTop w:val="0"/>
      <w:marBottom w:val="0"/>
      <w:divBdr>
        <w:top w:val="none" w:sz="0" w:space="0" w:color="auto"/>
        <w:left w:val="none" w:sz="0" w:space="0" w:color="auto"/>
        <w:bottom w:val="none" w:sz="0" w:space="0" w:color="auto"/>
        <w:right w:val="none" w:sz="0" w:space="0" w:color="auto"/>
      </w:divBdr>
    </w:div>
    <w:div w:id="698168008">
      <w:bodyDiv w:val="1"/>
      <w:marLeft w:val="0"/>
      <w:marRight w:val="0"/>
      <w:marTop w:val="0"/>
      <w:marBottom w:val="0"/>
      <w:divBdr>
        <w:top w:val="none" w:sz="0" w:space="0" w:color="auto"/>
        <w:left w:val="none" w:sz="0" w:space="0" w:color="auto"/>
        <w:bottom w:val="none" w:sz="0" w:space="0" w:color="auto"/>
        <w:right w:val="none" w:sz="0" w:space="0" w:color="auto"/>
      </w:divBdr>
    </w:div>
    <w:div w:id="732655072">
      <w:bodyDiv w:val="1"/>
      <w:marLeft w:val="0"/>
      <w:marRight w:val="0"/>
      <w:marTop w:val="0"/>
      <w:marBottom w:val="0"/>
      <w:divBdr>
        <w:top w:val="none" w:sz="0" w:space="0" w:color="auto"/>
        <w:left w:val="none" w:sz="0" w:space="0" w:color="auto"/>
        <w:bottom w:val="none" w:sz="0" w:space="0" w:color="auto"/>
        <w:right w:val="none" w:sz="0" w:space="0" w:color="auto"/>
      </w:divBdr>
      <w:divsChild>
        <w:div w:id="1372919657">
          <w:marLeft w:val="0"/>
          <w:marRight w:val="0"/>
          <w:marTop w:val="0"/>
          <w:marBottom w:val="0"/>
          <w:divBdr>
            <w:top w:val="none" w:sz="0" w:space="0" w:color="auto"/>
            <w:left w:val="none" w:sz="0" w:space="0" w:color="auto"/>
            <w:bottom w:val="none" w:sz="0" w:space="0" w:color="auto"/>
            <w:right w:val="none" w:sz="0" w:space="0" w:color="auto"/>
          </w:divBdr>
          <w:divsChild>
            <w:div w:id="2072344983">
              <w:marLeft w:val="0"/>
              <w:marRight w:val="0"/>
              <w:marTop w:val="0"/>
              <w:marBottom w:val="0"/>
              <w:divBdr>
                <w:top w:val="none" w:sz="0" w:space="0" w:color="auto"/>
                <w:left w:val="none" w:sz="0" w:space="0" w:color="auto"/>
                <w:bottom w:val="none" w:sz="0" w:space="0" w:color="auto"/>
                <w:right w:val="none" w:sz="0" w:space="0" w:color="auto"/>
              </w:divBdr>
              <w:divsChild>
                <w:div w:id="1982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698">
      <w:bodyDiv w:val="1"/>
      <w:marLeft w:val="0"/>
      <w:marRight w:val="0"/>
      <w:marTop w:val="0"/>
      <w:marBottom w:val="0"/>
      <w:divBdr>
        <w:top w:val="none" w:sz="0" w:space="0" w:color="auto"/>
        <w:left w:val="none" w:sz="0" w:space="0" w:color="auto"/>
        <w:bottom w:val="none" w:sz="0" w:space="0" w:color="auto"/>
        <w:right w:val="none" w:sz="0" w:space="0" w:color="auto"/>
      </w:divBdr>
      <w:divsChild>
        <w:div w:id="982657221">
          <w:marLeft w:val="0"/>
          <w:marRight w:val="0"/>
          <w:marTop w:val="34"/>
          <w:marBottom w:val="34"/>
          <w:divBdr>
            <w:top w:val="none" w:sz="0" w:space="0" w:color="auto"/>
            <w:left w:val="none" w:sz="0" w:space="0" w:color="auto"/>
            <w:bottom w:val="none" w:sz="0" w:space="0" w:color="auto"/>
            <w:right w:val="none" w:sz="0" w:space="0" w:color="auto"/>
          </w:divBdr>
        </w:div>
      </w:divsChild>
    </w:div>
    <w:div w:id="1103765363">
      <w:bodyDiv w:val="1"/>
      <w:marLeft w:val="0"/>
      <w:marRight w:val="0"/>
      <w:marTop w:val="0"/>
      <w:marBottom w:val="0"/>
      <w:divBdr>
        <w:top w:val="none" w:sz="0" w:space="0" w:color="auto"/>
        <w:left w:val="none" w:sz="0" w:space="0" w:color="auto"/>
        <w:bottom w:val="none" w:sz="0" w:space="0" w:color="auto"/>
        <w:right w:val="none" w:sz="0" w:space="0" w:color="auto"/>
      </w:divBdr>
    </w:div>
    <w:div w:id="1406949692">
      <w:bodyDiv w:val="1"/>
      <w:marLeft w:val="0"/>
      <w:marRight w:val="0"/>
      <w:marTop w:val="0"/>
      <w:marBottom w:val="0"/>
      <w:divBdr>
        <w:top w:val="none" w:sz="0" w:space="0" w:color="auto"/>
        <w:left w:val="none" w:sz="0" w:space="0" w:color="auto"/>
        <w:bottom w:val="none" w:sz="0" w:space="0" w:color="auto"/>
        <w:right w:val="none" w:sz="0" w:space="0" w:color="auto"/>
      </w:divBdr>
    </w:div>
    <w:div w:id="1484194904">
      <w:bodyDiv w:val="1"/>
      <w:marLeft w:val="0"/>
      <w:marRight w:val="0"/>
      <w:marTop w:val="0"/>
      <w:marBottom w:val="0"/>
      <w:divBdr>
        <w:top w:val="none" w:sz="0" w:space="0" w:color="auto"/>
        <w:left w:val="none" w:sz="0" w:space="0" w:color="auto"/>
        <w:bottom w:val="none" w:sz="0" w:space="0" w:color="auto"/>
        <w:right w:val="none" w:sz="0" w:space="0" w:color="auto"/>
      </w:divBdr>
      <w:divsChild>
        <w:div w:id="29110134">
          <w:marLeft w:val="0"/>
          <w:marRight w:val="0"/>
          <w:marTop w:val="0"/>
          <w:marBottom w:val="0"/>
          <w:divBdr>
            <w:top w:val="none" w:sz="0" w:space="0" w:color="auto"/>
            <w:left w:val="none" w:sz="0" w:space="0" w:color="auto"/>
            <w:bottom w:val="none" w:sz="0" w:space="0" w:color="auto"/>
            <w:right w:val="none" w:sz="0" w:space="0" w:color="auto"/>
          </w:divBdr>
          <w:divsChild>
            <w:div w:id="2092458811">
              <w:marLeft w:val="0"/>
              <w:marRight w:val="0"/>
              <w:marTop w:val="0"/>
              <w:marBottom w:val="0"/>
              <w:divBdr>
                <w:top w:val="none" w:sz="0" w:space="0" w:color="auto"/>
                <w:left w:val="none" w:sz="0" w:space="0" w:color="auto"/>
                <w:bottom w:val="none" w:sz="0" w:space="0" w:color="auto"/>
                <w:right w:val="none" w:sz="0" w:space="0" w:color="auto"/>
              </w:divBdr>
              <w:divsChild>
                <w:div w:id="176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14482">
      <w:bodyDiv w:val="1"/>
      <w:marLeft w:val="0"/>
      <w:marRight w:val="0"/>
      <w:marTop w:val="0"/>
      <w:marBottom w:val="0"/>
      <w:divBdr>
        <w:top w:val="none" w:sz="0" w:space="0" w:color="auto"/>
        <w:left w:val="none" w:sz="0" w:space="0" w:color="auto"/>
        <w:bottom w:val="none" w:sz="0" w:space="0" w:color="auto"/>
        <w:right w:val="none" w:sz="0" w:space="0" w:color="auto"/>
      </w:divBdr>
      <w:divsChild>
        <w:div w:id="1659963748">
          <w:marLeft w:val="0"/>
          <w:marRight w:val="0"/>
          <w:marTop w:val="0"/>
          <w:marBottom w:val="0"/>
          <w:divBdr>
            <w:top w:val="none" w:sz="0" w:space="0" w:color="auto"/>
            <w:left w:val="none" w:sz="0" w:space="0" w:color="auto"/>
            <w:bottom w:val="none" w:sz="0" w:space="0" w:color="auto"/>
            <w:right w:val="none" w:sz="0" w:space="0" w:color="auto"/>
          </w:divBdr>
          <w:divsChild>
            <w:div w:id="1264727440">
              <w:marLeft w:val="0"/>
              <w:marRight w:val="0"/>
              <w:marTop w:val="0"/>
              <w:marBottom w:val="0"/>
              <w:divBdr>
                <w:top w:val="none" w:sz="0" w:space="0" w:color="auto"/>
                <w:left w:val="none" w:sz="0" w:space="0" w:color="auto"/>
                <w:bottom w:val="none" w:sz="0" w:space="0" w:color="auto"/>
                <w:right w:val="none" w:sz="0" w:space="0" w:color="auto"/>
              </w:divBdr>
              <w:divsChild>
                <w:div w:id="20902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332828">
      <w:bodyDiv w:val="1"/>
      <w:marLeft w:val="0"/>
      <w:marRight w:val="0"/>
      <w:marTop w:val="0"/>
      <w:marBottom w:val="0"/>
      <w:divBdr>
        <w:top w:val="none" w:sz="0" w:space="0" w:color="auto"/>
        <w:left w:val="none" w:sz="0" w:space="0" w:color="auto"/>
        <w:bottom w:val="none" w:sz="0" w:space="0" w:color="auto"/>
        <w:right w:val="none" w:sz="0" w:space="0" w:color="auto"/>
      </w:divBdr>
    </w:div>
    <w:div w:id="1624115749">
      <w:bodyDiv w:val="1"/>
      <w:marLeft w:val="0"/>
      <w:marRight w:val="0"/>
      <w:marTop w:val="0"/>
      <w:marBottom w:val="0"/>
      <w:divBdr>
        <w:top w:val="none" w:sz="0" w:space="0" w:color="auto"/>
        <w:left w:val="none" w:sz="0" w:space="0" w:color="auto"/>
        <w:bottom w:val="none" w:sz="0" w:space="0" w:color="auto"/>
        <w:right w:val="none" w:sz="0" w:space="0" w:color="auto"/>
      </w:divBdr>
      <w:divsChild>
        <w:div w:id="1718162489">
          <w:marLeft w:val="420"/>
          <w:marRight w:val="0"/>
          <w:marTop w:val="0"/>
          <w:marBottom w:val="0"/>
          <w:divBdr>
            <w:top w:val="none" w:sz="0" w:space="0" w:color="auto"/>
            <w:left w:val="none" w:sz="0" w:space="0" w:color="auto"/>
            <w:bottom w:val="none" w:sz="0" w:space="0" w:color="auto"/>
            <w:right w:val="none" w:sz="0" w:space="0" w:color="auto"/>
          </w:divBdr>
          <w:divsChild>
            <w:div w:id="124409741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C4C8-7F73-8C4E-8C36-5E15107FF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3111</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CHUV | Centre hospitalier universitaire vaudois</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Microsoft Office User</cp:lastModifiedBy>
  <cp:revision>2</cp:revision>
  <cp:lastPrinted>2018-01-15T08:00:00Z</cp:lastPrinted>
  <dcterms:created xsi:type="dcterms:W3CDTF">2019-02-12T13:56:00Z</dcterms:created>
  <dcterms:modified xsi:type="dcterms:W3CDTF">2019-02-12T13:56:00Z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id="http://www.zotero.org/styles/molecular-psychiatry"/&gt;&lt;format class="21"/&gt;&lt;count citations="71" publications="83"/&gt;&lt;/info&gt;PAPERS2_INFO_END</vt:lpwstr>
  </property>
</Properties>
</file>