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02256" w14:textId="77777777" w:rsidR="00A31B28" w:rsidRDefault="00A31B28" w:rsidP="00A31B28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bookmarkStart w:id="0" w:name="_GoBack"/>
      <w:bookmarkEnd w:id="0"/>
      <w:r w:rsidRPr="00A31B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Supplementary Figures</w:t>
      </w:r>
    </w:p>
    <w:p w14:paraId="50D216A2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26BB1314" w14:textId="77777777" w:rsid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71D7B204" w14:textId="77777777" w:rsidR="007F78CF" w:rsidRDefault="00461892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  <w:r>
        <w:rPr>
          <w:rFonts w:ascii="-webkit-standard" w:hAnsi="-webkit-standard" w:cs="Times New Roman" w:hint="eastAsia"/>
          <w:noProof/>
          <w:color w:val="000000"/>
          <w:sz w:val="20"/>
          <w:szCs w:val="20"/>
          <w:lang w:val="en-AU" w:eastAsia="en-AU"/>
        </w:rPr>
        <w:drawing>
          <wp:inline distT="0" distB="0" distL="0" distR="0" wp14:anchorId="24ECA85C" wp14:editId="26039C21">
            <wp:extent cx="5756910" cy="43180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535CA" w14:textId="77777777" w:rsidR="007F78CF" w:rsidRDefault="007F78CF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607D8DC7" w14:textId="77777777" w:rsidR="007F78CF" w:rsidRPr="00A31B28" w:rsidRDefault="007F78CF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4BB4EDD3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  <w:r w:rsidRPr="00A31B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Supplementary figure 1.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Cohen’s </w:t>
      </w:r>
      <w:r w:rsidRPr="00A31B28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effect sizes, after meta-analysis, for FA</w:t>
      </w:r>
      <w:r w:rsidR="007F78CF">
        <w:rPr>
          <w:rFonts w:ascii="Arial" w:hAnsi="Arial" w:cs="Arial"/>
          <w:color w:val="000000"/>
          <w:sz w:val="22"/>
          <w:szCs w:val="22"/>
          <w:lang w:val="en-US"/>
        </w:rPr>
        <w:t>, AD, MD and RD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differences between </w:t>
      </w:r>
      <w:r w:rsidR="007F78CF">
        <w:rPr>
          <w:rFonts w:ascii="Arial" w:hAnsi="Arial" w:cs="Arial"/>
          <w:color w:val="000000"/>
          <w:sz w:val="22"/>
          <w:szCs w:val="22"/>
          <w:lang w:val="en-US"/>
        </w:rPr>
        <w:t xml:space="preserve">adult 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MDD patients and healthy controls, including age, sex, </w:t>
      </w:r>
      <w:proofErr w:type="spellStart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age×sex</w:t>
      </w:r>
      <w:proofErr w:type="spellEnd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,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and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>×sex, as covariates. Error bars represent the 95% confidence interval. Significant regions after FDR correction in orange.</w:t>
      </w:r>
    </w:p>
    <w:p w14:paraId="77148C05" w14:textId="77777777" w:rsidR="00A31B28" w:rsidRPr="00A31B28" w:rsidRDefault="00A31B28" w:rsidP="00A31B28">
      <w:pPr>
        <w:spacing w:after="240"/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</w:pPr>
      <w:r w:rsidRPr="00A31B28"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  <w:br/>
      </w:r>
      <w:r w:rsidRPr="00A31B28"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  <w:br/>
      </w:r>
    </w:p>
    <w:p w14:paraId="6A4C89E2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15529CDD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1D588422" w14:textId="77777777" w:rsidR="00A31B28" w:rsidRPr="00A31B28" w:rsidRDefault="00A31B28" w:rsidP="00A31B28">
      <w:pPr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</w:pPr>
    </w:p>
    <w:p w14:paraId="67D1C884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76066AAF" w14:textId="77777777" w:rsidR="00A31B28" w:rsidRPr="00A31B28" w:rsidRDefault="00A31B28" w:rsidP="00A31B28">
      <w:pPr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</w:pPr>
    </w:p>
    <w:p w14:paraId="6F37A9A4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4573F256" w14:textId="77777777" w:rsidR="00A31B28" w:rsidRPr="00A31B28" w:rsidRDefault="00A31B28" w:rsidP="00A31B28">
      <w:pPr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</w:pPr>
    </w:p>
    <w:p w14:paraId="0C24AD87" w14:textId="77777777" w:rsidR="00A31B28" w:rsidRPr="00A31B28" w:rsidRDefault="00A31B28" w:rsidP="00A31B28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</w:p>
    <w:p w14:paraId="7621D72D" w14:textId="77777777" w:rsidR="00A31B28" w:rsidRPr="00A31B28" w:rsidRDefault="00A31B28" w:rsidP="00A31B28">
      <w:pPr>
        <w:spacing w:after="240"/>
        <w:rPr>
          <w:rFonts w:ascii="Times" w:eastAsia="Times New Roman" w:hAnsi="Times" w:cs="Times New Roman"/>
          <w:sz w:val="20"/>
          <w:szCs w:val="20"/>
          <w:lang w:val="en-US"/>
        </w:rPr>
      </w:pPr>
      <w:r w:rsidRPr="00A31B28">
        <w:rPr>
          <w:rFonts w:ascii="-webkit-standard" w:eastAsia="Times New Roman" w:hAnsi="-webkit-standard" w:cs="Times New Roman"/>
          <w:color w:val="000000"/>
          <w:sz w:val="20"/>
          <w:szCs w:val="20"/>
          <w:lang w:val="en-US"/>
        </w:rPr>
        <w:br/>
      </w:r>
    </w:p>
    <w:p w14:paraId="0B48CFF6" w14:textId="77777777" w:rsidR="00A31B28" w:rsidRPr="00EC4291" w:rsidRDefault="00A31B28">
      <w:pPr>
        <w:rPr>
          <w:b/>
          <w:lang w:val="en-AU"/>
        </w:rPr>
      </w:pPr>
    </w:p>
    <w:p w14:paraId="035ED887" w14:textId="77777777" w:rsidR="007F78CF" w:rsidRPr="00EC4291" w:rsidRDefault="007F78CF">
      <w:pPr>
        <w:rPr>
          <w:b/>
          <w:lang w:val="en-AU"/>
        </w:rPr>
      </w:pPr>
    </w:p>
    <w:p w14:paraId="68A56372" w14:textId="77777777" w:rsidR="007F78CF" w:rsidRPr="00EC4291" w:rsidRDefault="007F78CF">
      <w:pPr>
        <w:rPr>
          <w:b/>
          <w:lang w:val="en-AU"/>
        </w:rPr>
      </w:pPr>
    </w:p>
    <w:p w14:paraId="2BE4F34B" w14:textId="77777777" w:rsidR="007F78CF" w:rsidRPr="00EC4291" w:rsidRDefault="007F78CF">
      <w:pPr>
        <w:rPr>
          <w:b/>
          <w:lang w:val="en-AU"/>
        </w:rPr>
      </w:pPr>
    </w:p>
    <w:p w14:paraId="095646C9" w14:textId="77777777" w:rsidR="007F78CF" w:rsidRPr="00EC4291" w:rsidRDefault="007F78CF">
      <w:pPr>
        <w:rPr>
          <w:b/>
          <w:lang w:val="en-AU"/>
        </w:rPr>
      </w:pPr>
    </w:p>
    <w:p w14:paraId="4DE64BE2" w14:textId="77777777" w:rsidR="007F78CF" w:rsidRDefault="007F78CF" w:rsidP="007F78CF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16FA0627" w14:textId="77777777" w:rsidR="007F78CF" w:rsidRDefault="007F78CF" w:rsidP="007F78CF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lang w:val="en-AU" w:eastAsia="en-AU"/>
        </w:rPr>
        <w:drawing>
          <wp:inline distT="0" distB="0" distL="0" distR="0" wp14:anchorId="73895522" wp14:editId="7693ED90">
            <wp:extent cx="5753735" cy="4311650"/>
            <wp:effectExtent l="0" t="0" r="12065" b="6350"/>
            <wp:docPr id="10" name="Afbeelding 10" descr="Macintosh HD:Users:laurave:Downloads:Adolescents_only_MD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aurave:Downloads:Adolescents_only_MDD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D2F9" w14:textId="77777777" w:rsidR="007F78CF" w:rsidRDefault="007F78CF" w:rsidP="007F78CF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500C54E7" w14:textId="77777777" w:rsidR="007F78CF" w:rsidRPr="00A31B28" w:rsidRDefault="007F78CF" w:rsidP="007F78CF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Supplementary figure 2</w:t>
      </w:r>
      <w:r w:rsidRPr="00A31B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Cohen’s </w:t>
      </w:r>
      <w:r w:rsidRPr="00A31B28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effect sizes, after meta-analysis, for FA</w:t>
      </w:r>
      <w:r>
        <w:rPr>
          <w:rFonts w:ascii="Arial" w:hAnsi="Arial" w:cs="Arial"/>
          <w:color w:val="000000"/>
          <w:sz w:val="22"/>
          <w:szCs w:val="22"/>
          <w:lang w:val="en-US"/>
        </w:rPr>
        <w:t>, AD, MD and RD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differences between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adolescent 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MDD patients and healthy controls, including age, sex, </w:t>
      </w:r>
      <w:proofErr w:type="spellStart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age×sex</w:t>
      </w:r>
      <w:proofErr w:type="spellEnd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,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and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>×sex, as covariates. Error bars represent the 95% confidence interval. Significant regions after FDR correction in orange.</w:t>
      </w:r>
    </w:p>
    <w:p w14:paraId="0421EF79" w14:textId="77777777" w:rsidR="007F78CF" w:rsidRDefault="007F78CF">
      <w:pPr>
        <w:rPr>
          <w:b/>
          <w:lang w:val="en-AU"/>
        </w:rPr>
      </w:pPr>
    </w:p>
    <w:p w14:paraId="65AE72A7" w14:textId="77777777" w:rsidR="00EC4291" w:rsidRDefault="00EC4291">
      <w:pPr>
        <w:rPr>
          <w:b/>
          <w:lang w:val="en-AU"/>
        </w:rPr>
      </w:pPr>
    </w:p>
    <w:p w14:paraId="707165B5" w14:textId="77777777" w:rsidR="00EC4291" w:rsidRDefault="00EC4291">
      <w:pPr>
        <w:rPr>
          <w:b/>
          <w:lang w:val="en-AU"/>
        </w:rPr>
      </w:pPr>
    </w:p>
    <w:p w14:paraId="4957B6F5" w14:textId="77777777" w:rsidR="00EC4291" w:rsidRDefault="00EC4291">
      <w:pPr>
        <w:rPr>
          <w:b/>
          <w:lang w:val="en-AU"/>
        </w:rPr>
      </w:pPr>
    </w:p>
    <w:p w14:paraId="4512A58D" w14:textId="77777777" w:rsidR="00EC4291" w:rsidRDefault="00EC4291">
      <w:pPr>
        <w:rPr>
          <w:b/>
          <w:lang w:val="en-AU"/>
        </w:rPr>
      </w:pPr>
    </w:p>
    <w:p w14:paraId="7765F62D" w14:textId="77777777" w:rsidR="00EC4291" w:rsidRDefault="00EC4291">
      <w:pPr>
        <w:rPr>
          <w:b/>
          <w:lang w:val="en-AU"/>
        </w:rPr>
      </w:pPr>
    </w:p>
    <w:p w14:paraId="1DA20207" w14:textId="77777777" w:rsidR="00EC4291" w:rsidRDefault="00EC4291">
      <w:pPr>
        <w:rPr>
          <w:b/>
          <w:lang w:val="en-AU"/>
        </w:rPr>
      </w:pPr>
    </w:p>
    <w:p w14:paraId="6B348CC0" w14:textId="77777777" w:rsidR="00EC4291" w:rsidRDefault="00EC4291">
      <w:pPr>
        <w:rPr>
          <w:b/>
          <w:lang w:val="en-AU"/>
        </w:rPr>
      </w:pPr>
    </w:p>
    <w:p w14:paraId="5A088328" w14:textId="77777777" w:rsidR="00EC4291" w:rsidRDefault="00EC4291">
      <w:pPr>
        <w:rPr>
          <w:b/>
          <w:lang w:val="en-AU"/>
        </w:rPr>
      </w:pPr>
    </w:p>
    <w:p w14:paraId="139C7478" w14:textId="77777777" w:rsidR="00EC4291" w:rsidRDefault="00EC4291">
      <w:pPr>
        <w:rPr>
          <w:b/>
          <w:lang w:val="en-AU"/>
        </w:rPr>
      </w:pPr>
    </w:p>
    <w:p w14:paraId="742CD863" w14:textId="77777777" w:rsidR="00EC4291" w:rsidRDefault="00EC4291">
      <w:pPr>
        <w:rPr>
          <w:b/>
          <w:lang w:val="en-AU"/>
        </w:rPr>
      </w:pPr>
    </w:p>
    <w:p w14:paraId="77764207" w14:textId="77777777" w:rsidR="00EC4291" w:rsidRDefault="00EC4291">
      <w:pPr>
        <w:rPr>
          <w:b/>
          <w:lang w:val="en-AU"/>
        </w:rPr>
      </w:pPr>
    </w:p>
    <w:p w14:paraId="0ECFEE52" w14:textId="77777777" w:rsidR="00EC4291" w:rsidRDefault="00EC4291">
      <w:pPr>
        <w:rPr>
          <w:b/>
          <w:lang w:val="en-AU"/>
        </w:rPr>
      </w:pPr>
    </w:p>
    <w:p w14:paraId="59F6894B" w14:textId="77777777" w:rsidR="00EC4291" w:rsidRDefault="00EC4291">
      <w:pPr>
        <w:rPr>
          <w:b/>
          <w:lang w:val="en-AU"/>
        </w:rPr>
      </w:pPr>
    </w:p>
    <w:p w14:paraId="61FDE35A" w14:textId="77777777" w:rsidR="00EC4291" w:rsidRDefault="00EC4291">
      <w:pPr>
        <w:rPr>
          <w:b/>
          <w:lang w:val="en-AU"/>
        </w:rPr>
      </w:pPr>
    </w:p>
    <w:p w14:paraId="6407DD1E" w14:textId="77777777" w:rsidR="00EC4291" w:rsidRDefault="00EC4291">
      <w:pPr>
        <w:rPr>
          <w:b/>
          <w:lang w:val="en-AU"/>
        </w:rPr>
      </w:pPr>
    </w:p>
    <w:p w14:paraId="1CBAB78B" w14:textId="77777777" w:rsidR="00EC4291" w:rsidRDefault="00EC4291">
      <w:pPr>
        <w:rPr>
          <w:b/>
          <w:lang w:val="en-AU"/>
        </w:rPr>
      </w:pPr>
    </w:p>
    <w:p w14:paraId="42201BB3" w14:textId="77777777" w:rsidR="00EC4291" w:rsidRDefault="00EC4291">
      <w:pPr>
        <w:rPr>
          <w:b/>
          <w:lang w:val="en-AU"/>
        </w:rPr>
      </w:pPr>
    </w:p>
    <w:p w14:paraId="64D37173" w14:textId="77777777" w:rsidR="00EC4291" w:rsidRDefault="00EC4291">
      <w:pPr>
        <w:rPr>
          <w:b/>
          <w:lang w:val="en-AU"/>
        </w:rPr>
      </w:pPr>
    </w:p>
    <w:p w14:paraId="144ECDC1" w14:textId="77777777" w:rsidR="00EC4291" w:rsidRDefault="00EC4291">
      <w:pPr>
        <w:rPr>
          <w:b/>
          <w:lang w:val="en-AU"/>
        </w:rPr>
      </w:pPr>
    </w:p>
    <w:p w14:paraId="02BA3561" w14:textId="293DD0A7" w:rsidR="00EC4291" w:rsidRDefault="00EC4291">
      <w:pPr>
        <w:rPr>
          <w:b/>
          <w:lang w:val="en-AU"/>
        </w:rPr>
      </w:pPr>
      <w:r>
        <w:rPr>
          <w:b/>
          <w:noProof/>
          <w:lang w:val="en-AU" w:eastAsia="en-AU"/>
        </w:rPr>
        <w:lastRenderedPageBreak/>
        <w:drawing>
          <wp:inline distT="0" distB="0" distL="0" distR="0" wp14:anchorId="437A6C89" wp14:editId="73D06364">
            <wp:extent cx="5756910" cy="3238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ults_adolescents_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2793" w14:textId="77777777" w:rsidR="00EC4291" w:rsidRDefault="00EC4291">
      <w:pPr>
        <w:rPr>
          <w:b/>
          <w:lang w:val="en-AU"/>
        </w:rPr>
      </w:pPr>
    </w:p>
    <w:p w14:paraId="76DFE228" w14:textId="0AC12DC7" w:rsidR="00EC4291" w:rsidRPr="00A31B28" w:rsidRDefault="00EC4291" w:rsidP="00EC4291">
      <w:pPr>
        <w:rPr>
          <w:rFonts w:ascii="-webkit-standard" w:hAnsi="-webkit-standard" w:cs="Times New Roman" w:hint="eastAsia"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Supplementary figure 3</w:t>
      </w:r>
      <w:r w:rsidRPr="00A31B2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.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Cohen’s </w:t>
      </w:r>
      <w:r w:rsidRPr="00A31B28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effect sizes, after meta-analysis, for FA</w:t>
      </w:r>
      <w:r>
        <w:rPr>
          <w:rFonts w:ascii="Arial" w:hAnsi="Arial" w:cs="Arial"/>
          <w:color w:val="000000"/>
          <w:sz w:val="22"/>
          <w:szCs w:val="22"/>
          <w:lang w:val="en-US"/>
        </w:rPr>
        <w:t>, AD, MD and RD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differences between MDD patients and healthy controls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in adults and adolescents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, including age, sex, </w:t>
      </w:r>
      <w:proofErr w:type="spellStart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age×sex</w:t>
      </w:r>
      <w:proofErr w:type="spellEnd"/>
      <w:r w:rsidRPr="00A31B28">
        <w:rPr>
          <w:rFonts w:ascii="Arial" w:hAnsi="Arial" w:cs="Arial"/>
          <w:color w:val="000000"/>
          <w:sz w:val="22"/>
          <w:szCs w:val="22"/>
          <w:lang w:val="en-US"/>
        </w:rPr>
        <w:t>,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 and age</w:t>
      </w:r>
      <w:r w:rsidRPr="00A31B28">
        <w:rPr>
          <w:rFonts w:ascii="Arial" w:hAnsi="Arial" w:cs="Arial"/>
          <w:color w:val="000000"/>
          <w:sz w:val="13"/>
          <w:szCs w:val="13"/>
          <w:vertAlign w:val="superscript"/>
          <w:lang w:val="en-US"/>
        </w:rPr>
        <w:t>2</w:t>
      </w:r>
      <w:r w:rsidRPr="00A31B28">
        <w:rPr>
          <w:rFonts w:ascii="Arial" w:hAnsi="Arial" w:cs="Arial"/>
          <w:color w:val="000000"/>
          <w:sz w:val="22"/>
          <w:szCs w:val="22"/>
          <w:lang w:val="en-US"/>
        </w:rPr>
        <w:t xml:space="preserve">×sex, as covariates. Error bars represent the 95% confidence interval. </w:t>
      </w:r>
    </w:p>
    <w:p w14:paraId="220D64C7" w14:textId="77777777" w:rsidR="00EC4291" w:rsidRPr="00EC4291" w:rsidRDefault="00EC4291">
      <w:pPr>
        <w:rPr>
          <w:b/>
          <w:lang w:val="en-US"/>
        </w:rPr>
      </w:pPr>
    </w:p>
    <w:sectPr w:rsidR="00EC4291" w:rsidRPr="00EC4291" w:rsidSect="005A69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28"/>
    <w:rsid w:val="00377DEB"/>
    <w:rsid w:val="00461892"/>
    <w:rsid w:val="005A69B4"/>
    <w:rsid w:val="006C3682"/>
    <w:rsid w:val="007F78CF"/>
    <w:rsid w:val="00A31B28"/>
    <w:rsid w:val="00C93BE4"/>
    <w:rsid w:val="00EC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3404CE"/>
  <w14:defaultImageDpi w14:val="300"/>
  <w15:docId w15:val="{33C81C39-FC8F-4C88-B0C6-990F0AAA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1B2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B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B2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GGZ inGeest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Velzen</dc:creator>
  <cp:keywords/>
  <dc:description/>
  <cp:lastModifiedBy>Laura Van Velzen</cp:lastModifiedBy>
  <cp:revision>2</cp:revision>
  <dcterms:created xsi:type="dcterms:W3CDTF">2019-01-23T01:02:00Z</dcterms:created>
  <dcterms:modified xsi:type="dcterms:W3CDTF">2019-01-23T01:02:00Z</dcterms:modified>
</cp:coreProperties>
</file>