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C6322" w14:textId="77777777" w:rsidR="0081622E" w:rsidRDefault="00031C29">
      <w:pPr>
        <w:rPr>
          <w:b/>
          <w:sz w:val="28"/>
          <w:szCs w:val="28"/>
        </w:rPr>
      </w:pPr>
      <w:r>
        <w:rPr>
          <w:b/>
          <w:sz w:val="28"/>
          <w:szCs w:val="28"/>
        </w:rPr>
        <w:t>Supplementary Information</w:t>
      </w:r>
    </w:p>
    <w:p w14:paraId="19F3D38A" w14:textId="77777777" w:rsidR="0081622E" w:rsidRDefault="0081622E"/>
    <w:p w14:paraId="3A0713D9" w14:textId="77777777" w:rsidR="0081622E" w:rsidRDefault="00031C29">
      <w:pPr>
        <w:rPr>
          <w:b/>
          <w:sz w:val="24"/>
          <w:szCs w:val="24"/>
        </w:rPr>
      </w:pPr>
      <w:r>
        <w:rPr>
          <w:b/>
          <w:sz w:val="24"/>
          <w:szCs w:val="24"/>
        </w:rPr>
        <w:t>Supplementary methods</w:t>
      </w:r>
    </w:p>
    <w:p w14:paraId="3C9146F2" w14:textId="77777777" w:rsidR="0081622E" w:rsidRDefault="00031C29">
      <w:pPr>
        <w:rPr>
          <w:b/>
          <w:i/>
        </w:rPr>
      </w:pPr>
      <w:r>
        <w:rPr>
          <w:b/>
        </w:rPr>
        <w:t xml:space="preserve"> </w:t>
      </w:r>
    </w:p>
    <w:p w14:paraId="2C5B86F6" w14:textId="77777777" w:rsidR="0081622E" w:rsidRDefault="00031C29">
      <w:pPr>
        <w:spacing w:line="480" w:lineRule="auto"/>
        <w:rPr>
          <w:b/>
          <w:i/>
        </w:rPr>
      </w:pPr>
      <w:r>
        <w:rPr>
          <w:b/>
          <w:i/>
        </w:rPr>
        <w:t>Phenotype Creation in the UK Biobank</w:t>
      </w:r>
    </w:p>
    <w:p w14:paraId="4E554510" w14:textId="77777777" w:rsidR="0081622E" w:rsidRDefault="00031C29">
      <w:pPr>
        <w:spacing w:line="480" w:lineRule="auto"/>
        <w:rPr>
          <w:i/>
        </w:rPr>
      </w:pPr>
      <w:r>
        <w:rPr>
          <w:i/>
        </w:rPr>
        <w:t>(1)</w:t>
      </w:r>
      <w:r>
        <w:rPr>
          <w:rFonts w:ascii="Times New Roman" w:eastAsia="Times New Roman" w:hAnsi="Times New Roman" w:cs="Times New Roman"/>
          <w:i/>
          <w:sz w:val="14"/>
          <w:szCs w:val="14"/>
        </w:rPr>
        <w:t xml:space="preserve"> </w:t>
      </w:r>
      <w:r>
        <w:rPr>
          <w:i/>
        </w:rPr>
        <w:t>Any anxiety diagnosis</w:t>
      </w:r>
    </w:p>
    <w:p w14:paraId="38474B68" w14:textId="77777777" w:rsidR="0081622E" w:rsidRDefault="00031C29">
      <w:pPr>
        <w:spacing w:line="480" w:lineRule="auto"/>
      </w:pPr>
      <w:r>
        <w:t>Participants self-reported receiving a professional diagnosis of one or more of the following anxiety disorders: Social anxiety; any other specific phobia (e.g. disabling fear of heights, or spiders); panic attacks; anxiety, nerves or generalised anxiety disorder or agoraphobia. Participants were excluded from this analysis if they reported a professional diagnosis of any of the following: schizophrenia; bipolar disorder; attention deficit hyperactivity disorder; autistic spectrum disorder; eating disorder.</w:t>
      </w:r>
    </w:p>
    <w:p w14:paraId="2224B165" w14:textId="77777777" w:rsidR="0081622E" w:rsidRDefault="00031C29">
      <w:pPr>
        <w:spacing w:line="480" w:lineRule="auto"/>
      </w:pPr>
      <w:r>
        <w:t>The proportion of each of the anxiety disorders included in this phenotype are as follows:</w:t>
      </w:r>
    </w:p>
    <w:p w14:paraId="74B636A5" w14:textId="77777777" w:rsidR="0081622E" w:rsidRDefault="00031C29">
      <w:pPr>
        <w:spacing w:line="480" w:lineRule="auto"/>
      </w:pPr>
      <w:r>
        <w:t>62% report a diagnosis of “Anxiety, nerves or generalised anxiety disorder”</w:t>
      </w:r>
    </w:p>
    <w:p w14:paraId="0D5B58AC" w14:textId="77777777" w:rsidR="0081622E" w:rsidRDefault="00031C29">
      <w:pPr>
        <w:spacing w:line="480" w:lineRule="auto"/>
      </w:pPr>
      <w:r>
        <w:t>5.5% report a diagnosis of social anxiety disorder or social phobia</w:t>
      </w:r>
    </w:p>
    <w:p w14:paraId="0465745D" w14:textId="77777777" w:rsidR="0081622E" w:rsidRDefault="00031C29">
      <w:pPr>
        <w:spacing w:line="480" w:lineRule="auto"/>
      </w:pPr>
      <w:r>
        <w:t>6% report a diagnosis of a specific phobia</w:t>
      </w:r>
    </w:p>
    <w:p w14:paraId="432DB7E7" w14:textId="77777777" w:rsidR="0081622E" w:rsidRDefault="00031C29">
      <w:pPr>
        <w:spacing w:line="480" w:lineRule="auto"/>
      </w:pPr>
      <w:r>
        <w:t>24.5% report a diagnosis of panic attacks</w:t>
      </w:r>
    </w:p>
    <w:p w14:paraId="4BF4E186" w14:textId="77777777" w:rsidR="0081622E" w:rsidRDefault="00031C29">
      <w:pPr>
        <w:spacing w:line="480" w:lineRule="auto"/>
      </w:pPr>
      <w:r>
        <w:t>2% report a diagnosis of agoraphobia.</w:t>
      </w:r>
    </w:p>
    <w:p w14:paraId="0C7CABE6" w14:textId="77777777" w:rsidR="0081622E" w:rsidRDefault="00031C29">
      <w:pPr>
        <w:spacing w:line="480" w:lineRule="auto"/>
      </w:pPr>
      <w:r>
        <w:t>Note that individuals might report more than one disorder.</w:t>
      </w:r>
    </w:p>
    <w:p w14:paraId="25DB3E58" w14:textId="77777777" w:rsidR="0081622E" w:rsidRDefault="0081622E">
      <w:pPr>
        <w:spacing w:line="480" w:lineRule="auto"/>
      </w:pPr>
    </w:p>
    <w:p w14:paraId="66F37AC0" w14:textId="77777777" w:rsidR="0081622E" w:rsidRDefault="00031C29">
      <w:pPr>
        <w:spacing w:line="480" w:lineRule="auto"/>
      </w:pPr>
      <w:r>
        <w:t xml:space="preserve">UK Biobank item codes used for this definition: </w:t>
      </w:r>
    </w:p>
    <w:p w14:paraId="25B90E37" w14:textId="77777777" w:rsidR="0081622E" w:rsidRDefault="00031C29">
      <w:pPr>
        <w:spacing w:line="480" w:lineRule="auto"/>
      </w:pPr>
      <w:r>
        <w:t>f.20544.0.1 to f.20544.0.16</w:t>
      </w:r>
    </w:p>
    <w:p w14:paraId="47630E20" w14:textId="77777777" w:rsidR="0081622E" w:rsidRDefault="00031C29">
      <w:pPr>
        <w:spacing w:line="480" w:lineRule="auto"/>
        <w:rPr>
          <w:b/>
          <w:i/>
        </w:rPr>
      </w:pPr>
      <w:r>
        <w:t xml:space="preserve"> </w:t>
      </w:r>
    </w:p>
    <w:p w14:paraId="3E21B9AB" w14:textId="77777777" w:rsidR="0081622E" w:rsidRDefault="00031C29">
      <w:pPr>
        <w:spacing w:line="480" w:lineRule="auto"/>
        <w:rPr>
          <w:i/>
        </w:rPr>
      </w:pPr>
      <w:r>
        <w:rPr>
          <w:i/>
        </w:rPr>
        <w:t>(2)</w:t>
      </w:r>
      <w:r>
        <w:rPr>
          <w:rFonts w:ascii="Times New Roman" w:eastAsia="Times New Roman" w:hAnsi="Times New Roman" w:cs="Times New Roman"/>
          <w:i/>
          <w:sz w:val="14"/>
          <w:szCs w:val="14"/>
        </w:rPr>
        <w:t xml:space="preserve"> </w:t>
      </w:r>
      <w:r>
        <w:rPr>
          <w:i/>
        </w:rPr>
        <w:t>Probable lifetime generalised anxiety disorder (GAD)</w:t>
      </w:r>
    </w:p>
    <w:p w14:paraId="2EDC9902" w14:textId="77777777" w:rsidR="0081622E" w:rsidRDefault="00031C29">
      <w:pPr>
        <w:spacing w:line="480" w:lineRule="auto"/>
        <w:jc w:val="both"/>
      </w:pPr>
      <w:r>
        <w:t>Participants were assessed as having probable generalised anxiety disorder if they met the following criteria:</w:t>
      </w:r>
    </w:p>
    <w:p w14:paraId="5FE6AAEE" w14:textId="77777777" w:rsidR="0081622E" w:rsidRDefault="00031C29">
      <w:pPr>
        <w:spacing w:line="480" w:lineRule="auto"/>
        <w:ind w:firstLine="720"/>
        <w:jc w:val="both"/>
      </w:pPr>
      <w:proofErr w:type="spellStart"/>
      <w:r>
        <w:t>i</w:t>
      </w:r>
      <w:proofErr w:type="spellEnd"/>
      <w:r>
        <w:t>.</w:t>
      </w:r>
      <w:r>
        <w:rPr>
          <w:rFonts w:ascii="Times New Roman" w:eastAsia="Times New Roman" w:hAnsi="Times New Roman" w:cs="Times New Roman"/>
          <w:sz w:val="14"/>
          <w:szCs w:val="14"/>
        </w:rPr>
        <w:t xml:space="preserve"> </w:t>
      </w:r>
      <w:r>
        <w:t xml:space="preserve">Report having worried more than most people would in the same situation </w:t>
      </w:r>
      <w:r>
        <w:rPr>
          <w:b/>
        </w:rPr>
        <w:t>OR</w:t>
      </w:r>
    </w:p>
    <w:p w14:paraId="2F38580F" w14:textId="77777777" w:rsidR="0081622E" w:rsidRDefault="00031C29">
      <w:pPr>
        <w:spacing w:line="480" w:lineRule="auto"/>
        <w:ind w:firstLine="720"/>
        <w:jc w:val="both"/>
      </w:pPr>
      <w:r>
        <w:t>have had stronger worry than most people during their worst period of anxiety.</w:t>
      </w:r>
    </w:p>
    <w:p w14:paraId="1F970AFF" w14:textId="77777777" w:rsidR="0081622E" w:rsidRDefault="00031C29">
      <w:pPr>
        <w:spacing w:line="480" w:lineRule="auto"/>
        <w:ind w:firstLine="720"/>
        <w:jc w:val="both"/>
        <w:rPr>
          <w:b/>
        </w:rPr>
      </w:pPr>
      <w:r>
        <w:rPr>
          <w:b/>
        </w:rPr>
        <w:t>AND</w:t>
      </w:r>
    </w:p>
    <w:p w14:paraId="008DA06C" w14:textId="77777777" w:rsidR="0081622E" w:rsidRDefault="00031C29">
      <w:pPr>
        <w:spacing w:line="480" w:lineRule="auto"/>
        <w:ind w:firstLine="720"/>
        <w:jc w:val="both"/>
      </w:pPr>
      <w:r>
        <w:lastRenderedPageBreak/>
        <w:t>ii.</w:t>
      </w:r>
      <w:r>
        <w:rPr>
          <w:rFonts w:ascii="Times New Roman" w:eastAsia="Times New Roman" w:hAnsi="Times New Roman" w:cs="Times New Roman"/>
          <w:sz w:val="14"/>
          <w:szCs w:val="14"/>
        </w:rPr>
        <w:t xml:space="preserve"> </w:t>
      </w:r>
      <w:r>
        <w:t xml:space="preserve">Have had at least one time in their lives where they have felt worried, tense, or </w:t>
      </w:r>
    </w:p>
    <w:p w14:paraId="54500329" w14:textId="77777777" w:rsidR="0081622E" w:rsidRDefault="00031C29">
      <w:pPr>
        <w:spacing w:line="480" w:lineRule="auto"/>
        <w:ind w:firstLine="720"/>
        <w:jc w:val="both"/>
      </w:pPr>
      <w:r>
        <w:t>anxious most of the time for at least a month</w:t>
      </w:r>
    </w:p>
    <w:p w14:paraId="1C961104" w14:textId="77777777" w:rsidR="0081622E" w:rsidRDefault="00031C29">
      <w:pPr>
        <w:spacing w:line="480" w:lineRule="auto"/>
        <w:ind w:firstLine="720"/>
        <w:jc w:val="both"/>
        <w:rPr>
          <w:b/>
        </w:rPr>
      </w:pPr>
      <w:r>
        <w:rPr>
          <w:b/>
        </w:rPr>
        <w:t>AND</w:t>
      </w:r>
    </w:p>
    <w:p w14:paraId="44179295" w14:textId="77777777" w:rsidR="0081622E" w:rsidRDefault="00031C29">
      <w:pPr>
        <w:spacing w:line="480" w:lineRule="auto"/>
        <w:ind w:firstLine="720"/>
        <w:jc w:val="both"/>
      </w:pPr>
      <w:r>
        <w:t>iii.</w:t>
      </w:r>
      <w:r>
        <w:rPr>
          <w:rFonts w:ascii="Times New Roman" w:eastAsia="Times New Roman" w:hAnsi="Times New Roman" w:cs="Times New Roman"/>
          <w:sz w:val="14"/>
          <w:szCs w:val="14"/>
        </w:rPr>
        <w:t xml:space="preserve"> </w:t>
      </w:r>
      <w:r>
        <w:t>This frequent and persistent worrying has persisted 6 months or more</w:t>
      </w:r>
    </w:p>
    <w:p w14:paraId="575F2695" w14:textId="77777777" w:rsidR="0081622E" w:rsidRDefault="00031C29">
      <w:pPr>
        <w:spacing w:line="480" w:lineRule="auto"/>
        <w:ind w:firstLine="720"/>
        <w:jc w:val="both"/>
        <w:rPr>
          <w:b/>
        </w:rPr>
      </w:pPr>
      <w:r>
        <w:rPr>
          <w:b/>
        </w:rPr>
        <w:t>AND</w:t>
      </w:r>
    </w:p>
    <w:p w14:paraId="785814C4" w14:textId="77777777" w:rsidR="0081622E" w:rsidRDefault="00031C29">
      <w:pPr>
        <w:spacing w:line="480" w:lineRule="auto"/>
        <w:ind w:firstLine="720"/>
        <w:jc w:val="both"/>
      </w:pPr>
      <w:r>
        <w:t>iv.</w:t>
      </w:r>
      <w:r>
        <w:rPr>
          <w:rFonts w:ascii="Times New Roman" w:eastAsia="Times New Roman" w:hAnsi="Times New Roman" w:cs="Times New Roman"/>
          <w:sz w:val="14"/>
          <w:szCs w:val="14"/>
        </w:rPr>
        <w:t xml:space="preserve"> </w:t>
      </w:r>
      <w:r>
        <w:t>Report having worried most days during their worst period of anxiety</w:t>
      </w:r>
    </w:p>
    <w:p w14:paraId="66219FF5" w14:textId="77777777" w:rsidR="0081622E" w:rsidRDefault="00031C29">
      <w:pPr>
        <w:spacing w:line="480" w:lineRule="auto"/>
        <w:ind w:firstLine="720"/>
        <w:jc w:val="both"/>
        <w:rPr>
          <w:b/>
        </w:rPr>
      </w:pPr>
      <w:r>
        <w:rPr>
          <w:b/>
        </w:rPr>
        <w:t>AND</w:t>
      </w:r>
    </w:p>
    <w:p w14:paraId="3302647A" w14:textId="77777777" w:rsidR="0081622E" w:rsidRDefault="00031C29">
      <w:pPr>
        <w:spacing w:line="480" w:lineRule="auto"/>
        <w:ind w:firstLine="720"/>
        <w:jc w:val="both"/>
      </w:pPr>
      <w:r>
        <w:t>v.</w:t>
      </w:r>
      <w:r>
        <w:rPr>
          <w:rFonts w:ascii="Times New Roman" w:eastAsia="Times New Roman" w:hAnsi="Times New Roman" w:cs="Times New Roman"/>
          <w:sz w:val="14"/>
          <w:szCs w:val="14"/>
        </w:rPr>
        <w:t xml:space="preserve"> </w:t>
      </w:r>
      <w:r>
        <w:rPr>
          <w:b/>
        </w:rPr>
        <w:t>EITHER</w:t>
      </w:r>
      <w:r>
        <w:t xml:space="preserve"> had many different worries on their mind at the same time during the </w:t>
      </w:r>
    </w:p>
    <w:p w14:paraId="7DD57A6D" w14:textId="77777777" w:rsidR="0081622E" w:rsidRDefault="00031C29">
      <w:pPr>
        <w:spacing w:line="480" w:lineRule="auto"/>
        <w:ind w:firstLine="720"/>
        <w:jc w:val="both"/>
      </w:pPr>
      <w:r>
        <w:t xml:space="preserve">worst of their </w:t>
      </w:r>
      <w:r>
        <w:rPr>
          <w:b/>
        </w:rPr>
        <w:t>OR</w:t>
      </w:r>
      <w:r>
        <w:t xml:space="preserve"> worried about more than one thing during the worst period of </w:t>
      </w:r>
    </w:p>
    <w:p w14:paraId="01C6AD33" w14:textId="77777777" w:rsidR="0081622E" w:rsidRDefault="00031C29">
      <w:pPr>
        <w:spacing w:line="480" w:lineRule="auto"/>
        <w:ind w:firstLine="720"/>
        <w:jc w:val="both"/>
      </w:pPr>
      <w:r>
        <w:t>anxiety.</w:t>
      </w:r>
    </w:p>
    <w:p w14:paraId="3DEF2BE9" w14:textId="77777777" w:rsidR="0081622E" w:rsidRDefault="00031C29">
      <w:pPr>
        <w:spacing w:line="480" w:lineRule="auto"/>
        <w:ind w:firstLine="720"/>
        <w:jc w:val="both"/>
        <w:rPr>
          <w:b/>
        </w:rPr>
      </w:pPr>
      <w:r>
        <w:rPr>
          <w:b/>
        </w:rPr>
        <w:t>AND</w:t>
      </w:r>
    </w:p>
    <w:p w14:paraId="1B744DD6" w14:textId="77777777" w:rsidR="0081622E" w:rsidRDefault="00031C29">
      <w:pPr>
        <w:spacing w:line="480" w:lineRule="auto"/>
        <w:ind w:firstLine="720"/>
        <w:jc w:val="both"/>
      </w:pPr>
      <w:r>
        <w:t>vi.</w:t>
      </w:r>
      <w:r>
        <w:rPr>
          <w:rFonts w:ascii="Times New Roman" w:eastAsia="Times New Roman" w:hAnsi="Times New Roman" w:cs="Times New Roman"/>
          <w:sz w:val="14"/>
          <w:szCs w:val="14"/>
        </w:rPr>
        <w:t xml:space="preserve"> </w:t>
      </w:r>
      <w:r>
        <w:t xml:space="preserve">Found it difficult to stop worrying </w:t>
      </w:r>
      <w:r>
        <w:rPr>
          <w:b/>
        </w:rPr>
        <w:t>OR</w:t>
      </w:r>
      <w:r>
        <w:t xml:space="preserve"> were often unable to stop worrying </w:t>
      </w:r>
      <w:r>
        <w:rPr>
          <w:b/>
        </w:rPr>
        <w:t>OR</w:t>
      </w:r>
    </w:p>
    <w:p w14:paraId="57DABA19" w14:textId="77777777" w:rsidR="0081622E" w:rsidRDefault="00031C29">
      <w:pPr>
        <w:spacing w:line="480" w:lineRule="auto"/>
        <w:ind w:firstLine="720"/>
        <w:jc w:val="both"/>
      </w:pPr>
      <w:r>
        <w:t>often found themselves unable to control their worry.</w:t>
      </w:r>
    </w:p>
    <w:p w14:paraId="7D222320" w14:textId="77777777" w:rsidR="0081622E" w:rsidRDefault="00031C29">
      <w:pPr>
        <w:spacing w:line="480" w:lineRule="auto"/>
        <w:ind w:firstLine="720"/>
        <w:jc w:val="both"/>
        <w:rPr>
          <w:b/>
        </w:rPr>
      </w:pPr>
      <w:r>
        <w:rPr>
          <w:b/>
        </w:rPr>
        <w:t>AND</w:t>
      </w:r>
    </w:p>
    <w:p w14:paraId="21AA7EDC" w14:textId="77777777" w:rsidR="0081622E" w:rsidRDefault="00031C29">
      <w:pPr>
        <w:spacing w:line="480" w:lineRule="auto"/>
        <w:ind w:firstLine="720"/>
        <w:jc w:val="both"/>
      </w:pPr>
      <w:r>
        <w:t>vii. Suffered 3 or more somatic symptoms of anxiety during the worst period of</w:t>
      </w:r>
    </w:p>
    <w:p w14:paraId="24D177B2" w14:textId="70FB6BFF" w:rsidR="0081622E" w:rsidRDefault="00031C29">
      <w:pPr>
        <w:spacing w:line="480" w:lineRule="auto"/>
        <w:ind w:firstLine="720"/>
        <w:jc w:val="both"/>
      </w:pPr>
      <w:r>
        <w:t xml:space="preserve"> anxiety (these </w:t>
      </w:r>
      <w:r w:rsidR="003B7500">
        <w:t>include</w:t>
      </w:r>
      <w:r>
        <w:t xml:space="preserve"> feelings of restlessness; feeling easily tired; having trouble </w:t>
      </w:r>
    </w:p>
    <w:p w14:paraId="12E99CDE" w14:textId="77777777" w:rsidR="0081622E" w:rsidRDefault="00031C29">
      <w:pPr>
        <w:spacing w:line="480" w:lineRule="auto"/>
        <w:ind w:firstLine="720"/>
        <w:jc w:val="both"/>
      </w:pPr>
      <w:r>
        <w:t xml:space="preserve">falling or staying asleep; feeling keyed up or on edge; increased irritability; </w:t>
      </w:r>
    </w:p>
    <w:p w14:paraId="2733A2C7" w14:textId="77777777" w:rsidR="0081622E" w:rsidRDefault="00031C29">
      <w:pPr>
        <w:spacing w:line="480" w:lineRule="auto"/>
        <w:ind w:firstLine="720"/>
        <w:jc w:val="both"/>
      </w:pPr>
      <w:r>
        <w:t>experiencing tense, sore or aching muscles; having difficulty concentrating)</w:t>
      </w:r>
    </w:p>
    <w:p w14:paraId="02F873A1" w14:textId="77777777" w:rsidR="0081622E" w:rsidRDefault="00031C29">
      <w:pPr>
        <w:spacing w:line="480" w:lineRule="auto"/>
        <w:ind w:firstLine="720"/>
        <w:jc w:val="both"/>
        <w:rPr>
          <w:b/>
        </w:rPr>
      </w:pPr>
      <w:r>
        <w:rPr>
          <w:b/>
        </w:rPr>
        <w:t>AND</w:t>
      </w:r>
    </w:p>
    <w:p w14:paraId="107897F8" w14:textId="77777777" w:rsidR="0081622E" w:rsidRDefault="00031C29">
      <w:pPr>
        <w:spacing w:line="480" w:lineRule="auto"/>
        <w:ind w:firstLine="720"/>
        <w:jc w:val="both"/>
      </w:pPr>
      <w:r>
        <w:t>viii.</w:t>
      </w:r>
      <w:r>
        <w:rPr>
          <w:rFonts w:ascii="Times New Roman" w:eastAsia="Times New Roman" w:hAnsi="Times New Roman" w:cs="Times New Roman"/>
          <w:sz w:val="14"/>
          <w:szCs w:val="14"/>
        </w:rPr>
        <w:t xml:space="preserve"> </w:t>
      </w:r>
      <w:r>
        <w:t>Their anxiety resulted in significant impairment in roles or normal function</w:t>
      </w:r>
    </w:p>
    <w:p w14:paraId="7D6ACC93" w14:textId="77777777" w:rsidR="0081622E" w:rsidRDefault="00031C29">
      <w:pPr>
        <w:spacing w:line="480" w:lineRule="auto"/>
        <w:ind w:firstLine="720"/>
        <w:jc w:val="both"/>
        <w:rPr>
          <w:b/>
        </w:rPr>
      </w:pPr>
      <w:r>
        <w:rPr>
          <w:b/>
        </w:rPr>
        <w:t>AND</w:t>
      </w:r>
    </w:p>
    <w:p w14:paraId="05371F30" w14:textId="77777777" w:rsidR="0081622E" w:rsidRDefault="00031C29">
      <w:pPr>
        <w:spacing w:line="480" w:lineRule="auto"/>
        <w:ind w:left="720"/>
        <w:jc w:val="both"/>
      </w:pPr>
      <w:r>
        <w:t>ix.</w:t>
      </w:r>
      <w:r>
        <w:rPr>
          <w:rFonts w:ascii="Times New Roman" w:eastAsia="Times New Roman" w:hAnsi="Times New Roman" w:cs="Times New Roman"/>
          <w:sz w:val="14"/>
          <w:szCs w:val="14"/>
        </w:rPr>
        <w:t xml:space="preserve"> </w:t>
      </w:r>
      <w:r>
        <w:t>They were not already classified as anxiety cases for the “Lifetime Anxiety Disorder” analysis</w:t>
      </w:r>
    </w:p>
    <w:p w14:paraId="2EB42A9D" w14:textId="77777777" w:rsidR="0081622E" w:rsidRDefault="0081622E">
      <w:pPr>
        <w:spacing w:line="480" w:lineRule="auto"/>
        <w:ind w:left="720"/>
        <w:jc w:val="both"/>
      </w:pPr>
    </w:p>
    <w:p w14:paraId="50D38906" w14:textId="77777777" w:rsidR="0081622E" w:rsidRDefault="00031C29">
      <w:pPr>
        <w:spacing w:line="480" w:lineRule="auto"/>
      </w:pPr>
      <w:r>
        <w:t xml:space="preserve"> UK Biobank item codes used for this definition: </w:t>
      </w:r>
    </w:p>
    <w:p w14:paraId="5E3C89AA" w14:textId="77777777" w:rsidR="0081622E" w:rsidRDefault="00031C29">
      <w:pPr>
        <w:spacing w:line="480" w:lineRule="auto"/>
      </w:pPr>
      <w:r>
        <w:t xml:space="preserve">f.20421.0.0 </w:t>
      </w:r>
      <w:r>
        <w:tab/>
        <w:t xml:space="preserve">f.20420.0.0 </w:t>
      </w:r>
      <w:r>
        <w:tab/>
        <w:t xml:space="preserve">f.20538.0.0 </w:t>
      </w:r>
      <w:r>
        <w:tab/>
        <w:t>f.20540.0.0</w:t>
      </w:r>
      <w:r>
        <w:tab/>
        <w:t>f.20543.0.0</w:t>
      </w:r>
      <w:r>
        <w:tab/>
        <w:t xml:space="preserve">f.20541.0.0 </w:t>
      </w:r>
    </w:p>
    <w:p w14:paraId="537A1A78" w14:textId="77777777" w:rsidR="0081622E" w:rsidRDefault="00031C29">
      <w:pPr>
        <w:spacing w:line="480" w:lineRule="auto"/>
      </w:pPr>
      <w:r>
        <w:t>f.20539.0.0</w:t>
      </w:r>
      <w:r>
        <w:tab/>
        <w:t xml:space="preserve">f.20537.0.0 </w:t>
      </w:r>
      <w:r>
        <w:tab/>
        <w:t xml:space="preserve">f.20423.0.0 </w:t>
      </w:r>
      <w:r>
        <w:tab/>
        <w:t xml:space="preserve">f.20429.0.0 </w:t>
      </w:r>
      <w:r>
        <w:tab/>
        <w:t xml:space="preserve">f.20419.0.0 </w:t>
      </w:r>
      <w:r>
        <w:tab/>
        <w:t xml:space="preserve">f.20422.0.0 </w:t>
      </w:r>
    </w:p>
    <w:p w14:paraId="0E565406" w14:textId="77777777" w:rsidR="0081622E" w:rsidRDefault="00031C29">
      <w:pPr>
        <w:spacing w:line="480" w:lineRule="auto"/>
      </w:pPr>
      <w:r>
        <w:t>f.20417.0.0</w:t>
      </w:r>
      <w:r>
        <w:tab/>
        <w:t>f.20427.0.0</w:t>
      </w:r>
      <w:r>
        <w:tab/>
        <w:t>f.20418.0.0</w:t>
      </w:r>
    </w:p>
    <w:p w14:paraId="20E22946" w14:textId="77777777" w:rsidR="0081622E" w:rsidRDefault="0081622E">
      <w:pPr>
        <w:spacing w:line="480" w:lineRule="auto"/>
      </w:pPr>
    </w:p>
    <w:p w14:paraId="1F5613A9" w14:textId="77777777" w:rsidR="0081622E" w:rsidRDefault="00031C29">
      <w:pPr>
        <w:spacing w:line="480" w:lineRule="auto"/>
        <w:rPr>
          <w:i/>
        </w:rPr>
      </w:pPr>
      <w:r>
        <w:rPr>
          <w:i/>
        </w:rPr>
        <w:t>(3)</w:t>
      </w:r>
      <w:r>
        <w:rPr>
          <w:rFonts w:ascii="Times New Roman" w:eastAsia="Times New Roman" w:hAnsi="Times New Roman" w:cs="Times New Roman"/>
          <w:sz w:val="14"/>
          <w:szCs w:val="14"/>
        </w:rPr>
        <w:t xml:space="preserve"> </w:t>
      </w:r>
      <w:r>
        <w:rPr>
          <w:i/>
        </w:rPr>
        <w:t>Current anxiety symptoms</w:t>
      </w:r>
    </w:p>
    <w:p w14:paraId="443CFAD5" w14:textId="4551A124" w:rsidR="0081622E" w:rsidRDefault="00031C29">
      <w:pPr>
        <w:spacing w:line="480" w:lineRule="auto"/>
      </w:pPr>
      <w:r>
        <w:t xml:space="preserve">The 7 item Generalised Anxiety Disorder 7 (GAD-7) </w:t>
      </w:r>
      <w:r w:rsidR="00630327">
        <w:fldChar w:fldCharType="begin"/>
      </w:r>
      <w:r w:rsidR="00B21EE8">
        <w:instrText>ADDIN F1000_CSL_CITATION&lt;~#@#~&gt;[{"DOI":"10.1001/archinte.166.10.1092","First":false,"Last":false,"PMID":"16717171","abstract":"&lt;strong&gt;BACKGROUND:&lt;/strong&gt;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validity.&lt;br&gt;&lt;br&gt;&lt;strong&gt;METHODS:&lt;/strong&gt;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use.&lt;br&gt;&lt;br&gt;&lt;strong&gt;RESULTS:&lt;/strong&gt;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scale.&lt;br&gt;&lt;br&gt;&lt;strong&gt;CONCLUSION:&lt;/strong&gt; The GAD-7 is a valid and efficient tool for screening for GAD and assessing its severity in clinical practice and research.","author":[{"family":"Spitzer","given":"Robert L"},{"family":"Kroenke","given":"Kurt"},{"family":"Williams","given":"Janet B W"},{"family":"Löwe","given":"Bernd"}],"authorYearDisplayFormat":false,"citation-label":"771330","container-title":"Archives of Internal Medicine","container-title-short":"Arch. Intern. Med.","id":"771330","invisible":false,"issue":"10","issued":{"date-parts":[["2006","5","22"]]},"journalAbbreviation":"Arch. Intern. Med.","page":"1092-1097","suppress-author":false,"title":"A brief measure for assessing generalized anxiety disorder: the GAD-7.","type":"article-journal","volume":"166"}]</w:instrText>
      </w:r>
      <w:r w:rsidR="00630327">
        <w:fldChar w:fldCharType="separate"/>
      </w:r>
      <w:r w:rsidR="00B21EE8" w:rsidRPr="00B21EE8">
        <w:rPr>
          <w:vertAlign w:val="superscript"/>
        </w:rPr>
        <w:t>1</w:t>
      </w:r>
      <w:r w:rsidR="00630327">
        <w:fldChar w:fldCharType="end"/>
      </w:r>
      <w:r>
        <w:t xml:space="preserve"> screening tool was administered to 157 366 participants who took part in the UK Biobank online mental health follow up. Of these, 126 443 individuals were of Western European descent, and all phenotypes were restricted to this sample for case and control definition. This measure assesses generalised anxiety symptoms (such as inappropriate worry) that have been experienced over the preceding two-week period.</w:t>
      </w:r>
    </w:p>
    <w:p w14:paraId="726F9F4F" w14:textId="77777777" w:rsidR="0081622E" w:rsidRDefault="00031C29">
      <w:pPr>
        <w:spacing w:line="480" w:lineRule="auto"/>
      </w:pPr>
      <w:r>
        <w:t xml:space="preserve">Where participants missed more than 2 items on the GAD-7, they were excluded from analyses. If participants missed one or two items, the score for the missing item/s was imputed as the average score for all completed items. A total score was then created for all participants and used in subsequent analyses as a quantitative phenotype. </w:t>
      </w:r>
    </w:p>
    <w:p w14:paraId="3F3F830C" w14:textId="4EB020F0" w:rsidR="0081622E" w:rsidRDefault="00031C29">
      <w:pPr>
        <w:spacing w:line="480" w:lineRule="auto"/>
      </w:pPr>
      <w:r>
        <w:t xml:space="preserve"> Participants who scored 10 or more on the GAD-7 total score were considered to have “current anxiety symptoms</w:t>
      </w:r>
      <w:r w:rsidR="003B7500">
        <w:t>” and</w:t>
      </w:r>
      <w:r>
        <w:t xml:space="preserve"> were used as cases for these subsequent analyses. This is a typical cut off point for some symptom severity using this screening measure </w:t>
      </w:r>
      <w:r w:rsidR="00630327">
        <w:fldChar w:fldCharType="begin"/>
      </w:r>
      <w:r w:rsidR="00B21EE8">
        <w:instrText>ADDIN F1000_CSL_CITATION&lt;~#@#~&gt;[{"DOI":"10.1001/archinte.166.10.1092","First":false,"Last":false,"PMID":"16717171","abstract":"&lt;strong&gt;BACKGROUND:&lt;/strong&gt;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validity.&lt;br&gt;&lt;br&gt;&lt;strong&gt;METHODS:&lt;/strong&gt;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use.&lt;br&gt;&lt;br&gt;&lt;strong&gt;RESULTS:&lt;/strong&gt;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scale.&lt;br&gt;&lt;br&gt;&lt;strong&gt;CONCLUSION:&lt;/strong&gt; The GAD-7 is a valid and efficient tool for screening for GAD and assessing its severity in clinical practice and research.","author":[{"family":"Spitzer","given":"Robert L"},{"family":"Kroenke","given":"Kurt"},{"family":"Williams","given":"Janet B W"},{"family":"Löwe","given":"Bernd"}],"authorYearDisplayFormat":false,"citation-label":"771330","container-title":"Archives of Internal Medicine","container-title-short":"Arch. Intern. Med.","id":"771330","invisible":false,"issue":"10","issued":{"date-parts":[["2006","5","22"]]},"journalAbbreviation":"Arch. Intern. Med.","page":"1092-1097","suppress-author":false,"title":"A brief measure for assessing generalized anxiety disorder: the GAD-7.","type":"article-journal","volume":"166"}]</w:instrText>
      </w:r>
      <w:r w:rsidR="00630327">
        <w:fldChar w:fldCharType="separate"/>
      </w:r>
      <w:r w:rsidR="00B21EE8" w:rsidRPr="00B21EE8">
        <w:rPr>
          <w:vertAlign w:val="superscript"/>
        </w:rPr>
        <w:t>1</w:t>
      </w:r>
      <w:r w:rsidR="00630327">
        <w:fldChar w:fldCharType="end"/>
      </w:r>
      <w:r>
        <w:t xml:space="preserve">. </w:t>
      </w:r>
    </w:p>
    <w:p w14:paraId="02934C30" w14:textId="77777777" w:rsidR="0081622E" w:rsidRDefault="00031C29">
      <w:pPr>
        <w:spacing w:line="480" w:lineRule="auto"/>
        <w:rPr>
          <w:sz w:val="18"/>
          <w:szCs w:val="18"/>
        </w:rPr>
      </w:pPr>
      <w:r>
        <w:t xml:space="preserve"> For sensitivity analyses exploring the dimensionality of anxiety symptoms, participants scoring between 5 and 10 on the GAD-7 total score were classed as having mild current GAD symptoms, scoring between 10 and 15 were classed as having moderate current GAD symptoms, and 15 or higher were classed as having severe current GAD symptoms. See Supplementary Table 1 for the total sample for each of these analyses.</w:t>
      </w:r>
    </w:p>
    <w:p w14:paraId="67DE8555" w14:textId="77777777" w:rsidR="0081622E" w:rsidRDefault="0081622E">
      <w:pPr>
        <w:spacing w:line="480" w:lineRule="auto"/>
        <w:rPr>
          <w:sz w:val="18"/>
          <w:szCs w:val="18"/>
        </w:rPr>
      </w:pPr>
    </w:p>
    <w:p w14:paraId="5EADFB0D" w14:textId="77777777" w:rsidR="0081622E" w:rsidRPr="00C86093" w:rsidRDefault="00031C29">
      <w:pPr>
        <w:spacing w:line="480" w:lineRule="auto"/>
      </w:pPr>
      <w:r w:rsidRPr="00C86093">
        <w:t xml:space="preserve">UK Biobank item codes used for this definition: </w:t>
      </w:r>
    </w:p>
    <w:p w14:paraId="53850527" w14:textId="77777777" w:rsidR="0081622E" w:rsidRPr="00C86093" w:rsidRDefault="00031C29">
      <w:pPr>
        <w:spacing w:line="480" w:lineRule="auto"/>
      </w:pPr>
      <w:r w:rsidRPr="00C86093">
        <w:t>f.20505.0.0</w:t>
      </w:r>
      <w:r w:rsidRPr="00C86093">
        <w:tab/>
        <w:t>f.20512.0.0</w:t>
      </w:r>
      <w:r w:rsidRPr="00C86093">
        <w:tab/>
        <w:t>f.2050.0.0</w:t>
      </w:r>
      <w:r w:rsidRPr="00C86093">
        <w:tab/>
        <w:t>f.20509.0.0</w:t>
      </w:r>
      <w:r w:rsidRPr="00C86093">
        <w:tab/>
        <w:t xml:space="preserve">f.20516.0.0 </w:t>
      </w:r>
      <w:r w:rsidRPr="00C86093">
        <w:tab/>
        <w:t>f.20515.0.0</w:t>
      </w:r>
    </w:p>
    <w:p w14:paraId="3123846F" w14:textId="77777777" w:rsidR="0081622E" w:rsidRPr="00C86093" w:rsidRDefault="00031C29">
      <w:pPr>
        <w:spacing w:line="480" w:lineRule="auto"/>
      </w:pPr>
      <w:r w:rsidRPr="00C86093">
        <w:t>f.20520.0.0</w:t>
      </w:r>
      <w:r w:rsidRPr="00C86093">
        <w:tab/>
      </w:r>
    </w:p>
    <w:p w14:paraId="3A9C52F1" w14:textId="77777777" w:rsidR="0081622E" w:rsidRDefault="0081622E">
      <w:pPr>
        <w:spacing w:line="480" w:lineRule="auto"/>
      </w:pPr>
    </w:p>
    <w:p w14:paraId="1A26BF5F" w14:textId="77777777" w:rsidR="0081622E" w:rsidRDefault="00031C29">
      <w:pPr>
        <w:spacing w:line="480" w:lineRule="auto"/>
        <w:rPr>
          <w:i/>
        </w:rPr>
      </w:pPr>
      <w:r>
        <w:rPr>
          <w:i/>
        </w:rPr>
        <w:t>(4)</w:t>
      </w:r>
      <w:r>
        <w:rPr>
          <w:rFonts w:ascii="Times New Roman" w:eastAsia="Times New Roman" w:hAnsi="Times New Roman" w:cs="Times New Roman"/>
          <w:i/>
          <w:sz w:val="14"/>
          <w:szCs w:val="14"/>
        </w:rPr>
        <w:t xml:space="preserve"> </w:t>
      </w:r>
      <w:r>
        <w:rPr>
          <w:i/>
        </w:rPr>
        <w:t>GAD-7 total score:</w:t>
      </w:r>
    </w:p>
    <w:p w14:paraId="5B884E7E" w14:textId="612C4EE8" w:rsidR="0081622E" w:rsidRDefault="00031C29">
      <w:pPr>
        <w:spacing w:line="480" w:lineRule="auto"/>
      </w:pPr>
      <w:r>
        <w:t xml:space="preserve">126 443 individuals of western European descent completed the GAD-7 screening tool. Of these, 50% obtained a total score of 0, resulting in an extreme positive skew of this measure </w:t>
      </w:r>
      <w:r>
        <w:lastRenderedPageBreak/>
        <w:t>that was not easily corrected. This measure did not conform to assumptions of normality required for the association analyses undertaken in GWAS, and thus it was considered that any secondary analyses resulting from this would not be interpretable, and analyses treating GAD-7 as a continuous measure were not included.</w:t>
      </w:r>
    </w:p>
    <w:p w14:paraId="17380D58" w14:textId="77777777" w:rsidR="0081622E" w:rsidRDefault="00031C29">
      <w:pPr>
        <w:spacing w:line="480" w:lineRule="auto"/>
        <w:rPr>
          <w:b/>
          <w:i/>
        </w:rPr>
      </w:pPr>
      <w:r>
        <w:rPr>
          <w:b/>
          <w:i/>
        </w:rPr>
        <w:t xml:space="preserve"> </w:t>
      </w:r>
    </w:p>
    <w:p w14:paraId="5C64AD14" w14:textId="77777777" w:rsidR="0081622E" w:rsidRDefault="00031C29">
      <w:pPr>
        <w:spacing w:line="480" w:lineRule="auto"/>
        <w:jc w:val="both"/>
        <w:rPr>
          <w:i/>
        </w:rPr>
      </w:pPr>
      <w:r>
        <w:rPr>
          <w:i/>
        </w:rPr>
        <w:t>(5)</w:t>
      </w:r>
      <w:r>
        <w:rPr>
          <w:rFonts w:ascii="Times New Roman" w:eastAsia="Times New Roman" w:hAnsi="Times New Roman" w:cs="Times New Roman"/>
          <w:i/>
          <w:sz w:val="14"/>
          <w:szCs w:val="14"/>
        </w:rPr>
        <w:t xml:space="preserve"> </w:t>
      </w:r>
      <w:r>
        <w:rPr>
          <w:i/>
        </w:rPr>
        <w:t>Screened Controls</w:t>
      </w:r>
    </w:p>
    <w:p w14:paraId="1D50B661" w14:textId="28C81991" w:rsidR="0081622E" w:rsidRDefault="00031C29">
      <w:pPr>
        <w:spacing w:line="480" w:lineRule="auto"/>
      </w:pPr>
      <w:r>
        <w:t>All case</w:t>
      </w:r>
      <w:r w:rsidR="003B7500">
        <w:t xml:space="preserve"> </w:t>
      </w:r>
      <w:r>
        <w:t xml:space="preserve">phenotypes were compared against a subset of screened healthy controls. Healthy controls were screened for any self-reported or probable disorder based on their responses to the mental health online follow up self-report diagnoses, symptom measures and CIDI screeners for all available disorders (Generalised Anxiety Disorder, Major Depressive Disorder). In addition, healthy controls did not report seeking any treatment for any psychiatric </w:t>
      </w:r>
      <w:r w:rsidR="003B7500">
        <w:t>disorder and</w:t>
      </w:r>
      <w:r>
        <w:t xml:space="preserve"> were not prescribed psychotropic medication that might be indicative of a </w:t>
      </w:r>
      <w:r w:rsidR="003B7500">
        <w:t>psychiatric</w:t>
      </w:r>
      <w:r>
        <w:t xml:space="preserve"> disorder.</w:t>
      </w:r>
    </w:p>
    <w:p w14:paraId="6480E6D7" w14:textId="49E80501" w:rsidR="0081622E" w:rsidRDefault="00031C29">
      <w:pPr>
        <w:spacing w:line="480" w:lineRule="auto"/>
      </w:pPr>
      <w:r>
        <w:t xml:space="preserve"> </w:t>
      </w:r>
    </w:p>
    <w:p w14:paraId="4024A9AF" w14:textId="77777777" w:rsidR="0081622E" w:rsidRDefault="00031C29">
      <w:pPr>
        <w:spacing w:line="480" w:lineRule="auto"/>
        <w:rPr>
          <w:i/>
          <w:sz w:val="18"/>
          <w:szCs w:val="18"/>
        </w:rPr>
      </w:pPr>
      <w:r>
        <w:rPr>
          <w:b/>
          <w:i/>
        </w:rPr>
        <w:t xml:space="preserve">Brief description of the </w:t>
      </w:r>
      <w:proofErr w:type="spellStart"/>
      <w:r>
        <w:rPr>
          <w:b/>
          <w:i/>
        </w:rPr>
        <w:t>iPSYCH</w:t>
      </w:r>
      <w:proofErr w:type="spellEnd"/>
      <w:r>
        <w:rPr>
          <w:b/>
          <w:i/>
        </w:rPr>
        <w:t xml:space="preserve"> cohort and analyses</w:t>
      </w:r>
    </w:p>
    <w:p w14:paraId="598E87C6" w14:textId="21A0FCA3" w:rsidR="0081622E" w:rsidRDefault="00031C29">
      <w:pPr>
        <w:spacing w:line="480" w:lineRule="auto"/>
      </w:pPr>
      <w:r>
        <w:t xml:space="preserve">As </w:t>
      </w:r>
      <w:proofErr w:type="gramStart"/>
      <w:r>
        <w:t>described</w:t>
      </w:r>
      <w:proofErr w:type="gramEnd"/>
      <w:r>
        <w:t xml:space="preserve"> this includes anxiety cases and controls from the Lundbeck Foundation Initiative for Integrative Psychiatric Research (</w:t>
      </w:r>
      <w:proofErr w:type="spellStart"/>
      <w:r>
        <w:t>iPSYCH</w:t>
      </w:r>
      <w:proofErr w:type="spellEnd"/>
      <w:r>
        <w:t xml:space="preserve">; </w:t>
      </w:r>
      <w:r w:rsidRPr="00B21EE8">
        <w:rPr>
          <w:color w:val="000000" w:themeColor="text1"/>
        </w:rPr>
        <w:t>http://ipsych.au.dk)</w:t>
      </w:r>
      <w:r>
        <w:t xml:space="preserve"> that were specifically selected to match the same anxiety inclusion and exclusion criteria used in the present UK Biobank analysis. Genotypes for the primary Denmark cohort came from Guthrie cards held by the Danish Neonatal Screening Biobank at </w:t>
      </w:r>
      <w:proofErr w:type="spellStart"/>
      <w:r>
        <w:t>Statens</w:t>
      </w:r>
      <w:proofErr w:type="spellEnd"/>
      <w:r>
        <w:t xml:space="preserve"> Serum </w:t>
      </w:r>
      <w:proofErr w:type="spellStart"/>
      <w:r>
        <w:t>Institut</w:t>
      </w:r>
      <w:proofErr w:type="spellEnd"/>
      <w:r>
        <w:t xml:space="preserve">. Samples from this biobank are linked to the Danish register system via the unique Danish personal identification number. The individuals were born between 1981 and 2005 and had to be alive and a resident of Denmark on their first birthday and have a known mother. Specifically, this analysis included those cases who met criteria for lifetime diagnosis of one of the five core anxiety phenotypes and did not meet criteria lifetime diagnosis of schizophrenia; bipolar disorder; autistic spectrum disorder; attention deficit hyperactivity disorder; or eating disorders (n = 2829), and controls (n = 10,386). Diagnoses were assigned by psychiatrists at inpatient and outpatient psychiatric services, and were identified using the Danish </w:t>
      </w:r>
      <w:r>
        <w:lastRenderedPageBreak/>
        <w:t xml:space="preserve">Psychiatric Central Research Register </w:t>
      </w:r>
      <w:r w:rsidR="00630327">
        <w:fldChar w:fldCharType="begin"/>
      </w:r>
      <w:r w:rsidR="00B21EE8">
        <w:instrText>ADDIN F1000_CSL_CITATION&lt;~#@#~&gt;[{"DOI":"10.1177/1403494810395825","First":false,"Last":false,"PMID":"21775352","abstract":"&lt;strong&gt;INTRODUCTION:&lt;/strong&gt; The Psychiatric Central Research Register (PCRR) has continued since 1970 with electronic registration of patients treated at psychiatric departments in Denmark.&lt;br&gt;&lt;br&gt;&lt;strong&gt;CONTENT:&lt;/strong&gt; The register contains dates of onset and end of any treatment; all diagnoses; type of referral; place of treatment; municipality of residence; mode of admission.&lt;br&gt;&lt;br&gt;&lt;strong&gt;VALIDITY AND COVERAGE:&lt;/strong&gt; Systematic studies validating the clinical diagnoses do not exist. However, several studies have validated specific diagnoses. The nationwide registration of severe mental disorders is almost complete. However, most cases with mild to moderate mental disorders are diagnosed and treated by general practitioners or specialists in psychiatry working in private practice and are thus not registered in the PCRR.&lt;br&gt;&lt;br&gt;&lt;strong&gt;CONCLUSION:&lt;/strong&gt; The PCRR is a valuable tool in national health planning and in epidemiological research.","author":[{"family":"Mors","given":"Ole"},{"family":"Perto","given":"Gurli P"},{"family":"Mortensen","given":"Preben Bo"}],"authorYearDisplayFormat":false,"citation-label":"5005585","container-title":"Scandinavian Journal of Public Health","container-title-short":"Scand. J. Public Health","id":"5005585","invisible":false,"issue":"7 Suppl","issued":{"date-parts":[["2011","7"]]},"journalAbbreviation":"Scand. J. Public Health","page":"54-57","suppress-author":false,"title":"The danish psychiatric central research register.","type":"article-journal","volume":"39"}]</w:instrText>
      </w:r>
      <w:r w:rsidR="00630327">
        <w:fldChar w:fldCharType="separate"/>
      </w:r>
      <w:r w:rsidR="00B21EE8" w:rsidRPr="00B21EE8">
        <w:rPr>
          <w:vertAlign w:val="superscript"/>
        </w:rPr>
        <w:t>2</w:t>
      </w:r>
      <w:r w:rsidR="00630327">
        <w:fldChar w:fldCharType="end"/>
      </w:r>
      <w:r>
        <w:t xml:space="preserve">. Controls were randomly selected from the same nationwide birth cohort. The DNA from the dried blood spots was extracted, whole-genome amplified in triplicates and genotyped in 23 batches based on birth year. The first wave (batch) contains the youngest participants (born in 2004) and wave 23 consists of the oldest participants (born in 1981). </w:t>
      </w:r>
    </w:p>
    <w:p w14:paraId="4BFB91AB" w14:textId="267B7B2E" w:rsidR="0081622E" w:rsidRDefault="00031C29">
      <w:pPr>
        <w:spacing w:line="480" w:lineRule="auto"/>
      </w:pPr>
      <w:r>
        <w:t xml:space="preserve">Genotyping was performed on Illumina’s </w:t>
      </w:r>
      <w:proofErr w:type="spellStart"/>
      <w:r>
        <w:t>PsychChip</w:t>
      </w:r>
      <w:proofErr w:type="spellEnd"/>
      <w:r>
        <w:t xml:space="preserve"> array at the Broad Institute of MIT and Harvard. </w:t>
      </w:r>
      <w:r w:rsidR="003B7500">
        <w:t>GenCall</w:t>
      </w:r>
      <w:r w:rsidR="00B21EE8">
        <w:fldChar w:fldCharType="begin"/>
      </w:r>
      <w:r w:rsidR="00B21EE8">
        <w:instrText>ADDIN F1000_CSL_CITATION&lt;~#@#~&gt;[{"DOI":"10.1007/s00122-009-1059-5","First":false,"Last":false,"PMCID":"PMC2715469","PMID":"19449174","abstract":"Single nucleotide polymorphisms (SNPs) are indispensable in such applications as association mapping and construction of high-density genetic maps. These applications usually require genotyping of thousands of SNPs in a large number of individuals. Although a number of SNP genotyping assays are available, most of them are designed for SNP genotyping in diploid individuals. Here, we demonstrate that the Illumina GoldenGate assay could be used for SNP genotyping of homozygous tetraploid and hexaploid wheat lines. Genotyping reactions could be carried out directly on genomic DNA without the necessity of preliminary PCR amplification. A total of 53 tetraploid and 38 hexaploid homozygous wheat lines were genotyped at 96 SNP loci. The genotyping error rate estimated after removal of low-quality data was 0 and 1% for tetraploid and hexaploid wheat, respectively. Developed SNP genotyping assays were shown to be useful for genotyping wheat cultivars. This study demonstrated that the GoldenGate assay is a very efficient tool for high-throughput genotyping of polyploid wheat, opening new possibilities for the analysis of genetic variation in wheat and dissection of genetic basis of complex traits using association mapping approach.","author":[{"family":"Akhunov","given":"Eduard"},{"family":"Nicolet","given":"Charles"},{"family":"Dvorak","given":"Jan"}],"authorYearDisplayFormat":false,"citation-label":"1261915","container-title":"TAG. Theoretical and Applied Genetics. Theoretische und Angewandte Genetik","container-title-short":"Theor. Appl. Genet.","id":"1261915","invisible":false,"issue":"3","issued":{"date-parts":[["2009","8"]]},"journalAbbreviation":"Theor. Appl. Genet.","page":"507-517","suppress-author":false,"title":"Single nucleotide polymorphism genotyping in polyploid wheat with the Illumina GoldenGate assay.","type":"article-journal","volume":"119"}]</w:instrText>
      </w:r>
      <w:r w:rsidR="00B21EE8">
        <w:fldChar w:fldCharType="separate"/>
      </w:r>
      <w:r w:rsidR="00B21EE8" w:rsidRPr="00B21EE8">
        <w:rPr>
          <w:noProof/>
          <w:vertAlign w:val="superscript"/>
        </w:rPr>
        <w:t>3</w:t>
      </w:r>
      <w:r w:rsidR="00B21EE8">
        <w:fldChar w:fldCharType="end"/>
      </w:r>
      <w:r w:rsidR="00B21EE8">
        <w:t xml:space="preserve"> </w:t>
      </w:r>
      <w:r>
        <w:t>and Birdseed</w:t>
      </w:r>
      <w:r w:rsidR="00630327">
        <w:fldChar w:fldCharType="begin"/>
      </w:r>
      <w:r w:rsidR="00B21EE8">
        <w:instrText>ADDIN F1000_CSL_CITATION&lt;~#@#~&gt;[{"DOI":"10.1038/ng.237","First":false,"Last":false,"PMCID":"PMC2756534","PMID":"18776909","abstract":"Accurate and complete measurement of single nucleotide (SNP) and copy number (CNV) variants, both common and rare, will be required to understand the role of genetic variation in disease. We present Birdsuite, a four-stage analytical framework instantiated in software for deriving integrated and mutually consistent copy number and SNP genotypes. The method sequentially assigns copy number across regions of common copy number polymorphisms (CNPs), calls genotypes of SNPs, identifies rare CNVs via a hidden Markov model (HMM), and generates an integrated sequence and copy number genotype at every locus (for example, including genotypes such as A-null, AAB and BBB in addition to AA, AB and BB calls). Such genotypes more accurately depict the underlying sequence of each individual, reducing the rate of apparent mendelian inconsistencies. The Birdsuite software is applied here to data from the Affymetrix SNP 6.0 array. Additionally, we describe a method, implemented in PLINK, to utilize these combined SNP and CNV genotypes for association testing with a phenotype.","author":[{"family":"Korn","given":"Joshua M"},{"family":"Kuruvilla","given":"Finny G"},{"family":"McCarroll","given":"Steven A"},{"family":"Wysoker","given":"Alec"},{"family":"Nemesh","given":"James"},{"family":"Cawley","given":"Simon"},{"family":"Hubbell","given":"Earl"},{"family":"Veitch","given":"Jim"},{"family":"Collins","given":"Patrick J"},{"family":"Darvishi","given":"Katayoon"},{"family":"Lee","given":"Charles"},{"family":"Nizzari","given":"Marcia M"},{"family":"Gabriel","given":"Stacey B"},{"family":"Purcell","given":"Shaun"},{"family":"Daly","given":"Mark J"},{"family":"Altshuler","given":"David"}],"authorYearDisplayFormat":false,"citation-label":"1335514","container-title":"Nature Genetics","container-title-short":"Nat. Genet.","id":"1335514","invisible":false,"issue":"10","issued":{"date-parts":[["2008","10"]]},"journalAbbreviation":"Nat. Genet.","page":"1253-1260","suppress-author":false,"title":"Integrated genotype calling and association analysis of SNPs, common copy number polymorphisms and rare CNVs.","type":"article-journal","volume":"40"}]</w:instrText>
      </w:r>
      <w:r w:rsidR="00630327">
        <w:fldChar w:fldCharType="separate"/>
      </w:r>
      <w:r w:rsidR="00B21EE8" w:rsidRPr="00B21EE8">
        <w:rPr>
          <w:vertAlign w:val="superscript"/>
        </w:rPr>
        <w:t>4</w:t>
      </w:r>
      <w:r w:rsidR="00630327">
        <w:fldChar w:fldCharType="end"/>
      </w:r>
      <w:r>
        <w:t xml:space="preserve"> were used to call variants with MAF &gt; 0.01. </w:t>
      </w:r>
      <w:proofErr w:type="spellStart"/>
      <w:r>
        <w:t>Callsets</w:t>
      </w:r>
      <w:proofErr w:type="spellEnd"/>
      <w:r>
        <w:t xml:space="preserve"> were merged after pre-QC on individual call sets. Data processing and GWAS analyses were performed on secure servers at the </w:t>
      </w:r>
      <w:proofErr w:type="spellStart"/>
      <w:r>
        <w:t>GenomeDK</w:t>
      </w:r>
      <w:proofErr w:type="spellEnd"/>
      <w:r>
        <w:t xml:space="preserve"> high-performance computing cluster (http://genome.au.dk). </w:t>
      </w:r>
    </w:p>
    <w:p w14:paraId="0D1025B1" w14:textId="77777777" w:rsidR="0081622E" w:rsidRDefault="0081622E">
      <w:pPr>
        <w:spacing w:line="480" w:lineRule="auto"/>
      </w:pPr>
    </w:p>
    <w:p w14:paraId="3F829F3D" w14:textId="6B700F83" w:rsidR="0081622E" w:rsidRDefault="00031C29">
      <w:pPr>
        <w:spacing w:line="480" w:lineRule="auto"/>
      </w:pPr>
      <w:r>
        <w:t xml:space="preserve">DNA preparation, genotyping, genotype calling, quality control methods, and imputation were performed on the broader </w:t>
      </w:r>
      <w:proofErr w:type="spellStart"/>
      <w:r>
        <w:t>iPSYCH</w:t>
      </w:r>
      <w:proofErr w:type="spellEnd"/>
      <w:r>
        <w:t xml:space="preserve"> cohort waves, which also included psychiatric cases with non-AN diagnoses (schizophrenia, depression, anorexia nervosa, bipolar disorder, autism spectrum disorder, and attention-deficit/hyperactivity disorder). The full </w:t>
      </w:r>
      <w:proofErr w:type="spellStart"/>
      <w:r>
        <w:t>iPSYCH</w:t>
      </w:r>
      <w:proofErr w:type="spellEnd"/>
      <w:r>
        <w:t xml:space="preserve"> cohort described contains ~86 000 individuals, including about 57 000 cases with at least one of the noted psychiatric disorders and around 30,000 controls who do not have any of the noted psychiatric disorders that are investigated in </w:t>
      </w:r>
      <w:proofErr w:type="spellStart"/>
      <w:r>
        <w:t>iPSYCH</w:t>
      </w:r>
      <w:proofErr w:type="spellEnd"/>
      <w:r>
        <w:t xml:space="preserve">. Each wave that was processed had ~3 500 participants. More information about the </w:t>
      </w:r>
      <w:proofErr w:type="spellStart"/>
      <w:r>
        <w:t>iPSYCH</w:t>
      </w:r>
      <w:proofErr w:type="spellEnd"/>
      <w:r>
        <w:t xml:space="preserve"> study can be found here </w:t>
      </w:r>
      <w:r w:rsidR="00630327">
        <w:fldChar w:fldCharType="begin"/>
      </w:r>
      <w:r w:rsidR="00B21EE8">
        <w:instrText>ADDIN F1000_CSL_CITATION&lt;~#@#~&gt;[{"DOI":"10.1038/mp.2017.196","First":false,"Last":false,"PMCID":"PMC5754466","PMID":"28924187","abstract":"The Integrative Psychiatric Research (iPSYCH) consortium has established a large Danish population-based Case-Cohort sample (iPSYCH2012) aimed at unravelling the genetic and environmental architecture of severe mental disorders. The iPSYCH2012 sample is nested within the entire Danish population born between 1981 and 2005, including 1 472 762 persons. This paper introduces the iPSYCH2012 sample and outlines key future research directions. Cases were identified as persons with schizophrenia (N=3540), autism (N=16 146), attention-deficit/hyperactivity disorder (N=18 726) and affective disorder (N=26 380), of which 1928 had bipolar affective disorder. Controls were randomly sampled individuals (N=30 000). Within the sample of 86 189 individuals, a total of 57 377 individuals had at least one major mental disorder. DNA was extracted from the neonatal dried blood spot samples obtained from the Danish Neonatal Screening Biobank and genotyped using the Illumina PsychChip. Genotyping was successful for 90% of the sample. The assessments of exome sequencing, methylation profiling, metabolome profiling, vitamin-D, inflammatory and neurotrophic factors are in progress. For each individual, the iPSYCH2012 sample also includes longitudinal information on health, prescribed medicine, social and socioeconomic information, and analogous information among relatives. To the best of our knowledge, the iPSYCH2012 sample is the largest and most comprehensive data source for the combined study of genetic and environmental aetiologies of severe mental disorders.","author":[{"family":"Pedersen","given":"C B"},{"family":"Bybjerg-Grauholm","given":"J"},{"family":"Pedersen","given":"M G"},{"family":"Grove","given":"J"},{"family":"Agerbo","given":"E"},{"family":"Bækvad-Hansen","given":"M"},{"family":"Poulsen","given":"J B"},{"family":"Hansen","given":"C S"},{"family":"McGrath","given":"J J"},{"family":"Als","given":"T D"},{"family":"Goldstein","given":"J I"},{"family":"Neale","given":"B M"},{"family":"Daly","given":"M J"},{"family":"Hougaard","given":"D M"},{"family":"Mors","given":"O"},{"family":"Nordentoft","given":"M"},{"family":"Børglum","given":"A D"},{"family":"Werge","given":"T"},{"family":"Mortensen","given":"P B"}],"authorYearDisplayFormat":false,"citation-label":"4994648","container-title":"Molecular Psychiatry","container-title-short":"Mol. Psychiatry","id":"4994648","invisible":false,"issue":"1","issued":{"date-parts":[["2018"]]},"journalAbbreviation":"Mol. Psychiatry","page":"6-14","suppress-author":false,"title":"The iPSYCH2012 case-cohort sample: new directions for unravelling genetic and environmental architectures of severe mental disorders.","type":"article-journal","volume":"23"}]</w:instrText>
      </w:r>
      <w:r w:rsidR="00630327">
        <w:fldChar w:fldCharType="separate"/>
      </w:r>
      <w:r w:rsidR="00B21EE8" w:rsidRPr="00B21EE8">
        <w:rPr>
          <w:vertAlign w:val="superscript"/>
        </w:rPr>
        <w:t>5</w:t>
      </w:r>
      <w:r w:rsidR="00630327">
        <w:fldChar w:fldCharType="end"/>
      </w:r>
      <w:r>
        <w:t xml:space="preserve">. Ancestry principal components and principal components that captured batch effects and other possible sources of variation were included as covariates. </w:t>
      </w:r>
    </w:p>
    <w:p w14:paraId="1123B9E2" w14:textId="77777777" w:rsidR="0081622E" w:rsidRDefault="0081622E">
      <w:pPr>
        <w:spacing w:line="480" w:lineRule="auto"/>
        <w:jc w:val="center"/>
        <w:rPr>
          <w:i/>
        </w:rPr>
      </w:pPr>
    </w:p>
    <w:p w14:paraId="229EDAF6" w14:textId="77777777" w:rsidR="0081622E" w:rsidRDefault="00031C29">
      <w:pPr>
        <w:spacing w:line="480" w:lineRule="auto"/>
        <w:jc w:val="both"/>
        <w:rPr>
          <w:b/>
          <w:i/>
        </w:rPr>
      </w:pPr>
      <w:r>
        <w:rPr>
          <w:b/>
          <w:i/>
        </w:rPr>
        <w:t>Additional Genotype and Sample QC</w:t>
      </w:r>
    </w:p>
    <w:p w14:paraId="4342CA43" w14:textId="77777777" w:rsidR="0081622E" w:rsidRDefault="00031C29">
      <w:pPr>
        <w:spacing w:line="480" w:lineRule="auto"/>
      </w:pPr>
      <w:r>
        <w:t>Several QC steps were taken in addition to the UK Biobank QC pipeline.</w:t>
      </w:r>
    </w:p>
    <w:p w14:paraId="74563D56" w14:textId="77777777" w:rsidR="0081622E" w:rsidRDefault="00031C29">
      <w:pPr>
        <w:spacing w:line="480" w:lineRule="auto"/>
        <w:jc w:val="both"/>
        <w:rPr>
          <w:i/>
        </w:rPr>
      </w:pPr>
      <w:r>
        <w:rPr>
          <w:i/>
        </w:rPr>
        <w:t>Sample QC</w:t>
      </w:r>
    </w:p>
    <w:p w14:paraId="2B7BF3A5" w14:textId="77777777" w:rsidR="0081622E" w:rsidRDefault="00031C29">
      <w:pPr>
        <w:spacing w:line="480" w:lineRule="auto"/>
      </w:pPr>
      <w:r>
        <w:t xml:space="preserve">Individuals were identified as biologically male if they had X-chromosome heterogeneity &gt; 0.9, and as biologically female if they had X-chromosome heterogeneity &gt; 0.5. Individuals </w:t>
      </w:r>
      <w:r>
        <w:lastRenderedPageBreak/>
        <w:t>were excluded from analyses if there was a discrepancy between their self-reported and biological sex based on these thresholds (401 individuals removed).</w:t>
      </w:r>
    </w:p>
    <w:p w14:paraId="4D3ECDE4" w14:textId="2531F59E" w:rsidR="0081622E" w:rsidRDefault="00031C29">
      <w:pPr>
        <w:spacing w:line="480" w:lineRule="auto"/>
      </w:pPr>
      <w:r>
        <w:t xml:space="preserve">One member of any related pair was removed from further analyses (Kinship-based </w:t>
      </w:r>
      <w:proofErr w:type="spellStart"/>
      <w:r>
        <w:t>INference</w:t>
      </w:r>
      <w:proofErr w:type="spellEnd"/>
      <w:r>
        <w:t xml:space="preserve"> for Genome-wide association studies; </w:t>
      </w:r>
      <w:r>
        <w:rPr>
          <w:rFonts w:ascii="Arial Unicode MS" w:eastAsia="Arial Unicode MS" w:hAnsi="Arial Unicode MS" w:cs="Arial Unicode MS"/>
        </w:rPr>
        <w:t>KING ≥ 0.044). Individuals were also removed if overall genotype missingness was ≥ 0.02.</w:t>
      </w:r>
      <w:r>
        <w:t xml:space="preserve"> Analyses were restricted to individuals of European descent as assessed through 4 means clustering (n = 462 065).</w:t>
      </w:r>
    </w:p>
    <w:p w14:paraId="7D6D9292" w14:textId="77777777" w:rsidR="0081622E" w:rsidRDefault="00031C29">
      <w:pPr>
        <w:spacing w:line="480" w:lineRule="auto"/>
      </w:pPr>
      <w:r>
        <w:t xml:space="preserve"> </w:t>
      </w:r>
    </w:p>
    <w:p w14:paraId="6F9CD6B5" w14:textId="77777777" w:rsidR="0081622E" w:rsidRDefault="00031C29">
      <w:pPr>
        <w:spacing w:line="480" w:lineRule="auto"/>
      </w:pPr>
      <w:r>
        <w:t xml:space="preserve">Genomic analyses were restricted to individuals of Western European descent as identified by 4 means clustering, based on the top principal components derived from the whole sample. </w:t>
      </w:r>
    </w:p>
    <w:p w14:paraId="6EE5DEB4" w14:textId="77777777" w:rsidR="0081622E" w:rsidRDefault="00031C29">
      <w:pPr>
        <w:spacing w:line="480" w:lineRule="auto"/>
      </w:pPr>
      <w:r>
        <w:t xml:space="preserve"> </w:t>
      </w:r>
    </w:p>
    <w:p w14:paraId="039D9076" w14:textId="77777777" w:rsidR="0081622E" w:rsidRDefault="00031C29">
      <w:pPr>
        <w:spacing w:line="480" w:lineRule="auto"/>
        <w:rPr>
          <w:i/>
        </w:rPr>
      </w:pPr>
      <w:r>
        <w:rPr>
          <w:i/>
        </w:rPr>
        <w:t>Genotype QC</w:t>
      </w:r>
    </w:p>
    <w:p w14:paraId="4EBBB617" w14:textId="77777777" w:rsidR="0081622E" w:rsidRDefault="00031C29">
      <w:pPr>
        <w:spacing w:line="480" w:lineRule="auto"/>
      </w:pPr>
      <w:r>
        <w:rPr>
          <w:rFonts w:ascii="Arial Unicode MS" w:eastAsia="Arial Unicode MS" w:hAnsi="Arial Unicode MS" w:cs="Arial Unicode MS"/>
        </w:rPr>
        <w:t>In addition to UK Biobank genotype QC, variants were removed if HWE ≤ 1x10</w:t>
      </w:r>
      <w:r>
        <w:rPr>
          <w:vertAlign w:val="superscript"/>
        </w:rPr>
        <w:t>-6</w:t>
      </w:r>
      <w:r>
        <w:rPr>
          <w:rFonts w:ascii="Arial Unicode MS" w:eastAsia="Arial Unicode MS" w:hAnsi="Arial Unicode MS" w:cs="Arial Unicode MS"/>
        </w:rPr>
        <w:t>, GENO ≤ 0.02.</w:t>
      </w:r>
    </w:p>
    <w:p w14:paraId="1245652D" w14:textId="77777777" w:rsidR="0081622E" w:rsidRDefault="00031C29">
      <w:pPr>
        <w:spacing w:line="480" w:lineRule="auto"/>
      </w:pPr>
      <w:r>
        <w:t xml:space="preserve"> </w:t>
      </w:r>
    </w:p>
    <w:p w14:paraId="0B473A81" w14:textId="77777777" w:rsidR="0081622E" w:rsidRDefault="00031C29">
      <w:pPr>
        <w:spacing w:line="480" w:lineRule="auto"/>
        <w:rPr>
          <w:b/>
          <w:i/>
        </w:rPr>
      </w:pPr>
      <w:r>
        <w:rPr>
          <w:b/>
          <w:i/>
        </w:rPr>
        <w:t>SNP heritability estimates</w:t>
      </w:r>
    </w:p>
    <w:p w14:paraId="469C2175" w14:textId="7C4788C6" w:rsidR="0081622E" w:rsidRDefault="00031C29">
      <w:pPr>
        <w:spacing w:line="480" w:lineRule="auto"/>
      </w:pPr>
      <w:r>
        <w:t xml:space="preserve">Conversion of the point estimate of heritability derived from BOLT-LMM </w:t>
      </w:r>
      <w:r w:rsidR="00630327">
        <w:fldChar w:fldCharType="begin"/>
      </w:r>
      <w:r w:rsidR="00B21EE8">
        <w:instrText>ADDIN F1000_CSL_CITATION&lt;~#@#~&gt;[{"DOI":"10.1038/ng.3190","First":false,"Last":false,"PMCID":"PMC4342297","PMID":"25642633","abstract":"Linear mixed models are a powerful statistical tool for identifying genetic associations and avoiding confounding. However, existing methods are computationally intractable in large cohorts and may not optimize power. All existing methods require time cost O(MN(2)) (where N is the number of samples and M is the number of SNPs) and implicitly assume an infinitesimal genetic architecture in which effect sizes are normally distributed, which can limit power. Here we present a far more efficient mixed-model association method, BOLT-LMM, which requires only a small number of O(MN) time iterations and increases power by modeling more realistic, non-infinitesimal genetic architectures via a Bayesian mixture prior on marker effect sizes. We applied BOLT-LMM to 9 quantitative traits in 23,294 samples from the Women's Genome Health Study (WGHS) and observed significant increases in power, consistent with simulations. Theory and simulations show that the boost in power increases with cohort size, making BOLT-LMM appealing for genome-wide association studies in large cohorts. ","author":[{"family":"Loh","given":"Po-Ru"},{"family":"Tucker","given":"George"},{"family":"Bulik-Sullivan","given":"Brendan K"},{"family":"Vilhjálmsson","given":"Bjarni J"},{"family":"Finucane","given":"Hilary K"},{"family":"Salem","given":"Rany M"},{"family":"Chasman","given":"Daniel I"},{"family":"Ridker","given":"Paul M"},{"family":"Neale","given":"Benjamin M"},{"family":"Berger","given":"Bonnie"},{"family":"Patterson","given":"Nick"},{"family":"Price","given":"Alkes L"}],"authorYearDisplayFormat":false,"citation-label":"1876852","container-title":"Nature Genetics","container-title-short":"Nat. Genet.","id":"1876852","invisible":false,"issue":"3","issued":{"date-parts":[["2015","3"]]},"journalAbbreviation":"Nat. Genet.","page":"284-290","suppress-author":false,"title":"Efficient Bayesian mixed-model analysis increases association power in large cohorts.","type":"article-journal","volume":"47"}]</w:instrText>
      </w:r>
      <w:r w:rsidR="00630327">
        <w:fldChar w:fldCharType="separate"/>
      </w:r>
      <w:r w:rsidR="00B21EE8" w:rsidRPr="00B21EE8">
        <w:rPr>
          <w:vertAlign w:val="superscript"/>
        </w:rPr>
        <w:t>6</w:t>
      </w:r>
      <w:r w:rsidR="00630327">
        <w:fldChar w:fldCharType="end"/>
      </w:r>
      <w:r>
        <w:t xml:space="preserve"> to the liability scale was undertaken as per procedures described in Lee et al. 2012 </w:t>
      </w:r>
      <w:r w:rsidR="00630327">
        <w:fldChar w:fldCharType="begin"/>
      </w:r>
      <w:r w:rsidR="00B21EE8">
        <w:instrText>ADDIN F1000_CSL_CITATION&lt;~#@#~&gt;[{"DOI":"10.1002/gepi.21614","First":false,"Last":false,"PMID":"22714935","abstract":"Genome-wide association studies have facilitated the construction of risk predictors for disease from multiple Single Nucleotide Polymorphism markers. The ability of such \"genetic profiles\" to predict outcome is usually quantified in an independent data set. Coefficients of determination (R(2) ) have been a useful measure to quantify the goodness-of-fit of the genetic profile. Various pseudo-R(2) measures for binary responses have been proposed. However, there is no standard or consensus measure because the concept of residual variance is not easily defined on the observed probability scale. Unlike other nongenetic predictors such as environmental exposure, there is prior information on genetic predictors because for most traits there are estimates of the proportion of variation in risk in the population due to all genetic factors, the heritability. It is this useful ability to benchmark that makes the choice of a measure of goodness-of-fit in genetic profiling different from that of nongenetic predictors. In this study, we use a liability threshold model to establish the relationship between the observed probability scale and underlying liability scale in measuring R(2) for binary responses. We show that currently used R(2) measures are difficult to interpret, biased by ascertainment, and not comparable to heritability. We suggest a novel and globally standard measure of R(2) that is interpretable on the liability scale. Furthermore, even when using ascertained case-control studies that are typical in human disease studies, we can obtain an R(2) measure on the liability scale that can be compared directly to heritability.© 2012 Wiley Periodicals, Inc.","author":[{"family":"Lee","given":"Sang Hong"},{"family":"Goddard","given":"Michael E"},{"family":"Wray","given":"Naomi R"},{"family":"Visscher","given":"Peter M"}],"authorYearDisplayFormat":false,"citation-label":"1335728","container-title":"Genetic Epidemiology","container-title-short":"Genet. Epidemiol.","id":"1335728","invisible":false,"issue":"3","issued":{"date-parts":[["2012","4"]]},"journalAbbreviation":"Genet. Epidemiol.","page":"214-224","suppress-author":false,"title":"A better coefficient of determination for genetic profile analysis.","type":"article-journal","volume":"36"}]</w:instrText>
      </w:r>
      <w:r w:rsidR="00630327">
        <w:fldChar w:fldCharType="separate"/>
      </w:r>
      <w:r w:rsidR="00B21EE8" w:rsidRPr="00B21EE8">
        <w:rPr>
          <w:vertAlign w:val="superscript"/>
        </w:rPr>
        <w:t>7</w:t>
      </w:r>
      <w:r w:rsidR="00630327">
        <w:fldChar w:fldCharType="end"/>
      </w:r>
      <w:r>
        <w:t xml:space="preserve">. Standard errors were converted to variances estimates, and converted to the liability scale as per procedure described in Lee et al. (2011) </w:t>
      </w:r>
      <w:r w:rsidR="00630327">
        <w:fldChar w:fldCharType="begin"/>
      </w:r>
      <w:r w:rsidR="00B21EE8">
        <w:instrText>ADDIN F1000_CSL_CITATION&lt;~#@#~&gt;[{"DOI":"10.1016/j.ajhg.2011.02.002","First":false,"Last":false,"PMCID":"PMC3059431","PMID":"21376301","abstract":"Genome-wide association studies are designed to discover SNPs that are associated with a complex trait. Employing strict significance thresholds when testing individual SNPs avoids false positives at the expense of increasing false negatives. Recently, we developed a method for quantitative traits that estimates the variation accounted for when fitting all SNPs simultaneously. Here we develop this method further for case-control studies. We use a linear mixed model for analysis of binary traits and transform the estimates to a liability scale by adjusting both for scale and for ascertainment of the case samples. We show by theory and simulation that the method is unbiased. We apply the method to data from the Wellcome Trust Case Control Consortium and show that a substantial proportion of variation in liability for Crohn disease, bipolar disorder, and type I diabetes is tagged by common SNPs.&lt;br&gt;&lt;br&gt;Copyright © 2011 The American Society of Human Genetics. Published by Elsevier Inc. All rights reserved.","author":[{"family":"Lee","given":"Sang Hong"},{"family":"Wray","given":"Naomi R"},{"family":"Goddard","given":"Michael E"},{"family":"Visscher","given":"Peter M"}],"authorYearDisplayFormat":false,"citation-label":"1924292","container-title":"American Journal of Human Genetics","container-title-short":"Am. J. Hum. Genet.","id":"1924292","invisible":false,"issue":"3","issued":{"date-parts":[["2011","3","11"]]},"journalAbbreviation":"Am. J. Hum. Genet.","page":"294-305","suppress-author":false,"title":"Estimating missing heritability for disease from genome-wide association studies.","type":"article-journal","volume":"88"}]</w:instrText>
      </w:r>
      <w:r w:rsidR="00630327">
        <w:fldChar w:fldCharType="separate"/>
      </w:r>
      <w:r w:rsidR="00B21EE8" w:rsidRPr="00B21EE8">
        <w:rPr>
          <w:vertAlign w:val="superscript"/>
        </w:rPr>
        <w:t>8</w:t>
      </w:r>
      <w:r w:rsidR="00630327">
        <w:fldChar w:fldCharType="end"/>
      </w:r>
      <w:r>
        <w:t>.</w:t>
      </w:r>
    </w:p>
    <w:p w14:paraId="6EBC60FD" w14:textId="77777777" w:rsidR="0081622E" w:rsidRPr="003B7500" w:rsidRDefault="00031C29">
      <w:pPr>
        <w:spacing w:line="480" w:lineRule="auto"/>
        <w:rPr>
          <w:rFonts w:ascii="Calibri" w:eastAsia="Calibri" w:hAnsi="Calibri" w:cs="Calibri"/>
          <w:b/>
        </w:rPr>
      </w:pPr>
      <w:r w:rsidRPr="003B7500">
        <w:rPr>
          <w:b/>
        </w:rPr>
        <w:t xml:space="preserve"> </w:t>
      </w:r>
      <w:r w:rsidRPr="003B7500">
        <w:rPr>
          <w:rFonts w:ascii="Calibri" w:eastAsia="Calibri" w:hAnsi="Calibri" w:cs="Calibri"/>
          <w:b/>
        </w:rPr>
        <w:t>Genetic correlations</w:t>
      </w:r>
    </w:p>
    <w:p w14:paraId="4BE1C1CC" w14:textId="77777777" w:rsidR="0081622E" w:rsidRPr="003B7500" w:rsidRDefault="00031C29">
      <w:pPr>
        <w:spacing w:line="480" w:lineRule="auto"/>
        <w:rPr>
          <w:rFonts w:ascii="Calibri" w:eastAsia="Calibri" w:hAnsi="Calibri" w:cs="Calibri"/>
        </w:rPr>
      </w:pPr>
      <w:r w:rsidRPr="003B7500">
        <w:rPr>
          <w:rFonts w:ascii="Calibri" w:eastAsia="Calibri" w:hAnsi="Calibri" w:cs="Calibri"/>
        </w:rPr>
        <w:t>Genetic correlations were performed against all traits available on LD hub on the 11 August 2018, with the exception of the 597 unpublished UK biobank trait GWAS.</w:t>
      </w:r>
    </w:p>
    <w:p w14:paraId="2ED47A90" w14:textId="77777777" w:rsidR="0081622E" w:rsidRDefault="00031C29">
      <w:pPr>
        <w:spacing w:line="480" w:lineRule="auto"/>
        <w:rPr>
          <w:b/>
          <w:i/>
        </w:rPr>
      </w:pPr>
      <w:r>
        <w:rPr>
          <w:b/>
          <w:i/>
        </w:rPr>
        <w:t>Gene-wise analysis</w:t>
      </w:r>
    </w:p>
    <w:p w14:paraId="286EBCC8" w14:textId="2D71A70B" w:rsidR="0081622E" w:rsidRDefault="00031C29">
      <w:pPr>
        <w:spacing w:line="480" w:lineRule="auto"/>
      </w:pPr>
      <w:r>
        <w:lastRenderedPageBreak/>
        <w:t>Gene based enrichment analyses were used to consider possible associations between “Lifetime Anxiety Disorder” at the aggregate gene level that may not be detectable at the SNP level in highly polygenic traits. MAGMA performs multiple regression on biologically informed gene sets with the outcome trait, while accounting for LD structure between SNPs</w:t>
      </w:r>
      <w:r>
        <w:rPr>
          <w:vertAlign w:val="superscript"/>
        </w:rPr>
        <w:t xml:space="preserve"> </w:t>
      </w:r>
      <w:r w:rsidR="00630327">
        <w:rPr>
          <w:vertAlign w:val="superscript"/>
        </w:rPr>
        <w:fldChar w:fldCharType="begin"/>
      </w:r>
      <w:r w:rsidR="00B21EE8">
        <w:rPr>
          <w:vertAlign w:val="superscript"/>
        </w:rPr>
        <w:instrText>ADDIN F1000_CSL_CITATION&lt;~#@#~&gt;[{"DOI":"10.1371/journal.pcbi.1004219","First":false,"Last":false,"PMCID":"PMC4401657","PMID":"25885710","abstract":"By aggregating data for complex traits in a biologically meaningful way, gene and gene-set analysis constitute a valuable addition to single-marker analysis. However, although various methods for gene and gene-set analysis currently exist, they generally suffer from a number of issues. Statistical power for most methods is strongly affected by linkage disequilibrium between markers, multi-marker associations are often hard to detect, and the reliance on permutation to compute p-values tends to make the analysis computationally very expensive. To address these issues we have developed MAGMA, a novel tool for gene and gene-set analysis. The gene analysis is based on a multiple regression model, to provide better statistical performance. The gene-set analysis is built as a separate layer around the gene analysis for additional flexibility. This gene-set analysis also uses a regression structure to allow generalization to analysis of continuous properties of genes and simultaneous analysis of multiple gene sets and other gene properties. Simulations and an analysis of Crohn's Disease data are used to evaluate the performance of MAGMA and to compare it to a number of other gene and gene-set analysis tools. The results show that MAGMA has significantly more power than other tools for both the gene and the gene-set analysis, identifying more genes and gene sets associated with Crohn's Disease while maintaining a correct type 1 error rate. Moreover, the MAGMA analysis of the Crohn's Disease data was found to be considerably faster as well. ","author":[{"family":"de Leeuw","given":"Christiaan A"},{"family":"Mooij","given":"Joris M"},{"family":"Heskes","given":"Tom"},{"family":"Posthuma","given":"Danielle"}],"authorYearDisplayFormat":false,"citation-label":"1234481","container-title":"PLoS Computational Biology","container-title-short":"PLoS Comput. Biol.","id":"1234481","invisible":false,"issue":"4","issued":{"date-parts":[["2015","4","17"]]},"journalAbbreviation":"PLoS Comput. Biol.","page":"e1004219","suppress-author":false,"title":"MAGMA: generalized gene-set analysis of GWAS data.","type":"article-journal","volume":"11"}]</w:instrText>
      </w:r>
      <w:r w:rsidR="00630327">
        <w:rPr>
          <w:vertAlign w:val="superscript"/>
        </w:rPr>
        <w:fldChar w:fldCharType="separate"/>
      </w:r>
      <w:r w:rsidR="00B21EE8" w:rsidRPr="00B21EE8">
        <w:rPr>
          <w:vertAlign w:val="superscript"/>
        </w:rPr>
        <w:t>9</w:t>
      </w:r>
      <w:r w:rsidR="00630327">
        <w:rPr>
          <w:vertAlign w:val="superscript"/>
        </w:rPr>
        <w:fldChar w:fldCharType="end"/>
      </w:r>
      <w:r>
        <w:t xml:space="preserve">. Gene-sets were annotated according to proximity, including the gene region +/- 500 Mb. </w:t>
      </w:r>
    </w:p>
    <w:p w14:paraId="3B4D0FA9" w14:textId="77777777" w:rsidR="0081622E" w:rsidRDefault="00031C29">
      <w:r>
        <w:t xml:space="preserve"> </w:t>
      </w:r>
    </w:p>
    <w:p w14:paraId="165E996B" w14:textId="77777777" w:rsidR="0081622E" w:rsidRDefault="00031C29">
      <w:pPr>
        <w:spacing w:line="480" w:lineRule="auto"/>
        <w:rPr>
          <w:b/>
          <w:i/>
        </w:rPr>
      </w:pPr>
      <w:r>
        <w:rPr>
          <w:b/>
          <w:i/>
        </w:rPr>
        <w:t>Polygenic prediction of anxiety</w:t>
      </w:r>
    </w:p>
    <w:p w14:paraId="46305B3D" w14:textId="6203659C" w:rsidR="0081622E" w:rsidRDefault="00031C29">
      <w:pPr>
        <w:spacing w:line="480" w:lineRule="auto"/>
      </w:pPr>
      <w:r>
        <w:rPr>
          <w:rFonts w:ascii="Calibri" w:eastAsia="Calibri" w:hAnsi="Calibri" w:cs="Calibri"/>
          <w:sz w:val="24"/>
          <w:szCs w:val="24"/>
        </w:rPr>
        <w:t>Polygenic scores were created for each target sample using clumping to obtain SNPs in linkage equilibrium with an r</w:t>
      </w:r>
      <w:r>
        <w:rPr>
          <w:rFonts w:ascii="Calibri" w:eastAsia="Calibri" w:hAnsi="Calibri" w:cs="Calibri"/>
          <w:sz w:val="24"/>
          <w:szCs w:val="24"/>
          <w:vertAlign w:val="superscript"/>
        </w:rPr>
        <w:t>2</w:t>
      </w:r>
      <w:r>
        <w:rPr>
          <w:rFonts w:ascii="Calibri" w:eastAsia="Calibri" w:hAnsi="Calibri" w:cs="Calibri"/>
          <w:sz w:val="24"/>
          <w:szCs w:val="24"/>
        </w:rPr>
        <w:t> &lt; 0.1 within a 2500 kb window. Polygenic scores were created using all remaining SNPs at each of eight different p-value thresholds (0.001, 0.05, 0.1, 0.2, 0.3, 0.4, 0.5, 1). Logistic regression models were run in PRSice-2</w:t>
      </w:r>
      <w:r w:rsidR="00630327">
        <w:rPr>
          <w:rFonts w:ascii="Calibri" w:eastAsia="Calibri" w:hAnsi="Calibri" w:cs="Calibri"/>
          <w:sz w:val="24"/>
          <w:szCs w:val="24"/>
        </w:rPr>
        <w:fldChar w:fldCharType="begin"/>
      </w:r>
      <w:r w:rsidR="00B21EE8">
        <w:rPr>
          <w:rFonts w:ascii="Calibri" w:eastAsia="Calibri" w:hAnsi="Calibri" w:cs="Calibri"/>
          <w:sz w:val="24"/>
          <w:szCs w:val="24"/>
        </w:rPr>
        <w:instrText>ADDIN F1000_CSL_CITATION&lt;~#@#~&gt;[{"DOI":"10.1093/bioinformatics/btu848","First":false,"Last":false,"PMCID":"PMC4410663","PMID":"25550326","abstract":"&lt;strong&gt;SUMMARY:&lt;/strong&gt; A polygenic risk score (PRS) is a sum of trait-associated alleles across many genetic loci, typically weighted by effect sizes estimated from a genome-wide association study. The application of PRS has grown in recent years as their utility for detecting shared genetic aetiology among traits has become appreciated; PRS can also be used to establish the presence of a genetic signal in underpowered studies, to infer the genetic architecture of a trait, for screening in clinical trials, and can act as a biomarker for a phenotype. Here we present the first dedicated PRS software, PRSice ('precise'), for calculating, applying, evaluating and plotting the results of PRS. PRSice can calculate PRS at a large number of thresholds (\"high resolution\") to provide the best-fit PRS, as well as provide results calculated at broad P-value thresholds, can thin Single Nucleotide Polymorphisms (SNPs) according to linkage disequilibrium and P-value or use all SNPs, handles genotyped and imputed data, can calculate and incorporate ancestry-informative variables, and can apply PRS across multiple traits in a single run. We exemplify the use of PRSice via application to data on schizophrenia, major depressive disorder and smoking, illustrate the importance of identifying the best-fit PRS and estimate a P-value significance threshold for high-resolution PRS studies.&lt;br&gt;&lt;br&gt;&lt;strong&gt;AVAILABILITY AND IMPLEMENTATION:&lt;/strong&gt; PRSice is written in R, including wrappers for bash data management scripts and PLINK-1.9 to minimize computational time. PRSice runs as a command-line program with a variety of user-options, and is freely available for download from http://PRSice.info&lt;br&gt;&lt;br&gt;&lt;strong&gt;CONTACT:&lt;/strong&gt; jack.euesden@kcl.ac.uk or paul.oreilly@kcl.ac.uk&lt;br&gt;&lt;br&gt;&lt;strong&gt;SUPPLEMENTARY INFORMATION:&lt;/strong&gt; Supplementary data are available at Bioinformatics online.&lt;br&gt;&lt;br&gt;© The Author 2014. Published by Oxford University Press.","author":[{"family":"Euesden","given":"Jack"},{"family":"Lewis","given":"Cathryn M"},{"family":"O'Reilly","given":"Paul F"}],"authorYearDisplayFormat":false,"citation-label":"1016409","container-title":"Bioinformatics","container-title-short":"Bioinformatics","id":"1016409","invisible":false,"issue":"9","issued":{"date-parts":[["2015","5","1"]]},"journalAbbreviation":"Bioinformatics","page":"1466-1468","suppress-author":false,"title":"PRSice: Polygenic Risk Score software.","type":"article-journal","volume":"31"}]</w:instrText>
      </w:r>
      <w:r w:rsidR="00630327">
        <w:rPr>
          <w:rFonts w:ascii="Calibri" w:eastAsia="Calibri" w:hAnsi="Calibri" w:cs="Calibri"/>
          <w:sz w:val="24"/>
          <w:szCs w:val="24"/>
        </w:rPr>
        <w:fldChar w:fldCharType="separate"/>
      </w:r>
      <w:r w:rsidR="00B21EE8" w:rsidRPr="00B21EE8">
        <w:rPr>
          <w:rFonts w:ascii="Calibri" w:eastAsia="Calibri" w:hAnsi="Calibri" w:cs="Calibri"/>
          <w:sz w:val="24"/>
          <w:szCs w:val="24"/>
          <w:vertAlign w:val="superscript"/>
        </w:rPr>
        <w:t>10</w:t>
      </w:r>
      <w:r w:rsidR="00630327">
        <w:rPr>
          <w:rFonts w:ascii="Calibri" w:eastAsia="Calibri" w:hAnsi="Calibri" w:cs="Calibri"/>
          <w:sz w:val="24"/>
          <w:szCs w:val="24"/>
        </w:rPr>
        <w:fldChar w:fldCharType="end"/>
      </w:r>
      <w:r>
        <w:rPr>
          <w:rFonts w:ascii="Calibri" w:eastAsia="Calibri" w:hAnsi="Calibri" w:cs="Calibri"/>
          <w:sz w:val="24"/>
          <w:szCs w:val="24"/>
        </w:rPr>
        <w:t xml:space="preserve"> to assess the association between polygenic scores created at each threshold and "Lifetime Anxiety Disorder" case/control status, again with the same controls as in the main analysis. Ten thousand permutations were run for each subgroup to derive an empirical p-value robust to multiple testing. </w:t>
      </w:r>
    </w:p>
    <w:p w14:paraId="482903EF" w14:textId="77777777" w:rsidR="0081622E" w:rsidRDefault="0081622E">
      <w:pPr>
        <w:spacing w:line="480" w:lineRule="auto"/>
        <w:rPr>
          <w:b/>
          <w:i/>
        </w:rPr>
      </w:pPr>
    </w:p>
    <w:p w14:paraId="6888BA51" w14:textId="77777777" w:rsidR="0081622E" w:rsidRDefault="00031C29">
      <w:pPr>
        <w:spacing w:line="480" w:lineRule="auto"/>
        <w:rPr>
          <w:b/>
        </w:rPr>
      </w:pPr>
      <w:r>
        <w:rPr>
          <w:b/>
        </w:rPr>
        <w:t>Partition heritability</w:t>
      </w:r>
    </w:p>
    <w:p w14:paraId="6060B51A" w14:textId="17EA3A11" w:rsidR="0081622E" w:rsidRDefault="00031C29">
      <w:pPr>
        <w:spacing w:line="480" w:lineRule="auto"/>
      </w:pPr>
      <w:r>
        <w:t xml:space="preserve">SNP heritability was partitioned using the “baseline model”, consisting of 53 functional categories, fully described elsewhere </w:t>
      </w:r>
      <w:r w:rsidR="00630327">
        <w:fldChar w:fldCharType="begin"/>
      </w:r>
      <w:r w:rsidR="00B21EE8">
        <w:instrText>ADDIN F1000_CSL_CITATION&lt;~#@#~&gt;[{"DOI":"10.1101/014241","First":false,"Last":false,"abstract":"Recent work has demonstrated that some functional categories of the genome contribute disproportionately to the heritability of complex diseases. Here, we analyze a broad set of functional elements, including cell-type-specific elements, to estimate their polygenic contributions to heritability in genome-wide association studies (GWAS) of 17 complex diseases and traits spanning a total of 1.3 million phenotype measurements. To enable this analysis, we introduce a new method for partitioning heritability from GWAS summary statistics while controlling for linked markers. This new method is computationally tractable at very large sample sizes, and leverages genome-wide information. Our results include a large enrichment of heritability in conserved regions across many traits; a very large immunological disease-specific enrichment of heritability in FANTOM5 enhancers; and many cell-type-specific enrichments including significant enrichment of central nervous system cell types in body mass index, age at menarche, educational attainment, and smoking behavior. These results demonstrate that GWAS can aid in understanding the biological basis of disease and provide direction for functional follow-up.","author":[{"family":"Finucane","given":"Hilary Kiyo"},{"family":"Bulik-Sullivan","given":"Brendan"},{"family":"Gusev","given":"Alexander"},{"family":"Trynka","given":"Gosia"},{"family":"Reshef","given":"Yakir"},{"family":"Loh","given":"Po-Ru"},{"family":"Anttilla","given":"Verneri"},{"family":"Xu","given":"Han"},{"family":"Zang","given":"Chongzhi"},{"family":"Farh","given":"Kyle"},{"family":"Ripke","given":"Stephan"},{"family":"Day","given":"Felix"},{"family":"Consortium","given":"ReproGen"},{"family":"of the Psychiatric Genetics Consortium","given":"Schizophrenia Working Group"},{"family":"Consortium","given":"RACI"},{"family":"Purcell","given":"Shaun"},{"family":"Stahl","given":"Eli"},{"family":"Lindstrom","given":"Sara"},{"family":"Perry","given":"John R.B."},{"family":"Okada","given":"Yukinori"},{"family":"Raychaudhuri","given":"Soumya"},{"family":"Daly","given":"Mark"},{"family":"Patterson","given":"Nick"},{"family":"Neale","given":"Benjamin M."},{"family":"Price","given":"Alkes L."}],"authorYearDisplayFormat":false,"citation-label":"3571025","container-title":"BioRxiv","container-title-short":"BioRxiv","id":"3571025","invisible":false,"issued":{"date-parts":[["2015","1","23"]]},"journalAbbreviation":"BioRxiv","suppress-author":false,"title":"Partitioning heritability by functional category using GWAS summary statistics","type":"article-journal"}]</w:instrText>
      </w:r>
      <w:r w:rsidR="00630327">
        <w:fldChar w:fldCharType="separate"/>
      </w:r>
      <w:r w:rsidR="00B21EE8" w:rsidRPr="00B21EE8">
        <w:rPr>
          <w:vertAlign w:val="superscript"/>
        </w:rPr>
        <w:t>11</w:t>
      </w:r>
      <w:r w:rsidR="00630327">
        <w:fldChar w:fldCharType="end"/>
      </w:r>
      <w:r>
        <w:t>.</w:t>
      </w:r>
    </w:p>
    <w:p w14:paraId="79109410" w14:textId="77777777" w:rsidR="0081622E" w:rsidRDefault="0081622E">
      <w:pPr>
        <w:rPr>
          <w:rFonts w:ascii="Calibri" w:eastAsia="Calibri" w:hAnsi="Calibri" w:cs="Calibri"/>
          <w:sz w:val="24"/>
          <w:szCs w:val="24"/>
        </w:rPr>
      </w:pPr>
    </w:p>
    <w:p w14:paraId="0C0D200E" w14:textId="77777777" w:rsidR="0081622E" w:rsidRDefault="00031C29">
      <w:pPr>
        <w:rPr>
          <w:b/>
          <w:sz w:val="24"/>
          <w:szCs w:val="24"/>
        </w:rPr>
      </w:pPr>
      <w:r>
        <w:rPr>
          <w:b/>
          <w:sz w:val="24"/>
          <w:szCs w:val="24"/>
        </w:rPr>
        <w:t>Supplementary results</w:t>
      </w:r>
    </w:p>
    <w:p w14:paraId="6E935E79" w14:textId="77777777" w:rsidR="0081622E" w:rsidRDefault="0081622E">
      <w:pPr>
        <w:rPr>
          <w:b/>
          <w:sz w:val="24"/>
          <w:szCs w:val="24"/>
        </w:rPr>
      </w:pPr>
    </w:p>
    <w:p w14:paraId="269C3A4D" w14:textId="77777777" w:rsidR="0081622E" w:rsidRDefault="0081622E">
      <w:pPr>
        <w:rPr>
          <w:b/>
          <w:sz w:val="24"/>
          <w:szCs w:val="24"/>
        </w:rPr>
      </w:pPr>
    </w:p>
    <w:p w14:paraId="527556A4" w14:textId="77777777" w:rsidR="0081622E" w:rsidRDefault="00031C29">
      <w:pPr>
        <w:pStyle w:val="Subtitle"/>
        <w:keepNext w:val="0"/>
        <w:keepLines w:val="0"/>
        <w:spacing w:after="160" w:line="480" w:lineRule="auto"/>
        <w:rPr>
          <w:rFonts w:ascii="Calibri" w:eastAsia="Calibri" w:hAnsi="Calibri" w:cs="Calibri"/>
          <w:b/>
          <w:color w:val="000000"/>
          <w:sz w:val="24"/>
          <w:szCs w:val="24"/>
        </w:rPr>
      </w:pPr>
      <w:bookmarkStart w:id="0" w:name="_hr9x6gnaxdpb" w:colFirst="0" w:colLast="0"/>
      <w:bookmarkEnd w:id="0"/>
      <w:r>
        <w:rPr>
          <w:rFonts w:ascii="Calibri" w:eastAsia="Calibri" w:hAnsi="Calibri" w:cs="Calibri"/>
          <w:b/>
          <w:color w:val="000000"/>
          <w:sz w:val="24"/>
          <w:szCs w:val="24"/>
        </w:rPr>
        <w:t>Partitioned heritability</w:t>
      </w:r>
      <w:bookmarkStart w:id="1" w:name="_GoBack"/>
      <w:bookmarkEnd w:id="1"/>
    </w:p>
    <w:p w14:paraId="7A89B408" w14:textId="571AD028" w:rsidR="0081622E" w:rsidRDefault="00031C29">
      <w:pPr>
        <w:spacing w:line="480" w:lineRule="auto"/>
        <w:rPr>
          <w:rFonts w:ascii="Calibri" w:eastAsia="Calibri" w:hAnsi="Calibri" w:cs="Calibri"/>
          <w:sz w:val="24"/>
          <w:szCs w:val="24"/>
        </w:rPr>
      </w:pPr>
      <w:r>
        <w:rPr>
          <w:rFonts w:ascii="Calibri" w:eastAsia="Calibri" w:hAnsi="Calibri" w:cs="Calibri"/>
          <w:sz w:val="24"/>
          <w:szCs w:val="24"/>
        </w:rPr>
        <w:t xml:space="preserve">There was a significant enrichment of SNP heritability for “Lifetime Anxiety Disorder” in regions of the genome known to be highly conserved across 29 Eutherian mammals </w:t>
      </w:r>
      <w:r>
        <w:rPr>
          <w:rFonts w:ascii="Calibri" w:eastAsia="Calibri" w:hAnsi="Calibri" w:cs="Calibri"/>
          <w:sz w:val="24"/>
          <w:szCs w:val="24"/>
          <w:vertAlign w:val="superscript"/>
        </w:rPr>
        <w:t>30</w:t>
      </w:r>
      <w:r>
        <w:rPr>
          <w:rFonts w:ascii="Calibri" w:eastAsia="Calibri" w:hAnsi="Calibri" w:cs="Calibri"/>
          <w:sz w:val="24"/>
          <w:szCs w:val="24"/>
        </w:rPr>
        <w:t>, with 2.6% of SNPs accounting for 34% of the heritability (</w:t>
      </w:r>
      <w:r>
        <w:rPr>
          <w:rFonts w:ascii="Calibri" w:eastAsia="Calibri" w:hAnsi="Calibri" w:cs="Calibri"/>
          <w:i/>
          <w:sz w:val="24"/>
          <w:szCs w:val="24"/>
        </w:rPr>
        <w:t>se</w:t>
      </w:r>
      <w:r>
        <w:rPr>
          <w:rFonts w:ascii="Calibri" w:eastAsia="Calibri" w:hAnsi="Calibri" w:cs="Calibri"/>
          <w:sz w:val="24"/>
          <w:szCs w:val="24"/>
        </w:rPr>
        <w:t xml:space="preserve"> = 0.08; </w:t>
      </w:r>
      <w:r>
        <w:rPr>
          <w:rFonts w:ascii="Calibri" w:eastAsia="Calibri" w:hAnsi="Calibri" w:cs="Calibri"/>
          <w:i/>
          <w:sz w:val="24"/>
          <w:szCs w:val="24"/>
        </w:rPr>
        <w:t xml:space="preserve">Enrichment metric </w:t>
      </w:r>
      <w:r>
        <w:rPr>
          <w:rFonts w:ascii="Calibri" w:eastAsia="Calibri" w:hAnsi="Calibri" w:cs="Calibri"/>
          <w:sz w:val="24"/>
          <w:szCs w:val="24"/>
        </w:rPr>
        <w:t xml:space="preserve">13.01, </w:t>
      </w:r>
      <w:r>
        <w:rPr>
          <w:rFonts w:ascii="Calibri" w:eastAsia="Calibri" w:hAnsi="Calibri" w:cs="Calibri"/>
          <w:i/>
          <w:sz w:val="24"/>
          <w:szCs w:val="24"/>
        </w:rPr>
        <w:lastRenderedPageBreak/>
        <w:t>Enrichment se</w:t>
      </w:r>
      <w:r>
        <w:rPr>
          <w:rFonts w:ascii="Calibri" w:eastAsia="Calibri" w:hAnsi="Calibri" w:cs="Calibri"/>
          <w:sz w:val="24"/>
          <w:szCs w:val="24"/>
        </w:rPr>
        <w:t xml:space="preserve"> = 3.01, </w:t>
      </w:r>
      <w:r>
        <w:rPr>
          <w:rFonts w:ascii="Calibri" w:eastAsia="Calibri" w:hAnsi="Calibri" w:cs="Calibri"/>
          <w:i/>
          <w:sz w:val="24"/>
          <w:szCs w:val="24"/>
        </w:rPr>
        <w:t>Enrichment p</w:t>
      </w:r>
      <w:r>
        <w:rPr>
          <w:rFonts w:ascii="Calibri" w:eastAsia="Calibri" w:hAnsi="Calibri" w:cs="Calibri"/>
          <w:sz w:val="24"/>
          <w:szCs w:val="24"/>
        </w:rPr>
        <w:t xml:space="preserve"> = 0.0001, coefficient p = 6.7x10</w:t>
      </w:r>
      <w:r>
        <w:rPr>
          <w:rFonts w:ascii="Calibri" w:eastAsia="Calibri" w:hAnsi="Calibri" w:cs="Calibri"/>
          <w:sz w:val="24"/>
          <w:szCs w:val="24"/>
          <w:vertAlign w:val="superscript"/>
        </w:rPr>
        <w:t>-05</w:t>
      </w:r>
      <w:r>
        <w:rPr>
          <w:rFonts w:ascii="Calibri" w:eastAsia="Calibri" w:hAnsi="Calibri" w:cs="Calibri"/>
          <w:sz w:val="24"/>
          <w:szCs w:val="24"/>
        </w:rPr>
        <w:t xml:space="preserve">). See </w:t>
      </w:r>
      <w:r w:rsidRPr="00B21EE8">
        <w:rPr>
          <w:rFonts w:ascii="Calibri" w:eastAsia="Calibri" w:hAnsi="Calibri" w:cs="Calibri"/>
          <w:b/>
          <w:bCs/>
          <w:color w:val="000000" w:themeColor="text1"/>
          <w:sz w:val="24"/>
          <w:szCs w:val="24"/>
        </w:rPr>
        <w:t>Supple</w:t>
      </w:r>
      <w:r w:rsidRPr="00B21EE8">
        <w:rPr>
          <w:rFonts w:ascii="Calibri" w:eastAsia="Calibri" w:hAnsi="Calibri" w:cs="Calibri"/>
          <w:b/>
          <w:bCs/>
          <w:color w:val="000000" w:themeColor="text1"/>
          <w:sz w:val="24"/>
          <w:szCs w:val="24"/>
        </w:rPr>
        <w:t>m</w:t>
      </w:r>
      <w:r w:rsidRPr="00B21EE8">
        <w:rPr>
          <w:rFonts w:ascii="Calibri" w:eastAsia="Calibri" w:hAnsi="Calibri" w:cs="Calibri"/>
          <w:b/>
          <w:bCs/>
          <w:color w:val="000000" w:themeColor="text1"/>
          <w:sz w:val="24"/>
          <w:szCs w:val="24"/>
        </w:rPr>
        <w:t>entary Figure 8</w:t>
      </w:r>
      <w:r w:rsidRPr="00B21EE8">
        <w:rPr>
          <w:rFonts w:ascii="Calibri" w:eastAsia="Calibri" w:hAnsi="Calibri" w:cs="Calibri"/>
          <w:color w:val="000000" w:themeColor="text1"/>
          <w:sz w:val="24"/>
          <w:szCs w:val="24"/>
        </w:rPr>
        <w:t xml:space="preserve"> </w:t>
      </w:r>
      <w:r>
        <w:rPr>
          <w:rFonts w:ascii="Calibri" w:eastAsia="Calibri" w:hAnsi="Calibri" w:cs="Calibri"/>
          <w:sz w:val="24"/>
          <w:szCs w:val="24"/>
        </w:rPr>
        <w:t>for a bar plot showing relative enrichment of the SNP h</w:t>
      </w:r>
      <w:r>
        <w:rPr>
          <w:rFonts w:ascii="Calibri" w:eastAsia="Calibri" w:hAnsi="Calibri" w:cs="Calibri"/>
          <w:sz w:val="24"/>
          <w:szCs w:val="24"/>
          <w:vertAlign w:val="superscript"/>
        </w:rPr>
        <w:t xml:space="preserve">2 </w:t>
      </w:r>
      <w:r>
        <w:rPr>
          <w:rFonts w:ascii="Calibri" w:eastAsia="Calibri" w:hAnsi="Calibri" w:cs="Calibri"/>
          <w:sz w:val="24"/>
          <w:szCs w:val="24"/>
        </w:rPr>
        <w:t xml:space="preserve">across the 53 baseline genomic regions tested. </w:t>
      </w:r>
    </w:p>
    <w:p w14:paraId="0FCC8AAC" w14:textId="77777777" w:rsidR="0081622E" w:rsidRDefault="0081622E">
      <w:pPr>
        <w:spacing w:line="480" w:lineRule="auto"/>
        <w:rPr>
          <w:rFonts w:ascii="Calibri" w:eastAsia="Calibri" w:hAnsi="Calibri" w:cs="Calibri"/>
          <w:sz w:val="24"/>
          <w:szCs w:val="24"/>
        </w:rPr>
      </w:pPr>
    </w:p>
    <w:p w14:paraId="34F0B463" w14:textId="77777777" w:rsidR="0081622E" w:rsidRDefault="00031C29">
      <w:pPr>
        <w:spacing w:line="480" w:lineRule="auto"/>
        <w:rPr>
          <w:rFonts w:ascii="Calibri" w:eastAsia="Calibri" w:hAnsi="Calibri" w:cs="Calibri"/>
          <w:b/>
          <w:i/>
          <w:sz w:val="32"/>
          <w:szCs w:val="32"/>
        </w:rPr>
      </w:pPr>
      <w:r>
        <w:rPr>
          <w:rFonts w:ascii="Calibri" w:eastAsia="Calibri" w:hAnsi="Calibri" w:cs="Calibri"/>
          <w:b/>
          <w:sz w:val="24"/>
          <w:szCs w:val="24"/>
        </w:rPr>
        <w:t>Exploration of TMEM106B gene locus</w:t>
      </w:r>
    </w:p>
    <w:p w14:paraId="114513E2" w14:textId="310DE66D" w:rsidR="0081622E" w:rsidRDefault="00031C29">
      <w:pPr>
        <w:spacing w:line="480" w:lineRule="auto"/>
        <w:rPr>
          <w:rFonts w:ascii="Calibri" w:eastAsia="Calibri" w:hAnsi="Calibri" w:cs="Calibri"/>
          <w:sz w:val="24"/>
          <w:szCs w:val="24"/>
        </w:rPr>
      </w:pPr>
      <w:r>
        <w:rPr>
          <w:rFonts w:ascii="Calibri" w:eastAsia="Calibri" w:hAnsi="Calibri" w:cs="Calibri"/>
          <w:sz w:val="24"/>
          <w:szCs w:val="24"/>
        </w:rPr>
        <w:t xml:space="preserve">Steps were taken to ascertain whether the locus on chromosome 7 associated with “Lifetime Anxiety Disorder” is part of the same locus as variant rs1990620 previously found to play a putatively causal role in downstream expression of the TMEM106B and related cellular damage in frontotemporal degeneration </w:t>
      </w:r>
      <w:r w:rsidR="00630327">
        <w:rPr>
          <w:rFonts w:ascii="Calibri" w:eastAsia="Calibri" w:hAnsi="Calibri" w:cs="Calibri"/>
          <w:sz w:val="24"/>
          <w:szCs w:val="24"/>
        </w:rPr>
        <w:fldChar w:fldCharType="begin"/>
      </w:r>
      <w:r w:rsidR="00B21EE8">
        <w:rPr>
          <w:rFonts w:ascii="Calibri" w:eastAsia="Calibri" w:hAnsi="Calibri" w:cs="Calibri"/>
          <w:sz w:val="24"/>
          <w:szCs w:val="24"/>
        </w:rPr>
        <w:instrText>ADDIN F1000_CSL_CITATION&lt;~#@#~&gt;[{"DOI":"10.1016/j.ajhg.2017.09.004","First":false,"Last":false,"PMCID":"PMC5673619","PMID":"29056226","abstract":"Neurodegenerative diseases pose an extraordinary threat to the world's aging population, yet no disease-modifying therapies are available. Although genome-wide association studies (GWASs) have identified hundreds of risk loci for neurodegeneration, the mechanisms by which these loci influence disease risk are largely unknown. Here, we investigated the association between common genetic variants at the 7p21 locus and risk of the neurodegenerative disease frontotemporal lobar degeneration. We showed that variants associated with disease risk correlate with increased expression of the 7p21 gene TMEM106B and no other genes; co-localization analyses implicated a common causal variant underlying both association with disease and association with TMEM106B expression in lymphoblastoid cell lines and human brain. Furthermore, increases in the amount of TMEM106B resulted in increases in abnormal lysosomal phenotypes and cell toxicity in both immortalized cell lines and neurons. We then combined fine-mapping, bioinformatics, and bench-based approaches to functionally characterize all candidate causal variants at this locus. This approach identified a noncoding variant, rs1990620, that differentially recruits CTCF in lymphoblastoid cell lines and human brain to influence CTCF-mediated long-range chromatin-looping interactions between multiple cis-regulatory elements, including the TMEM106B promoter. Our findings thus provide an in-depth analysis of the 7p21 locus linked by GWASs to frontotemporal lobar degeneration, nominating a causal variant and causal mechanism for allele-specific expression and disease association at this locus. Finally, we show that genetic variants associated with risk of neurodegenerative diseases beyond frontotemporal lobar degeneration are enriched in CTCF-binding sites found in brain-relevant tissues, implicating CTCF-mediated gene regulation in risk of neurodegeneration more generally.&lt;br&gt;&lt;br&gt;Copyright © 2017 American Society of Human Genetics. Published by Elsevier Inc. All rights reserved.","author":[{"family":"Gallagher","given":"Michael D"},{"family":"Posavi","given":"Marijan"},{"family":"Huang","given":"Peng"},{"family":"Unger","given":"Travis L"},{"family":"Berlyand","given":"Yosef"},{"family":"Gruenewald","given":"Analise L"},{"family":"Chesi","given":"Alessandra"},{"family":"Manduchi","given":"Elisabetta"},{"family":"Wells","given":"Andrew D"},{"family":"Grant","given":"Struan F A"},{"family":"Blobel","given":"Gerd A"},{"family":"Brown","given":"Christopher D"},{"family":"Chen-Plotkin","given":"Alice S"}],"authorYearDisplayFormat":false,"citation-label":"4392100","container-title":"American Journal of Human Genetics","container-title-short":"Am. J. Hum. Genet.","id":"4392100","invisible":false,"issue":"5","issued":{"date-parts":[["2017","11","2"]]},"journalAbbreviation":"Am. J. Hum. Genet.","page":"643-663","suppress-author":false,"title":"A Dementia-Associated Risk Variant near TMEM106B Alters Chromatin Architecture and Gene Expression.","type":"article-journal","volume":"101"}]</w:instrText>
      </w:r>
      <w:r w:rsidR="00630327">
        <w:rPr>
          <w:rFonts w:ascii="Calibri" w:eastAsia="Calibri" w:hAnsi="Calibri" w:cs="Calibri"/>
          <w:sz w:val="24"/>
          <w:szCs w:val="24"/>
        </w:rPr>
        <w:fldChar w:fldCharType="separate"/>
      </w:r>
      <w:r w:rsidR="00B21EE8" w:rsidRPr="00B21EE8">
        <w:rPr>
          <w:rFonts w:ascii="Calibri" w:eastAsia="Calibri" w:hAnsi="Calibri" w:cs="Calibri"/>
          <w:sz w:val="24"/>
          <w:szCs w:val="24"/>
          <w:vertAlign w:val="superscript"/>
        </w:rPr>
        <w:t>12</w:t>
      </w:r>
      <w:r w:rsidR="00630327">
        <w:rPr>
          <w:rFonts w:ascii="Calibri" w:eastAsia="Calibri" w:hAnsi="Calibri" w:cs="Calibri"/>
          <w:sz w:val="24"/>
          <w:szCs w:val="24"/>
        </w:rPr>
        <w:fldChar w:fldCharType="end"/>
      </w:r>
      <w:r>
        <w:rPr>
          <w:rFonts w:ascii="Calibri" w:eastAsia="Calibri" w:hAnsi="Calibri" w:cs="Calibri"/>
          <w:sz w:val="24"/>
          <w:szCs w:val="24"/>
        </w:rPr>
        <w:t xml:space="preserve">. (1) A region plot of the TMEM106B locus was created tagging rs1990620 to establish whether this SNP is in high linkage disequilibrium with rs3807866. (2) Associations analyses were performed using </w:t>
      </w:r>
      <w:proofErr w:type="spellStart"/>
      <w:r>
        <w:rPr>
          <w:rFonts w:ascii="Calibri" w:eastAsia="Calibri" w:hAnsi="Calibri" w:cs="Calibri"/>
          <w:sz w:val="24"/>
          <w:szCs w:val="24"/>
        </w:rPr>
        <w:t>SNPtest</w:t>
      </w:r>
      <w:proofErr w:type="spellEnd"/>
      <w:r>
        <w:rPr>
          <w:rFonts w:ascii="Calibri" w:eastAsia="Calibri" w:hAnsi="Calibri" w:cs="Calibri"/>
          <w:sz w:val="24"/>
          <w:szCs w:val="24"/>
        </w:rPr>
        <w:t xml:space="preserve"> </w:t>
      </w:r>
      <w:r w:rsidR="00630327">
        <w:rPr>
          <w:rFonts w:ascii="Calibri" w:eastAsia="Calibri" w:hAnsi="Calibri" w:cs="Calibri"/>
          <w:sz w:val="24"/>
          <w:szCs w:val="24"/>
        </w:rPr>
        <w:fldChar w:fldCharType="begin"/>
      </w:r>
      <w:r w:rsidR="00B21EE8">
        <w:rPr>
          <w:rFonts w:ascii="Calibri" w:eastAsia="Calibri" w:hAnsi="Calibri" w:cs="Calibri"/>
          <w:sz w:val="24"/>
          <w:szCs w:val="24"/>
        </w:rPr>
        <w:instrText>ADDIN F1000_CSL_CITATION&lt;~#@#~&gt;[{"DOI":"10.1038/ng2088","First":false,"Last":false,"PMID":"17572673","abstract":"Genome-wide association studies are set to become the method of choice for uncovering the genetic basis of human diseases. A central challenge in this area is the development of powerful multipoint methods that can detect causal variants that have not been directly genotyped. We propose a coherent analysis framework that treats the problem as one involving missing or uncertain genotypes. Central to our approach is a model-based imputation method for inferring genotypes at observed or unobserved SNPs, leading to improved power over existing methods for multipoint association mapping. Using real genome-wide association study data, we show that our approach (i) is accurate and well calibrated, (ii) provides detailed views of associated regions that facilitate follow-up studies and (iii) can be used to validate and correct data at genotyped markers. A notable future use of our method will be to boost power by combining data from genome-wide scans that use different SNP sets.","author":[{"family":"Marchini","given":"Jonathan"},{"family":"Howie","given":"Bryan"},{"family":"Myers","given":"Simon"},{"family":"McVean","given":"Gil"},{"family":"Donnelly","given":"Peter"}],"authorYearDisplayFormat":false,"citation-label":"435659","container-title":"Nature Genetics","container-title-short":"Nat. Genet.","id":"435659","invisible":false,"issue":"7","issued":{"date-parts":[["2007","7"]]},"journalAbbreviation":"Nat. Genet.","page":"906-913","suppress-author":false,"title":"A new multipoint method for genome-wide association studies by imputation of genotypes.","type":"article-journal","volume":"39"}]</w:instrText>
      </w:r>
      <w:r w:rsidR="00630327">
        <w:rPr>
          <w:rFonts w:ascii="Calibri" w:eastAsia="Calibri" w:hAnsi="Calibri" w:cs="Calibri"/>
          <w:sz w:val="24"/>
          <w:szCs w:val="24"/>
        </w:rPr>
        <w:fldChar w:fldCharType="separate"/>
      </w:r>
      <w:r w:rsidR="00B21EE8" w:rsidRPr="00B21EE8">
        <w:rPr>
          <w:rFonts w:ascii="Calibri" w:eastAsia="Calibri" w:hAnsi="Calibri" w:cs="Calibri"/>
          <w:sz w:val="24"/>
          <w:szCs w:val="24"/>
          <w:vertAlign w:val="superscript"/>
        </w:rPr>
        <w:t>13</w:t>
      </w:r>
      <w:r w:rsidR="00630327">
        <w:rPr>
          <w:rFonts w:ascii="Calibri" w:eastAsia="Calibri" w:hAnsi="Calibri" w:cs="Calibri"/>
          <w:sz w:val="24"/>
          <w:szCs w:val="24"/>
        </w:rPr>
        <w:fldChar w:fldCharType="end"/>
      </w:r>
      <w:r>
        <w:rPr>
          <w:rFonts w:ascii="Calibri" w:eastAsia="Calibri" w:hAnsi="Calibri" w:cs="Calibri"/>
          <w:sz w:val="24"/>
          <w:szCs w:val="24"/>
        </w:rPr>
        <w:t xml:space="preserve"> conditioning on the putatively causal variant rs1990620 and (3) on the index variant rs3807866 to test whether these SNPs were independently associated with “Lifetime Anxiety Disorder” in the UK Biobank, or part of the same locus.</w:t>
      </w:r>
    </w:p>
    <w:p w14:paraId="22187761" w14:textId="693C9BEF" w:rsidR="0081622E" w:rsidRDefault="00031C29">
      <w:pPr>
        <w:pStyle w:val="Heading1"/>
        <w:spacing w:before="240" w:after="0" w:line="480" w:lineRule="auto"/>
        <w:rPr>
          <w:rFonts w:ascii="Calibri" w:eastAsia="Calibri" w:hAnsi="Calibri" w:cs="Calibri"/>
          <w:b/>
          <w:sz w:val="32"/>
          <w:szCs w:val="32"/>
        </w:rPr>
      </w:pPr>
      <w:bookmarkStart w:id="2" w:name="_pb9pu8h2i4qe" w:colFirst="0" w:colLast="0"/>
      <w:bookmarkEnd w:id="2"/>
      <w:r>
        <w:rPr>
          <w:rFonts w:ascii="Calibri" w:eastAsia="Calibri" w:hAnsi="Calibri" w:cs="Calibri"/>
          <w:sz w:val="24"/>
          <w:szCs w:val="24"/>
        </w:rPr>
        <w:t>The putatively causal variant, rs1990620, identified by Gallagher et al. 2017 was found to be in high linkage disequilibrium with the index variant rs3807866 annotated to the TMEM106B gene associated with “Lifetime Anxiety Disorder” (see</w:t>
      </w:r>
      <w:r w:rsidR="00B21EE8" w:rsidRPr="00B21EE8">
        <w:rPr>
          <w:rFonts w:ascii="Calibri" w:eastAsia="Calibri" w:hAnsi="Calibri" w:cs="Calibri"/>
          <w:color w:val="1155CC"/>
          <w:sz w:val="24"/>
          <w:szCs w:val="24"/>
        </w:rPr>
        <w:t xml:space="preserve"> </w:t>
      </w:r>
      <w:r w:rsidRPr="00B21EE8">
        <w:rPr>
          <w:rFonts w:ascii="Calibri" w:eastAsia="Calibri" w:hAnsi="Calibri" w:cs="Calibri"/>
          <w:b/>
          <w:bCs/>
          <w:color w:val="000000" w:themeColor="text1"/>
          <w:sz w:val="24"/>
          <w:szCs w:val="24"/>
        </w:rPr>
        <w:t>Supplementary Figure 9</w:t>
      </w:r>
      <w:r>
        <w:rPr>
          <w:rFonts w:ascii="Calibri" w:eastAsia="Calibri" w:hAnsi="Calibri" w:cs="Calibri"/>
          <w:sz w:val="24"/>
          <w:szCs w:val="24"/>
        </w:rPr>
        <w:t xml:space="preserve">). When analyses of this region on chromosome 7 were adjusted for the effects of either this variant or the index variant identified in the “Lifetime Anxiety Disorder” genome wide association (rs3807866), no association with the “Lifetime Anxiety Disorder” phenotype remained (see </w:t>
      </w:r>
      <w:r w:rsidRPr="00B21EE8">
        <w:rPr>
          <w:rFonts w:ascii="Calibri" w:eastAsia="Calibri" w:hAnsi="Calibri" w:cs="Calibri"/>
          <w:b/>
          <w:bCs/>
          <w:color w:val="000000" w:themeColor="text1"/>
          <w:sz w:val="24"/>
          <w:szCs w:val="24"/>
        </w:rPr>
        <w:t>Supplementary Figure 10</w:t>
      </w:r>
      <w:r w:rsidRPr="00B21EE8">
        <w:rPr>
          <w:rFonts w:ascii="Calibri" w:eastAsia="Calibri" w:hAnsi="Calibri" w:cs="Calibri"/>
          <w:color w:val="000000" w:themeColor="text1"/>
          <w:sz w:val="24"/>
          <w:szCs w:val="24"/>
        </w:rPr>
        <w:t>)</w:t>
      </w:r>
      <w:r>
        <w:rPr>
          <w:rFonts w:ascii="Calibri" w:eastAsia="Calibri" w:hAnsi="Calibri" w:cs="Calibri"/>
          <w:sz w:val="24"/>
          <w:szCs w:val="24"/>
        </w:rPr>
        <w:t>. This indicates that the locus identified by Gallagher et al., 2017 is, in essence, the same locus which we find.</w:t>
      </w:r>
    </w:p>
    <w:p w14:paraId="1FA89982" w14:textId="77777777" w:rsidR="0081622E" w:rsidRDefault="0081622E">
      <w:pPr>
        <w:spacing w:line="480" w:lineRule="auto"/>
      </w:pPr>
    </w:p>
    <w:p w14:paraId="41C00FD9" w14:textId="77777777" w:rsidR="0081622E" w:rsidRDefault="00031C29">
      <w:pPr>
        <w:spacing w:line="480" w:lineRule="auto"/>
        <w:rPr>
          <w:b/>
          <w:sz w:val="28"/>
          <w:szCs w:val="28"/>
        </w:rPr>
      </w:pPr>
      <w:r>
        <w:rPr>
          <w:b/>
          <w:sz w:val="28"/>
          <w:szCs w:val="28"/>
        </w:rPr>
        <w:lastRenderedPageBreak/>
        <w:t>Supplementary Figures:</w:t>
      </w:r>
    </w:p>
    <w:p w14:paraId="002CCADB" w14:textId="1A01E3BB" w:rsidR="0081622E" w:rsidRDefault="00653CF2">
      <w:pPr>
        <w:spacing w:line="480" w:lineRule="auto"/>
      </w:pPr>
      <w:r>
        <w:rPr>
          <w:noProof/>
        </w:rPr>
        <w:drawing>
          <wp:inline distT="0" distB="0" distL="0" distR="0" wp14:anchorId="558A2C10" wp14:editId="330AB9A4">
            <wp:extent cx="5733415" cy="7031990"/>
            <wp:effectExtent l="0" t="0" r="0" b="0"/>
            <wp:docPr id="11" name="Picture 1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Figure1.png"/>
                    <pic:cNvPicPr/>
                  </pic:nvPicPr>
                  <pic:blipFill>
                    <a:blip r:embed="rId6">
                      <a:extLst>
                        <a:ext uri="{28A0092B-C50C-407E-A947-70E740481C1C}">
                          <a14:useLocalDpi xmlns:a14="http://schemas.microsoft.com/office/drawing/2010/main" val="0"/>
                        </a:ext>
                      </a:extLst>
                    </a:blip>
                    <a:stretch>
                      <a:fillRect/>
                    </a:stretch>
                  </pic:blipFill>
                  <pic:spPr>
                    <a:xfrm>
                      <a:off x="0" y="0"/>
                      <a:ext cx="5733415" cy="7031990"/>
                    </a:xfrm>
                    <a:prstGeom prst="rect">
                      <a:avLst/>
                    </a:prstGeom>
                  </pic:spPr>
                </pic:pic>
              </a:graphicData>
            </a:graphic>
          </wp:inline>
        </w:drawing>
      </w:r>
    </w:p>
    <w:p w14:paraId="516EF0ED" w14:textId="77777777" w:rsidR="0081622E" w:rsidRDefault="0081622E">
      <w:pPr>
        <w:spacing w:line="480" w:lineRule="auto"/>
      </w:pPr>
    </w:p>
    <w:p w14:paraId="281D84E0" w14:textId="08DBDC2B" w:rsidR="0081622E" w:rsidRDefault="0081622E">
      <w:pPr>
        <w:spacing w:line="480" w:lineRule="auto"/>
      </w:pPr>
    </w:p>
    <w:p w14:paraId="0F7F3FE6" w14:textId="76C3084C" w:rsidR="0081622E" w:rsidRDefault="00681273">
      <w:pPr>
        <w:spacing w:line="480" w:lineRule="auto"/>
        <w:rPr>
          <w:b/>
          <w:i/>
        </w:rPr>
      </w:pPr>
      <w:r>
        <w:rPr>
          <w:b/>
          <w:i/>
          <w:noProof/>
        </w:rPr>
        <w:lastRenderedPageBreak/>
        <w:drawing>
          <wp:inline distT="0" distB="0" distL="0" distR="0" wp14:anchorId="332237E2" wp14:editId="5E7E4A9E">
            <wp:extent cx="5733415" cy="3910965"/>
            <wp:effectExtent l="0" t="0" r="0" b="0"/>
            <wp:docPr id="12" name="Picture 1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pFigure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3415" cy="3910965"/>
                    </a:xfrm>
                    <a:prstGeom prst="rect">
                      <a:avLst/>
                    </a:prstGeom>
                  </pic:spPr>
                </pic:pic>
              </a:graphicData>
            </a:graphic>
          </wp:inline>
        </w:drawing>
      </w:r>
    </w:p>
    <w:p w14:paraId="1FC308B6" w14:textId="65D24F38" w:rsidR="0081622E" w:rsidRDefault="0081622E">
      <w:pPr>
        <w:spacing w:line="480" w:lineRule="auto"/>
        <w:rPr>
          <w:b/>
          <w:i/>
        </w:rPr>
      </w:pPr>
    </w:p>
    <w:p w14:paraId="183203C3" w14:textId="078836D4" w:rsidR="0081622E" w:rsidRDefault="00681273">
      <w:pPr>
        <w:spacing w:line="480" w:lineRule="auto"/>
        <w:rPr>
          <w:b/>
          <w:i/>
        </w:rPr>
      </w:pPr>
      <w:r>
        <w:rPr>
          <w:b/>
          <w:i/>
          <w:noProof/>
        </w:rPr>
        <w:drawing>
          <wp:inline distT="0" distB="0" distL="0" distR="0" wp14:anchorId="0FAC0962" wp14:editId="09ED9308">
            <wp:extent cx="5733415" cy="4006215"/>
            <wp:effectExtent l="0" t="0" r="0" b="0"/>
            <wp:docPr id="13" name="Picture 13"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Figur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3415" cy="4006215"/>
                    </a:xfrm>
                    <a:prstGeom prst="rect">
                      <a:avLst/>
                    </a:prstGeom>
                  </pic:spPr>
                </pic:pic>
              </a:graphicData>
            </a:graphic>
          </wp:inline>
        </w:drawing>
      </w:r>
    </w:p>
    <w:p w14:paraId="51C71AEB" w14:textId="450FD498" w:rsidR="0081622E" w:rsidRDefault="0081622E">
      <w:pPr>
        <w:spacing w:line="480" w:lineRule="auto"/>
        <w:rPr>
          <w:b/>
          <w:i/>
        </w:rPr>
      </w:pPr>
    </w:p>
    <w:p w14:paraId="5E60835C" w14:textId="0EED5471" w:rsidR="0081622E" w:rsidRDefault="00681273">
      <w:pPr>
        <w:spacing w:line="480" w:lineRule="auto"/>
        <w:rPr>
          <w:b/>
          <w:i/>
        </w:rPr>
      </w:pPr>
      <w:r>
        <w:rPr>
          <w:b/>
          <w:i/>
          <w:noProof/>
        </w:rPr>
        <w:lastRenderedPageBreak/>
        <w:drawing>
          <wp:inline distT="0" distB="0" distL="0" distR="0" wp14:anchorId="56D28D16" wp14:editId="2A26007C">
            <wp:extent cx="5733415" cy="4160520"/>
            <wp:effectExtent l="0" t="0" r="0" b="0"/>
            <wp:docPr id="14" name="Picture 1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Figur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3415" cy="4160520"/>
                    </a:xfrm>
                    <a:prstGeom prst="rect">
                      <a:avLst/>
                    </a:prstGeom>
                  </pic:spPr>
                </pic:pic>
              </a:graphicData>
            </a:graphic>
          </wp:inline>
        </w:drawing>
      </w:r>
    </w:p>
    <w:p w14:paraId="41CD19CA" w14:textId="49E031D7" w:rsidR="00681273" w:rsidRDefault="00681273">
      <w:pPr>
        <w:spacing w:line="480" w:lineRule="auto"/>
        <w:rPr>
          <w:b/>
          <w:i/>
        </w:rPr>
      </w:pPr>
    </w:p>
    <w:p w14:paraId="38E4EF0E" w14:textId="4136909A" w:rsidR="00681273" w:rsidRDefault="00681273">
      <w:pPr>
        <w:spacing w:line="480" w:lineRule="auto"/>
        <w:rPr>
          <w:b/>
          <w:i/>
        </w:rPr>
      </w:pPr>
      <w:r>
        <w:rPr>
          <w:b/>
          <w:i/>
          <w:noProof/>
        </w:rPr>
        <w:drawing>
          <wp:inline distT="0" distB="0" distL="0" distR="0" wp14:anchorId="655643ED" wp14:editId="3BF2326A">
            <wp:extent cx="5733415" cy="4182745"/>
            <wp:effectExtent l="0" t="0" r="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Figure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3415" cy="4182745"/>
                    </a:xfrm>
                    <a:prstGeom prst="rect">
                      <a:avLst/>
                    </a:prstGeom>
                  </pic:spPr>
                </pic:pic>
              </a:graphicData>
            </a:graphic>
          </wp:inline>
        </w:drawing>
      </w:r>
    </w:p>
    <w:p w14:paraId="27D13160" w14:textId="40FAE5C4" w:rsidR="00681273" w:rsidRDefault="00681273">
      <w:pPr>
        <w:spacing w:line="480" w:lineRule="auto"/>
        <w:rPr>
          <w:b/>
          <w:i/>
        </w:rPr>
      </w:pPr>
      <w:r>
        <w:rPr>
          <w:b/>
          <w:i/>
          <w:noProof/>
        </w:rPr>
        <w:lastRenderedPageBreak/>
        <w:drawing>
          <wp:inline distT="0" distB="0" distL="0" distR="0" wp14:anchorId="0D0BD343" wp14:editId="7265A86A">
            <wp:extent cx="5733415" cy="4268470"/>
            <wp:effectExtent l="0" t="0" r="0" b="0"/>
            <wp:docPr id="16"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Figure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3415" cy="4268470"/>
                    </a:xfrm>
                    <a:prstGeom prst="rect">
                      <a:avLst/>
                    </a:prstGeom>
                  </pic:spPr>
                </pic:pic>
              </a:graphicData>
            </a:graphic>
          </wp:inline>
        </w:drawing>
      </w:r>
    </w:p>
    <w:p w14:paraId="744D6266" w14:textId="63FC7F0A" w:rsidR="00681273" w:rsidRDefault="00681273">
      <w:pPr>
        <w:spacing w:line="480" w:lineRule="auto"/>
        <w:rPr>
          <w:b/>
          <w:i/>
        </w:rPr>
      </w:pPr>
    </w:p>
    <w:p w14:paraId="68A28CBB" w14:textId="28445F27" w:rsidR="00681273" w:rsidRDefault="00681273">
      <w:pPr>
        <w:spacing w:line="480" w:lineRule="auto"/>
        <w:rPr>
          <w:b/>
          <w:i/>
        </w:rPr>
      </w:pPr>
      <w:r>
        <w:rPr>
          <w:b/>
          <w:i/>
          <w:noProof/>
        </w:rPr>
        <w:drawing>
          <wp:inline distT="0" distB="0" distL="0" distR="0" wp14:anchorId="62032DF6" wp14:editId="6910EEA6">
            <wp:extent cx="5733415" cy="4104005"/>
            <wp:effectExtent l="0" t="0" r="0" b="0"/>
            <wp:docPr id="17" name="Picture 17"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uppFigure7.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3415" cy="4104005"/>
                    </a:xfrm>
                    <a:prstGeom prst="rect">
                      <a:avLst/>
                    </a:prstGeom>
                  </pic:spPr>
                </pic:pic>
              </a:graphicData>
            </a:graphic>
          </wp:inline>
        </w:drawing>
      </w:r>
    </w:p>
    <w:p w14:paraId="24CDA5CD" w14:textId="41993534" w:rsidR="00681273" w:rsidRDefault="00681273">
      <w:pPr>
        <w:widowControl w:val="0"/>
        <w:pBdr>
          <w:top w:val="nil"/>
          <w:left w:val="nil"/>
          <w:bottom w:val="nil"/>
          <w:right w:val="nil"/>
          <w:between w:val="nil"/>
        </w:pBdr>
        <w:spacing w:after="110"/>
      </w:pPr>
      <w:r>
        <w:rPr>
          <w:noProof/>
        </w:rPr>
        <w:lastRenderedPageBreak/>
        <w:drawing>
          <wp:inline distT="0" distB="0" distL="0" distR="0" wp14:anchorId="2D9AE1FC" wp14:editId="5298E5CE">
            <wp:extent cx="5733415" cy="8712200"/>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ppFigure8.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3415" cy="8712200"/>
                    </a:xfrm>
                    <a:prstGeom prst="rect">
                      <a:avLst/>
                    </a:prstGeom>
                  </pic:spPr>
                </pic:pic>
              </a:graphicData>
            </a:graphic>
          </wp:inline>
        </w:drawing>
      </w:r>
      <w:r w:rsidR="00031C29">
        <w:t xml:space="preserve"> </w:t>
      </w:r>
    </w:p>
    <w:p w14:paraId="410951F7" w14:textId="411F4A2D" w:rsidR="00681273" w:rsidRDefault="00681273">
      <w:pPr>
        <w:widowControl w:val="0"/>
        <w:pBdr>
          <w:top w:val="nil"/>
          <w:left w:val="nil"/>
          <w:bottom w:val="nil"/>
          <w:right w:val="nil"/>
          <w:between w:val="nil"/>
        </w:pBdr>
        <w:spacing w:after="110"/>
      </w:pPr>
      <w:r>
        <w:rPr>
          <w:noProof/>
        </w:rPr>
        <w:lastRenderedPageBreak/>
        <w:drawing>
          <wp:anchor distT="0" distB="0" distL="114300" distR="114300" simplePos="0" relativeHeight="251658240" behindDoc="0" locked="0" layoutInCell="1" allowOverlap="1" wp14:anchorId="58777ACB" wp14:editId="6A755E35">
            <wp:simplePos x="0" y="0"/>
            <wp:positionH relativeFrom="column">
              <wp:posOffset>-466321</wp:posOffset>
            </wp:positionH>
            <wp:positionV relativeFrom="paragraph">
              <wp:posOffset>4785995</wp:posOffset>
            </wp:positionV>
            <wp:extent cx="6883232" cy="3298676"/>
            <wp:effectExtent l="0" t="0" r="635" b="0"/>
            <wp:wrapSquare wrapText="bothSides"/>
            <wp:docPr id="20"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uppFigure1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83232" cy="3298676"/>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F292524" wp14:editId="7A4E91BF">
            <wp:extent cx="5733415" cy="4689475"/>
            <wp:effectExtent l="0" t="0" r="0"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ppFigure9.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3415" cy="4689475"/>
                    </a:xfrm>
                    <a:prstGeom prst="rect">
                      <a:avLst/>
                    </a:prstGeom>
                  </pic:spPr>
                </pic:pic>
              </a:graphicData>
            </a:graphic>
          </wp:inline>
        </w:drawing>
      </w:r>
    </w:p>
    <w:p w14:paraId="5E7F2FD7" w14:textId="686D8426" w:rsidR="00681273" w:rsidRDefault="00681273">
      <w:pPr>
        <w:widowControl w:val="0"/>
        <w:pBdr>
          <w:top w:val="nil"/>
          <w:left w:val="nil"/>
          <w:bottom w:val="nil"/>
          <w:right w:val="nil"/>
          <w:between w:val="nil"/>
        </w:pBdr>
        <w:spacing w:after="110"/>
      </w:pPr>
    </w:p>
    <w:p w14:paraId="4C73A3E9" w14:textId="4A321600" w:rsidR="00681273" w:rsidRDefault="00681273">
      <w:pPr>
        <w:widowControl w:val="0"/>
        <w:pBdr>
          <w:top w:val="nil"/>
          <w:left w:val="nil"/>
          <w:bottom w:val="nil"/>
          <w:right w:val="nil"/>
          <w:between w:val="nil"/>
        </w:pBdr>
        <w:spacing w:after="110"/>
      </w:pPr>
    </w:p>
    <w:p w14:paraId="7E82CB79" w14:textId="77777777" w:rsidR="00681273" w:rsidRDefault="00681273">
      <w:pPr>
        <w:widowControl w:val="0"/>
        <w:pBdr>
          <w:top w:val="nil"/>
          <w:left w:val="nil"/>
          <w:bottom w:val="nil"/>
          <w:right w:val="nil"/>
          <w:between w:val="nil"/>
        </w:pBdr>
        <w:spacing w:after="110"/>
      </w:pPr>
    </w:p>
    <w:p w14:paraId="379C4008" w14:textId="005E69B1" w:rsidR="0081622E" w:rsidRDefault="00031C29">
      <w:pPr>
        <w:widowControl w:val="0"/>
        <w:pBdr>
          <w:top w:val="nil"/>
          <w:left w:val="nil"/>
          <w:bottom w:val="nil"/>
          <w:right w:val="nil"/>
          <w:between w:val="nil"/>
        </w:pBdr>
        <w:spacing w:after="110"/>
        <w:rPr>
          <w:color w:val="000000"/>
        </w:rPr>
      </w:pPr>
      <w:r>
        <w:lastRenderedPageBreak/>
        <w:t>References</w:t>
      </w:r>
    </w:p>
    <w:p w14:paraId="2C9BD1E6" w14:textId="77777777" w:rsidR="00B21EE8" w:rsidRPr="00B21EE8" w:rsidRDefault="00031C29">
      <w:pPr>
        <w:widowControl w:val="0"/>
        <w:autoSpaceDE w:val="0"/>
        <w:autoSpaceDN w:val="0"/>
        <w:adjustRightInd w:val="0"/>
        <w:rPr>
          <w:noProof/>
          <w:lang w:val="en-US"/>
        </w:rPr>
      </w:pPr>
      <w:r>
        <w:fldChar w:fldCharType="begin"/>
      </w:r>
      <w:r w:rsidR="00B21EE8">
        <w:instrText>ADDIN F1000_CSL_BIBLIOGRAPHY</w:instrText>
      </w:r>
      <w:r>
        <w:fldChar w:fldCharType="separate"/>
      </w:r>
    </w:p>
    <w:p w14:paraId="70D03121"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1 </w:t>
      </w:r>
      <w:r w:rsidRPr="00B21EE8">
        <w:rPr>
          <w:noProof/>
          <w:lang w:val="en-US"/>
        </w:rPr>
        <w:tab/>
        <w:t xml:space="preserve">Spitzer RL, Kroenke K, Williams JBW, Löwe B. A brief measure for assessing generalized anxiety disorder: the GAD-7. </w:t>
      </w:r>
      <w:r w:rsidRPr="00B21EE8">
        <w:rPr>
          <w:i/>
          <w:iCs/>
          <w:noProof/>
          <w:lang w:val="en-US"/>
        </w:rPr>
        <w:t>Arch Intern Med</w:t>
      </w:r>
      <w:r w:rsidRPr="00B21EE8">
        <w:rPr>
          <w:noProof/>
          <w:lang w:val="en-US"/>
        </w:rPr>
        <w:t xml:space="preserve"> 2006; </w:t>
      </w:r>
      <w:r w:rsidRPr="00B21EE8">
        <w:rPr>
          <w:b/>
          <w:bCs/>
          <w:noProof/>
          <w:lang w:val="en-US"/>
        </w:rPr>
        <w:t>166</w:t>
      </w:r>
      <w:r w:rsidRPr="00B21EE8">
        <w:rPr>
          <w:noProof/>
          <w:lang w:val="en-US"/>
        </w:rPr>
        <w:t>: 1092–1097.</w:t>
      </w:r>
    </w:p>
    <w:p w14:paraId="7DF9B140"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2 </w:t>
      </w:r>
      <w:r w:rsidRPr="00B21EE8">
        <w:rPr>
          <w:noProof/>
          <w:lang w:val="en-US"/>
        </w:rPr>
        <w:tab/>
        <w:t xml:space="preserve">Mors O, Perto GP, Mortensen PB. The danish psychiatric central research register. </w:t>
      </w:r>
      <w:r w:rsidRPr="00B21EE8">
        <w:rPr>
          <w:i/>
          <w:iCs/>
          <w:noProof/>
          <w:lang w:val="en-US"/>
        </w:rPr>
        <w:t>Scand J Public Health</w:t>
      </w:r>
      <w:r w:rsidRPr="00B21EE8">
        <w:rPr>
          <w:noProof/>
          <w:lang w:val="en-US"/>
        </w:rPr>
        <w:t xml:space="preserve"> 2011; </w:t>
      </w:r>
      <w:r w:rsidRPr="00B21EE8">
        <w:rPr>
          <w:b/>
          <w:bCs/>
          <w:noProof/>
          <w:lang w:val="en-US"/>
        </w:rPr>
        <w:t>39</w:t>
      </w:r>
      <w:r w:rsidRPr="00B21EE8">
        <w:rPr>
          <w:noProof/>
          <w:lang w:val="en-US"/>
        </w:rPr>
        <w:t>: 54–57.</w:t>
      </w:r>
    </w:p>
    <w:p w14:paraId="6F11E49A"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3 </w:t>
      </w:r>
      <w:r w:rsidRPr="00B21EE8">
        <w:rPr>
          <w:noProof/>
          <w:lang w:val="en-US"/>
        </w:rPr>
        <w:tab/>
        <w:t xml:space="preserve">Akhunov E, Nicolet C, Dvorak J. Single nucleotide polymorphism genotyping in polyploid wheat with the Illumina GoldenGate assay. </w:t>
      </w:r>
      <w:r w:rsidRPr="00B21EE8">
        <w:rPr>
          <w:i/>
          <w:iCs/>
          <w:noProof/>
          <w:lang w:val="en-US"/>
        </w:rPr>
        <w:t>Theor Appl Genet</w:t>
      </w:r>
      <w:r w:rsidRPr="00B21EE8">
        <w:rPr>
          <w:noProof/>
          <w:lang w:val="en-US"/>
        </w:rPr>
        <w:t xml:space="preserve"> 2009; </w:t>
      </w:r>
      <w:r w:rsidRPr="00B21EE8">
        <w:rPr>
          <w:b/>
          <w:bCs/>
          <w:noProof/>
          <w:lang w:val="en-US"/>
        </w:rPr>
        <w:t>119</w:t>
      </w:r>
      <w:r w:rsidRPr="00B21EE8">
        <w:rPr>
          <w:noProof/>
          <w:lang w:val="en-US"/>
        </w:rPr>
        <w:t>: 507–517.</w:t>
      </w:r>
    </w:p>
    <w:p w14:paraId="1C7BC7A2"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4 </w:t>
      </w:r>
      <w:r w:rsidRPr="00B21EE8">
        <w:rPr>
          <w:noProof/>
          <w:lang w:val="en-US"/>
        </w:rPr>
        <w:tab/>
        <w:t xml:space="preserve">Korn JM, Kuruvilla FG, McCarroll SA, Wysoker A, Nemesh J, Cawley S </w:t>
      </w:r>
      <w:r w:rsidRPr="00B21EE8">
        <w:rPr>
          <w:i/>
          <w:iCs/>
          <w:noProof/>
          <w:lang w:val="en-US"/>
        </w:rPr>
        <w:t>et al.</w:t>
      </w:r>
      <w:r w:rsidRPr="00B21EE8">
        <w:rPr>
          <w:noProof/>
          <w:lang w:val="en-US"/>
        </w:rPr>
        <w:t xml:space="preserve"> Integrated genotype calling and association analysis of SNPs, common copy number polymorphisms and rare CNVs. </w:t>
      </w:r>
      <w:r w:rsidRPr="00B21EE8">
        <w:rPr>
          <w:i/>
          <w:iCs/>
          <w:noProof/>
          <w:lang w:val="en-US"/>
        </w:rPr>
        <w:t>Nat Genet</w:t>
      </w:r>
      <w:r w:rsidRPr="00B21EE8">
        <w:rPr>
          <w:noProof/>
          <w:lang w:val="en-US"/>
        </w:rPr>
        <w:t xml:space="preserve"> 2008; </w:t>
      </w:r>
      <w:r w:rsidRPr="00B21EE8">
        <w:rPr>
          <w:b/>
          <w:bCs/>
          <w:noProof/>
          <w:lang w:val="en-US"/>
        </w:rPr>
        <w:t>40</w:t>
      </w:r>
      <w:r w:rsidRPr="00B21EE8">
        <w:rPr>
          <w:noProof/>
          <w:lang w:val="en-US"/>
        </w:rPr>
        <w:t>: 1253–1260.</w:t>
      </w:r>
    </w:p>
    <w:p w14:paraId="53A643AE"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5 </w:t>
      </w:r>
      <w:r w:rsidRPr="00B21EE8">
        <w:rPr>
          <w:noProof/>
          <w:lang w:val="en-US"/>
        </w:rPr>
        <w:tab/>
        <w:t xml:space="preserve">Pedersen CB, Bybjerg-Grauholm J, Pedersen MG, Grove J, Agerbo E, Bækvad-Hansen M </w:t>
      </w:r>
      <w:r w:rsidRPr="00B21EE8">
        <w:rPr>
          <w:i/>
          <w:iCs/>
          <w:noProof/>
          <w:lang w:val="en-US"/>
        </w:rPr>
        <w:t>et al.</w:t>
      </w:r>
      <w:r w:rsidRPr="00B21EE8">
        <w:rPr>
          <w:noProof/>
          <w:lang w:val="en-US"/>
        </w:rPr>
        <w:t xml:space="preserve"> The iPSYCH2012 case-cohort sample: new directions for unravelling genetic and environmental architectures of severe mental disorders. </w:t>
      </w:r>
      <w:r w:rsidRPr="00B21EE8">
        <w:rPr>
          <w:i/>
          <w:iCs/>
          <w:noProof/>
          <w:lang w:val="en-US"/>
        </w:rPr>
        <w:t>Mol Psychiatry</w:t>
      </w:r>
      <w:r w:rsidRPr="00B21EE8">
        <w:rPr>
          <w:noProof/>
          <w:lang w:val="en-US"/>
        </w:rPr>
        <w:t xml:space="preserve"> 2018; </w:t>
      </w:r>
      <w:r w:rsidRPr="00B21EE8">
        <w:rPr>
          <w:b/>
          <w:bCs/>
          <w:noProof/>
          <w:lang w:val="en-US"/>
        </w:rPr>
        <w:t>23</w:t>
      </w:r>
      <w:r w:rsidRPr="00B21EE8">
        <w:rPr>
          <w:noProof/>
          <w:lang w:val="en-US"/>
        </w:rPr>
        <w:t>: 6–14.</w:t>
      </w:r>
    </w:p>
    <w:p w14:paraId="2C7F3C09"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6 </w:t>
      </w:r>
      <w:r w:rsidRPr="00B21EE8">
        <w:rPr>
          <w:noProof/>
          <w:lang w:val="en-US"/>
        </w:rPr>
        <w:tab/>
        <w:t xml:space="preserve">Loh P-R, Tucker G, Bulik-Sullivan BK, Vilhjálmsson BJ, Finucane HK, Salem RM </w:t>
      </w:r>
      <w:r w:rsidRPr="00B21EE8">
        <w:rPr>
          <w:i/>
          <w:iCs/>
          <w:noProof/>
          <w:lang w:val="en-US"/>
        </w:rPr>
        <w:t>et al.</w:t>
      </w:r>
      <w:r w:rsidRPr="00B21EE8">
        <w:rPr>
          <w:noProof/>
          <w:lang w:val="en-US"/>
        </w:rPr>
        <w:t xml:space="preserve"> Efficient Bayesian mixed-model analysis increases association power in large cohorts. </w:t>
      </w:r>
      <w:r w:rsidRPr="00B21EE8">
        <w:rPr>
          <w:i/>
          <w:iCs/>
          <w:noProof/>
          <w:lang w:val="en-US"/>
        </w:rPr>
        <w:t>Nat Genet</w:t>
      </w:r>
      <w:r w:rsidRPr="00B21EE8">
        <w:rPr>
          <w:noProof/>
          <w:lang w:val="en-US"/>
        </w:rPr>
        <w:t xml:space="preserve"> 2015; </w:t>
      </w:r>
      <w:r w:rsidRPr="00B21EE8">
        <w:rPr>
          <w:b/>
          <w:bCs/>
          <w:noProof/>
          <w:lang w:val="en-US"/>
        </w:rPr>
        <w:t>47</w:t>
      </w:r>
      <w:r w:rsidRPr="00B21EE8">
        <w:rPr>
          <w:noProof/>
          <w:lang w:val="en-US"/>
        </w:rPr>
        <w:t>: 284–290.</w:t>
      </w:r>
    </w:p>
    <w:p w14:paraId="282EE63C"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7 </w:t>
      </w:r>
      <w:r w:rsidRPr="00B21EE8">
        <w:rPr>
          <w:noProof/>
          <w:lang w:val="en-US"/>
        </w:rPr>
        <w:tab/>
        <w:t xml:space="preserve">Lee SH, Goddard ME, Wray NR, Visscher PM. A better coefficient of determination for genetic profile analysis. </w:t>
      </w:r>
      <w:r w:rsidRPr="00B21EE8">
        <w:rPr>
          <w:i/>
          <w:iCs/>
          <w:noProof/>
          <w:lang w:val="en-US"/>
        </w:rPr>
        <w:t>Genet Epidemiol</w:t>
      </w:r>
      <w:r w:rsidRPr="00B21EE8">
        <w:rPr>
          <w:noProof/>
          <w:lang w:val="en-US"/>
        </w:rPr>
        <w:t xml:space="preserve"> 2012; </w:t>
      </w:r>
      <w:r w:rsidRPr="00B21EE8">
        <w:rPr>
          <w:b/>
          <w:bCs/>
          <w:noProof/>
          <w:lang w:val="en-US"/>
        </w:rPr>
        <w:t>36</w:t>
      </w:r>
      <w:r w:rsidRPr="00B21EE8">
        <w:rPr>
          <w:noProof/>
          <w:lang w:val="en-US"/>
        </w:rPr>
        <w:t>: 214–224.</w:t>
      </w:r>
    </w:p>
    <w:p w14:paraId="2A4351C8"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8 </w:t>
      </w:r>
      <w:r w:rsidRPr="00B21EE8">
        <w:rPr>
          <w:noProof/>
          <w:lang w:val="en-US"/>
        </w:rPr>
        <w:tab/>
        <w:t xml:space="preserve">Lee SH, Wray NR, Goddard ME, Visscher PM. Estimating missing heritability for disease from genome-wide association studies. </w:t>
      </w:r>
      <w:r w:rsidRPr="00B21EE8">
        <w:rPr>
          <w:i/>
          <w:iCs/>
          <w:noProof/>
          <w:lang w:val="en-US"/>
        </w:rPr>
        <w:t>Am J Hum Genet</w:t>
      </w:r>
      <w:r w:rsidRPr="00B21EE8">
        <w:rPr>
          <w:noProof/>
          <w:lang w:val="en-US"/>
        </w:rPr>
        <w:t xml:space="preserve"> 2011; </w:t>
      </w:r>
      <w:r w:rsidRPr="00B21EE8">
        <w:rPr>
          <w:b/>
          <w:bCs/>
          <w:noProof/>
          <w:lang w:val="en-US"/>
        </w:rPr>
        <w:t>88</w:t>
      </w:r>
      <w:r w:rsidRPr="00B21EE8">
        <w:rPr>
          <w:noProof/>
          <w:lang w:val="en-US"/>
        </w:rPr>
        <w:t>: 294–305.</w:t>
      </w:r>
    </w:p>
    <w:p w14:paraId="73A53228"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9 </w:t>
      </w:r>
      <w:r w:rsidRPr="00B21EE8">
        <w:rPr>
          <w:noProof/>
          <w:lang w:val="en-US"/>
        </w:rPr>
        <w:tab/>
        <w:t xml:space="preserve">de Leeuw CA, Mooij JM, Heskes T, Posthuma D. MAGMA: generalized gene-set analysis of GWAS data. </w:t>
      </w:r>
      <w:r w:rsidRPr="00B21EE8">
        <w:rPr>
          <w:i/>
          <w:iCs/>
          <w:noProof/>
          <w:lang w:val="en-US"/>
        </w:rPr>
        <w:t>PLoS Comput Biol</w:t>
      </w:r>
      <w:r w:rsidRPr="00B21EE8">
        <w:rPr>
          <w:noProof/>
          <w:lang w:val="en-US"/>
        </w:rPr>
        <w:t xml:space="preserve"> 2015; </w:t>
      </w:r>
      <w:r w:rsidRPr="00B21EE8">
        <w:rPr>
          <w:b/>
          <w:bCs/>
          <w:noProof/>
          <w:lang w:val="en-US"/>
        </w:rPr>
        <w:t>11</w:t>
      </w:r>
      <w:r w:rsidRPr="00B21EE8">
        <w:rPr>
          <w:noProof/>
          <w:lang w:val="en-US"/>
        </w:rPr>
        <w:t>: e1004219.</w:t>
      </w:r>
    </w:p>
    <w:p w14:paraId="238213D5"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10 </w:t>
      </w:r>
      <w:r w:rsidRPr="00B21EE8">
        <w:rPr>
          <w:noProof/>
          <w:lang w:val="en-US"/>
        </w:rPr>
        <w:tab/>
        <w:t xml:space="preserve">Euesden J, Lewis CM, O’Reilly PF. PRSice: Polygenic Risk Score software. </w:t>
      </w:r>
      <w:r w:rsidRPr="00B21EE8">
        <w:rPr>
          <w:i/>
          <w:iCs/>
          <w:noProof/>
          <w:lang w:val="en-US"/>
        </w:rPr>
        <w:t>Bioinformatics</w:t>
      </w:r>
      <w:r w:rsidRPr="00B21EE8">
        <w:rPr>
          <w:noProof/>
          <w:lang w:val="en-US"/>
        </w:rPr>
        <w:t xml:space="preserve"> 2015; </w:t>
      </w:r>
      <w:r w:rsidRPr="00B21EE8">
        <w:rPr>
          <w:b/>
          <w:bCs/>
          <w:noProof/>
          <w:lang w:val="en-US"/>
        </w:rPr>
        <w:t>31</w:t>
      </w:r>
      <w:r w:rsidRPr="00B21EE8">
        <w:rPr>
          <w:noProof/>
          <w:lang w:val="en-US"/>
        </w:rPr>
        <w:t>: 1466–1468.</w:t>
      </w:r>
    </w:p>
    <w:p w14:paraId="503F8A0D"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11 </w:t>
      </w:r>
      <w:r w:rsidRPr="00B21EE8">
        <w:rPr>
          <w:noProof/>
          <w:lang w:val="en-US"/>
        </w:rPr>
        <w:tab/>
        <w:t xml:space="preserve">Finucane HK, Bulik-Sullivan B, Gusev A, Trynka G, Reshef Y, Loh P-R </w:t>
      </w:r>
      <w:r w:rsidRPr="00B21EE8">
        <w:rPr>
          <w:i/>
          <w:iCs/>
          <w:noProof/>
          <w:lang w:val="en-US"/>
        </w:rPr>
        <w:t>et al.</w:t>
      </w:r>
      <w:r w:rsidRPr="00B21EE8">
        <w:rPr>
          <w:noProof/>
          <w:lang w:val="en-US"/>
        </w:rPr>
        <w:t xml:space="preserve"> Partitioning heritability by functional category using GWAS summary statistics. </w:t>
      </w:r>
      <w:r w:rsidRPr="00B21EE8">
        <w:rPr>
          <w:i/>
          <w:iCs/>
          <w:noProof/>
          <w:lang w:val="en-US"/>
        </w:rPr>
        <w:t>BioRxiv</w:t>
      </w:r>
      <w:r w:rsidRPr="00B21EE8">
        <w:rPr>
          <w:noProof/>
          <w:lang w:val="en-US"/>
        </w:rPr>
        <w:t xml:space="preserve"> 2015. doi:10.1101/014241.</w:t>
      </w:r>
    </w:p>
    <w:p w14:paraId="309FECFD" w14:textId="77777777" w:rsidR="00B21EE8" w:rsidRPr="00B21EE8" w:rsidRDefault="00B21EE8">
      <w:pPr>
        <w:widowControl w:val="0"/>
        <w:autoSpaceDE w:val="0"/>
        <w:autoSpaceDN w:val="0"/>
        <w:adjustRightInd w:val="0"/>
        <w:ind w:left="440" w:hanging="440"/>
        <w:rPr>
          <w:noProof/>
          <w:lang w:val="en-US"/>
        </w:rPr>
      </w:pPr>
      <w:r w:rsidRPr="00B21EE8">
        <w:rPr>
          <w:noProof/>
          <w:lang w:val="en-US"/>
        </w:rPr>
        <w:t xml:space="preserve">12 </w:t>
      </w:r>
      <w:r w:rsidRPr="00B21EE8">
        <w:rPr>
          <w:noProof/>
          <w:lang w:val="en-US"/>
        </w:rPr>
        <w:tab/>
        <w:t xml:space="preserve">Gallagher MD, Posavi M, Huang P, Unger TL, Berlyand Y, Gruenewald AL </w:t>
      </w:r>
      <w:r w:rsidRPr="00B21EE8">
        <w:rPr>
          <w:i/>
          <w:iCs/>
          <w:noProof/>
          <w:lang w:val="en-US"/>
        </w:rPr>
        <w:t>et al.</w:t>
      </w:r>
      <w:r w:rsidRPr="00B21EE8">
        <w:rPr>
          <w:noProof/>
          <w:lang w:val="en-US"/>
        </w:rPr>
        <w:t xml:space="preserve"> A Dementia-Associated Risk Variant near TMEM106B Alters Chromatin Architecture and Gene Expression. </w:t>
      </w:r>
      <w:r w:rsidRPr="00B21EE8">
        <w:rPr>
          <w:i/>
          <w:iCs/>
          <w:noProof/>
          <w:lang w:val="en-US"/>
        </w:rPr>
        <w:t>Am J Hum Genet</w:t>
      </w:r>
      <w:r w:rsidRPr="00B21EE8">
        <w:rPr>
          <w:noProof/>
          <w:lang w:val="en-US"/>
        </w:rPr>
        <w:t xml:space="preserve"> 2017; </w:t>
      </w:r>
      <w:r w:rsidRPr="00B21EE8">
        <w:rPr>
          <w:b/>
          <w:bCs/>
          <w:noProof/>
          <w:lang w:val="en-US"/>
        </w:rPr>
        <w:t>101</w:t>
      </w:r>
      <w:r w:rsidRPr="00B21EE8">
        <w:rPr>
          <w:noProof/>
          <w:lang w:val="en-US"/>
        </w:rPr>
        <w:t>: 643–663.</w:t>
      </w:r>
    </w:p>
    <w:p w14:paraId="02537EB4" w14:textId="77777777" w:rsidR="00B21EE8" w:rsidRPr="00B21EE8" w:rsidRDefault="00B21EE8">
      <w:pPr>
        <w:widowControl w:val="0"/>
        <w:autoSpaceDE w:val="0"/>
        <w:autoSpaceDN w:val="0"/>
        <w:adjustRightInd w:val="0"/>
        <w:ind w:left="440" w:hanging="440"/>
        <w:rPr>
          <w:noProof/>
        </w:rPr>
      </w:pPr>
      <w:r w:rsidRPr="00B21EE8">
        <w:rPr>
          <w:noProof/>
          <w:lang w:val="en-US"/>
        </w:rPr>
        <w:t xml:space="preserve">13 </w:t>
      </w:r>
      <w:r w:rsidRPr="00B21EE8">
        <w:rPr>
          <w:noProof/>
          <w:lang w:val="en-US"/>
        </w:rPr>
        <w:tab/>
        <w:t xml:space="preserve">Marchini J, Howie B, Myers S, McVean G, Donnelly P. A new multipoint method for genome-wide association studies by imputation of genotypes. </w:t>
      </w:r>
      <w:r w:rsidRPr="00B21EE8">
        <w:rPr>
          <w:i/>
          <w:iCs/>
          <w:noProof/>
          <w:lang w:val="en-US"/>
        </w:rPr>
        <w:t>Nat Genet</w:t>
      </w:r>
      <w:r w:rsidRPr="00B21EE8">
        <w:rPr>
          <w:noProof/>
          <w:lang w:val="en-US"/>
        </w:rPr>
        <w:t xml:space="preserve"> 2007; </w:t>
      </w:r>
      <w:r w:rsidRPr="00B21EE8">
        <w:rPr>
          <w:b/>
          <w:bCs/>
          <w:noProof/>
          <w:lang w:val="en-US"/>
        </w:rPr>
        <w:t>39</w:t>
      </w:r>
      <w:r w:rsidRPr="00B21EE8">
        <w:rPr>
          <w:noProof/>
          <w:lang w:val="en-US"/>
        </w:rPr>
        <w:t>: 906–913.</w:t>
      </w:r>
    </w:p>
    <w:p w14:paraId="0051440F" w14:textId="021B090E" w:rsidR="0081622E" w:rsidRDefault="00031C29" w:rsidP="00B21EE8">
      <w:pPr>
        <w:widowControl w:val="0"/>
        <w:autoSpaceDE w:val="0"/>
        <w:autoSpaceDN w:val="0"/>
        <w:adjustRightInd w:val="0"/>
        <w:rPr>
          <w:color w:val="000000"/>
        </w:rPr>
      </w:pPr>
      <w:r>
        <w:rPr>
          <w:color w:val="000000"/>
        </w:rPr>
        <w:fldChar w:fldCharType="end"/>
      </w:r>
    </w:p>
    <w:sectPr w:rsidR="0081622E" w:rsidSect="003B7500">
      <w:footerReference w:type="default" r:id="rId16"/>
      <w:footerReference w:type="first" r:id="rId17"/>
      <w:pgSz w:w="11909" w:h="16834"/>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27333" w14:textId="77777777" w:rsidR="00EE2DED" w:rsidRDefault="00EE2DED">
      <w:pPr>
        <w:spacing w:line="240" w:lineRule="auto"/>
      </w:pPr>
      <w:r>
        <w:separator/>
      </w:r>
    </w:p>
  </w:endnote>
  <w:endnote w:type="continuationSeparator" w:id="0">
    <w:p w14:paraId="39D90645" w14:textId="77777777" w:rsidR="00EE2DED" w:rsidRDefault="00EE2D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4BCE3" w14:textId="77777777" w:rsidR="0081622E" w:rsidRDefault="00031C29">
    <w:pPr>
      <w:jc w:val="right"/>
    </w:pPr>
    <w:r>
      <w:fldChar w:fldCharType="begin"/>
    </w:r>
    <w:r>
      <w:instrText>PAGE</w:instrText>
    </w:r>
    <w:r>
      <w:fldChar w:fldCharType="separate"/>
    </w:r>
    <w:r w:rsidR="007022B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5B48C" w14:textId="77777777" w:rsidR="0081622E" w:rsidRDefault="00031C29" w:rsidP="003B7500">
    <w:pPr>
      <w:jc w:val="right"/>
    </w:pPr>
    <w:r>
      <w:fldChar w:fldCharType="begin"/>
    </w:r>
    <w:r>
      <w:instrText>PAGE</w:instrText>
    </w:r>
    <w:r>
      <w:fldChar w:fldCharType="separate"/>
    </w:r>
    <w:r w:rsidR="007022B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6F562" w14:textId="77777777" w:rsidR="00EE2DED" w:rsidRDefault="00EE2DED">
      <w:pPr>
        <w:spacing w:line="240" w:lineRule="auto"/>
      </w:pPr>
      <w:r>
        <w:separator/>
      </w:r>
    </w:p>
  </w:footnote>
  <w:footnote w:type="continuationSeparator" w:id="0">
    <w:p w14:paraId="43398FC9" w14:textId="77777777" w:rsidR="00EE2DED" w:rsidRDefault="00EE2DE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22E"/>
    <w:rsid w:val="00031C29"/>
    <w:rsid w:val="003B7500"/>
    <w:rsid w:val="00630327"/>
    <w:rsid w:val="00653CF2"/>
    <w:rsid w:val="00681273"/>
    <w:rsid w:val="007022B1"/>
    <w:rsid w:val="0081622E"/>
    <w:rsid w:val="00B21EE8"/>
    <w:rsid w:val="00C86093"/>
    <w:rsid w:val="00CD707E"/>
    <w:rsid w:val="00EE2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51E2"/>
  <w15:docId w15:val="{3F80772A-0E70-E443-8B19-70CEB0D7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022B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022B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7219</Words>
  <Characters>41152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Purves, Kirstin</cp:lastModifiedBy>
  <cp:revision>7</cp:revision>
  <dcterms:created xsi:type="dcterms:W3CDTF">2019-06-10T10:46:00Z</dcterms:created>
  <dcterms:modified xsi:type="dcterms:W3CDTF">2019-07-18T15:12:00Z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http://www.zotero.org/styles/molecular-psychiatry</vt:lpwstr>
  </property>
  <property fmtid="{D5CDD505-2E9C-101B-9397-08002B2CF9AE}" pid="3" name="InsertAsFootnote">
    <vt:lpwstr>0</vt:lpwstr>
  </property>
</Properties>
</file>