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ABE0E" w14:textId="77777777" w:rsidR="0071099D" w:rsidRPr="00FE0A62" w:rsidRDefault="0071099D" w:rsidP="0071099D">
      <w:pPr>
        <w:jc w:val="both"/>
        <w:rPr>
          <w:rFonts w:ascii="Arial" w:eastAsia="Arial" w:hAnsi="Arial" w:cs="Arial"/>
          <w:b/>
          <w:sz w:val="28"/>
          <w:szCs w:val="28"/>
        </w:rPr>
      </w:pPr>
      <w:r w:rsidRPr="00FE0A62">
        <w:rPr>
          <w:rFonts w:ascii="Arial" w:eastAsia="Arial" w:hAnsi="Arial" w:cs="Arial"/>
          <w:b/>
          <w:sz w:val="28"/>
          <w:szCs w:val="28"/>
        </w:rPr>
        <w:t>Supplementary Information</w:t>
      </w:r>
    </w:p>
    <w:p w14:paraId="00C9D231" w14:textId="77777777" w:rsidR="0071099D" w:rsidRDefault="0071099D" w:rsidP="0071099D">
      <w:pPr>
        <w:jc w:val="both"/>
        <w:rPr>
          <w:rFonts w:ascii="Arial" w:eastAsia="Arial" w:hAnsi="Arial" w:cs="Arial"/>
          <w:b/>
        </w:rPr>
      </w:pPr>
      <w:r>
        <w:rPr>
          <w:rFonts w:ascii="Arial" w:eastAsia="Arial" w:hAnsi="Arial" w:cs="Arial"/>
          <w:b/>
        </w:rPr>
        <w:t>Supplementary Methods</w:t>
      </w:r>
    </w:p>
    <w:p w14:paraId="59915EFF"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All molecular biology protocols were conducted according to manufacturer’s recommendations unless specifically noted otherwise. </w:t>
      </w:r>
    </w:p>
    <w:p w14:paraId="38F64DB0"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b/>
          <w:bCs/>
          <w:i/>
          <w:iCs/>
        </w:rPr>
        <w:t>RNA extraction and RT-PCR</w:t>
      </w:r>
    </w:p>
    <w:p w14:paraId="5C0F236A"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RNA was extracted from cerebellum, striatum, dorsolateral prefrontal cortex [DLPFC], cingulate cortex, occipital cortex and parietal cortex. Tissue was disrupted with the </w:t>
      </w:r>
      <w:proofErr w:type="spellStart"/>
      <w:r>
        <w:rPr>
          <w:rFonts w:ascii="Arial" w:eastAsia="Times New Roman" w:hAnsi="Arial" w:cs="Arial"/>
        </w:rPr>
        <w:t>TissueLyser</w:t>
      </w:r>
      <w:proofErr w:type="spellEnd"/>
      <w:r>
        <w:rPr>
          <w:rFonts w:ascii="Arial" w:eastAsia="Times New Roman" w:hAnsi="Arial" w:cs="Arial"/>
        </w:rPr>
        <w:t xml:space="preserve"> LT (Qiagen, UK) using </w:t>
      </w:r>
      <w:proofErr w:type="spellStart"/>
      <w:r>
        <w:rPr>
          <w:rFonts w:ascii="Arial" w:eastAsia="Times New Roman" w:hAnsi="Arial" w:cs="Arial"/>
        </w:rPr>
        <w:t>Rnase</w:t>
      </w:r>
      <w:proofErr w:type="spellEnd"/>
      <w:r>
        <w:rPr>
          <w:rFonts w:ascii="Arial" w:eastAsia="Times New Roman" w:hAnsi="Arial" w:cs="Arial"/>
        </w:rPr>
        <w:t xml:space="preserve">-free 5mm stainless steel beads in </w:t>
      </w:r>
      <w:proofErr w:type="spellStart"/>
      <w:r>
        <w:rPr>
          <w:rFonts w:ascii="Arial" w:eastAsia="Times New Roman" w:hAnsi="Arial" w:cs="Arial"/>
        </w:rPr>
        <w:t>QIAzol</w:t>
      </w:r>
      <w:proofErr w:type="spellEnd"/>
      <w:r>
        <w:rPr>
          <w:rFonts w:ascii="Arial" w:eastAsia="Times New Roman" w:hAnsi="Arial" w:cs="Arial"/>
        </w:rPr>
        <w:t xml:space="preserve"> Lysis Reagent (Qiagen). RNA was extracted using the Qiagen RNeasy Lipid Tissue Mini Kit (Qiagen, UK) and eluted in RNase-free water. RNA concentration and RNA integrity (RNA Integrity Number equivalent; </w:t>
      </w:r>
      <w:proofErr w:type="spellStart"/>
      <w:r>
        <w:rPr>
          <w:rFonts w:ascii="Arial" w:eastAsia="Times New Roman" w:hAnsi="Arial" w:cs="Arial"/>
        </w:rPr>
        <w:t>RINe</w:t>
      </w:r>
      <w:proofErr w:type="spellEnd"/>
      <w:r>
        <w:rPr>
          <w:rFonts w:ascii="Arial" w:eastAsia="Times New Roman" w:hAnsi="Arial" w:cs="Arial"/>
        </w:rPr>
        <w:t xml:space="preserve">) were measured using a </w:t>
      </w:r>
      <w:proofErr w:type="spellStart"/>
      <w:r>
        <w:rPr>
          <w:rFonts w:ascii="Arial" w:eastAsia="Times New Roman" w:hAnsi="Arial" w:cs="Arial"/>
        </w:rPr>
        <w:t>Tapestation</w:t>
      </w:r>
      <w:proofErr w:type="spellEnd"/>
      <w:r>
        <w:rPr>
          <w:rFonts w:ascii="Arial" w:eastAsia="Times New Roman" w:hAnsi="Arial" w:cs="Arial"/>
        </w:rPr>
        <w:t xml:space="preserve"> 2200 (Agilent, UK). All samples had a </w:t>
      </w:r>
      <w:proofErr w:type="spellStart"/>
      <w:r>
        <w:rPr>
          <w:rFonts w:ascii="Arial" w:eastAsia="Times New Roman" w:hAnsi="Arial" w:cs="Arial"/>
        </w:rPr>
        <w:t>RINe</w:t>
      </w:r>
      <w:proofErr w:type="spellEnd"/>
      <w:r>
        <w:rPr>
          <w:rFonts w:ascii="Arial" w:eastAsia="Times New Roman" w:hAnsi="Arial" w:cs="Arial"/>
        </w:rPr>
        <w:t xml:space="preserve"> of &gt;7.0. RNA (1µg per sample) was converted into cDNA with </w:t>
      </w:r>
      <w:proofErr w:type="spellStart"/>
      <w:r>
        <w:rPr>
          <w:rFonts w:ascii="Arial" w:eastAsia="Times New Roman" w:hAnsi="Arial" w:cs="Arial"/>
        </w:rPr>
        <w:t>GoScript</w:t>
      </w:r>
      <w:r>
        <w:rPr>
          <w:rFonts w:ascii="Arial" w:eastAsia="Times New Roman" w:hAnsi="Arial" w:cs="Arial"/>
          <w:sz w:val="13"/>
          <w:szCs w:val="13"/>
          <w:vertAlign w:val="superscript"/>
        </w:rPr>
        <w:t>TM</w:t>
      </w:r>
      <w:proofErr w:type="spellEnd"/>
      <w:r>
        <w:rPr>
          <w:rFonts w:ascii="Arial" w:eastAsia="Times New Roman" w:hAnsi="Arial" w:cs="Arial"/>
        </w:rPr>
        <w:t xml:space="preserve"> Reverse Transcriptase (Promega, UK) using </w:t>
      </w:r>
      <w:proofErr w:type="spellStart"/>
      <w:r>
        <w:rPr>
          <w:rFonts w:ascii="Arial" w:eastAsia="Times New Roman" w:hAnsi="Arial" w:cs="Arial"/>
        </w:rPr>
        <w:t>oligoDT</w:t>
      </w:r>
      <w:proofErr w:type="spellEnd"/>
      <w:r>
        <w:rPr>
          <w:rFonts w:ascii="Arial" w:eastAsia="Times New Roman" w:hAnsi="Arial" w:cs="Arial"/>
        </w:rPr>
        <w:t xml:space="preserve"> priming. </w:t>
      </w:r>
    </w:p>
    <w:p w14:paraId="4BCE887A"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Full-length CDS amplicons of </w:t>
      </w:r>
      <w:r>
        <w:rPr>
          <w:rFonts w:ascii="Arial" w:eastAsia="Times New Roman" w:hAnsi="Arial" w:cs="Arial"/>
          <w:i/>
          <w:iCs/>
        </w:rPr>
        <w:t>CACNA1C</w:t>
      </w:r>
      <w:r>
        <w:rPr>
          <w:rFonts w:ascii="Arial" w:eastAsia="Times New Roman" w:hAnsi="Arial" w:cs="Arial"/>
        </w:rPr>
        <w:t xml:space="preserve"> were obtained by PCR using primers located 5’ to the translation start site in Exon 1B and 3’ to the stop codon in the 3’ untranslated region. Specifically, </w:t>
      </w:r>
      <w:r>
        <w:rPr>
          <w:rFonts w:ascii="Arial" w:eastAsia="Times New Roman" w:hAnsi="Arial" w:cs="Arial"/>
          <w:i/>
          <w:iCs/>
        </w:rPr>
        <w:t>CACNA1C</w:t>
      </w:r>
      <w:r>
        <w:rPr>
          <w:rFonts w:ascii="Arial" w:eastAsia="Times New Roman" w:hAnsi="Arial" w:cs="Arial"/>
        </w:rPr>
        <w:t xml:space="preserve"> was amplified from cDNA equating to 125ng RNA template from the eighteen human brain samples using </w:t>
      </w:r>
      <w:proofErr w:type="spellStart"/>
      <w:r>
        <w:rPr>
          <w:rFonts w:ascii="Arial" w:eastAsia="Times New Roman" w:hAnsi="Arial" w:cs="Arial"/>
        </w:rPr>
        <w:t>PrimeSTAR</w:t>
      </w:r>
      <w:proofErr w:type="spellEnd"/>
      <w:r>
        <w:rPr>
          <w:rFonts w:ascii="Arial" w:eastAsia="Times New Roman" w:hAnsi="Arial" w:cs="Arial"/>
        </w:rPr>
        <w:t xml:space="preserve"> GXL DNA Polymerase (Takara). Tailed primers were designed to amplify the ~6.5kb </w:t>
      </w:r>
      <w:r>
        <w:rPr>
          <w:rFonts w:ascii="Arial" w:eastAsia="Times New Roman" w:hAnsi="Arial" w:cs="Arial"/>
          <w:i/>
          <w:iCs/>
        </w:rPr>
        <w:t>CACNA1C</w:t>
      </w:r>
      <w:r>
        <w:rPr>
          <w:rFonts w:ascii="Arial" w:eastAsia="Times New Roman" w:hAnsi="Arial" w:cs="Arial"/>
        </w:rPr>
        <w:t xml:space="preserve"> coding sequence and included sequence to allow further amplification and barcoding. Forward and Reverse primers were </w:t>
      </w:r>
      <w:proofErr w:type="spellStart"/>
      <w:r>
        <w:rPr>
          <w:rFonts w:ascii="Arial" w:eastAsia="Times New Roman" w:hAnsi="Arial" w:cs="Arial"/>
        </w:rPr>
        <w:t>tttctgttggtgctgatattgcCATTTCTTCCTCTTCGTGGCTGC</w:t>
      </w:r>
      <w:proofErr w:type="spellEnd"/>
      <w:r>
        <w:rPr>
          <w:rFonts w:ascii="Arial" w:eastAsia="Times New Roman" w:hAnsi="Arial" w:cs="Arial"/>
        </w:rPr>
        <w:t xml:space="preserve"> and </w:t>
      </w:r>
      <w:proofErr w:type="spellStart"/>
      <w:r>
        <w:rPr>
          <w:rFonts w:ascii="Arial" w:eastAsia="Times New Roman" w:hAnsi="Arial" w:cs="Arial"/>
        </w:rPr>
        <w:t>acttgcctgtcgctctatcttcCCAGGTCACGAGAACAGTGAGG</w:t>
      </w:r>
      <w:proofErr w:type="spellEnd"/>
      <w:r>
        <w:rPr>
          <w:rFonts w:ascii="Arial" w:eastAsia="Times New Roman" w:hAnsi="Arial" w:cs="Arial"/>
        </w:rPr>
        <w:t>, respectively (</w:t>
      </w:r>
      <w:r>
        <w:rPr>
          <w:rFonts w:ascii="Arial" w:eastAsia="Times New Roman" w:hAnsi="Arial" w:cs="Arial"/>
          <w:i/>
          <w:iCs/>
        </w:rPr>
        <w:t>CACNA1C</w:t>
      </w:r>
      <w:r>
        <w:rPr>
          <w:rFonts w:ascii="Arial" w:eastAsia="Times New Roman" w:hAnsi="Arial" w:cs="Arial"/>
        </w:rPr>
        <w:t xml:space="preserve"> sequence in capital letters). Amplification was conducted for 25 cycles of 98</w:t>
      </w:r>
      <w:r>
        <w:rPr>
          <w:rFonts w:ascii="Arial" w:eastAsia="Times New Roman" w:hAnsi="Arial" w:cs="Arial"/>
          <w:sz w:val="13"/>
          <w:szCs w:val="13"/>
          <w:vertAlign w:val="superscript"/>
        </w:rPr>
        <w:t>o</w:t>
      </w:r>
      <w:r>
        <w:rPr>
          <w:rFonts w:ascii="Arial" w:eastAsia="Times New Roman" w:hAnsi="Arial" w:cs="Arial"/>
        </w:rPr>
        <w:t>C for 10 sec; 57</w:t>
      </w:r>
      <w:r>
        <w:rPr>
          <w:rFonts w:ascii="Arial" w:eastAsia="Times New Roman" w:hAnsi="Arial" w:cs="Arial"/>
          <w:sz w:val="13"/>
          <w:szCs w:val="13"/>
          <w:vertAlign w:val="superscript"/>
        </w:rPr>
        <w:t>o</w:t>
      </w:r>
      <w:r>
        <w:rPr>
          <w:rFonts w:ascii="Arial" w:eastAsia="Times New Roman" w:hAnsi="Arial" w:cs="Arial"/>
        </w:rPr>
        <w:t>C for 15 sec; 68</w:t>
      </w:r>
      <w:r>
        <w:rPr>
          <w:rFonts w:ascii="Arial" w:eastAsia="Times New Roman" w:hAnsi="Arial" w:cs="Arial"/>
          <w:sz w:val="13"/>
          <w:szCs w:val="13"/>
          <w:vertAlign w:val="superscript"/>
        </w:rPr>
        <w:t>o</w:t>
      </w:r>
      <w:r>
        <w:rPr>
          <w:rFonts w:ascii="Arial" w:eastAsia="Times New Roman" w:hAnsi="Arial" w:cs="Arial"/>
        </w:rPr>
        <w:t xml:space="preserve">C for 7 min.  PCR products were separated on a 1.5% agarose gel (visualised with </w:t>
      </w:r>
      <w:proofErr w:type="spellStart"/>
      <w:r>
        <w:rPr>
          <w:rFonts w:ascii="Arial" w:eastAsia="Times New Roman" w:hAnsi="Arial" w:cs="Arial"/>
        </w:rPr>
        <w:t>GelGreen</w:t>
      </w:r>
      <w:proofErr w:type="spellEnd"/>
      <w:r>
        <w:rPr>
          <w:rFonts w:ascii="Arial" w:eastAsia="Times New Roman" w:hAnsi="Arial" w:cs="Arial"/>
        </w:rPr>
        <w:t xml:space="preserve">, </w:t>
      </w:r>
      <w:proofErr w:type="spellStart"/>
      <w:r>
        <w:rPr>
          <w:rFonts w:ascii="Arial" w:eastAsia="Times New Roman" w:hAnsi="Arial" w:cs="Arial"/>
        </w:rPr>
        <w:t>Biotium</w:t>
      </w:r>
      <w:proofErr w:type="spellEnd"/>
      <w:r>
        <w:rPr>
          <w:rFonts w:ascii="Arial" w:eastAsia="Times New Roman" w:hAnsi="Arial" w:cs="Arial"/>
        </w:rPr>
        <w:t xml:space="preserve">, UK). Full-length CDS (~6.5kb) products were excised and purified using the Qiagen Gel Purification Kit (Qiagen, UK). DNA was barcoded using the Oxford Nanopore Technologies (ONT) PCR Barcoding Kit (EXP-PBC001) using </w:t>
      </w:r>
      <w:proofErr w:type="spellStart"/>
      <w:r>
        <w:rPr>
          <w:rFonts w:ascii="Arial" w:eastAsia="Times New Roman" w:hAnsi="Arial" w:cs="Arial"/>
        </w:rPr>
        <w:t>PrimeSTAR</w:t>
      </w:r>
      <w:proofErr w:type="spellEnd"/>
      <w:r>
        <w:rPr>
          <w:rFonts w:ascii="Arial" w:eastAsia="Times New Roman" w:hAnsi="Arial" w:cs="Arial"/>
        </w:rPr>
        <w:t xml:space="preserve"> GXL DNA Polymerase and 12 cycles of PCR amplification, as described above. PCR products were purified with the Qiagen PCR Purification Kit (Qiagen, UK) and quantified by Qubit (</w:t>
      </w:r>
      <w:proofErr w:type="spellStart"/>
      <w:r>
        <w:rPr>
          <w:rFonts w:ascii="Arial" w:eastAsia="Times New Roman" w:hAnsi="Arial" w:cs="Arial"/>
        </w:rPr>
        <w:t>ThermoFisher</w:t>
      </w:r>
      <w:proofErr w:type="spellEnd"/>
      <w:r>
        <w:rPr>
          <w:rFonts w:ascii="Arial" w:eastAsia="Times New Roman" w:hAnsi="Arial" w:cs="Arial"/>
        </w:rPr>
        <w:t>, UK).  </w:t>
      </w:r>
    </w:p>
    <w:p w14:paraId="4D568A89"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b/>
          <w:bCs/>
          <w:i/>
          <w:iCs/>
        </w:rPr>
        <w:t>Nanopore Sequencing of the full-length CACNA1C CDS</w:t>
      </w:r>
    </w:p>
    <w:p w14:paraId="0C0D77EC"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The PCR Barcoding Kit (EXP-PBC001, ONT) contains unique twelve barcodes, hence the 18 samples were split across two </w:t>
      </w:r>
      <w:proofErr w:type="spellStart"/>
      <w:r>
        <w:rPr>
          <w:rFonts w:ascii="Arial" w:eastAsia="Times New Roman" w:hAnsi="Arial" w:cs="Arial"/>
        </w:rPr>
        <w:t>flowcells</w:t>
      </w:r>
      <w:proofErr w:type="spellEnd"/>
      <w:r>
        <w:rPr>
          <w:rFonts w:ascii="Arial" w:eastAsia="Times New Roman" w:hAnsi="Arial" w:cs="Arial"/>
        </w:rPr>
        <w:t xml:space="preserve"> with 12 samples run on each. Six samples were sequenced on both </w:t>
      </w:r>
      <w:proofErr w:type="spellStart"/>
      <w:r>
        <w:rPr>
          <w:rFonts w:ascii="Arial" w:eastAsia="Times New Roman" w:hAnsi="Arial" w:cs="Arial"/>
        </w:rPr>
        <w:t>flowcells</w:t>
      </w:r>
      <w:proofErr w:type="spellEnd"/>
      <w:r>
        <w:rPr>
          <w:rFonts w:ascii="Arial" w:eastAsia="Times New Roman" w:hAnsi="Arial" w:cs="Arial"/>
        </w:rPr>
        <w:t xml:space="preserve"> to allow comparison and normalisation between sequencing runs. Samples and barcodes used in each sequencing run are described in Supplementary Table 4.</w:t>
      </w:r>
    </w:p>
    <w:p w14:paraId="7BBE5D84"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For each sequencing run, 132ng of each of the twelve samples was pooled and re-purified using 0.4x </w:t>
      </w:r>
      <w:proofErr w:type="spellStart"/>
      <w:r>
        <w:rPr>
          <w:rFonts w:ascii="Arial" w:eastAsia="Times New Roman" w:hAnsi="Arial" w:cs="Arial"/>
        </w:rPr>
        <w:t>Agencourt</w:t>
      </w:r>
      <w:proofErr w:type="spellEnd"/>
      <w:r>
        <w:rPr>
          <w:rFonts w:ascii="Arial" w:eastAsia="Times New Roman" w:hAnsi="Arial" w:cs="Arial"/>
        </w:rPr>
        <w:t xml:space="preserve"> </w:t>
      </w:r>
      <w:proofErr w:type="spellStart"/>
      <w:r>
        <w:rPr>
          <w:rFonts w:ascii="Arial" w:eastAsia="Times New Roman" w:hAnsi="Arial" w:cs="Arial"/>
        </w:rPr>
        <w:t>Ampure</w:t>
      </w:r>
      <w:proofErr w:type="spellEnd"/>
      <w:r>
        <w:rPr>
          <w:rFonts w:ascii="Arial" w:eastAsia="Times New Roman" w:hAnsi="Arial" w:cs="Arial"/>
        </w:rPr>
        <w:t xml:space="preserve"> XP beads (Beckman Coulter, UK) to concentrate the sample and remove any contaminating small DNA products. The presence of full-length DNA product in the pool was confirmed by 2200 or 4200 </w:t>
      </w:r>
      <w:proofErr w:type="spellStart"/>
      <w:r>
        <w:rPr>
          <w:rFonts w:ascii="Arial" w:eastAsia="Times New Roman" w:hAnsi="Arial" w:cs="Arial"/>
        </w:rPr>
        <w:t>TapeStation</w:t>
      </w:r>
      <w:proofErr w:type="spellEnd"/>
      <w:r>
        <w:rPr>
          <w:rFonts w:ascii="Arial" w:eastAsia="Times New Roman" w:hAnsi="Arial" w:cs="Arial"/>
        </w:rPr>
        <w:t xml:space="preserve"> (Agilent) analysis using gDNA </w:t>
      </w:r>
      <w:proofErr w:type="spellStart"/>
      <w:r>
        <w:rPr>
          <w:rFonts w:ascii="Arial" w:eastAsia="Times New Roman" w:hAnsi="Arial" w:cs="Arial"/>
        </w:rPr>
        <w:t>screentape</w:t>
      </w:r>
      <w:proofErr w:type="spellEnd"/>
      <w:r>
        <w:rPr>
          <w:rFonts w:ascii="Arial" w:eastAsia="Times New Roman" w:hAnsi="Arial" w:cs="Arial"/>
        </w:rPr>
        <w:t xml:space="preserve"> (Supplementary Figure 8) and the sample measured again by Qubit to ensure the presence of sufficient product for nanopore library preparation.</w:t>
      </w:r>
    </w:p>
    <w:p w14:paraId="5116876A"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Sequencing libraries were prepared with the 2D Nanopore Sequencing Kit (SQK-LSK208, ONT) using 1µg of </w:t>
      </w:r>
      <w:r>
        <w:rPr>
          <w:rFonts w:ascii="Arial" w:eastAsia="Times New Roman" w:hAnsi="Arial" w:cs="Arial"/>
          <w:i/>
          <w:iCs/>
        </w:rPr>
        <w:t>CACNA1C</w:t>
      </w:r>
      <w:r>
        <w:rPr>
          <w:rFonts w:ascii="Arial" w:eastAsia="Times New Roman" w:hAnsi="Arial" w:cs="Arial"/>
        </w:rPr>
        <w:t xml:space="preserve"> DNA. DNA end-repair and </w:t>
      </w:r>
      <w:proofErr w:type="spellStart"/>
      <w:r>
        <w:rPr>
          <w:rFonts w:ascii="Arial" w:eastAsia="Times New Roman" w:hAnsi="Arial" w:cs="Arial"/>
        </w:rPr>
        <w:t>dA</w:t>
      </w:r>
      <w:proofErr w:type="spellEnd"/>
      <w:r>
        <w:rPr>
          <w:rFonts w:ascii="Arial" w:eastAsia="Times New Roman" w:hAnsi="Arial" w:cs="Arial"/>
        </w:rPr>
        <w:t xml:space="preserve">-tailing was performed using the </w:t>
      </w:r>
      <w:proofErr w:type="spellStart"/>
      <w:r>
        <w:rPr>
          <w:rFonts w:ascii="Arial" w:eastAsia="Times New Roman" w:hAnsi="Arial" w:cs="Arial"/>
        </w:rPr>
        <w:t>NEBNext</w:t>
      </w:r>
      <w:proofErr w:type="spellEnd"/>
      <w:r>
        <w:rPr>
          <w:rFonts w:ascii="Arial" w:eastAsia="Times New Roman" w:hAnsi="Arial" w:cs="Arial"/>
        </w:rPr>
        <w:t xml:space="preserve"> Ultra II End-Repair/</w:t>
      </w:r>
      <w:proofErr w:type="spellStart"/>
      <w:r>
        <w:rPr>
          <w:rFonts w:ascii="Arial" w:eastAsia="Times New Roman" w:hAnsi="Arial" w:cs="Arial"/>
        </w:rPr>
        <w:t>dA</w:t>
      </w:r>
      <w:proofErr w:type="spellEnd"/>
      <w:r>
        <w:rPr>
          <w:rFonts w:ascii="Arial" w:eastAsia="Times New Roman" w:hAnsi="Arial" w:cs="Arial"/>
        </w:rPr>
        <w:t xml:space="preserve">-tailing Module (NEB, UK) in a total reaction volume of 60µl (50µl DNA, nuclease-free water (NFW) and DNA calibration strand (Run1 only), 7 </w:t>
      </w:r>
      <w:proofErr w:type="spellStart"/>
      <w:r>
        <w:rPr>
          <w:rFonts w:ascii="Arial" w:eastAsia="Times New Roman" w:hAnsi="Arial" w:cs="Arial"/>
        </w:rPr>
        <w:t>μl</w:t>
      </w:r>
      <w:proofErr w:type="spellEnd"/>
      <w:r>
        <w:rPr>
          <w:rFonts w:ascii="Arial" w:eastAsia="Times New Roman" w:hAnsi="Arial" w:cs="Arial"/>
        </w:rPr>
        <w:t xml:space="preserve"> Ultra II End-Prep buffer and 3 </w:t>
      </w:r>
      <w:proofErr w:type="spellStart"/>
      <w:r>
        <w:rPr>
          <w:rFonts w:ascii="Arial" w:eastAsia="Times New Roman" w:hAnsi="Arial" w:cs="Arial"/>
        </w:rPr>
        <w:t>μl</w:t>
      </w:r>
      <w:proofErr w:type="spellEnd"/>
      <w:r>
        <w:rPr>
          <w:rFonts w:ascii="Arial" w:eastAsia="Times New Roman" w:hAnsi="Arial" w:cs="Arial"/>
        </w:rPr>
        <w:t xml:space="preserve"> Ultra II End-Prep enzyme) for 5 min at 20ºC and 5 min at 65ºC. Samples were purified using 0.6x </w:t>
      </w:r>
      <w:proofErr w:type="spellStart"/>
      <w:r>
        <w:rPr>
          <w:rFonts w:ascii="Arial" w:eastAsia="Times New Roman" w:hAnsi="Arial" w:cs="Arial"/>
        </w:rPr>
        <w:t>Ampure</w:t>
      </w:r>
      <w:proofErr w:type="spellEnd"/>
      <w:r>
        <w:rPr>
          <w:rFonts w:ascii="Arial" w:eastAsia="Times New Roman" w:hAnsi="Arial" w:cs="Arial"/>
        </w:rPr>
        <w:t xml:space="preserve"> XP beads and eluted in 31µl of NFW. Sample concentrations were measured by Qubit and confirmed retention of &gt;85% of the initial samples. </w:t>
      </w:r>
      <w:r>
        <w:rPr>
          <w:rFonts w:ascii="Arial" w:eastAsia="Times New Roman" w:hAnsi="Arial" w:cs="Arial"/>
        </w:rPr>
        <w:lastRenderedPageBreak/>
        <w:t xml:space="preserve">The total volume of </w:t>
      </w:r>
      <w:r>
        <w:rPr>
          <w:rFonts w:ascii="Arial" w:eastAsia="Times New Roman" w:hAnsi="Arial" w:cs="Arial"/>
          <w:i/>
          <w:iCs/>
        </w:rPr>
        <w:t>CACNA1C</w:t>
      </w:r>
      <w:r>
        <w:rPr>
          <w:rFonts w:ascii="Arial" w:eastAsia="Times New Roman" w:hAnsi="Arial" w:cs="Arial"/>
        </w:rPr>
        <w:t xml:space="preserve"> DNA was utilised for subsequent ligation of sequencing adaptors. Ligation reactions contained 50µl Blunt / TA Ligase Master Mix (NEB), 10 </w:t>
      </w:r>
      <w:proofErr w:type="spellStart"/>
      <w:r>
        <w:rPr>
          <w:rFonts w:ascii="Arial" w:eastAsia="Times New Roman" w:hAnsi="Arial" w:cs="Arial"/>
        </w:rPr>
        <w:t>μl</w:t>
      </w:r>
      <w:proofErr w:type="spellEnd"/>
      <w:r>
        <w:rPr>
          <w:rFonts w:ascii="Arial" w:eastAsia="Times New Roman" w:hAnsi="Arial" w:cs="Arial"/>
        </w:rPr>
        <w:t xml:space="preserve"> Adapter Mix 2D, 2 </w:t>
      </w:r>
      <w:proofErr w:type="spellStart"/>
      <w:r>
        <w:rPr>
          <w:rFonts w:ascii="Arial" w:eastAsia="Times New Roman" w:hAnsi="Arial" w:cs="Arial"/>
        </w:rPr>
        <w:t>μl</w:t>
      </w:r>
      <w:proofErr w:type="spellEnd"/>
      <w:r>
        <w:rPr>
          <w:rFonts w:ascii="Arial" w:eastAsia="Times New Roman" w:hAnsi="Arial" w:cs="Arial"/>
        </w:rPr>
        <w:t xml:space="preserve"> Hairpin Adaptor (HPA), 30µl of DNA and 8µl of NFW and incubations were performed at room temperature. After 10 min incubation 1 </w:t>
      </w:r>
      <w:proofErr w:type="spellStart"/>
      <w:r>
        <w:rPr>
          <w:rFonts w:ascii="Arial" w:eastAsia="Times New Roman" w:hAnsi="Arial" w:cs="Arial"/>
        </w:rPr>
        <w:t>μl</w:t>
      </w:r>
      <w:proofErr w:type="spellEnd"/>
      <w:r>
        <w:rPr>
          <w:rFonts w:ascii="Arial" w:eastAsia="Times New Roman" w:hAnsi="Arial" w:cs="Arial"/>
        </w:rPr>
        <w:t xml:space="preserve"> Hairpin Tether (HPT) was added, the sample mixed and incubated for a further 10 minutes. Adapted DNA was purified with </w:t>
      </w:r>
      <w:proofErr w:type="spellStart"/>
      <w:r>
        <w:rPr>
          <w:rFonts w:ascii="Arial" w:eastAsia="Times New Roman" w:hAnsi="Arial" w:cs="Arial"/>
        </w:rPr>
        <w:t>MyOne</w:t>
      </w:r>
      <w:proofErr w:type="spellEnd"/>
      <w:r>
        <w:rPr>
          <w:rFonts w:ascii="Arial" w:eastAsia="Times New Roman" w:hAnsi="Arial" w:cs="Arial"/>
        </w:rPr>
        <w:t xml:space="preserve"> C1 beads (</w:t>
      </w:r>
      <w:proofErr w:type="spellStart"/>
      <w:r>
        <w:rPr>
          <w:rFonts w:ascii="Arial" w:eastAsia="Times New Roman" w:hAnsi="Arial" w:cs="Arial"/>
        </w:rPr>
        <w:t>ThermoFisher</w:t>
      </w:r>
      <w:proofErr w:type="spellEnd"/>
      <w:r>
        <w:rPr>
          <w:rFonts w:ascii="Arial" w:eastAsia="Times New Roman" w:hAnsi="Arial" w:cs="Arial"/>
        </w:rPr>
        <w:t>). 50μl of beads were washed 2x in 100μl bead binding buffer (BBB) and resuspended in 100μl BBB before use. Beads were mixed 1:1 with adapted DNA, incubated on a rotor for 5 min at room temperature to bind DNA to the beads and collected using a magnetic stand. Bead-bound DNA was washed 2x with 150μl of BBB on the magnetic stand and left briefly to dry the beads. Beads were resuspended in 15μl of elution buffer (ELB) and incubated at 37ºC for 10 min to elute DNA from the beads. After pelleting the beads on the magnetic stand, 14μl of supernatant containing the adapted DNA library in ELB was collected. Library concentrations were measured by Qubit, recovering &gt;25% of the original starting amount.</w:t>
      </w:r>
    </w:p>
    <w:p w14:paraId="6855CE17" w14:textId="77777777" w:rsidR="0071099D" w:rsidRDefault="0071099D" w:rsidP="0071099D">
      <w:pPr>
        <w:spacing w:after="0" w:line="240" w:lineRule="auto"/>
        <w:jc w:val="both"/>
        <w:rPr>
          <w:rFonts w:ascii="Times New Roman" w:eastAsia="Times New Roman" w:hAnsi="Times New Roman" w:cs="Times New Roman"/>
          <w:sz w:val="24"/>
          <w:szCs w:val="24"/>
        </w:rPr>
      </w:pPr>
      <w:proofErr w:type="spellStart"/>
      <w:r>
        <w:rPr>
          <w:rFonts w:ascii="Arial" w:eastAsia="Times New Roman" w:hAnsi="Arial" w:cs="Arial"/>
        </w:rPr>
        <w:t>Flowcells</w:t>
      </w:r>
      <w:proofErr w:type="spellEnd"/>
      <w:r>
        <w:rPr>
          <w:rFonts w:ascii="Arial" w:eastAsia="Times New Roman" w:hAnsi="Arial" w:cs="Arial"/>
        </w:rPr>
        <w:t xml:space="preserve"> were primed with a mix of 480 </w:t>
      </w:r>
      <w:proofErr w:type="spellStart"/>
      <w:r>
        <w:rPr>
          <w:rFonts w:ascii="Arial" w:eastAsia="Times New Roman" w:hAnsi="Arial" w:cs="Arial"/>
        </w:rPr>
        <w:t>μl</w:t>
      </w:r>
      <w:proofErr w:type="spellEnd"/>
      <w:r>
        <w:rPr>
          <w:rFonts w:ascii="Arial" w:eastAsia="Times New Roman" w:hAnsi="Arial" w:cs="Arial"/>
        </w:rPr>
        <w:t xml:space="preserve"> Running Buffer with Fuel Mix (RBF) and 520 </w:t>
      </w:r>
      <w:proofErr w:type="spellStart"/>
      <w:r>
        <w:rPr>
          <w:rFonts w:ascii="Arial" w:eastAsia="Times New Roman" w:hAnsi="Arial" w:cs="Arial"/>
        </w:rPr>
        <w:t>μl</w:t>
      </w:r>
      <w:proofErr w:type="spellEnd"/>
      <w:r>
        <w:rPr>
          <w:rFonts w:ascii="Arial" w:eastAsia="Times New Roman" w:hAnsi="Arial" w:cs="Arial"/>
        </w:rPr>
        <w:t xml:space="preserve"> NFW as per manufacturer's instructions. A loading mix of 35 </w:t>
      </w:r>
      <w:proofErr w:type="spellStart"/>
      <w:r>
        <w:rPr>
          <w:rFonts w:ascii="Arial" w:eastAsia="Times New Roman" w:hAnsi="Arial" w:cs="Arial"/>
        </w:rPr>
        <w:t>μl</w:t>
      </w:r>
      <w:proofErr w:type="spellEnd"/>
      <w:r>
        <w:rPr>
          <w:rFonts w:ascii="Arial" w:eastAsia="Times New Roman" w:hAnsi="Arial" w:cs="Arial"/>
        </w:rPr>
        <w:t xml:space="preserve"> RBF, 25.5 </w:t>
      </w:r>
      <w:proofErr w:type="spellStart"/>
      <w:r>
        <w:rPr>
          <w:rFonts w:ascii="Arial" w:eastAsia="Times New Roman" w:hAnsi="Arial" w:cs="Arial"/>
        </w:rPr>
        <w:t>μl</w:t>
      </w:r>
      <w:proofErr w:type="spellEnd"/>
      <w:r>
        <w:rPr>
          <w:rFonts w:ascii="Arial" w:eastAsia="Times New Roman" w:hAnsi="Arial" w:cs="Arial"/>
        </w:rPr>
        <w:t xml:space="preserve"> library loading beads (LLB), 12 </w:t>
      </w:r>
      <w:proofErr w:type="spellStart"/>
      <w:r>
        <w:rPr>
          <w:rFonts w:ascii="Arial" w:eastAsia="Times New Roman" w:hAnsi="Arial" w:cs="Arial"/>
        </w:rPr>
        <w:t>μl</w:t>
      </w:r>
      <w:proofErr w:type="spellEnd"/>
      <w:r>
        <w:rPr>
          <w:rFonts w:ascii="Arial" w:eastAsia="Times New Roman" w:hAnsi="Arial" w:cs="Arial"/>
        </w:rPr>
        <w:t xml:space="preserve"> </w:t>
      </w:r>
      <w:r>
        <w:rPr>
          <w:rFonts w:ascii="Arial" w:eastAsia="Times New Roman" w:hAnsi="Arial" w:cs="Arial"/>
          <w:i/>
          <w:iCs/>
        </w:rPr>
        <w:t>CACNA1C</w:t>
      </w:r>
      <w:r>
        <w:rPr>
          <w:rFonts w:ascii="Arial" w:eastAsia="Times New Roman" w:hAnsi="Arial" w:cs="Arial"/>
        </w:rPr>
        <w:t xml:space="preserve"> library and 2.5 </w:t>
      </w:r>
      <w:proofErr w:type="spellStart"/>
      <w:r>
        <w:rPr>
          <w:rFonts w:ascii="Arial" w:eastAsia="Times New Roman" w:hAnsi="Arial" w:cs="Arial"/>
        </w:rPr>
        <w:t>μl</w:t>
      </w:r>
      <w:proofErr w:type="spellEnd"/>
      <w:r>
        <w:rPr>
          <w:rFonts w:ascii="Arial" w:eastAsia="Times New Roman" w:hAnsi="Arial" w:cs="Arial"/>
        </w:rPr>
        <w:t xml:space="preserve"> NFW was prepared, mixed by pipetting and immediately loaded onto the primed “spot-on” </w:t>
      </w:r>
      <w:proofErr w:type="spellStart"/>
      <w:r>
        <w:rPr>
          <w:rFonts w:ascii="Arial" w:eastAsia="Times New Roman" w:hAnsi="Arial" w:cs="Arial"/>
        </w:rPr>
        <w:t>flowcell</w:t>
      </w:r>
      <w:proofErr w:type="spellEnd"/>
      <w:r>
        <w:rPr>
          <w:rFonts w:ascii="Arial" w:eastAsia="Times New Roman" w:hAnsi="Arial" w:cs="Arial"/>
        </w:rPr>
        <w:t xml:space="preserve">. Sequencing was performed on fresh </w:t>
      </w:r>
      <w:proofErr w:type="spellStart"/>
      <w:r>
        <w:rPr>
          <w:rFonts w:ascii="Arial" w:eastAsia="Times New Roman" w:hAnsi="Arial" w:cs="Arial"/>
        </w:rPr>
        <w:t>flowcells</w:t>
      </w:r>
      <w:proofErr w:type="spellEnd"/>
      <w:r>
        <w:rPr>
          <w:rFonts w:ascii="Arial" w:eastAsia="Times New Roman" w:hAnsi="Arial" w:cs="Arial"/>
        </w:rPr>
        <w:t xml:space="preserve">; Run 1 utilised a R9.0 (MIN105) </w:t>
      </w:r>
      <w:proofErr w:type="spellStart"/>
      <w:r>
        <w:rPr>
          <w:rFonts w:ascii="Arial" w:eastAsia="Times New Roman" w:hAnsi="Arial" w:cs="Arial"/>
        </w:rPr>
        <w:t>flowcell</w:t>
      </w:r>
      <w:proofErr w:type="spellEnd"/>
      <w:r>
        <w:rPr>
          <w:rFonts w:ascii="Arial" w:eastAsia="Times New Roman" w:hAnsi="Arial" w:cs="Arial"/>
        </w:rPr>
        <w:t xml:space="preserve">, while Run 2 utilised a R9.4 (MIN106) </w:t>
      </w:r>
      <w:proofErr w:type="spellStart"/>
      <w:r>
        <w:rPr>
          <w:rFonts w:ascii="Arial" w:eastAsia="Times New Roman" w:hAnsi="Arial" w:cs="Arial"/>
        </w:rPr>
        <w:t>flowcell</w:t>
      </w:r>
      <w:proofErr w:type="spellEnd"/>
      <w:r>
        <w:rPr>
          <w:rFonts w:ascii="Arial" w:eastAsia="Times New Roman" w:hAnsi="Arial" w:cs="Arial"/>
        </w:rPr>
        <w:t xml:space="preserve">. Pore occupancy was &gt;80% indicating a good library and </w:t>
      </w:r>
      <w:proofErr w:type="spellStart"/>
      <w:r>
        <w:rPr>
          <w:rFonts w:ascii="Arial" w:eastAsia="Times New Roman" w:hAnsi="Arial" w:cs="Arial"/>
        </w:rPr>
        <w:t>flowcell</w:t>
      </w:r>
      <w:proofErr w:type="spellEnd"/>
      <w:r>
        <w:rPr>
          <w:rFonts w:ascii="Arial" w:eastAsia="Times New Roman" w:hAnsi="Arial" w:cs="Arial"/>
        </w:rPr>
        <w:t xml:space="preserve">. Sequencing was allowed to continue until there was a high probability of &gt;1000 high-quality (2D pass) reads from each barcoded sample. Run 1 was base-called with the Epi2Me </w:t>
      </w:r>
      <w:proofErr w:type="gramStart"/>
      <w:r>
        <w:rPr>
          <w:rFonts w:ascii="Arial" w:eastAsia="Times New Roman" w:hAnsi="Arial" w:cs="Arial"/>
        </w:rPr>
        <w:t>cloud based</w:t>
      </w:r>
      <w:proofErr w:type="gramEnd"/>
      <w:r>
        <w:rPr>
          <w:rFonts w:ascii="Arial" w:eastAsia="Times New Roman" w:hAnsi="Arial" w:cs="Arial"/>
        </w:rPr>
        <w:t xml:space="preserve"> service (2D </w:t>
      </w:r>
      <w:proofErr w:type="spellStart"/>
      <w:r>
        <w:rPr>
          <w:rFonts w:ascii="Arial" w:eastAsia="Times New Roman" w:hAnsi="Arial" w:cs="Arial"/>
        </w:rPr>
        <w:t>Basecalling</w:t>
      </w:r>
      <w:proofErr w:type="spellEnd"/>
      <w:r>
        <w:rPr>
          <w:rFonts w:ascii="Arial" w:eastAsia="Times New Roman" w:hAnsi="Arial" w:cs="Arial"/>
        </w:rPr>
        <w:t xml:space="preserve"> plus Barcoding for FLO-MIN105 250bps - v1.125). Run 2 was base-called with Albacore V1.1.0 (FLO-MIN106, SQK-LSK208, barcoding) after the withdrawal of the Epi2Me base-calling service. The absence of a base-calling model for R9.0 in the Albacore software prevents the base-calling of Run1 with this software. Sequencing library metrics (Supplementary Table 5) were generated by </w:t>
      </w:r>
      <w:proofErr w:type="spellStart"/>
      <w:r>
        <w:rPr>
          <w:rFonts w:ascii="Arial" w:eastAsia="Times New Roman" w:hAnsi="Arial" w:cs="Arial"/>
        </w:rPr>
        <w:t>Poretools</w:t>
      </w:r>
      <w:proofErr w:type="spellEnd"/>
      <w:r>
        <w:rPr>
          <w:rFonts w:ascii="Arial" w:eastAsia="Times New Roman" w:hAnsi="Arial" w:cs="Arial"/>
        </w:rPr>
        <w:t xml:space="preserve"> </w:t>
      </w:r>
      <w:hyperlink r:id="rId6" w:history="1">
        <w:r>
          <w:rPr>
            <w:rStyle w:val="Hyperlink"/>
            <w:rFonts w:ascii="Arial" w:eastAsia="Times New Roman" w:hAnsi="Arial" w:cs="Arial"/>
            <w:color w:val="1155CC"/>
          </w:rPr>
          <w:t>(Loman and Quinlan 2014)</w:t>
        </w:r>
      </w:hyperlink>
      <w:r>
        <w:rPr>
          <w:rFonts w:ascii="Arial" w:eastAsia="Times New Roman" w:hAnsi="Arial" w:cs="Arial"/>
        </w:rPr>
        <w:t xml:space="preserve"> and </w:t>
      </w:r>
      <w:proofErr w:type="spellStart"/>
      <w:r>
        <w:rPr>
          <w:rFonts w:ascii="Arial" w:eastAsia="Times New Roman" w:hAnsi="Arial" w:cs="Arial"/>
        </w:rPr>
        <w:t>PycoQC</w:t>
      </w:r>
      <w:proofErr w:type="spellEnd"/>
      <w:r>
        <w:rPr>
          <w:rFonts w:ascii="Arial" w:eastAsia="Times New Roman" w:hAnsi="Arial" w:cs="Arial"/>
        </w:rPr>
        <w:t xml:space="preserve"> </w:t>
      </w:r>
      <w:hyperlink r:id="rId7" w:history="1">
        <w:r>
          <w:rPr>
            <w:rStyle w:val="Hyperlink"/>
            <w:rFonts w:ascii="Arial" w:eastAsia="Times New Roman" w:hAnsi="Arial" w:cs="Arial"/>
            <w:color w:val="1155CC"/>
          </w:rPr>
          <w:t>(Leger and Leonardi 2018)</w:t>
        </w:r>
      </w:hyperlink>
      <w:r>
        <w:rPr>
          <w:rFonts w:ascii="Arial" w:eastAsia="Times New Roman" w:hAnsi="Arial" w:cs="Arial"/>
        </w:rPr>
        <w:t>.</w:t>
      </w:r>
    </w:p>
    <w:p w14:paraId="3ED0275D" w14:textId="77777777" w:rsidR="0071099D" w:rsidRDefault="0071099D" w:rsidP="0071099D">
      <w:pPr>
        <w:spacing w:after="0" w:line="240" w:lineRule="auto"/>
        <w:rPr>
          <w:rFonts w:ascii="Times New Roman" w:eastAsia="Times New Roman" w:hAnsi="Times New Roman" w:cs="Times New Roman"/>
          <w:sz w:val="24"/>
          <w:szCs w:val="24"/>
        </w:rPr>
      </w:pPr>
    </w:p>
    <w:p w14:paraId="528300E9"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b/>
          <w:bCs/>
          <w:i/>
          <w:iCs/>
        </w:rPr>
        <w:t>Validation of novel exons and junctions</w:t>
      </w:r>
    </w:p>
    <w:p w14:paraId="06C6DA97"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In the case of novel exons, two sets of nested PCRs were conducted: one spanning the upstream exon and the novel exon sequence (‘5’ confirmation’ in Supplementary Table 2), and a second spanning the novel exon sequence and the downstream exon (‘3’ confirmation’ in Supplementary Table 2). Novel junctions were confirmed using a single round of PCR using one primer spanning the novel junction, with the second primer located in the </w:t>
      </w:r>
      <w:proofErr w:type="spellStart"/>
      <w:r>
        <w:rPr>
          <w:rFonts w:ascii="Arial" w:eastAsia="Times New Roman" w:hAnsi="Arial" w:cs="Arial"/>
        </w:rPr>
        <w:t>neighboring</w:t>
      </w:r>
      <w:proofErr w:type="spellEnd"/>
      <w:r>
        <w:rPr>
          <w:rFonts w:ascii="Arial" w:eastAsia="Times New Roman" w:hAnsi="Arial" w:cs="Arial"/>
        </w:rPr>
        <w:t xml:space="preserve"> exon. PCR reactions were performed using </w:t>
      </w:r>
      <w:proofErr w:type="spellStart"/>
      <w:r>
        <w:rPr>
          <w:rFonts w:ascii="Arial" w:eastAsia="Times New Roman" w:hAnsi="Arial" w:cs="Arial"/>
        </w:rPr>
        <w:t>iIlustra</w:t>
      </w:r>
      <w:proofErr w:type="spellEnd"/>
      <w:r>
        <w:rPr>
          <w:rFonts w:ascii="Arial" w:eastAsia="Times New Roman" w:hAnsi="Arial" w:cs="Arial"/>
        </w:rPr>
        <w:t xml:space="preserve"> </w:t>
      </w:r>
      <w:proofErr w:type="spellStart"/>
      <w:r>
        <w:rPr>
          <w:rFonts w:ascii="Arial" w:eastAsia="Times New Roman" w:hAnsi="Arial" w:cs="Arial"/>
        </w:rPr>
        <w:t>PuReTaq</w:t>
      </w:r>
      <w:proofErr w:type="spellEnd"/>
      <w:r>
        <w:rPr>
          <w:rFonts w:ascii="Arial" w:eastAsia="Times New Roman" w:hAnsi="Arial" w:cs="Arial"/>
        </w:rPr>
        <w:t xml:space="preserve"> Ready-To-Go PCR beads (GE Healthcare Life Sciences, UK). PCR reactions were cycled as follows: 95</w:t>
      </w:r>
      <w:r>
        <w:rPr>
          <w:rFonts w:ascii="Arial" w:eastAsia="Times New Roman" w:hAnsi="Arial" w:cs="Arial"/>
          <w:sz w:val="13"/>
          <w:szCs w:val="13"/>
          <w:vertAlign w:val="superscript"/>
        </w:rPr>
        <w:t>o</w:t>
      </w:r>
      <w:r>
        <w:rPr>
          <w:rFonts w:ascii="Arial" w:eastAsia="Times New Roman" w:hAnsi="Arial" w:cs="Arial"/>
        </w:rPr>
        <w:t>C for 5 min; 35 cycles of 95</w:t>
      </w:r>
      <w:r>
        <w:rPr>
          <w:rFonts w:ascii="Arial" w:eastAsia="Times New Roman" w:hAnsi="Arial" w:cs="Arial"/>
          <w:sz w:val="13"/>
          <w:szCs w:val="13"/>
          <w:vertAlign w:val="superscript"/>
        </w:rPr>
        <w:t>o</w:t>
      </w:r>
      <w:r>
        <w:rPr>
          <w:rFonts w:ascii="Arial" w:eastAsia="Times New Roman" w:hAnsi="Arial" w:cs="Arial"/>
        </w:rPr>
        <w:t>C for 35 sec, 30 sec at annealing temperature (see Supplementary Table 2); 72</w:t>
      </w:r>
      <w:r>
        <w:rPr>
          <w:rFonts w:ascii="Arial" w:eastAsia="Times New Roman" w:hAnsi="Arial" w:cs="Arial"/>
          <w:sz w:val="13"/>
          <w:szCs w:val="13"/>
          <w:vertAlign w:val="superscript"/>
        </w:rPr>
        <w:t>o</w:t>
      </w:r>
      <w:r>
        <w:rPr>
          <w:rFonts w:ascii="Arial" w:eastAsia="Times New Roman" w:hAnsi="Arial" w:cs="Arial"/>
        </w:rPr>
        <w:t>C for 2 min, followed by a final 5 min extension at 72</w:t>
      </w:r>
      <w:r>
        <w:rPr>
          <w:rFonts w:ascii="Arial" w:eastAsia="Times New Roman" w:hAnsi="Arial" w:cs="Arial"/>
          <w:sz w:val="13"/>
          <w:szCs w:val="13"/>
          <w:vertAlign w:val="superscript"/>
        </w:rPr>
        <w:t>o</w:t>
      </w:r>
      <w:r>
        <w:rPr>
          <w:rFonts w:ascii="Arial" w:eastAsia="Times New Roman" w:hAnsi="Arial" w:cs="Arial"/>
        </w:rPr>
        <w:t xml:space="preserve">C. Primers sequences and conditions are shown in Supplementary Table 2. PCR products were separated on agarose gels. Products of the predicted size were excised, cleaned using the Qiagen Gel Extraction Kit and ligated into </w:t>
      </w:r>
      <w:proofErr w:type="spellStart"/>
      <w:r>
        <w:rPr>
          <w:rFonts w:ascii="Arial" w:eastAsia="Times New Roman" w:hAnsi="Arial" w:cs="Arial"/>
        </w:rPr>
        <w:t>pGEM</w:t>
      </w:r>
      <w:proofErr w:type="spellEnd"/>
      <w:r>
        <w:rPr>
          <w:rFonts w:ascii="Arial" w:eastAsia="Times New Roman" w:hAnsi="Arial" w:cs="Arial"/>
        </w:rPr>
        <w:t>-T Easy vector (Promega) for Sanger sequencing.</w:t>
      </w:r>
    </w:p>
    <w:p w14:paraId="15BC9492"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b/>
          <w:bCs/>
          <w:i/>
          <w:iCs/>
        </w:rPr>
        <w:t>Impact of RNA quality on amplification of full-length CACNA1C CDSs</w:t>
      </w:r>
    </w:p>
    <w:p w14:paraId="7E9C63FA"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Eleven brain RNA samples (see supplementary table 3) with an average RIN of 8 were pooled and aliquoted into eight samples of 7 </w:t>
      </w:r>
      <w:proofErr w:type="spellStart"/>
      <w:r>
        <w:rPr>
          <w:rFonts w:ascii="Arial" w:eastAsia="Times New Roman" w:hAnsi="Arial" w:cs="Arial"/>
        </w:rPr>
        <w:t>μl</w:t>
      </w:r>
      <w:proofErr w:type="spellEnd"/>
      <w:r>
        <w:rPr>
          <w:rFonts w:ascii="Arial" w:eastAsia="Times New Roman" w:hAnsi="Arial" w:cs="Arial"/>
        </w:rPr>
        <w:t xml:space="preserve"> (875ng each at 125 ng/</w:t>
      </w:r>
      <w:proofErr w:type="spellStart"/>
      <w:r>
        <w:rPr>
          <w:rFonts w:ascii="Arial" w:eastAsia="Times New Roman" w:hAnsi="Arial" w:cs="Arial"/>
        </w:rPr>
        <w:t>μl</w:t>
      </w:r>
      <w:proofErr w:type="spellEnd"/>
      <w:r>
        <w:rPr>
          <w:rFonts w:ascii="Arial" w:eastAsia="Times New Roman" w:hAnsi="Arial" w:cs="Arial"/>
        </w:rPr>
        <w:t xml:space="preserve">). Each aliquot was heated at 72ºC for different periods of time (0, 2, 5, 10, 20, 35, 60 or 90 minutes) to degrade the RNA. The </w:t>
      </w:r>
      <w:proofErr w:type="spellStart"/>
      <w:r>
        <w:rPr>
          <w:rFonts w:ascii="Arial" w:eastAsia="Times New Roman" w:hAnsi="Arial" w:cs="Arial"/>
        </w:rPr>
        <w:t>RINe</w:t>
      </w:r>
      <w:proofErr w:type="spellEnd"/>
      <w:r>
        <w:rPr>
          <w:rFonts w:ascii="Arial" w:eastAsia="Times New Roman" w:hAnsi="Arial" w:cs="Arial"/>
        </w:rPr>
        <w:t xml:space="preserve"> for each aliquot was then assayed using the Agilent 4200 </w:t>
      </w:r>
      <w:proofErr w:type="spellStart"/>
      <w:r>
        <w:rPr>
          <w:rFonts w:ascii="Arial" w:eastAsia="Times New Roman" w:hAnsi="Arial" w:cs="Arial"/>
        </w:rPr>
        <w:t>TapeStation</w:t>
      </w:r>
      <w:proofErr w:type="spellEnd"/>
      <w:r>
        <w:rPr>
          <w:rFonts w:ascii="Arial" w:eastAsia="Times New Roman" w:hAnsi="Arial" w:cs="Arial"/>
        </w:rPr>
        <w:t xml:space="preserve"> system. </w:t>
      </w:r>
    </w:p>
    <w:p w14:paraId="50B45DD6"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rPr>
        <w:t xml:space="preserve">Reverse transcription used 500 ng of RNA and was performed using </w:t>
      </w:r>
      <w:proofErr w:type="spellStart"/>
      <w:r>
        <w:rPr>
          <w:rFonts w:ascii="Arial" w:eastAsia="Times New Roman" w:hAnsi="Arial" w:cs="Arial"/>
        </w:rPr>
        <w:t>GoScript</w:t>
      </w:r>
      <w:r>
        <w:rPr>
          <w:rFonts w:ascii="Arial" w:eastAsia="Times New Roman" w:hAnsi="Arial" w:cs="Arial"/>
          <w:sz w:val="13"/>
          <w:szCs w:val="13"/>
          <w:vertAlign w:val="superscript"/>
        </w:rPr>
        <w:t>TM</w:t>
      </w:r>
      <w:proofErr w:type="spellEnd"/>
      <w:r>
        <w:rPr>
          <w:rFonts w:ascii="Arial" w:eastAsia="Times New Roman" w:hAnsi="Arial" w:cs="Arial"/>
        </w:rPr>
        <w:t xml:space="preserve"> Reverse Transcriptase. </w:t>
      </w:r>
      <w:r>
        <w:rPr>
          <w:rFonts w:ascii="Arial" w:eastAsia="Times New Roman" w:hAnsi="Arial" w:cs="Arial"/>
          <w:i/>
          <w:iCs/>
        </w:rPr>
        <w:t>CACNA1C</w:t>
      </w:r>
      <w:r>
        <w:rPr>
          <w:rFonts w:ascii="Arial" w:eastAsia="Times New Roman" w:hAnsi="Arial" w:cs="Arial"/>
        </w:rPr>
        <w:t xml:space="preserve"> amplification was performed as described above, using 5μl of cDNA and 30 cycles of amplification. Forward and Reverse primers were: CATTTCTTCCTCTTCGTGGCTGC and CCAGGTCACGAGAACAGTGAGG, respectively, i.e. </w:t>
      </w:r>
      <w:r>
        <w:rPr>
          <w:rFonts w:ascii="Arial" w:eastAsia="Times New Roman" w:hAnsi="Arial" w:cs="Arial"/>
        </w:rPr>
        <w:lastRenderedPageBreak/>
        <w:t xml:space="preserve">identical to those used in the main experiment, but lacking the barcoding tails. Successful amplification of PCR product was confirmed and visualised using both agarose gel electrophoresis and 4200 </w:t>
      </w:r>
      <w:proofErr w:type="spellStart"/>
      <w:r>
        <w:rPr>
          <w:rFonts w:ascii="Arial" w:eastAsia="Times New Roman" w:hAnsi="Arial" w:cs="Arial"/>
        </w:rPr>
        <w:t>Tapestation</w:t>
      </w:r>
      <w:proofErr w:type="spellEnd"/>
      <w:r>
        <w:rPr>
          <w:rFonts w:ascii="Arial" w:eastAsia="Times New Roman" w:hAnsi="Arial" w:cs="Arial"/>
        </w:rPr>
        <w:t xml:space="preserve"> analysis using equal proportions of each PCR. Samples from three additional adult donors were utilised specifically for this experiment to provide the required range of high quality and partially degraded samples.</w:t>
      </w:r>
    </w:p>
    <w:p w14:paraId="3280C9DD" w14:textId="77777777" w:rsidR="0071099D" w:rsidRDefault="0071099D" w:rsidP="0071099D">
      <w:pPr>
        <w:jc w:val="both"/>
        <w:rPr>
          <w:rFonts w:ascii="Arial" w:eastAsia="Arial" w:hAnsi="Arial" w:cs="Arial"/>
          <w:b/>
          <w:color w:val="000000"/>
        </w:rPr>
      </w:pPr>
    </w:p>
    <w:p w14:paraId="11CCE513" w14:textId="77777777" w:rsidR="0071099D" w:rsidRDefault="0071099D" w:rsidP="0071099D">
      <w:pPr>
        <w:jc w:val="both"/>
        <w:rPr>
          <w:rFonts w:ascii="Arial" w:eastAsia="Arial" w:hAnsi="Arial" w:cs="Arial"/>
          <w:b/>
        </w:rPr>
      </w:pPr>
    </w:p>
    <w:p w14:paraId="7C7CCFCF" w14:textId="77777777" w:rsidR="0071099D" w:rsidRDefault="0071099D" w:rsidP="0071099D">
      <w:pPr>
        <w:jc w:val="both"/>
        <w:rPr>
          <w:rFonts w:ascii="Arial" w:eastAsia="Arial" w:hAnsi="Arial" w:cs="Arial"/>
          <w:b/>
        </w:rPr>
      </w:pPr>
      <w:r>
        <w:rPr>
          <w:rFonts w:ascii="Arial" w:eastAsia="Arial" w:hAnsi="Arial" w:cs="Arial"/>
          <w:b/>
        </w:rPr>
        <w:t>Supplementary Table 1: Demographics of tissue donors</w:t>
      </w:r>
    </w:p>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620"/>
        <w:gridCol w:w="675"/>
        <w:gridCol w:w="675"/>
        <w:gridCol w:w="1065"/>
        <w:gridCol w:w="1230"/>
        <w:gridCol w:w="2940"/>
      </w:tblGrid>
      <w:tr w:rsidR="0071099D" w14:paraId="774588B1"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D241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Case ID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E9C23"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Age (years)</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8C86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Sex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BE6A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PMI</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CCECB"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Ethnicity</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5FCB7"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Brain RIN</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CD07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Cause of death</w:t>
            </w:r>
          </w:p>
        </w:tc>
      </w:tr>
      <w:tr w:rsidR="0071099D" w14:paraId="2E739EB4"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9E1F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5238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F922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37.2</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5F96C"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E5A4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10.5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96E64"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AA</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CD90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8.9</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FC92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Multiple blunt force injuries</w:t>
            </w:r>
          </w:p>
        </w:tc>
      </w:tr>
      <w:tr w:rsidR="0071099D" w14:paraId="78037300"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C1D35"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5298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94E7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50.3</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45817"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445EB"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12.5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B20DC"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AA</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8859F"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8.7</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AD53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Multiple injuries</w:t>
            </w:r>
          </w:p>
        </w:tc>
      </w:tr>
      <w:tr w:rsidR="0071099D" w14:paraId="2B49EF9A"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FD225"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5346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D94C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25.1</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09C9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F</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4E71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24.5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3003B"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AS</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C8FD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8.3</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795C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Multiple injuries</w:t>
            </w:r>
          </w:p>
        </w:tc>
      </w:tr>
    </w:tbl>
    <w:p w14:paraId="4E79A788" w14:textId="77777777" w:rsidR="0071099D" w:rsidRDefault="0071099D" w:rsidP="0071099D">
      <w:pPr>
        <w:jc w:val="both"/>
        <w:rPr>
          <w:rFonts w:ascii="Arial" w:eastAsia="Arial" w:hAnsi="Arial" w:cs="Arial"/>
          <w:color w:val="000000"/>
        </w:rPr>
      </w:pPr>
      <w:r>
        <w:rPr>
          <w:rFonts w:ascii="Arial" w:eastAsia="Arial" w:hAnsi="Arial" w:cs="Arial"/>
        </w:rPr>
        <w:t xml:space="preserve">PMI: </w:t>
      </w:r>
      <w:proofErr w:type="spellStart"/>
      <w:r>
        <w:rPr>
          <w:rFonts w:ascii="Arial" w:eastAsia="Arial" w:hAnsi="Arial" w:cs="Arial"/>
        </w:rPr>
        <w:t>postmortem</w:t>
      </w:r>
      <w:proofErr w:type="spellEnd"/>
      <w:r>
        <w:rPr>
          <w:rFonts w:ascii="Arial" w:eastAsia="Arial" w:hAnsi="Arial" w:cs="Arial"/>
        </w:rPr>
        <w:t xml:space="preserve"> interval; RIN: RNA Integrity Number; M: male; F: female; AA: African American; AS: Asian</w:t>
      </w:r>
    </w:p>
    <w:p w14:paraId="2C1CFC47" w14:textId="77777777" w:rsidR="0071099D" w:rsidRDefault="0071099D" w:rsidP="0071099D">
      <w:pPr>
        <w:jc w:val="both"/>
        <w:rPr>
          <w:rFonts w:ascii="Arial" w:eastAsia="Arial" w:hAnsi="Arial" w:cs="Arial"/>
          <w:b/>
        </w:rPr>
      </w:pPr>
      <w:r>
        <w:rPr>
          <w:rFonts w:ascii="Arial" w:eastAsia="Arial" w:hAnsi="Arial" w:cs="Arial"/>
          <w:b/>
        </w:rPr>
        <w:t>Supplementary Table 2: primers and PCR conditions used to confirm novel exons and junctions.</w:t>
      </w:r>
    </w:p>
    <w:tbl>
      <w:tblPr>
        <w:tblW w:w="91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560"/>
        <w:gridCol w:w="825"/>
        <w:gridCol w:w="1725"/>
        <w:gridCol w:w="900"/>
        <w:gridCol w:w="1710"/>
        <w:gridCol w:w="1395"/>
      </w:tblGrid>
      <w:tr w:rsidR="0071099D" w14:paraId="7EBF8195" w14:textId="77777777" w:rsidTr="008967DE">
        <w:trPr>
          <w:trHeight w:val="420"/>
        </w:trPr>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6EA89"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exon/junction</w:t>
            </w:r>
          </w:p>
        </w:tc>
        <w:tc>
          <w:tcPr>
            <w:tcW w:w="25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0733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Forward primer</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00E85"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Reverse primer</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9D790"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Annealing temperature</w:t>
            </w:r>
          </w:p>
        </w:tc>
      </w:tr>
      <w:tr w:rsidR="0071099D" w14:paraId="0638E47A"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B1BE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A</w:t>
            </w:r>
          </w:p>
        </w:tc>
        <w:tc>
          <w:tcPr>
            <w:tcW w:w="1560" w:type="dxa"/>
            <w:tcBorders>
              <w:top w:val="single" w:sz="8" w:space="0" w:color="000000"/>
              <w:left w:val="single" w:sz="8" w:space="0" w:color="000000"/>
              <w:bottom w:val="single" w:sz="8" w:space="0" w:color="000000"/>
              <w:right w:val="single" w:sz="8" w:space="0" w:color="000000"/>
            </w:tcBorders>
            <w:hideMark/>
          </w:tcPr>
          <w:p w14:paraId="57CA409D"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051D9CC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1B F2</w:t>
            </w:r>
          </w:p>
        </w:tc>
        <w:tc>
          <w:tcPr>
            <w:tcW w:w="1725" w:type="dxa"/>
            <w:tcBorders>
              <w:top w:val="single" w:sz="8" w:space="0" w:color="000000"/>
              <w:left w:val="single" w:sz="8" w:space="0" w:color="000000"/>
              <w:bottom w:val="single" w:sz="8" w:space="0" w:color="000000"/>
              <w:right w:val="single" w:sz="8" w:space="0" w:color="000000"/>
            </w:tcBorders>
            <w:hideMark/>
          </w:tcPr>
          <w:p w14:paraId="5C136A29"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GGTCAATGAGAATACGAGGATG</w:t>
            </w:r>
          </w:p>
        </w:tc>
        <w:tc>
          <w:tcPr>
            <w:tcW w:w="900" w:type="dxa"/>
            <w:tcBorders>
              <w:top w:val="single" w:sz="8" w:space="0" w:color="000000"/>
              <w:left w:val="single" w:sz="8" w:space="0" w:color="000000"/>
              <w:bottom w:val="single" w:sz="8" w:space="0" w:color="000000"/>
              <w:right w:val="single" w:sz="8" w:space="0" w:color="000000"/>
            </w:tcBorders>
            <w:hideMark/>
          </w:tcPr>
          <w:p w14:paraId="6FDC7CC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A R2</w:t>
            </w:r>
          </w:p>
        </w:tc>
        <w:tc>
          <w:tcPr>
            <w:tcW w:w="1710" w:type="dxa"/>
            <w:tcBorders>
              <w:top w:val="single" w:sz="8" w:space="0" w:color="000000"/>
              <w:left w:val="single" w:sz="8" w:space="0" w:color="000000"/>
              <w:bottom w:val="single" w:sz="8" w:space="0" w:color="000000"/>
              <w:right w:val="single" w:sz="8" w:space="0" w:color="000000"/>
            </w:tcBorders>
            <w:hideMark/>
          </w:tcPr>
          <w:p w14:paraId="78AB24D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AGCCTCGTGTCATTCTGCT</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0805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15028841"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1BF63"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0B38131B"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0141B9F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1B F</w:t>
            </w:r>
          </w:p>
        </w:tc>
        <w:tc>
          <w:tcPr>
            <w:tcW w:w="1725" w:type="dxa"/>
            <w:tcBorders>
              <w:top w:val="single" w:sz="8" w:space="0" w:color="000000"/>
              <w:left w:val="single" w:sz="8" w:space="0" w:color="000000"/>
              <w:bottom w:val="single" w:sz="8" w:space="0" w:color="000000"/>
              <w:right w:val="single" w:sz="8" w:space="0" w:color="000000"/>
            </w:tcBorders>
            <w:hideMark/>
          </w:tcPr>
          <w:p w14:paraId="51890E2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GAATCAGGTAATCGTCGGCGG</w:t>
            </w:r>
          </w:p>
        </w:tc>
        <w:tc>
          <w:tcPr>
            <w:tcW w:w="900" w:type="dxa"/>
            <w:tcBorders>
              <w:top w:val="single" w:sz="8" w:space="0" w:color="000000"/>
              <w:left w:val="single" w:sz="8" w:space="0" w:color="000000"/>
              <w:bottom w:val="single" w:sz="8" w:space="0" w:color="000000"/>
              <w:right w:val="single" w:sz="8" w:space="0" w:color="000000"/>
            </w:tcBorders>
            <w:hideMark/>
          </w:tcPr>
          <w:p w14:paraId="11F1CA7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A R</w:t>
            </w:r>
          </w:p>
        </w:tc>
        <w:tc>
          <w:tcPr>
            <w:tcW w:w="1710" w:type="dxa"/>
            <w:tcBorders>
              <w:top w:val="single" w:sz="8" w:space="0" w:color="000000"/>
              <w:left w:val="single" w:sz="8" w:space="0" w:color="000000"/>
              <w:bottom w:val="single" w:sz="8" w:space="0" w:color="000000"/>
              <w:right w:val="single" w:sz="8" w:space="0" w:color="000000"/>
            </w:tcBorders>
            <w:hideMark/>
          </w:tcPr>
          <w:p w14:paraId="03EFF3D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TGAAGACAGCATCTGCGTC</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97D8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59CEC2D6" w14:textId="77777777" w:rsidTr="008967DE">
        <w:trPr>
          <w:trHeight w:val="460"/>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1ED06"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1F5EB6A1" w14:textId="77777777" w:rsidR="0071099D" w:rsidRDefault="0071099D" w:rsidP="008967DE">
            <w:pPr>
              <w:jc w:val="both"/>
              <w:rPr>
                <w:rFonts w:ascii="Arial" w:eastAsia="Arial" w:hAnsi="Arial" w:cs="Arial"/>
                <w:lang w:eastAsia="en-US"/>
              </w:rPr>
            </w:pPr>
            <w:r>
              <w:rPr>
                <w:rFonts w:ascii="Arial" w:eastAsia="Arial" w:hAnsi="Arial" w:cs="Arial"/>
                <w:lang w:eastAsia="en-US"/>
              </w:rPr>
              <w:t>3’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0F9101DA"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A F2</w:t>
            </w:r>
          </w:p>
        </w:tc>
        <w:tc>
          <w:tcPr>
            <w:tcW w:w="1725" w:type="dxa"/>
            <w:tcBorders>
              <w:top w:val="single" w:sz="8" w:space="0" w:color="000000"/>
              <w:left w:val="single" w:sz="8" w:space="0" w:color="000000"/>
              <w:bottom w:val="single" w:sz="8" w:space="0" w:color="000000"/>
              <w:right w:val="single" w:sz="8" w:space="0" w:color="000000"/>
            </w:tcBorders>
            <w:hideMark/>
          </w:tcPr>
          <w:p w14:paraId="4900C6FC"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CCTCATCCTGGTCCCCAGC</w:t>
            </w:r>
          </w:p>
        </w:tc>
        <w:tc>
          <w:tcPr>
            <w:tcW w:w="900" w:type="dxa"/>
            <w:tcBorders>
              <w:top w:val="single" w:sz="8" w:space="0" w:color="000000"/>
              <w:left w:val="single" w:sz="8" w:space="0" w:color="000000"/>
              <w:bottom w:val="single" w:sz="8" w:space="0" w:color="000000"/>
              <w:right w:val="single" w:sz="8" w:space="0" w:color="000000"/>
            </w:tcBorders>
            <w:hideMark/>
          </w:tcPr>
          <w:p w14:paraId="3DDE93A1"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2 R2</w:t>
            </w:r>
          </w:p>
        </w:tc>
        <w:tc>
          <w:tcPr>
            <w:tcW w:w="1710" w:type="dxa"/>
            <w:tcBorders>
              <w:top w:val="single" w:sz="8" w:space="0" w:color="000000"/>
              <w:left w:val="single" w:sz="8" w:space="0" w:color="000000"/>
              <w:bottom w:val="single" w:sz="8" w:space="0" w:color="000000"/>
              <w:right w:val="single" w:sz="8" w:space="0" w:color="000000"/>
            </w:tcBorders>
            <w:hideMark/>
          </w:tcPr>
          <w:p w14:paraId="1ED2586A"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CTGCCCATCAGCTTAGCCTG</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69495"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5051928F"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57A1C"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0EFA735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3’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3928A5E8"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A F</w:t>
            </w:r>
          </w:p>
        </w:tc>
        <w:tc>
          <w:tcPr>
            <w:tcW w:w="1725" w:type="dxa"/>
            <w:tcBorders>
              <w:top w:val="single" w:sz="8" w:space="0" w:color="000000"/>
              <w:left w:val="single" w:sz="8" w:space="0" w:color="000000"/>
              <w:bottom w:val="single" w:sz="8" w:space="0" w:color="000000"/>
              <w:right w:val="single" w:sz="8" w:space="0" w:color="000000"/>
            </w:tcBorders>
            <w:hideMark/>
          </w:tcPr>
          <w:p w14:paraId="67717711"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AGCAGAATGACACGAGGCT</w:t>
            </w:r>
          </w:p>
        </w:tc>
        <w:tc>
          <w:tcPr>
            <w:tcW w:w="900" w:type="dxa"/>
            <w:tcBorders>
              <w:top w:val="single" w:sz="8" w:space="0" w:color="000000"/>
              <w:left w:val="single" w:sz="8" w:space="0" w:color="000000"/>
              <w:bottom w:val="single" w:sz="8" w:space="0" w:color="000000"/>
              <w:right w:val="single" w:sz="8" w:space="0" w:color="000000"/>
            </w:tcBorders>
            <w:hideMark/>
          </w:tcPr>
          <w:p w14:paraId="06F1B373"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2 R</w:t>
            </w:r>
          </w:p>
        </w:tc>
        <w:tc>
          <w:tcPr>
            <w:tcW w:w="1710" w:type="dxa"/>
            <w:tcBorders>
              <w:top w:val="single" w:sz="8" w:space="0" w:color="000000"/>
              <w:left w:val="single" w:sz="8" w:space="0" w:color="000000"/>
              <w:bottom w:val="single" w:sz="8" w:space="0" w:color="000000"/>
              <w:right w:val="single" w:sz="8" w:space="0" w:color="000000"/>
            </w:tcBorders>
            <w:hideMark/>
          </w:tcPr>
          <w:p w14:paraId="017E0851"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AGCTGACTGTGGAGATGGTC</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1AE1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7B5A2DAC"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05F33"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B</w:t>
            </w:r>
          </w:p>
        </w:tc>
        <w:tc>
          <w:tcPr>
            <w:tcW w:w="1560" w:type="dxa"/>
            <w:tcBorders>
              <w:top w:val="single" w:sz="8" w:space="0" w:color="000000"/>
              <w:left w:val="single" w:sz="8" w:space="0" w:color="000000"/>
              <w:bottom w:val="single" w:sz="8" w:space="0" w:color="000000"/>
              <w:right w:val="single" w:sz="8" w:space="0" w:color="000000"/>
            </w:tcBorders>
            <w:hideMark/>
          </w:tcPr>
          <w:p w14:paraId="46010CE8"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3158F0E8"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3 F2</w:t>
            </w:r>
          </w:p>
        </w:tc>
        <w:tc>
          <w:tcPr>
            <w:tcW w:w="1725" w:type="dxa"/>
            <w:tcBorders>
              <w:top w:val="single" w:sz="8" w:space="0" w:color="000000"/>
              <w:left w:val="single" w:sz="8" w:space="0" w:color="000000"/>
              <w:bottom w:val="single" w:sz="8" w:space="0" w:color="000000"/>
              <w:right w:val="single" w:sz="8" w:space="0" w:color="000000"/>
            </w:tcBorders>
            <w:hideMark/>
          </w:tcPr>
          <w:p w14:paraId="3C1EB8D7"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ACGCCACCAATTCCAACCTG</w:t>
            </w:r>
          </w:p>
        </w:tc>
        <w:tc>
          <w:tcPr>
            <w:tcW w:w="900" w:type="dxa"/>
            <w:tcBorders>
              <w:top w:val="single" w:sz="8" w:space="0" w:color="000000"/>
              <w:left w:val="single" w:sz="8" w:space="0" w:color="000000"/>
              <w:bottom w:val="single" w:sz="8" w:space="0" w:color="000000"/>
              <w:right w:val="single" w:sz="8" w:space="0" w:color="000000"/>
            </w:tcBorders>
            <w:hideMark/>
          </w:tcPr>
          <w:p w14:paraId="01A5F1AB"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B R2</w:t>
            </w:r>
          </w:p>
        </w:tc>
        <w:tc>
          <w:tcPr>
            <w:tcW w:w="1710" w:type="dxa"/>
            <w:tcBorders>
              <w:top w:val="single" w:sz="8" w:space="0" w:color="000000"/>
              <w:left w:val="single" w:sz="8" w:space="0" w:color="000000"/>
              <w:bottom w:val="single" w:sz="8" w:space="0" w:color="000000"/>
              <w:right w:val="single" w:sz="8" w:space="0" w:color="000000"/>
            </w:tcBorders>
            <w:hideMark/>
          </w:tcPr>
          <w:p w14:paraId="5634CD44"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TCTCCAATCTGGGATGTTCCTC</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3809F"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50</w:t>
            </w:r>
          </w:p>
        </w:tc>
      </w:tr>
      <w:tr w:rsidR="0071099D" w14:paraId="2FA98087"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71E7D"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397976C1"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03CD9FA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3 F</w:t>
            </w:r>
          </w:p>
        </w:tc>
        <w:tc>
          <w:tcPr>
            <w:tcW w:w="1725" w:type="dxa"/>
            <w:tcBorders>
              <w:top w:val="single" w:sz="8" w:space="0" w:color="000000"/>
              <w:left w:val="single" w:sz="8" w:space="0" w:color="000000"/>
              <w:bottom w:val="single" w:sz="8" w:space="0" w:color="000000"/>
              <w:right w:val="single" w:sz="8" w:space="0" w:color="000000"/>
            </w:tcBorders>
            <w:hideMark/>
          </w:tcPr>
          <w:p w14:paraId="0273C0B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TTGCCAATTGTGTGGCCTTAG</w:t>
            </w:r>
          </w:p>
        </w:tc>
        <w:tc>
          <w:tcPr>
            <w:tcW w:w="900" w:type="dxa"/>
            <w:tcBorders>
              <w:top w:val="single" w:sz="8" w:space="0" w:color="000000"/>
              <w:left w:val="single" w:sz="8" w:space="0" w:color="000000"/>
              <w:bottom w:val="single" w:sz="8" w:space="0" w:color="000000"/>
              <w:right w:val="single" w:sz="8" w:space="0" w:color="000000"/>
            </w:tcBorders>
            <w:hideMark/>
          </w:tcPr>
          <w:p w14:paraId="2DB3D7B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B R</w:t>
            </w:r>
          </w:p>
        </w:tc>
        <w:tc>
          <w:tcPr>
            <w:tcW w:w="1710" w:type="dxa"/>
            <w:tcBorders>
              <w:top w:val="single" w:sz="8" w:space="0" w:color="000000"/>
              <w:left w:val="single" w:sz="8" w:space="0" w:color="000000"/>
              <w:bottom w:val="single" w:sz="8" w:space="0" w:color="000000"/>
              <w:right w:val="single" w:sz="8" w:space="0" w:color="000000"/>
            </w:tcBorders>
            <w:hideMark/>
          </w:tcPr>
          <w:p w14:paraId="676633C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CTACTCTAGTTGGGCTGAGTT</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E77DF"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50</w:t>
            </w:r>
          </w:p>
        </w:tc>
      </w:tr>
      <w:tr w:rsidR="0071099D" w14:paraId="2633083A"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47EB5"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6B6D9A0D" w14:textId="77777777" w:rsidR="0071099D" w:rsidRDefault="0071099D" w:rsidP="008967DE">
            <w:pPr>
              <w:jc w:val="both"/>
              <w:rPr>
                <w:rFonts w:ascii="Arial" w:eastAsia="Arial" w:hAnsi="Arial" w:cs="Arial"/>
                <w:lang w:eastAsia="en-US"/>
              </w:rPr>
            </w:pPr>
            <w:r>
              <w:rPr>
                <w:rFonts w:ascii="Arial" w:eastAsia="Arial" w:hAnsi="Arial" w:cs="Arial"/>
                <w:lang w:eastAsia="en-US"/>
              </w:rPr>
              <w:t>3’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66BBDCA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B F2</w:t>
            </w:r>
          </w:p>
        </w:tc>
        <w:tc>
          <w:tcPr>
            <w:tcW w:w="1725" w:type="dxa"/>
            <w:tcBorders>
              <w:top w:val="single" w:sz="8" w:space="0" w:color="000000"/>
              <w:left w:val="single" w:sz="8" w:space="0" w:color="000000"/>
              <w:bottom w:val="single" w:sz="8" w:space="0" w:color="000000"/>
              <w:right w:val="single" w:sz="8" w:space="0" w:color="000000"/>
            </w:tcBorders>
            <w:hideMark/>
          </w:tcPr>
          <w:p w14:paraId="500DF81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AACTCAGCCCAACTAGAGTAG</w:t>
            </w:r>
          </w:p>
        </w:tc>
        <w:tc>
          <w:tcPr>
            <w:tcW w:w="900" w:type="dxa"/>
            <w:tcBorders>
              <w:top w:val="single" w:sz="8" w:space="0" w:color="000000"/>
              <w:left w:val="single" w:sz="8" w:space="0" w:color="000000"/>
              <w:bottom w:val="single" w:sz="8" w:space="0" w:color="000000"/>
              <w:right w:val="single" w:sz="8" w:space="0" w:color="000000"/>
            </w:tcBorders>
            <w:hideMark/>
          </w:tcPr>
          <w:p w14:paraId="42F2A3DB"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4 R2</w:t>
            </w:r>
          </w:p>
        </w:tc>
        <w:tc>
          <w:tcPr>
            <w:tcW w:w="1710" w:type="dxa"/>
            <w:tcBorders>
              <w:top w:val="single" w:sz="8" w:space="0" w:color="000000"/>
              <w:left w:val="single" w:sz="8" w:space="0" w:color="000000"/>
              <w:bottom w:val="single" w:sz="8" w:space="0" w:color="000000"/>
              <w:right w:val="single" w:sz="8" w:space="0" w:color="000000"/>
            </w:tcBorders>
            <w:hideMark/>
          </w:tcPr>
          <w:p w14:paraId="7184CFD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GGTGAAAGAGGAGTCCATAGG</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554C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50</w:t>
            </w:r>
          </w:p>
        </w:tc>
      </w:tr>
      <w:tr w:rsidR="0071099D" w14:paraId="79235E86"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F650D"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45645E3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3’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3680450B"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B F</w:t>
            </w:r>
          </w:p>
        </w:tc>
        <w:tc>
          <w:tcPr>
            <w:tcW w:w="1725" w:type="dxa"/>
            <w:tcBorders>
              <w:top w:val="single" w:sz="8" w:space="0" w:color="000000"/>
              <w:left w:val="single" w:sz="8" w:space="0" w:color="000000"/>
              <w:bottom w:val="single" w:sz="8" w:space="0" w:color="000000"/>
              <w:right w:val="single" w:sz="8" w:space="0" w:color="000000"/>
            </w:tcBorders>
            <w:hideMark/>
          </w:tcPr>
          <w:p w14:paraId="71E58CA3"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GAGGAACATCCCAGATTGGAGA</w:t>
            </w:r>
          </w:p>
        </w:tc>
        <w:tc>
          <w:tcPr>
            <w:tcW w:w="900" w:type="dxa"/>
            <w:tcBorders>
              <w:top w:val="single" w:sz="8" w:space="0" w:color="000000"/>
              <w:left w:val="single" w:sz="8" w:space="0" w:color="000000"/>
              <w:bottom w:val="single" w:sz="8" w:space="0" w:color="000000"/>
              <w:right w:val="single" w:sz="8" w:space="0" w:color="000000"/>
            </w:tcBorders>
            <w:hideMark/>
          </w:tcPr>
          <w:p w14:paraId="0E513AA9"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4 R</w:t>
            </w:r>
          </w:p>
        </w:tc>
        <w:tc>
          <w:tcPr>
            <w:tcW w:w="1710" w:type="dxa"/>
            <w:tcBorders>
              <w:top w:val="single" w:sz="8" w:space="0" w:color="000000"/>
              <w:left w:val="single" w:sz="8" w:space="0" w:color="000000"/>
              <w:bottom w:val="single" w:sz="8" w:space="0" w:color="000000"/>
              <w:right w:val="single" w:sz="8" w:space="0" w:color="000000"/>
            </w:tcBorders>
            <w:hideMark/>
          </w:tcPr>
          <w:p w14:paraId="5D44192B"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TCTAGTAGGTTCCAGCCGTTG</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6742B"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50</w:t>
            </w:r>
          </w:p>
        </w:tc>
      </w:tr>
      <w:tr w:rsidR="0071099D" w14:paraId="0B628F54"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E30C4"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D</w:t>
            </w:r>
          </w:p>
        </w:tc>
        <w:tc>
          <w:tcPr>
            <w:tcW w:w="1560" w:type="dxa"/>
            <w:tcBorders>
              <w:top w:val="single" w:sz="8" w:space="0" w:color="000000"/>
              <w:left w:val="single" w:sz="8" w:space="0" w:color="000000"/>
              <w:bottom w:val="single" w:sz="8" w:space="0" w:color="000000"/>
              <w:right w:val="single" w:sz="8" w:space="0" w:color="000000"/>
            </w:tcBorders>
            <w:hideMark/>
          </w:tcPr>
          <w:p w14:paraId="38D1B33C"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5FD5CB14"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7 F2</w:t>
            </w:r>
          </w:p>
        </w:tc>
        <w:tc>
          <w:tcPr>
            <w:tcW w:w="1725" w:type="dxa"/>
            <w:tcBorders>
              <w:top w:val="single" w:sz="8" w:space="0" w:color="000000"/>
              <w:left w:val="single" w:sz="8" w:space="0" w:color="000000"/>
              <w:bottom w:val="single" w:sz="8" w:space="0" w:color="000000"/>
              <w:right w:val="single" w:sz="8" w:space="0" w:color="000000"/>
            </w:tcBorders>
            <w:hideMark/>
          </w:tcPr>
          <w:p w14:paraId="27DCA6A4"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CAGTGCATCACCATGGAGG</w:t>
            </w:r>
          </w:p>
        </w:tc>
        <w:tc>
          <w:tcPr>
            <w:tcW w:w="900" w:type="dxa"/>
            <w:tcBorders>
              <w:top w:val="single" w:sz="8" w:space="0" w:color="000000"/>
              <w:left w:val="single" w:sz="8" w:space="0" w:color="000000"/>
              <w:bottom w:val="single" w:sz="8" w:space="0" w:color="000000"/>
              <w:right w:val="single" w:sz="8" w:space="0" w:color="000000"/>
            </w:tcBorders>
            <w:hideMark/>
          </w:tcPr>
          <w:p w14:paraId="56F1BC64"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D R2</w:t>
            </w:r>
          </w:p>
        </w:tc>
        <w:tc>
          <w:tcPr>
            <w:tcW w:w="1710" w:type="dxa"/>
            <w:tcBorders>
              <w:top w:val="single" w:sz="8" w:space="0" w:color="000000"/>
              <w:left w:val="single" w:sz="8" w:space="0" w:color="000000"/>
              <w:bottom w:val="single" w:sz="8" w:space="0" w:color="000000"/>
              <w:right w:val="single" w:sz="8" w:space="0" w:color="000000"/>
            </w:tcBorders>
            <w:hideMark/>
          </w:tcPr>
          <w:p w14:paraId="12D527DD"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TCTGCCTCAAGAGGAATCACTCT</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7137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128FDC39"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14DD9"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1BB470D9" w14:textId="77777777" w:rsidR="0071099D" w:rsidRDefault="0071099D" w:rsidP="008967DE">
            <w:pPr>
              <w:jc w:val="both"/>
              <w:rPr>
                <w:rFonts w:ascii="Arial" w:eastAsia="Arial" w:hAnsi="Arial" w:cs="Arial"/>
                <w:lang w:eastAsia="en-US"/>
              </w:rPr>
            </w:pPr>
            <w:r>
              <w:rPr>
                <w:rFonts w:ascii="Arial" w:eastAsia="Arial" w:hAnsi="Arial" w:cs="Arial"/>
                <w:lang w:eastAsia="en-US"/>
              </w:rPr>
              <w:t>5’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745A07B3"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7 F</w:t>
            </w:r>
          </w:p>
        </w:tc>
        <w:tc>
          <w:tcPr>
            <w:tcW w:w="1725" w:type="dxa"/>
            <w:tcBorders>
              <w:top w:val="single" w:sz="8" w:space="0" w:color="000000"/>
              <w:left w:val="single" w:sz="8" w:space="0" w:color="000000"/>
              <w:bottom w:val="single" w:sz="8" w:space="0" w:color="000000"/>
              <w:right w:val="single" w:sz="8" w:space="0" w:color="000000"/>
            </w:tcBorders>
            <w:hideMark/>
          </w:tcPr>
          <w:p w14:paraId="3CE65A2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GCACGGCATCACCAACTT</w:t>
            </w:r>
          </w:p>
        </w:tc>
        <w:tc>
          <w:tcPr>
            <w:tcW w:w="900" w:type="dxa"/>
            <w:tcBorders>
              <w:top w:val="single" w:sz="8" w:space="0" w:color="000000"/>
              <w:left w:val="single" w:sz="8" w:space="0" w:color="000000"/>
              <w:bottom w:val="single" w:sz="8" w:space="0" w:color="000000"/>
              <w:right w:val="single" w:sz="8" w:space="0" w:color="000000"/>
            </w:tcBorders>
            <w:hideMark/>
          </w:tcPr>
          <w:p w14:paraId="6C1E9629"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D R</w:t>
            </w:r>
          </w:p>
        </w:tc>
        <w:tc>
          <w:tcPr>
            <w:tcW w:w="1710" w:type="dxa"/>
            <w:tcBorders>
              <w:top w:val="single" w:sz="8" w:space="0" w:color="000000"/>
              <w:left w:val="single" w:sz="8" w:space="0" w:color="000000"/>
              <w:bottom w:val="single" w:sz="8" w:space="0" w:color="000000"/>
              <w:right w:val="single" w:sz="8" w:space="0" w:color="000000"/>
            </w:tcBorders>
            <w:hideMark/>
          </w:tcPr>
          <w:p w14:paraId="6C73A1F8"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CTCCTGTGACCGAAGGGGAC</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9A9B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1E1499CC"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01FEB"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03D55078" w14:textId="77777777" w:rsidR="0071099D" w:rsidRDefault="0071099D" w:rsidP="008967DE">
            <w:pPr>
              <w:jc w:val="both"/>
              <w:rPr>
                <w:rFonts w:ascii="Arial" w:eastAsia="Arial" w:hAnsi="Arial" w:cs="Arial"/>
                <w:lang w:eastAsia="en-US"/>
              </w:rPr>
            </w:pPr>
            <w:r>
              <w:rPr>
                <w:rFonts w:ascii="Arial" w:eastAsia="Arial" w:hAnsi="Arial" w:cs="Arial"/>
                <w:lang w:eastAsia="en-US"/>
              </w:rPr>
              <w:t>3’ confirmation (round 1)</w:t>
            </w:r>
          </w:p>
        </w:tc>
        <w:tc>
          <w:tcPr>
            <w:tcW w:w="825" w:type="dxa"/>
            <w:tcBorders>
              <w:top w:val="single" w:sz="8" w:space="0" w:color="000000"/>
              <w:left w:val="single" w:sz="8" w:space="0" w:color="000000"/>
              <w:bottom w:val="single" w:sz="8" w:space="0" w:color="000000"/>
              <w:right w:val="single" w:sz="8" w:space="0" w:color="000000"/>
            </w:tcBorders>
            <w:hideMark/>
          </w:tcPr>
          <w:p w14:paraId="297CB3C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D F2</w:t>
            </w:r>
          </w:p>
        </w:tc>
        <w:tc>
          <w:tcPr>
            <w:tcW w:w="1725" w:type="dxa"/>
            <w:tcBorders>
              <w:top w:val="single" w:sz="8" w:space="0" w:color="000000"/>
              <w:left w:val="single" w:sz="8" w:space="0" w:color="000000"/>
              <w:bottom w:val="single" w:sz="8" w:space="0" w:color="000000"/>
              <w:right w:val="single" w:sz="8" w:space="0" w:color="000000"/>
            </w:tcBorders>
            <w:hideMark/>
          </w:tcPr>
          <w:p w14:paraId="3008DAB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GTCCCCTTCGGTCACAGGAG</w:t>
            </w:r>
          </w:p>
        </w:tc>
        <w:tc>
          <w:tcPr>
            <w:tcW w:w="900" w:type="dxa"/>
            <w:tcBorders>
              <w:top w:val="single" w:sz="8" w:space="0" w:color="000000"/>
              <w:left w:val="single" w:sz="8" w:space="0" w:color="000000"/>
              <w:bottom w:val="single" w:sz="8" w:space="0" w:color="000000"/>
              <w:right w:val="single" w:sz="8" w:space="0" w:color="000000"/>
            </w:tcBorders>
            <w:hideMark/>
          </w:tcPr>
          <w:p w14:paraId="5EBC6684"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8 R2</w:t>
            </w:r>
          </w:p>
        </w:tc>
        <w:tc>
          <w:tcPr>
            <w:tcW w:w="1710" w:type="dxa"/>
            <w:tcBorders>
              <w:top w:val="single" w:sz="8" w:space="0" w:color="000000"/>
              <w:left w:val="single" w:sz="8" w:space="0" w:color="000000"/>
              <w:bottom w:val="single" w:sz="8" w:space="0" w:color="000000"/>
              <w:right w:val="single" w:sz="8" w:space="0" w:color="000000"/>
            </w:tcBorders>
            <w:hideMark/>
          </w:tcPr>
          <w:p w14:paraId="7CB5B855"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CAGGGTAACTCATAGCCCATAGC</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81AC"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29DCB53C"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F9AF" w14:textId="77777777" w:rsidR="0071099D" w:rsidRDefault="0071099D" w:rsidP="008967DE">
            <w:pPr>
              <w:widowControl w:val="0"/>
              <w:spacing w:after="0" w:line="240" w:lineRule="auto"/>
              <w:jc w:val="both"/>
              <w:rPr>
                <w:rFonts w:ascii="Arial" w:eastAsia="Arial" w:hAnsi="Arial" w:cs="Arial"/>
                <w:lang w:eastAsia="en-US"/>
              </w:rPr>
            </w:pPr>
          </w:p>
        </w:tc>
        <w:tc>
          <w:tcPr>
            <w:tcW w:w="1560" w:type="dxa"/>
            <w:tcBorders>
              <w:top w:val="single" w:sz="8" w:space="0" w:color="000000"/>
              <w:left w:val="single" w:sz="8" w:space="0" w:color="000000"/>
              <w:bottom w:val="single" w:sz="8" w:space="0" w:color="000000"/>
              <w:right w:val="single" w:sz="8" w:space="0" w:color="000000"/>
            </w:tcBorders>
            <w:hideMark/>
          </w:tcPr>
          <w:p w14:paraId="64E3687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3’  confirmation (round 2)</w:t>
            </w:r>
          </w:p>
        </w:tc>
        <w:tc>
          <w:tcPr>
            <w:tcW w:w="825" w:type="dxa"/>
            <w:tcBorders>
              <w:top w:val="single" w:sz="8" w:space="0" w:color="000000"/>
              <w:left w:val="single" w:sz="8" w:space="0" w:color="000000"/>
              <w:bottom w:val="single" w:sz="8" w:space="0" w:color="000000"/>
              <w:right w:val="single" w:sz="8" w:space="0" w:color="000000"/>
            </w:tcBorders>
            <w:hideMark/>
          </w:tcPr>
          <w:p w14:paraId="032C9347"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D F</w:t>
            </w:r>
          </w:p>
        </w:tc>
        <w:tc>
          <w:tcPr>
            <w:tcW w:w="1725" w:type="dxa"/>
            <w:tcBorders>
              <w:top w:val="single" w:sz="8" w:space="0" w:color="000000"/>
              <w:left w:val="single" w:sz="8" w:space="0" w:color="000000"/>
              <w:bottom w:val="single" w:sz="8" w:space="0" w:color="000000"/>
              <w:right w:val="single" w:sz="8" w:space="0" w:color="000000"/>
            </w:tcBorders>
            <w:hideMark/>
          </w:tcPr>
          <w:p w14:paraId="601AB4AD"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AGAGTGATTCCTCTTGAGGCAGA</w:t>
            </w:r>
          </w:p>
        </w:tc>
        <w:tc>
          <w:tcPr>
            <w:tcW w:w="900" w:type="dxa"/>
            <w:tcBorders>
              <w:top w:val="single" w:sz="8" w:space="0" w:color="000000"/>
              <w:left w:val="single" w:sz="8" w:space="0" w:color="000000"/>
              <w:bottom w:val="single" w:sz="8" w:space="0" w:color="000000"/>
              <w:right w:val="single" w:sz="8" w:space="0" w:color="000000"/>
            </w:tcBorders>
            <w:hideMark/>
          </w:tcPr>
          <w:p w14:paraId="7B923F4A"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8 R</w:t>
            </w:r>
          </w:p>
        </w:tc>
        <w:tc>
          <w:tcPr>
            <w:tcW w:w="1710" w:type="dxa"/>
            <w:tcBorders>
              <w:top w:val="single" w:sz="8" w:space="0" w:color="000000"/>
              <w:left w:val="single" w:sz="8" w:space="0" w:color="000000"/>
              <w:bottom w:val="single" w:sz="8" w:space="0" w:color="000000"/>
              <w:right w:val="single" w:sz="8" w:space="0" w:color="000000"/>
            </w:tcBorders>
            <w:hideMark/>
          </w:tcPr>
          <w:p w14:paraId="3493070C"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CGCTCAACACACCGAGAACCA</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2394B"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2BAA8654"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1811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9-13 junction</w:t>
            </w:r>
          </w:p>
        </w:tc>
        <w:tc>
          <w:tcPr>
            <w:tcW w:w="1560" w:type="dxa"/>
            <w:tcBorders>
              <w:top w:val="single" w:sz="8" w:space="0" w:color="000000"/>
              <w:left w:val="single" w:sz="8" w:space="0" w:color="000000"/>
              <w:bottom w:val="single" w:sz="8" w:space="0" w:color="000000"/>
              <w:right w:val="single" w:sz="8" w:space="0" w:color="000000"/>
            </w:tcBorders>
          </w:tcPr>
          <w:p w14:paraId="0762DF80" w14:textId="77777777" w:rsidR="0071099D" w:rsidRDefault="0071099D" w:rsidP="008967DE">
            <w:pPr>
              <w:spacing w:after="0" w:line="240" w:lineRule="auto"/>
              <w:jc w:val="both"/>
              <w:rPr>
                <w:rFonts w:ascii="Arial" w:eastAsia="Arial" w:hAnsi="Arial" w:cs="Arial"/>
                <w:lang w:eastAsia="en-US"/>
              </w:rPr>
            </w:pPr>
          </w:p>
        </w:tc>
        <w:tc>
          <w:tcPr>
            <w:tcW w:w="825" w:type="dxa"/>
            <w:tcBorders>
              <w:top w:val="single" w:sz="8" w:space="0" w:color="000000"/>
              <w:left w:val="single" w:sz="8" w:space="0" w:color="000000"/>
              <w:bottom w:val="single" w:sz="8" w:space="0" w:color="000000"/>
              <w:right w:val="single" w:sz="8" w:space="0" w:color="000000"/>
            </w:tcBorders>
            <w:hideMark/>
          </w:tcPr>
          <w:p w14:paraId="7724DA2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junction  9.13 F</w:t>
            </w:r>
          </w:p>
        </w:tc>
        <w:tc>
          <w:tcPr>
            <w:tcW w:w="1725" w:type="dxa"/>
            <w:tcBorders>
              <w:top w:val="single" w:sz="8" w:space="0" w:color="000000"/>
              <w:left w:val="single" w:sz="8" w:space="0" w:color="000000"/>
              <w:bottom w:val="single" w:sz="8" w:space="0" w:color="000000"/>
              <w:right w:val="single" w:sz="8" w:space="0" w:color="000000"/>
            </w:tcBorders>
            <w:hideMark/>
          </w:tcPr>
          <w:p w14:paraId="5BD32F1D"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CCCGAAACAACACGGCAAACA</w:t>
            </w:r>
          </w:p>
        </w:tc>
        <w:tc>
          <w:tcPr>
            <w:tcW w:w="900" w:type="dxa"/>
            <w:tcBorders>
              <w:top w:val="single" w:sz="8" w:space="0" w:color="000000"/>
              <w:left w:val="single" w:sz="8" w:space="0" w:color="000000"/>
              <w:bottom w:val="single" w:sz="8" w:space="0" w:color="000000"/>
              <w:right w:val="single" w:sz="8" w:space="0" w:color="000000"/>
            </w:tcBorders>
            <w:hideMark/>
          </w:tcPr>
          <w:p w14:paraId="4FC3570E"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13 R</w:t>
            </w:r>
          </w:p>
        </w:tc>
        <w:tc>
          <w:tcPr>
            <w:tcW w:w="1710" w:type="dxa"/>
            <w:tcBorders>
              <w:top w:val="single" w:sz="8" w:space="0" w:color="000000"/>
              <w:left w:val="single" w:sz="8" w:space="0" w:color="000000"/>
              <w:bottom w:val="single" w:sz="8" w:space="0" w:color="000000"/>
              <w:right w:val="single" w:sz="8" w:space="0" w:color="000000"/>
            </w:tcBorders>
            <w:hideMark/>
          </w:tcPr>
          <w:p w14:paraId="13EFA707"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ACACACGACGAAGCAGTCAAA</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7837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55</w:t>
            </w:r>
          </w:p>
        </w:tc>
      </w:tr>
      <w:tr w:rsidR="0071099D" w14:paraId="6985F119"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01D2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14-23 junction</w:t>
            </w:r>
          </w:p>
        </w:tc>
        <w:tc>
          <w:tcPr>
            <w:tcW w:w="1560" w:type="dxa"/>
            <w:tcBorders>
              <w:top w:val="single" w:sz="8" w:space="0" w:color="000000"/>
              <w:left w:val="single" w:sz="8" w:space="0" w:color="000000"/>
              <w:bottom w:val="single" w:sz="8" w:space="0" w:color="000000"/>
              <w:right w:val="single" w:sz="8" w:space="0" w:color="000000"/>
            </w:tcBorders>
          </w:tcPr>
          <w:p w14:paraId="619B5CCC" w14:textId="77777777" w:rsidR="0071099D" w:rsidRDefault="0071099D" w:rsidP="008967DE">
            <w:pPr>
              <w:spacing w:after="0" w:line="240" w:lineRule="auto"/>
              <w:jc w:val="both"/>
              <w:rPr>
                <w:rFonts w:ascii="Arial" w:eastAsia="Arial" w:hAnsi="Arial" w:cs="Arial"/>
                <w:lang w:eastAsia="en-US"/>
              </w:rPr>
            </w:pPr>
          </w:p>
        </w:tc>
        <w:tc>
          <w:tcPr>
            <w:tcW w:w="825" w:type="dxa"/>
            <w:tcBorders>
              <w:top w:val="single" w:sz="8" w:space="0" w:color="000000"/>
              <w:left w:val="single" w:sz="8" w:space="0" w:color="000000"/>
              <w:bottom w:val="single" w:sz="8" w:space="0" w:color="000000"/>
              <w:right w:val="single" w:sz="8" w:space="0" w:color="000000"/>
            </w:tcBorders>
            <w:hideMark/>
          </w:tcPr>
          <w:p w14:paraId="2043F313"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14 F2</w:t>
            </w:r>
          </w:p>
        </w:tc>
        <w:tc>
          <w:tcPr>
            <w:tcW w:w="1725" w:type="dxa"/>
            <w:tcBorders>
              <w:top w:val="single" w:sz="8" w:space="0" w:color="000000"/>
              <w:left w:val="single" w:sz="8" w:space="0" w:color="000000"/>
              <w:bottom w:val="single" w:sz="8" w:space="0" w:color="000000"/>
              <w:right w:val="single" w:sz="8" w:space="0" w:color="000000"/>
            </w:tcBorders>
            <w:hideMark/>
          </w:tcPr>
          <w:p w14:paraId="69D0E822"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CATCCTTGCTGAACTCTGTGC</w:t>
            </w:r>
          </w:p>
        </w:tc>
        <w:tc>
          <w:tcPr>
            <w:tcW w:w="900" w:type="dxa"/>
            <w:tcBorders>
              <w:top w:val="single" w:sz="8" w:space="0" w:color="000000"/>
              <w:left w:val="single" w:sz="8" w:space="0" w:color="000000"/>
              <w:bottom w:val="single" w:sz="8" w:space="0" w:color="000000"/>
              <w:right w:val="single" w:sz="8" w:space="0" w:color="000000"/>
            </w:tcBorders>
            <w:hideMark/>
          </w:tcPr>
          <w:p w14:paraId="0E663E17"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junction  14.23 R</w:t>
            </w:r>
          </w:p>
        </w:tc>
        <w:tc>
          <w:tcPr>
            <w:tcW w:w="1710" w:type="dxa"/>
            <w:tcBorders>
              <w:top w:val="single" w:sz="8" w:space="0" w:color="000000"/>
              <w:left w:val="single" w:sz="8" w:space="0" w:color="000000"/>
              <w:bottom w:val="single" w:sz="8" w:space="0" w:color="000000"/>
              <w:right w:val="single" w:sz="8" w:space="0" w:color="000000"/>
            </w:tcBorders>
            <w:hideMark/>
          </w:tcPr>
          <w:p w14:paraId="0368B4C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AGCAGTCATCTGAAACACAGTGA</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AECA9"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53</w:t>
            </w:r>
          </w:p>
        </w:tc>
      </w:tr>
      <w:tr w:rsidR="0071099D" w14:paraId="26A42B4D" w14:textId="77777777" w:rsidTr="008967DE">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F46E4"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Novel Exon 37-44 junction</w:t>
            </w:r>
          </w:p>
        </w:tc>
        <w:tc>
          <w:tcPr>
            <w:tcW w:w="1560" w:type="dxa"/>
            <w:tcBorders>
              <w:top w:val="single" w:sz="8" w:space="0" w:color="000000"/>
              <w:left w:val="single" w:sz="8" w:space="0" w:color="000000"/>
              <w:bottom w:val="single" w:sz="8" w:space="0" w:color="000000"/>
              <w:right w:val="single" w:sz="8" w:space="0" w:color="000000"/>
            </w:tcBorders>
          </w:tcPr>
          <w:p w14:paraId="77CF6780" w14:textId="77777777" w:rsidR="0071099D" w:rsidRDefault="0071099D" w:rsidP="008967DE">
            <w:pPr>
              <w:spacing w:after="0" w:line="240" w:lineRule="auto"/>
              <w:jc w:val="both"/>
              <w:rPr>
                <w:rFonts w:ascii="Arial" w:eastAsia="Arial" w:hAnsi="Arial" w:cs="Arial"/>
                <w:lang w:eastAsia="en-US"/>
              </w:rPr>
            </w:pPr>
          </w:p>
        </w:tc>
        <w:tc>
          <w:tcPr>
            <w:tcW w:w="825" w:type="dxa"/>
            <w:tcBorders>
              <w:top w:val="single" w:sz="8" w:space="0" w:color="000000"/>
              <w:left w:val="single" w:sz="8" w:space="0" w:color="000000"/>
              <w:bottom w:val="single" w:sz="8" w:space="0" w:color="000000"/>
              <w:right w:val="single" w:sz="8" w:space="0" w:color="000000"/>
            </w:tcBorders>
            <w:hideMark/>
          </w:tcPr>
          <w:p w14:paraId="6AC28F0F"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37 F</w:t>
            </w:r>
          </w:p>
        </w:tc>
        <w:tc>
          <w:tcPr>
            <w:tcW w:w="1725" w:type="dxa"/>
            <w:tcBorders>
              <w:top w:val="single" w:sz="8" w:space="0" w:color="000000"/>
              <w:left w:val="single" w:sz="8" w:space="0" w:color="000000"/>
              <w:bottom w:val="single" w:sz="8" w:space="0" w:color="000000"/>
              <w:right w:val="single" w:sz="8" w:space="0" w:color="000000"/>
            </w:tcBorders>
            <w:hideMark/>
          </w:tcPr>
          <w:p w14:paraId="44F73280"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TGAAACACCCTGTGGTAGCAG</w:t>
            </w:r>
          </w:p>
        </w:tc>
        <w:tc>
          <w:tcPr>
            <w:tcW w:w="900" w:type="dxa"/>
            <w:tcBorders>
              <w:top w:val="single" w:sz="8" w:space="0" w:color="000000"/>
              <w:left w:val="single" w:sz="8" w:space="0" w:color="000000"/>
              <w:bottom w:val="single" w:sz="8" w:space="0" w:color="000000"/>
              <w:right w:val="single" w:sz="8" w:space="0" w:color="000000"/>
            </w:tcBorders>
            <w:hideMark/>
          </w:tcPr>
          <w:p w14:paraId="5A594299"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Exon 37.44 R</w:t>
            </w:r>
          </w:p>
        </w:tc>
        <w:tc>
          <w:tcPr>
            <w:tcW w:w="1710" w:type="dxa"/>
            <w:tcBorders>
              <w:top w:val="single" w:sz="8" w:space="0" w:color="000000"/>
              <w:left w:val="single" w:sz="8" w:space="0" w:color="000000"/>
              <w:bottom w:val="single" w:sz="8" w:space="0" w:color="000000"/>
              <w:right w:val="single" w:sz="8" w:space="0" w:color="000000"/>
            </w:tcBorders>
            <w:hideMark/>
          </w:tcPr>
          <w:p w14:paraId="2D5CC937" w14:textId="77777777" w:rsidR="0071099D" w:rsidRDefault="0071099D" w:rsidP="008967DE">
            <w:pPr>
              <w:spacing w:after="0" w:line="240" w:lineRule="auto"/>
              <w:jc w:val="both"/>
              <w:rPr>
                <w:rFonts w:ascii="Arial" w:eastAsia="Arial" w:hAnsi="Arial" w:cs="Arial"/>
                <w:lang w:eastAsia="en-US"/>
              </w:rPr>
            </w:pPr>
            <w:r>
              <w:rPr>
                <w:rFonts w:ascii="Arial" w:eastAsia="Arial" w:hAnsi="Arial" w:cs="Arial"/>
                <w:lang w:eastAsia="en-US"/>
              </w:rPr>
              <w:t>GCCCTCAGGAAGGCACAGA</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01074"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55</w:t>
            </w:r>
          </w:p>
        </w:tc>
      </w:tr>
    </w:tbl>
    <w:p w14:paraId="031DF7CD" w14:textId="77777777" w:rsidR="0071099D" w:rsidRDefault="0071099D" w:rsidP="0071099D">
      <w:pPr>
        <w:jc w:val="both"/>
        <w:rPr>
          <w:rFonts w:ascii="Arial" w:eastAsia="Arial" w:hAnsi="Arial" w:cs="Arial"/>
          <w:b/>
          <w:color w:val="000000"/>
        </w:rPr>
      </w:pPr>
    </w:p>
    <w:p w14:paraId="2FB82A3F" w14:textId="77777777" w:rsidR="0071099D" w:rsidRDefault="0071099D" w:rsidP="0071099D">
      <w:pPr>
        <w:rPr>
          <w:rFonts w:ascii="Arial" w:eastAsia="Arial" w:hAnsi="Arial" w:cs="Arial"/>
          <w:b/>
        </w:rPr>
      </w:pPr>
      <w:r>
        <w:rPr>
          <w:rFonts w:ascii="Arial" w:eastAsia="Arial" w:hAnsi="Arial" w:cs="Arial"/>
          <w:b/>
        </w:rPr>
        <w:br w:type="page"/>
      </w:r>
    </w:p>
    <w:p w14:paraId="47398443" w14:textId="77777777" w:rsidR="0071099D" w:rsidRDefault="0071099D" w:rsidP="0071099D">
      <w:pPr>
        <w:jc w:val="both"/>
        <w:rPr>
          <w:rFonts w:ascii="Arial" w:eastAsia="Arial" w:hAnsi="Arial" w:cs="Arial"/>
          <w:b/>
        </w:rPr>
      </w:pPr>
      <w:r>
        <w:rPr>
          <w:rFonts w:ascii="Arial" w:eastAsia="Arial" w:hAnsi="Arial" w:cs="Arial"/>
          <w:b/>
        </w:rPr>
        <w:lastRenderedPageBreak/>
        <w:t>Supplementary Table 3: Demographics of additional tissue donors used for RNA degradation study</w:t>
      </w:r>
    </w:p>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620"/>
        <w:gridCol w:w="675"/>
        <w:gridCol w:w="675"/>
        <w:gridCol w:w="1065"/>
        <w:gridCol w:w="1230"/>
        <w:gridCol w:w="2940"/>
      </w:tblGrid>
      <w:tr w:rsidR="0071099D" w14:paraId="7D710582"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3D2D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Case ID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D179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Age (years)</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DE0C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Sex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4261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PMI</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6930D"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Ethnicity</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4513C"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Brain RIN</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D39D9"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Cause of death</w:t>
            </w:r>
          </w:p>
        </w:tc>
      </w:tr>
      <w:tr w:rsidR="0071099D" w14:paraId="24A63055"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D3799"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5244</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ACDA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21.2</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0A794"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9DB36"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28</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BAFF7"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AA</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A484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8.7</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2E84A"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Multiple injuries</w:t>
            </w:r>
          </w:p>
        </w:tc>
      </w:tr>
      <w:tr w:rsidR="0071099D" w14:paraId="311CFF6B"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8F15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5579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0576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41.9</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4C880"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F</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CD36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13</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70EC1"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CAUC</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DD103"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6.3</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84432"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Multiple injuries</w:t>
            </w:r>
          </w:p>
        </w:tc>
      </w:tr>
      <w:tr w:rsidR="0071099D" w14:paraId="21D25B05" w14:textId="77777777" w:rsidTr="008967DE">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F69C3"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5717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93906"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51.9</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D9D8E"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M</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22C86"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35.5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2E5A7"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CAUC</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0EA65"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8.9</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CFD68" w14:textId="77777777" w:rsidR="0071099D" w:rsidRDefault="0071099D" w:rsidP="008967DE">
            <w:pPr>
              <w:widowControl w:val="0"/>
              <w:spacing w:after="0" w:line="240" w:lineRule="auto"/>
              <w:jc w:val="both"/>
              <w:rPr>
                <w:rFonts w:ascii="Arial" w:eastAsia="Arial" w:hAnsi="Arial" w:cs="Arial"/>
                <w:lang w:eastAsia="en-US"/>
              </w:rPr>
            </w:pPr>
            <w:r>
              <w:rPr>
                <w:rFonts w:ascii="Arial" w:eastAsia="Arial" w:hAnsi="Arial" w:cs="Arial"/>
                <w:lang w:eastAsia="en-US"/>
              </w:rPr>
              <w:t>Sarcoidosis</w:t>
            </w:r>
          </w:p>
        </w:tc>
      </w:tr>
    </w:tbl>
    <w:p w14:paraId="1DFA994C" w14:textId="77777777" w:rsidR="0071099D" w:rsidRPr="005763F6" w:rsidRDefault="0071099D" w:rsidP="0071099D">
      <w:pPr>
        <w:jc w:val="both"/>
        <w:rPr>
          <w:rFonts w:ascii="Arial" w:eastAsia="Arial" w:hAnsi="Arial" w:cs="Arial"/>
          <w:color w:val="000000"/>
        </w:rPr>
      </w:pPr>
      <w:r>
        <w:rPr>
          <w:rFonts w:ascii="Arial" w:eastAsia="Arial" w:hAnsi="Arial" w:cs="Arial"/>
        </w:rPr>
        <w:t xml:space="preserve">PMI: </w:t>
      </w:r>
      <w:proofErr w:type="spellStart"/>
      <w:r>
        <w:rPr>
          <w:rFonts w:ascii="Arial" w:eastAsia="Arial" w:hAnsi="Arial" w:cs="Arial"/>
        </w:rPr>
        <w:t>postmortem</w:t>
      </w:r>
      <w:proofErr w:type="spellEnd"/>
      <w:r>
        <w:rPr>
          <w:rFonts w:ascii="Arial" w:eastAsia="Arial" w:hAnsi="Arial" w:cs="Arial"/>
        </w:rPr>
        <w:t xml:space="preserve"> interval; RIN: RNA Integrity Number; M: male; F: female; AA: African American; CAUC: Caucasian</w:t>
      </w:r>
    </w:p>
    <w:p w14:paraId="31D7C137" w14:textId="77777777" w:rsidR="0071099D" w:rsidRDefault="0071099D" w:rsidP="0071099D">
      <w:pPr>
        <w:jc w:val="both"/>
        <w:rPr>
          <w:rFonts w:ascii="Arial" w:eastAsia="Arial" w:hAnsi="Arial" w:cs="Arial"/>
          <w:b/>
        </w:rPr>
      </w:pPr>
      <w:r>
        <w:rPr>
          <w:rFonts w:ascii="Arial" w:eastAsia="Arial" w:hAnsi="Arial" w:cs="Arial"/>
          <w:b/>
        </w:rPr>
        <w:t>Supplementary table 4: Samples and pass reads in each sequencing run</w:t>
      </w:r>
    </w:p>
    <w:tbl>
      <w:tblPr>
        <w:tblW w:w="8520"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2661"/>
        <w:gridCol w:w="1506"/>
        <w:gridCol w:w="1311"/>
        <w:gridCol w:w="1521"/>
        <w:gridCol w:w="1521"/>
      </w:tblGrid>
      <w:tr w:rsidR="0071099D" w14:paraId="268B35BD"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D1C3532"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Sample</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E318D50"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Barcode</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E07213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Run</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291E4D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Run1 reads</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205E0B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Run2 reads</w:t>
            </w:r>
          </w:p>
        </w:tc>
      </w:tr>
      <w:tr w:rsidR="0071099D" w14:paraId="62E0CA29"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59948E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5238 cingulate</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48FD84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BC001</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D692BB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6BF7C2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4836</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B0AA820"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6752</w:t>
            </w:r>
          </w:p>
        </w:tc>
      </w:tr>
      <w:tr w:rsidR="0071099D" w14:paraId="085FA9D7"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4B86E8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5238 DLPFC</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274C62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BC002</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4E3685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327A49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7227</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2E1B81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10484</w:t>
            </w:r>
          </w:p>
        </w:tc>
      </w:tr>
      <w:tr w:rsidR="0071099D" w14:paraId="0F81DECB"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903570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5238 </w:t>
            </w:r>
            <w:proofErr w:type="gramStart"/>
            <w:r>
              <w:rPr>
                <w:rFonts w:ascii="Arial" w:eastAsia="Arial" w:hAnsi="Arial" w:cs="Arial"/>
                <w:lang w:eastAsia="en-US"/>
              </w:rPr>
              <w:t>occipital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02E6AA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BC003</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FBF657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CA4280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4630</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0A044F3" w14:textId="77777777" w:rsidR="0071099D" w:rsidRDefault="0071099D" w:rsidP="008967DE">
            <w:pPr>
              <w:widowControl w:val="0"/>
              <w:spacing w:after="0"/>
              <w:jc w:val="both"/>
              <w:rPr>
                <w:rFonts w:ascii="Arial" w:eastAsia="Arial" w:hAnsi="Arial" w:cs="Arial"/>
                <w:lang w:eastAsia="en-US"/>
              </w:rPr>
            </w:pPr>
          </w:p>
        </w:tc>
      </w:tr>
      <w:tr w:rsidR="0071099D" w14:paraId="174CEEF9"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44CD44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5238 </w:t>
            </w:r>
            <w:proofErr w:type="gramStart"/>
            <w:r>
              <w:rPr>
                <w:rFonts w:ascii="Arial" w:eastAsia="Arial" w:hAnsi="Arial" w:cs="Arial"/>
                <w:lang w:eastAsia="en-US"/>
              </w:rPr>
              <w:t>parietal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278B36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BC004</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B869FA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6A7967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6024</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6445A66" w14:textId="77777777" w:rsidR="0071099D" w:rsidRDefault="0071099D" w:rsidP="008967DE">
            <w:pPr>
              <w:widowControl w:val="0"/>
              <w:spacing w:after="0"/>
              <w:jc w:val="both"/>
              <w:rPr>
                <w:rFonts w:ascii="Arial" w:eastAsia="Arial" w:hAnsi="Arial" w:cs="Arial"/>
                <w:lang w:eastAsia="en-US"/>
              </w:rPr>
            </w:pPr>
          </w:p>
        </w:tc>
      </w:tr>
      <w:tr w:rsidR="0071099D" w14:paraId="49C87410"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D7879D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5238 </w:t>
            </w:r>
            <w:proofErr w:type="gramStart"/>
            <w:r>
              <w:rPr>
                <w:rFonts w:ascii="Arial" w:eastAsia="Arial" w:hAnsi="Arial" w:cs="Arial"/>
                <w:lang w:eastAsia="en-US"/>
              </w:rPr>
              <w:t>cerebellum</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1E7B7A1"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BC003</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17C52B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97DE4F0"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DC4965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3735</w:t>
            </w:r>
          </w:p>
        </w:tc>
      </w:tr>
      <w:tr w:rsidR="0071099D" w14:paraId="24C01E73"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A1973F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5238 striatum</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D820340"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BC004</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FC37D2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9A4FEE9"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9D3FDE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8778</w:t>
            </w:r>
          </w:p>
        </w:tc>
      </w:tr>
      <w:tr w:rsidR="0071099D" w14:paraId="5D8E3C63"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95CD69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5298 cingulate</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9A1ADF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BC005</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A9B6BF1"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788D19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6287</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6DD944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9329</w:t>
            </w:r>
          </w:p>
        </w:tc>
      </w:tr>
      <w:tr w:rsidR="0071099D" w14:paraId="6D888640"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4AF7E9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5298 DLPFC</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B97BAB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BC006</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6E3259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3252E21"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5660</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467648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8849</w:t>
            </w:r>
          </w:p>
        </w:tc>
      </w:tr>
      <w:tr w:rsidR="0071099D" w14:paraId="4DCED19A"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993451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5298 </w:t>
            </w:r>
            <w:proofErr w:type="gramStart"/>
            <w:r>
              <w:rPr>
                <w:rFonts w:ascii="Arial" w:eastAsia="Arial" w:hAnsi="Arial" w:cs="Arial"/>
                <w:lang w:eastAsia="en-US"/>
              </w:rPr>
              <w:t>occipital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1CDE59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BC007</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2EE673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EFB79A2"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2729</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07619F7" w14:textId="77777777" w:rsidR="0071099D" w:rsidRDefault="0071099D" w:rsidP="008967DE">
            <w:pPr>
              <w:widowControl w:val="0"/>
              <w:spacing w:after="0"/>
              <w:jc w:val="both"/>
              <w:rPr>
                <w:rFonts w:ascii="Arial" w:eastAsia="Arial" w:hAnsi="Arial" w:cs="Arial"/>
                <w:lang w:eastAsia="en-US"/>
              </w:rPr>
            </w:pPr>
          </w:p>
        </w:tc>
      </w:tr>
      <w:tr w:rsidR="0071099D" w14:paraId="35E2444C"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24BD59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5298 </w:t>
            </w:r>
            <w:proofErr w:type="gramStart"/>
            <w:r>
              <w:rPr>
                <w:rFonts w:ascii="Arial" w:eastAsia="Arial" w:hAnsi="Arial" w:cs="Arial"/>
                <w:lang w:eastAsia="en-US"/>
              </w:rPr>
              <w:t>parietal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24ED71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BC008</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59DFB7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8C434C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2729</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A2AC55C" w14:textId="77777777" w:rsidR="0071099D" w:rsidRDefault="0071099D" w:rsidP="008967DE">
            <w:pPr>
              <w:widowControl w:val="0"/>
              <w:spacing w:after="0"/>
              <w:jc w:val="both"/>
              <w:rPr>
                <w:rFonts w:ascii="Arial" w:eastAsia="Arial" w:hAnsi="Arial" w:cs="Arial"/>
                <w:lang w:eastAsia="en-US"/>
              </w:rPr>
            </w:pPr>
          </w:p>
        </w:tc>
      </w:tr>
      <w:tr w:rsidR="0071099D" w14:paraId="278833D8"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462E45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5298 </w:t>
            </w:r>
            <w:proofErr w:type="gramStart"/>
            <w:r>
              <w:rPr>
                <w:rFonts w:ascii="Arial" w:eastAsia="Arial" w:hAnsi="Arial" w:cs="Arial"/>
                <w:lang w:eastAsia="en-US"/>
              </w:rPr>
              <w:t>cerebellum</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0DE911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BC007</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570A44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D5BF75D"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C2D7902"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6725</w:t>
            </w:r>
          </w:p>
        </w:tc>
      </w:tr>
      <w:tr w:rsidR="0071099D" w14:paraId="0B81FE5C"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F39B18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5298 striatum</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35C232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BC008</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0BDF90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3070AD5"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0377B4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8116</w:t>
            </w:r>
          </w:p>
        </w:tc>
      </w:tr>
      <w:tr w:rsidR="0071099D" w14:paraId="3FC4B422"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507CA8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5246 cingulate</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6F1F60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BC009</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B78924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B91AEC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1760</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EEAC642"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2421</w:t>
            </w:r>
          </w:p>
        </w:tc>
      </w:tr>
      <w:tr w:rsidR="0071099D" w14:paraId="76A0D6C2"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83F546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5346 DLPFC</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0956A9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BC010</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F26791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1, 2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2016D6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2572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BD006C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3403</w:t>
            </w:r>
          </w:p>
        </w:tc>
      </w:tr>
      <w:tr w:rsidR="0071099D" w14:paraId="53386BAB"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35BC1F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5346 </w:t>
            </w:r>
            <w:proofErr w:type="gramStart"/>
            <w:r>
              <w:rPr>
                <w:rFonts w:ascii="Arial" w:eastAsia="Arial" w:hAnsi="Arial" w:cs="Arial"/>
                <w:lang w:eastAsia="en-US"/>
              </w:rPr>
              <w:t>occipital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22E0E4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BC011</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BE7A8CA"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143412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4859</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C271AB6" w14:textId="77777777" w:rsidR="0071099D" w:rsidRDefault="0071099D" w:rsidP="008967DE">
            <w:pPr>
              <w:widowControl w:val="0"/>
              <w:spacing w:after="0"/>
              <w:jc w:val="both"/>
              <w:rPr>
                <w:rFonts w:ascii="Arial" w:eastAsia="Arial" w:hAnsi="Arial" w:cs="Arial"/>
                <w:lang w:eastAsia="en-US"/>
              </w:rPr>
            </w:pPr>
          </w:p>
        </w:tc>
      </w:tr>
      <w:tr w:rsidR="0071099D" w14:paraId="14E4AC3D"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687634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5346 </w:t>
            </w:r>
            <w:proofErr w:type="gramStart"/>
            <w:r>
              <w:rPr>
                <w:rFonts w:ascii="Arial" w:eastAsia="Arial" w:hAnsi="Arial" w:cs="Arial"/>
                <w:lang w:eastAsia="en-US"/>
              </w:rPr>
              <w:t>parietal</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2F7E54C"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BC012</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B2453EC"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BB4713C"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3681</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468D5F4" w14:textId="77777777" w:rsidR="0071099D" w:rsidRDefault="0071099D" w:rsidP="008967DE">
            <w:pPr>
              <w:widowControl w:val="0"/>
              <w:spacing w:after="0"/>
              <w:jc w:val="both"/>
              <w:rPr>
                <w:rFonts w:ascii="Arial" w:eastAsia="Arial" w:hAnsi="Arial" w:cs="Arial"/>
                <w:lang w:eastAsia="en-US"/>
              </w:rPr>
            </w:pPr>
          </w:p>
        </w:tc>
      </w:tr>
      <w:tr w:rsidR="0071099D" w14:paraId="5998D6D9"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3B05549"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 xml:space="preserve">5346 </w:t>
            </w:r>
            <w:proofErr w:type="gramStart"/>
            <w:r>
              <w:rPr>
                <w:rFonts w:ascii="Arial" w:eastAsia="Arial" w:hAnsi="Arial" w:cs="Arial"/>
                <w:lang w:eastAsia="en-US"/>
              </w:rPr>
              <w:t>cerebellum</w:t>
            </w:r>
            <w:proofErr w:type="gramEnd"/>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EC4A30B"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BC011</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8AFA87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5DE1A3F"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4A1ADE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7609</w:t>
            </w:r>
          </w:p>
        </w:tc>
      </w:tr>
      <w:tr w:rsidR="0071099D" w14:paraId="4D524FF7" w14:textId="77777777" w:rsidTr="008967DE">
        <w:tc>
          <w:tcPr>
            <w:tcW w:w="266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777268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5346 striatum</w:t>
            </w:r>
          </w:p>
        </w:tc>
        <w:tc>
          <w:tcPr>
            <w:tcW w:w="15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10F3317"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BC012</w:t>
            </w:r>
          </w:p>
        </w:tc>
        <w:tc>
          <w:tcPr>
            <w:tcW w:w="13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F27A57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2</w:t>
            </w: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F0485B9" w14:textId="77777777" w:rsidR="0071099D" w:rsidRDefault="0071099D" w:rsidP="008967DE">
            <w:pPr>
              <w:widowControl w:val="0"/>
              <w:spacing w:after="0"/>
              <w:jc w:val="both"/>
              <w:rPr>
                <w:rFonts w:ascii="Arial" w:eastAsia="Arial" w:hAnsi="Arial" w:cs="Arial"/>
                <w:lang w:eastAsia="en-US"/>
              </w:rPr>
            </w:pPr>
          </w:p>
        </w:tc>
        <w:tc>
          <w:tcPr>
            <w:tcW w:w="152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B8AF7D3"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4130</w:t>
            </w:r>
          </w:p>
        </w:tc>
      </w:tr>
    </w:tbl>
    <w:p w14:paraId="69D28960" w14:textId="77777777" w:rsidR="0071099D" w:rsidRDefault="0071099D" w:rsidP="0071099D">
      <w:pPr>
        <w:rPr>
          <w:color w:val="000000"/>
        </w:rPr>
      </w:pPr>
    </w:p>
    <w:p w14:paraId="4CED0F20" w14:textId="77777777" w:rsidR="0071099D" w:rsidRDefault="0071099D" w:rsidP="0071099D">
      <w:pPr>
        <w:jc w:val="both"/>
        <w:rPr>
          <w:rFonts w:ascii="Arial" w:eastAsia="Arial" w:hAnsi="Arial" w:cs="Arial"/>
          <w:b/>
        </w:rPr>
      </w:pPr>
      <w:r>
        <w:rPr>
          <w:rFonts w:ascii="Arial" w:eastAsia="Arial" w:hAnsi="Arial" w:cs="Arial"/>
          <w:b/>
        </w:rPr>
        <w:t>Supplementary table 5: Sequencing metrics for each nanopore sequencing run</w:t>
      </w:r>
    </w:p>
    <w:tbl>
      <w:tblPr>
        <w:tblW w:w="8655"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4890"/>
        <w:gridCol w:w="1710"/>
        <w:gridCol w:w="2055"/>
      </w:tblGrid>
      <w:tr w:rsidR="0071099D" w14:paraId="2659ED27"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D6A2401" w14:textId="77777777" w:rsidR="0071099D" w:rsidRDefault="0071099D" w:rsidP="008967DE">
            <w:pPr>
              <w:widowControl w:val="0"/>
              <w:spacing w:after="0"/>
              <w:jc w:val="both"/>
              <w:rPr>
                <w:rFonts w:ascii="Arial" w:eastAsia="Arial" w:hAnsi="Arial" w:cs="Arial"/>
                <w:lang w:eastAsia="en-US"/>
              </w:rPr>
            </w:pP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BF40AF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Run1</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C56507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Run2</w:t>
            </w:r>
          </w:p>
        </w:tc>
      </w:tr>
      <w:tr w:rsidR="0071099D" w14:paraId="131EEE54"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2EBB7AC" w14:textId="77777777" w:rsidR="0071099D" w:rsidRDefault="0071099D" w:rsidP="008967DE">
            <w:pPr>
              <w:widowControl w:val="0"/>
              <w:spacing w:after="0"/>
              <w:jc w:val="both"/>
              <w:rPr>
                <w:rFonts w:ascii="Arial" w:eastAsia="Arial" w:hAnsi="Arial" w:cs="Arial"/>
                <w:lang w:eastAsia="en-US"/>
              </w:rPr>
            </w:pPr>
            <w:proofErr w:type="spellStart"/>
            <w:r>
              <w:rPr>
                <w:rFonts w:ascii="Arial" w:eastAsia="Arial" w:hAnsi="Arial" w:cs="Arial"/>
                <w:lang w:eastAsia="en-US"/>
              </w:rPr>
              <w:t>Flowcell</w:t>
            </w:r>
            <w:proofErr w:type="spellEnd"/>
            <w:r>
              <w:rPr>
                <w:rFonts w:ascii="Arial" w:eastAsia="Arial" w:hAnsi="Arial" w:cs="Arial"/>
                <w:lang w:eastAsia="en-US"/>
              </w:rPr>
              <w:t xml:space="preserve"> </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7F23EC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R9.0 (MIN105)</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35EB3A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R9.4 (MIN106)</w:t>
            </w:r>
          </w:p>
        </w:tc>
      </w:tr>
      <w:tr w:rsidR="0071099D" w14:paraId="6EB9CCD0"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4A9CC48" w14:textId="77777777" w:rsidR="0071099D" w:rsidRDefault="0071099D" w:rsidP="008967DE">
            <w:pPr>
              <w:widowControl w:val="0"/>
              <w:spacing w:after="0"/>
              <w:jc w:val="both"/>
              <w:rPr>
                <w:rFonts w:ascii="Arial" w:eastAsia="Arial" w:hAnsi="Arial" w:cs="Arial"/>
                <w:lang w:eastAsia="en-US"/>
              </w:rPr>
            </w:pPr>
            <w:proofErr w:type="spellStart"/>
            <w:r>
              <w:rPr>
                <w:rFonts w:ascii="Arial" w:eastAsia="Arial" w:hAnsi="Arial" w:cs="Arial"/>
                <w:lang w:eastAsia="en-US"/>
              </w:rPr>
              <w:t>Basecalling</w:t>
            </w:r>
            <w:proofErr w:type="spellEnd"/>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10EAFB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Epi2Me v1.125</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B78A75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Albacore V1.1.0</w:t>
            </w:r>
          </w:p>
        </w:tc>
      </w:tr>
      <w:tr w:rsidR="0071099D" w14:paraId="6F6D8085"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8F3379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Total reads</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5A817E2"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112024</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CA92141"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126314</w:t>
            </w:r>
          </w:p>
        </w:tc>
      </w:tr>
      <w:tr w:rsidR="0071099D" w14:paraId="74E5653F"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56E85A36"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Pass, barcoded reads</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2AD9B90A"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52994</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D9C6BE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80331</w:t>
            </w:r>
          </w:p>
        </w:tc>
      </w:tr>
      <w:tr w:rsidR="0071099D" w14:paraId="4096F540"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F6A0F5C"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Yield (Mb)</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2DBFE6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315</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CBCC324"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480</w:t>
            </w:r>
          </w:p>
        </w:tc>
      </w:tr>
      <w:tr w:rsidR="0071099D" w14:paraId="1672D38B"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7A4B626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Median length (pass, barcoded reads only)</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390BE90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6363</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18F8A8D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6451</w:t>
            </w:r>
          </w:p>
        </w:tc>
      </w:tr>
      <w:tr w:rsidR="0071099D" w14:paraId="656FB845"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E2A4A3F"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Median Q-score (pass reads only)</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76F290E"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12.75</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E86D395"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15.89</w:t>
            </w:r>
          </w:p>
        </w:tc>
      </w:tr>
      <w:tr w:rsidR="0071099D" w14:paraId="5FAEBED7" w14:textId="77777777" w:rsidTr="008967DE">
        <w:tc>
          <w:tcPr>
            <w:tcW w:w="489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09FD114D"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DNA calibration strand added</w:t>
            </w:r>
          </w:p>
        </w:tc>
        <w:tc>
          <w:tcPr>
            <w:tcW w:w="171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4C8D6F7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Y</w:t>
            </w:r>
          </w:p>
        </w:tc>
        <w:tc>
          <w:tcPr>
            <w:tcW w:w="205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14:paraId="68FA26C8" w14:textId="77777777" w:rsidR="0071099D" w:rsidRDefault="0071099D" w:rsidP="008967DE">
            <w:pPr>
              <w:widowControl w:val="0"/>
              <w:spacing w:after="0"/>
              <w:jc w:val="both"/>
              <w:rPr>
                <w:rFonts w:ascii="Arial" w:eastAsia="Arial" w:hAnsi="Arial" w:cs="Arial"/>
                <w:lang w:eastAsia="en-US"/>
              </w:rPr>
            </w:pPr>
            <w:r>
              <w:rPr>
                <w:rFonts w:ascii="Arial" w:eastAsia="Arial" w:hAnsi="Arial" w:cs="Arial"/>
                <w:lang w:eastAsia="en-US"/>
              </w:rPr>
              <w:t>N</w:t>
            </w:r>
          </w:p>
        </w:tc>
      </w:tr>
    </w:tbl>
    <w:p w14:paraId="4DDC256E" w14:textId="77777777" w:rsidR="0071099D" w:rsidRDefault="0071099D" w:rsidP="0071099D">
      <w:pPr>
        <w:rPr>
          <w:color w:val="000000"/>
        </w:rPr>
      </w:pPr>
    </w:p>
    <w:p w14:paraId="1194D94F" w14:textId="77777777" w:rsidR="0071099D" w:rsidRDefault="0071099D" w:rsidP="0071099D">
      <w:pPr>
        <w:rPr>
          <w:rFonts w:ascii="Arial" w:eastAsia="Times New Roman" w:hAnsi="Arial" w:cs="Arial"/>
          <w:b/>
        </w:rPr>
      </w:pPr>
      <w:r>
        <w:rPr>
          <w:rFonts w:ascii="Arial" w:eastAsia="Times New Roman" w:hAnsi="Arial" w:cs="Arial"/>
          <w:b/>
        </w:rPr>
        <w:br w:type="page"/>
      </w:r>
    </w:p>
    <w:p w14:paraId="16617834" w14:textId="77777777" w:rsidR="0071099D" w:rsidRDefault="0071099D" w:rsidP="0071099D">
      <w:pPr>
        <w:spacing w:line="240" w:lineRule="auto"/>
        <w:jc w:val="both"/>
        <w:rPr>
          <w:rFonts w:ascii="Arial" w:eastAsia="Times New Roman" w:hAnsi="Arial" w:cs="Arial"/>
          <w:b/>
        </w:rPr>
      </w:pPr>
      <w:r>
        <w:rPr>
          <w:rFonts w:ascii="Arial" w:eastAsia="Times New Roman" w:hAnsi="Arial" w:cs="Arial"/>
          <w:b/>
        </w:rPr>
        <w:lastRenderedPageBreak/>
        <w:t>Supplementary Figure 1</w:t>
      </w:r>
    </w:p>
    <w:p w14:paraId="344D27D3" w14:textId="77777777" w:rsidR="0071099D" w:rsidRDefault="0071099D" w:rsidP="0071099D">
      <w:pPr>
        <w:spacing w:line="240" w:lineRule="auto"/>
        <w:jc w:val="both"/>
        <w:rPr>
          <w:rFonts w:ascii="Times New Roman" w:eastAsia="Times New Roman" w:hAnsi="Times New Roman" w:cs="Times New Roman"/>
          <w:sz w:val="24"/>
          <w:szCs w:val="24"/>
        </w:rPr>
      </w:pPr>
      <w:r>
        <w:rPr>
          <w:rFonts w:ascii="Arial" w:eastAsia="Times New Roman" w:hAnsi="Arial" w:cs="Arial"/>
          <w:noProof/>
        </w:rPr>
        <w:drawing>
          <wp:inline distT="0" distB="0" distL="0" distR="0" wp14:anchorId="19CAC2A5" wp14:editId="1299E6AC">
            <wp:extent cx="5762625" cy="4919980"/>
            <wp:effectExtent l="0" t="0" r="9525" b="0"/>
            <wp:docPr id="22" name="Picture 22" descr="RNA_degredation_24.05.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NA_degredation_24.05.2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4919980"/>
                    </a:xfrm>
                    <a:prstGeom prst="rect">
                      <a:avLst/>
                    </a:prstGeom>
                    <a:noFill/>
                    <a:ln>
                      <a:noFill/>
                    </a:ln>
                  </pic:spPr>
                </pic:pic>
              </a:graphicData>
            </a:graphic>
          </wp:inline>
        </w:drawing>
      </w:r>
    </w:p>
    <w:p w14:paraId="0EFDA7B1" w14:textId="77777777" w:rsidR="0071099D" w:rsidRDefault="0071099D" w:rsidP="0071099D">
      <w:pPr>
        <w:rPr>
          <w:color w:val="000000"/>
        </w:rPr>
      </w:pPr>
      <w:r>
        <w:rPr>
          <w:rFonts w:ascii="Arial" w:eastAsia="Times New Roman" w:hAnsi="Arial" w:cs="Arial"/>
        </w:rPr>
        <w:t xml:space="preserve">Supplementary Figure 1: High-quality RNA is required for amplification of </w:t>
      </w:r>
      <w:r>
        <w:rPr>
          <w:rFonts w:ascii="Arial" w:eastAsia="Times New Roman" w:hAnsi="Arial" w:cs="Arial"/>
          <w:i/>
          <w:iCs/>
        </w:rPr>
        <w:t>CACNA1C</w:t>
      </w:r>
      <w:r>
        <w:rPr>
          <w:rFonts w:ascii="Arial" w:eastAsia="Times New Roman" w:hAnsi="Arial" w:cs="Arial"/>
        </w:rPr>
        <w:t xml:space="preserve"> CDS.  </w:t>
      </w:r>
      <w:r>
        <w:rPr>
          <w:rFonts w:ascii="Arial" w:hAnsi="Arial" w:cs="Arial"/>
        </w:rPr>
        <w:t xml:space="preserve">The quality of RNA from post-mortem or tissues samples can be highly variable with many samples having undergone significant degradation. Conversely, RT-PCR and sequencing of long and/or full-length cDNAs requires the sample RNA to be of sufficient integrity to contain undegraded transcripts. To investigate how RNA quality impacts the feasibility of amplifying and sequencing full-length genes, and to establish a minimum recommended quality value, we artificially degraded brain RNA to create a series of </w:t>
      </w:r>
      <w:proofErr w:type="spellStart"/>
      <w:r>
        <w:rPr>
          <w:rFonts w:ascii="Arial" w:hAnsi="Arial" w:cs="Arial"/>
        </w:rPr>
        <w:t>RINe</w:t>
      </w:r>
      <w:proofErr w:type="spellEnd"/>
      <w:r>
        <w:rPr>
          <w:rFonts w:ascii="Arial" w:hAnsi="Arial" w:cs="Arial"/>
        </w:rPr>
        <w:t xml:space="preserve"> values and investigated the effect of RNA quality on full-length CACNA1C CDS amplification. RNA quality varied from </w:t>
      </w:r>
      <w:proofErr w:type="spellStart"/>
      <w:r>
        <w:rPr>
          <w:rFonts w:ascii="Arial" w:hAnsi="Arial" w:cs="Arial"/>
        </w:rPr>
        <w:t>RINe</w:t>
      </w:r>
      <w:proofErr w:type="spellEnd"/>
      <w:r>
        <w:rPr>
          <w:rFonts w:ascii="Arial" w:hAnsi="Arial" w:cs="Arial"/>
        </w:rPr>
        <w:t xml:space="preserve"> 8.2 (undegraded RNA) to 2.8 (90 min at 72ºC) (Figure S1A. </w:t>
      </w:r>
      <w:r>
        <w:rPr>
          <w:rFonts w:ascii="Arial" w:hAnsi="Arial" w:cs="Arial"/>
          <w:i/>
          <w:iCs/>
        </w:rPr>
        <w:t>CACNA1C</w:t>
      </w:r>
      <w:r>
        <w:rPr>
          <w:rFonts w:ascii="Arial" w:hAnsi="Arial" w:cs="Arial"/>
        </w:rPr>
        <w:t xml:space="preserve"> amplified strongly in samples with a </w:t>
      </w:r>
      <w:proofErr w:type="spellStart"/>
      <w:r>
        <w:rPr>
          <w:rFonts w:ascii="Arial" w:hAnsi="Arial" w:cs="Arial"/>
        </w:rPr>
        <w:t>RINe</w:t>
      </w:r>
      <w:proofErr w:type="spellEnd"/>
      <w:r>
        <w:rPr>
          <w:rFonts w:ascii="Arial" w:hAnsi="Arial" w:cs="Arial"/>
        </w:rPr>
        <w:t xml:space="preserve"> of ~8, with lower quality samples showing decreasing amounts of </w:t>
      </w:r>
      <w:r>
        <w:rPr>
          <w:rFonts w:ascii="Arial" w:hAnsi="Arial" w:cs="Arial"/>
          <w:i/>
          <w:iCs/>
        </w:rPr>
        <w:t>CACNA1C</w:t>
      </w:r>
      <w:r>
        <w:rPr>
          <w:rFonts w:ascii="Arial" w:hAnsi="Arial" w:cs="Arial"/>
        </w:rPr>
        <w:t xml:space="preserve"> and no product from samples with a </w:t>
      </w:r>
      <w:proofErr w:type="spellStart"/>
      <w:r>
        <w:rPr>
          <w:rFonts w:ascii="Arial" w:hAnsi="Arial" w:cs="Arial"/>
        </w:rPr>
        <w:t>RINe</w:t>
      </w:r>
      <w:proofErr w:type="spellEnd"/>
      <w:r>
        <w:rPr>
          <w:rFonts w:ascii="Arial" w:hAnsi="Arial" w:cs="Arial"/>
        </w:rPr>
        <w:t xml:space="preserve"> of ~&lt;5 (Figure S1C). As RNA degradation from heat treatment may not accurately reflect standard sample degradation, we attempted </w:t>
      </w:r>
      <w:r>
        <w:rPr>
          <w:rFonts w:ascii="Arial" w:hAnsi="Arial" w:cs="Arial"/>
          <w:i/>
          <w:iCs/>
        </w:rPr>
        <w:t>CACNA1C</w:t>
      </w:r>
      <w:r>
        <w:rPr>
          <w:rFonts w:ascii="Arial" w:hAnsi="Arial" w:cs="Arial"/>
        </w:rPr>
        <w:t xml:space="preserve"> amplification in three untreated striatal samples with </w:t>
      </w:r>
      <w:proofErr w:type="spellStart"/>
      <w:r>
        <w:rPr>
          <w:rFonts w:ascii="Arial" w:hAnsi="Arial" w:cs="Arial"/>
        </w:rPr>
        <w:t>RINe</w:t>
      </w:r>
      <w:proofErr w:type="spellEnd"/>
      <w:r>
        <w:rPr>
          <w:rFonts w:ascii="Arial" w:hAnsi="Arial" w:cs="Arial"/>
        </w:rPr>
        <w:t xml:space="preserve"> of 7.3, 6.5 and 5.8 with similar results (Figure S1B,C). These results suggest a minimum </w:t>
      </w:r>
      <w:proofErr w:type="spellStart"/>
      <w:r>
        <w:rPr>
          <w:rFonts w:ascii="Arial" w:hAnsi="Arial" w:cs="Arial"/>
        </w:rPr>
        <w:t>RINe</w:t>
      </w:r>
      <w:proofErr w:type="spellEnd"/>
      <w:r>
        <w:rPr>
          <w:rFonts w:ascii="Arial" w:hAnsi="Arial" w:cs="Arial"/>
        </w:rPr>
        <w:t xml:space="preserve"> value of 6 for generating long amplicons from post-mortem brain samples and a recommended </w:t>
      </w:r>
      <w:proofErr w:type="spellStart"/>
      <w:r>
        <w:rPr>
          <w:rFonts w:ascii="Arial" w:hAnsi="Arial" w:cs="Arial"/>
        </w:rPr>
        <w:t>RINe</w:t>
      </w:r>
      <w:proofErr w:type="spellEnd"/>
      <w:r>
        <w:rPr>
          <w:rFonts w:ascii="Arial" w:hAnsi="Arial" w:cs="Arial"/>
        </w:rPr>
        <w:t xml:space="preserve"> of &gt;7 for robust amplification. </w:t>
      </w:r>
      <w:r>
        <w:rPr>
          <w:rFonts w:ascii="Arial" w:eastAsia="Times New Roman" w:hAnsi="Arial" w:cs="Arial"/>
        </w:rPr>
        <w:t xml:space="preserve"> (</w:t>
      </w:r>
      <w:r>
        <w:rPr>
          <w:rFonts w:ascii="Arial" w:eastAsia="Times New Roman" w:hAnsi="Arial" w:cs="Arial"/>
          <w:b/>
          <w:bCs/>
        </w:rPr>
        <w:t>A</w:t>
      </w:r>
      <w:r>
        <w:rPr>
          <w:rFonts w:ascii="Arial" w:eastAsia="Times New Roman" w:hAnsi="Arial" w:cs="Arial"/>
        </w:rPr>
        <w:t xml:space="preserve">) </w:t>
      </w:r>
      <w:proofErr w:type="spellStart"/>
      <w:r>
        <w:rPr>
          <w:rFonts w:ascii="Arial" w:eastAsia="Times New Roman" w:hAnsi="Arial" w:cs="Arial"/>
        </w:rPr>
        <w:t>Tapestation</w:t>
      </w:r>
      <w:proofErr w:type="spellEnd"/>
      <w:r>
        <w:rPr>
          <w:rFonts w:ascii="Arial" w:eastAsia="Times New Roman" w:hAnsi="Arial" w:cs="Arial"/>
        </w:rPr>
        <w:t xml:space="preserve"> profile and </w:t>
      </w:r>
      <w:proofErr w:type="spellStart"/>
      <w:r>
        <w:rPr>
          <w:rFonts w:ascii="Arial" w:eastAsia="Times New Roman" w:hAnsi="Arial" w:cs="Arial"/>
        </w:rPr>
        <w:t>RINe</w:t>
      </w:r>
      <w:proofErr w:type="spellEnd"/>
      <w:r>
        <w:rPr>
          <w:rFonts w:ascii="Arial" w:eastAsia="Times New Roman" w:hAnsi="Arial" w:cs="Arial"/>
        </w:rPr>
        <w:t xml:space="preserve"> quality values of brain RNA after heat treatment at 72ºC. Untreated RNA had a </w:t>
      </w:r>
      <w:proofErr w:type="spellStart"/>
      <w:r>
        <w:rPr>
          <w:rFonts w:ascii="Arial" w:eastAsia="Times New Roman" w:hAnsi="Arial" w:cs="Arial"/>
        </w:rPr>
        <w:t>RINe</w:t>
      </w:r>
      <w:proofErr w:type="spellEnd"/>
      <w:r>
        <w:rPr>
          <w:rFonts w:ascii="Arial" w:eastAsia="Times New Roman" w:hAnsi="Arial" w:cs="Arial"/>
        </w:rPr>
        <w:t xml:space="preserve"> of 8.2. (</w:t>
      </w:r>
      <w:r>
        <w:rPr>
          <w:rFonts w:ascii="Arial" w:eastAsia="Times New Roman" w:hAnsi="Arial" w:cs="Arial"/>
          <w:b/>
          <w:bCs/>
        </w:rPr>
        <w:t>B</w:t>
      </w:r>
      <w:r>
        <w:rPr>
          <w:rFonts w:ascii="Arial" w:eastAsia="Times New Roman" w:hAnsi="Arial" w:cs="Arial"/>
        </w:rPr>
        <w:t xml:space="preserve">) </w:t>
      </w:r>
      <w:proofErr w:type="spellStart"/>
      <w:r>
        <w:rPr>
          <w:rFonts w:ascii="Arial" w:eastAsia="Times New Roman" w:hAnsi="Arial" w:cs="Arial"/>
        </w:rPr>
        <w:t>Tapestation</w:t>
      </w:r>
      <w:proofErr w:type="spellEnd"/>
      <w:r>
        <w:rPr>
          <w:rFonts w:ascii="Arial" w:eastAsia="Times New Roman" w:hAnsi="Arial" w:cs="Arial"/>
        </w:rPr>
        <w:t xml:space="preserve"> profiles and </w:t>
      </w:r>
      <w:proofErr w:type="spellStart"/>
      <w:r>
        <w:rPr>
          <w:rFonts w:ascii="Arial" w:eastAsia="Times New Roman" w:hAnsi="Arial" w:cs="Arial"/>
        </w:rPr>
        <w:t>RINe</w:t>
      </w:r>
      <w:proofErr w:type="spellEnd"/>
      <w:r>
        <w:rPr>
          <w:rFonts w:ascii="Arial" w:eastAsia="Times New Roman" w:hAnsi="Arial" w:cs="Arial"/>
        </w:rPr>
        <w:t xml:space="preserve"> quality values of untreated striatal brain RNA samples. Only </w:t>
      </w:r>
      <w:r>
        <w:rPr>
          <w:rFonts w:ascii="Arial" w:eastAsia="Times New Roman" w:hAnsi="Arial" w:cs="Arial"/>
        </w:rPr>
        <w:lastRenderedPageBreak/>
        <w:t xml:space="preserve">lanes of interest from </w:t>
      </w:r>
      <w:proofErr w:type="spellStart"/>
      <w:r>
        <w:rPr>
          <w:rFonts w:ascii="Arial" w:eastAsia="Times New Roman" w:hAnsi="Arial" w:cs="Arial"/>
        </w:rPr>
        <w:t>Tapestation</w:t>
      </w:r>
      <w:proofErr w:type="spellEnd"/>
      <w:r>
        <w:rPr>
          <w:rFonts w:ascii="Arial" w:eastAsia="Times New Roman" w:hAnsi="Arial" w:cs="Arial"/>
        </w:rPr>
        <w:t xml:space="preserve"> profiles are shown. (</w:t>
      </w:r>
      <w:r>
        <w:rPr>
          <w:rFonts w:ascii="Arial" w:eastAsia="Times New Roman" w:hAnsi="Arial" w:cs="Arial"/>
          <w:b/>
          <w:bCs/>
        </w:rPr>
        <w:t>C</w:t>
      </w:r>
      <w:r>
        <w:rPr>
          <w:rFonts w:ascii="Arial" w:eastAsia="Times New Roman" w:hAnsi="Arial" w:cs="Arial"/>
        </w:rPr>
        <w:t xml:space="preserve">) Agarose gel showing amplification of the ~6.5kb </w:t>
      </w:r>
      <w:r>
        <w:rPr>
          <w:rFonts w:ascii="Arial" w:eastAsia="Times New Roman" w:hAnsi="Arial" w:cs="Arial"/>
          <w:i/>
          <w:iCs/>
        </w:rPr>
        <w:t>CACNA1C</w:t>
      </w:r>
      <w:r>
        <w:rPr>
          <w:rFonts w:ascii="Arial" w:eastAsia="Times New Roman" w:hAnsi="Arial" w:cs="Arial"/>
        </w:rPr>
        <w:t xml:space="preserve"> CDS from RNA of varying quality.  </w:t>
      </w:r>
    </w:p>
    <w:p w14:paraId="3416E334" w14:textId="77777777" w:rsidR="0071099D" w:rsidRDefault="0071099D" w:rsidP="0071099D">
      <w:pPr>
        <w:jc w:val="both"/>
        <w:rPr>
          <w:rFonts w:ascii="Arial" w:eastAsia="Arial" w:hAnsi="Arial" w:cs="Arial"/>
          <w:b/>
        </w:rPr>
      </w:pPr>
    </w:p>
    <w:p w14:paraId="6D171AAE" w14:textId="77777777" w:rsidR="0071099D" w:rsidRDefault="0071099D" w:rsidP="0071099D">
      <w:pPr>
        <w:jc w:val="both"/>
        <w:rPr>
          <w:rFonts w:ascii="Arial" w:eastAsia="Arial" w:hAnsi="Arial" w:cs="Arial"/>
          <w:color w:val="000000"/>
        </w:rPr>
      </w:pPr>
    </w:p>
    <w:p w14:paraId="2A67686B" w14:textId="77777777" w:rsidR="0071099D" w:rsidRDefault="0071099D" w:rsidP="0071099D">
      <w:pPr>
        <w:spacing w:after="160" w:line="256" w:lineRule="auto"/>
      </w:pPr>
      <w:r>
        <w:br w:type="page"/>
      </w:r>
    </w:p>
    <w:p w14:paraId="5C1D973A" w14:textId="77777777" w:rsidR="0071099D" w:rsidRDefault="0071099D" w:rsidP="0071099D">
      <w:pPr>
        <w:spacing w:after="0"/>
        <w:jc w:val="both"/>
        <w:rPr>
          <w:rFonts w:ascii="Arial" w:eastAsia="Arial" w:hAnsi="Arial" w:cs="Arial"/>
          <w:b/>
        </w:rPr>
      </w:pPr>
      <w:r>
        <w:rPr>
          <w:rFonts w:ascii="Arial" w:eastAsia="Arial" w:hAnsi="Arial" w:cs="Arial"/>
          <w:b/>
        </w:rPr>
        <w:lastRenderedPageBreak/>
        <w:t>Supplementary Figure 2: Mapping pipeline for the annotation of novel exons and novel transcripts</w:t>
      </w:r>
    </w:p>
    <w:p w14:paraId="763F7B69" w14:textId="77777777" w:rsidR="0071099D" w:rsidRDefault="0071099D" w:rsidP="0071099D">
      <w:r>
        <w:rPr>
          <w:noProof/>
        </w:rPr>
        <w:drawing>
          <wp:inline distT="0" distB="0" distL="0" distR="0" wp14:anchorId="353306D6" wp14:editId="019A1BFC">
            <wp:extent cx="5181600" cy="5029200"/>
            <wp:effectExtent l="0" t="0" r="0" b="0"/>
            <wp:docPr id="21" name="Picture 21" descr="Macintosh HD:Users:michael:Documents:CACNA1C_amplicon_seq:Paper_Figures:Sup_fig_2_pipeline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ichael:Documents:CACNA1C_amplicon_seq:Paper_Figures:Sup_fig_2_pipeline_mo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1600" cy="5029200"/>
                    </a:xfrm>
                    <a:prstGeom prst="rect">
                      <a:avLst/>
                    </a:prstGeom>
                    <a:noFill/>
                    <a:ln>
                      <a:noFill/>
                    </a:ln>
                  </pic:spPr>
                </pic:pic>
              </a:graphicData>
            </a:graphic>
          </wp:inline>
        </w:drawing>
      </w:r>
    </w:p>
    <w:p w14:paraId="7C6E6832" w14:textId="77777777" w:rsidR="0071099D" w:rsidRDefault="0071099D" w:rsidP="0071099D">
      <w:pPr>
        <w:spacing w:after="160" w:line="256" w:lineRule="auto"/>
      </w:pPr>
      <w:r>
        <w:br w:type="page"/>
      </w:r>
    </w:p>
    <w:p w14:paraId="32A04C83" w14:textId="77777777" w:rsidR="0071099D" w:rsidRDefault="0071099D" w:rsidP="0071099D">
      <w:r>
        <w:rPr>
          <w:rFonts w:ascii="Arial" w:eastAsia="Arial" w:hAnsi="Arial" w:cs="Arial"/>
          <w:b/>
        </w:rPr>
        <w:lastRenderedPageBreak/>
        <w:t xml:space="preserve">Supplementary Figure 3: High confidence </w:t>
      </w:r>
      <w:r>
        <w:rPr>
          <w:rFonts w:ascii="Arial" w:eastAsia="Arial" w:hAnsi="Arial" w:cs="Arial"/>
          <w:b/>
          <w:i/>
        </w:rPr>
        <w:t>CACNA1C</w:t>
      </w:r>
      <w:r>
        <w:rPr>
          <w:rFonts w:ascii="Arial" w:eastAsia="Arial" w:hAnsi="Arial" w:cs="Arial"/>
          <w:b/>
        </w:rPr>
        <w:t xml:space="preserve"> isoforms identified by Nanopore sequencing</w:t>
      </w:r>
    </w:p>
    <w:p w14:paraId="4AA40B4A" w14:textId="77777777" w:rsidR="0071099D" w:rsidRDefault="0071099D" w:rsidP="0071099D">
      <w:pPr>
        <w:spacing w:after="0"/>
        <w:jc w:val="both"/>
        <w:rPr>
          <w:rFonts w:ascii="Arial" w:eastAsia="Arial" w:hAnsi="Arial" w:cs="Arial"/>
          <w:b/>
        </w:rPr>
      </w:pPr>
      <w:r>
        <w:rPr>
          <w:rFonts w:ascii="Arial" w:eastAsia="Arial" w:hAnsi="Arial" w:cs="Arial"/>
          <w:b/>
          <w:noProof/>
        </w:rPr>
        <w:drawing>
          <wp:inline distT="0" distB="0" distL="0" distR="0" wp14:anchorId="103036AA" wp14:editId="24ADE05E">
            <wp:extent cx="5729605" cy="5991225"/>
            <wp:effectExtent l="0" t="0" r="4445" b="9525"/>
            <wp:docPr id="20" name="Picture 20" descr="Macintosh HD:Users:michael:Documents:CACNA1C_amplicon_seq:Analysis:All_isoforms_bed_files_n_figures_24.11.17:SupFig3_CACNA1C_readcount100_isoforms3_matchLiz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chael:Documents:CACNA1C_amplicon_seq:Analysis:All_isoforms_bed_files_n_figures_24.11.17:SupFig3_CACNA1C_readcount100_isoforms3_matchLiztab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605" cy="5991225"/>
                    </a:xfrm>
                    <a:prstGeom prst="rect">
                      <a:avLst/>
                    </a:prstGeom>
                    <a:noFill/>
                    <a:ln>
                      <a:noFill/>
                    </a:ln>
                  </pic:spPr>
                </pic:pic>
              </a:graphicData>
            </a:graphic>
          </wp:inline>
        </w:drawing>
      </w:r>
    </w:p>
    <w:p w14:paraId="1251FD96" w14:textId="77777777" w:rsidR="0071099D" w:rsidRDefault="0071099D" w:rsidP="0071099D">
      <w:pPr>
        <w:spacing w:after="0"/>
        <w:jc w:val="both"/>
        <w:rPr>
          <w:rFonts w:ascii="Arial" w:eastAsia="Arial" w:hAnsi="Arial" w:cs="Arial"/>
          <w:b/>
        </w:rPr>
      </w:pPr>
    </w:p>
    <w:p w14:paraId="6E7A25F3" w14:textId="77777777" w:rsidR="0071099D" w:rsidRDefault="0071099D" w:rsidP="0071099D">
      <w:pPr>
        <w:spacing w:after="0"/>
        <w:jc w:val="both"/>
        <w:rPr>
          <w:rFonts w:ascii="Arial" w:eastAsia="Arial" w:hAnsi="Arial" w:cs="Arial"/>
        </w:rPr>
      </w:pPr>
      <w:r>
        <w:rPr>
          <w:rFonts w:ascii="Arial" w:eastAsia="Arial" w:hAnsi="Arial" w:cs="Arial"/>
        </w:rPr>
        <w:t>USCS genome browser image of all high confidence CDS transcripts from the exon-level analysis. Representative annotated transcripts from GENCODE v27 shown. Colours of nanopore identified transcripts represent different transcript classes</w:t>
      </w:r>
      <w:r w:rsidRPr="00143F65">
        <w:rPr>
          <w:rFonts w:ascii="Arial" w:eastAsia="Arial" w:hAnsi="Arial" w:cs="Arial"/>
        </w:rPr>
        <w:t xml:space="preserve"> </w:t>
      </w:r>
      <w:r>
        <w:rPr>
          <w:rFonts w:ascii="Arial" w:eastAsia="Arial" w:hAnsi="Arial" w:cs="Arial"/>
        </w:rPr>
        <w:t>based on their coding potential. Two novel exon transcripts (red) are further annotated as noncoding, the remainder as coding.</w:t>
      </w:r>
    </w:p>
    <w:p w14:paraId="5F0EDFE6" w14:textId="77777777" w:rsidR="0071099D" w:rsidRDefault="0071099D" w:rsidP="0071099D"/>
    <w:p w14:paraId="58B067E0" w14:textId="77777777" w:rsidR="0071099D" w:rsidRDefault="0071099D" w:rsidP="0071099D">
      <w:pPr>
        <w:spacing w:after="160" w:line="256" w:lineRule="auto"/>
      </w:pPr>
    </w:p>
    <w:p w14:paraId="028DD6BE" w14:textId="77777777" w:rsidR="0071099D" w:rsidRDefault="0071099D" w:rsidP="0071099D">
      <w:pPr>
        <w:spacing w:after="160" w:line="256" w:lineRule="auto"/>
      </w:pPr>
    </w:p>
    <w:p w14:paraId="1673ECC0" w14:textId="77777777" w:rsidR="0071099D" w:rsidRDefault="0071099D" w:rsidP="0071099D">
      <w:pPr>
        <w:spacing w:after="160" w:line="256" w:lineRule="auto"/>
        <w:rPr>
          <w:rFonts w:ascii="Arial" w:hAnsi="Arial" w:cs="Arial"/>
          <w:b/>
        </w:rPr>
      </w:pPr>
    </w:p>
    <w:p w14:paraId="784E3E4B" w14:textId="77777777" w:rsidR="0071099D" w:rsidRDefault="0071099D" w:rsidP="0071099D">
      <w:pPr>
        <w:rPr>
          <w:rFonts w:ascii="Arial" w:hAnsi="Arial" w:cs="Arial"/>
          <w:b/>
        </w:rPr>
      </w:pPr>
      <w:r>
        <w:rPr>
          <w:rFonts w:ascii="Arial" w:hAnsi="Arial" w:cs="Arial"/>
          <w:b/>
        </w:rPr>
        <w:lastRenderedPageBreak/>
        <w:t>Supplementary Figure 4</w:t>
      </w:r>
    </w:p>
    <w:p w14:paraId="6CB8AB18" w14:textId="77777777" w:rsidR="0071099D" w:rsidRDefault="0071099D" w:rsidP="0071099D">
      <w:pPr>
        <w:rPr>
          <w:rFonts w:ascii="Arial" w:hAnsi="Arial" w:cs="Arial"/>
        </w:rPr>
      </w:pPr>
      <w:r>
        <w:rPr>
          <w:rFonts w:ascii="Arial" w:hAnsi="Arial" w:cs="Arial"/>
          <w:noProof/>
        </w:rPr>
        <w:drawing>
          <wp:inline distT="0" distB="0" distL="0" distR="0" wp14:anchorId="3D853580" wp14:editId="3A624C4D">
            <wp:extent cx="5729605" cy="5514975"/>
            <wp:effectExtent l="0" t="0" r="4445" b="9525"/>
            <wp:docPr id="19" name="Picture 19" descr="https://lh5.googleusercontent.com/ni3xmJUP8Yb2aOxIwSlP-xd6CSnasMuJ1l9IeQFdIReCzxGS8fabVopjKc319_GXvvL9-8lYm4_VreeSAFks2wUk7KC4PD-xZgQxE3OO1dyj3Hg9_v25K8JCvUmcuH8z_pVzRz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ni3xmJUP8Yb2aOxIwSlP-xd6CSnasMuJ1l9IeQFdIReCzxGS8fabVopjKc319_GXvvL9-8lYm4_VreeSAFks2wUk7KC4PD-xZgQxE3OO1dyj3Hg9_v25K8JCvUmcuH8z_pVzRzF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9605" cy="5514975"/>
                    </a:xfrm>
                    <a:prstGeom prst="rect">
                      <a:avLst/>
                    </a:prstGeom>
                    <a:noFill/>
                    <a:ln>
                      <a:noFill/>
                    </a:ln>
                  </pic:spPr>
                </pic:pic>
              </a:graphicData>
            </a:graphic>
          </wp:inline>
        </w:drawing>
      </w:r>
    </w:p>
    <w:p w14:paraId="0388AEA2" w14:textId="77777777" w:rsidR="0071099D" w:rsidRDefault="0071099D" w:rsidP="0071099D">
      <w:pPr>
        <w:rPr>
          <w:rFonts w:ascii="Arial" w:hAnsi="Arial" w:cs="Arial"/>
        </w:rPr>
      </w:pPr>
      <w:r>
        <w:rPr>
          <w:rFonts w:ascii="Arial" w:hAnsi="Arial" w:cs="Arial"/>
        </w:rPr>
        <w:t xml:space="preserve">(A) Comparison of annotated and novel splice sites read coverage. (B) Identification of highly supported novel splice sites. (C) Principal Component Analysis based on normalised transcript expression after integration of updated splice site annotation. (D) Isoform switching of </w:t>
      </w:r>
      <w:r>
        <w:rPr>
          <w:rFonts w:ascii="Arial" w:hAnsi="Arial" w:cs="Arial"/>
          <w:i/>
          <w:iCs/>
        </w:rPr>
        <w:t>ENST00000399641</w:t>
      </w:r>
      <w:r>
        <w:rPr>
          <w:rFonts w:ascii="Arial" w:hAnsi="Arial" w:cs="Arial"/>
        </w:rPr>
        <w:t xml:space="preserve"> and </w:t>
      </w:r>
      <w:r>
        <w:rPr>
          <w:rFonts w:ascii="Arial" w:hAnsi="Arial" w:cs="Arial"/>
          <w:i/>
          <w:iCs/>
        </w:rPr>
        <w:t>CACNA1C n2883</w:t>
      </w:r>
      <w:r>
        <w:rPr>
          <w:rFonts w:ascii="Arial" w:hAnsi="Arial" w:cs="Arial"/>
        </w:rPr>
        <w:t xml:space="preserve"> (known as n2199 in the exon-level analysis) in cerebellum.</w:t>
      </w:r>
    </w:p>
    <w:p w14:paraId="2DA03A85" w14:textId="77777777" w:rsidR="0071099D" w:rsidRPr="006D4B9A" w:rsidRDefault="0071099D" w:rsidP="0071099D">
      <w:pPr>
        <w:spacing w:after="160" w:line="256" w:lineRule="auto"/>
        <w:rPr>
          <w:rFonts w:ascii="Arial" w:eastAsia="Arial" w:hAnsi="Arial" w:cs="Arial"/>
          <w:b/>
        </w:rPr>
      </w:pPr>
      <w:r>
        <w:br w:type="page"/>
      </w:r>
    </w:p>
    <w:p w14:paraId="76F1C699" w14:textId="77777777" w:rsidR="0071099D" w:rsidRPr="006D4B9A" w:rsidRDefault="0071099D" w:rsidP="0071099D">
      <w:pPr>
        <w:rPr>
          <w:rFonts w:ascii="Arial" w:eastAsia="Arial" w:hAnsi="Arial" w:cs="Arial"/>
          <w:b/>
        </w:rPr>
      </w:pPr>
      <w:r>
        <w:rPr>
          <w:rFonts w:ascii="Arial" w:eastAsia="Arial" w:hAnsi="Arial" w:cs="Arial"/>
          <w:b/>
        </w:rPr>
        <w:lastRenderedPageBreak/>
        <w:t xml:space="preserve">Supplementary Figure 5: Clustering of </w:t>
      </w:r>
      <w:r>
        <w:rPr>
          <w:rFonts w:ascii="Arial" w:eastAsia="Arial" w:hAnsi="Arial" w:cs="Arial"/>
          <w:b/>
          <w:i/>
        </w:rPr>
        <w:t>CACNA1C</w:t>
      </w:r>
      <w:r>
        <w:rPr>
          <w:rFonts w:ascii="Arial" w:eastAsia="Arial" w:hAnsi="Arial" w:cs="Arial"/>
          <w:b/>
        </w:rPr>
        <w:t xml:space="preserve"> isoform expression between individuals and tissues with the permissive set of filtered transcripts</w:t>
      </w:r>
      <w:r>
        <w:rPr>
          <w:noProof/>
        </w:rPr>
        <w:drawing>
          <wp:inline distT="0" distB="0" distL="0" distR="0" wp14:anchorId="6815EB34" wp14:editId="2BED23CD">
            <wp:extent cx="5729605" cy="5586730"/>
            <wp:effectExtent l="0" t="0" r="4445" b="0"/>
            <wp:docPr id="17" name="Picture 17" descr="Macintosh HD:Users:michael:Documents:CACNA1C_amplicon_seq:Paper_Figures:Sup_fig_4_downsampled_heatmap.dendro.sum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ichael:Documents:CACNA1C_amplicon_seq:Paper_Figures:Sup_fig_4_downsampled_heatmap.dendro.sum_2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9605" cy="5586730"/>
                    </a:xfrm>
                    <a:prstGeom prst="rect">
                      <a:avLst/>
                    </a:prstGeom>
                    <a:noFill/>
                    <a:ln>
                      <a:noFill/>
                    </a:ln>
                  </pic:spPr>
                </pic:pic>
              </a:graphicData>
            </a:graphic>
          </wp:inline>
        </w:drawing>
      </w:r>
    </w:p>
    <w:p w14:paraId="345CC3F5" w14:textId="77777777" w:rsidR="0071099D" w:rsidRDefault="0071099D" w:rsidP="0071099D"/>
    <w:p w14:paraId="65D668E4" w14:textId="77777777" w:rsidR="0071099D" w:rsidRDefault="0071099D" w:rsidP="0071099D">
      <w:pPr>
        <w:rPr>
          <w:rFonts w:ascii="Arial" w:hAnsi="Arial" w:cs="Arial"/>
        </w:rPr>
      </w:pPr>
      <w:r>
        <w:rPr>
          <w:rFonts w:ascii="Arial" w:hAnsi="Arial" w:cs="Arial"/>
        </w:rPr>
        <w:t xml:space="preserve">Transcript expression levels across tissues and individuals. “One” and “Two” denote sequencing runs. Due to the large difference in sequencing depth between samples, all libraries were </w:t>
      </w:r>
      <w:proofErr w:type="spellStart"/>
      <w:r>
        <w:rPr>
          <w:rFonts w:ascii="Arial" w:hAnsi="Arial" w:cs="Arial"/>
        </w:rPr>
        <w:t>downsampled</w:t>
      </w:r>
      <w:proofErr w:type="spellEnd"/>
      <w:r>
        <w:rPr>
          <w:rFonts w:ascii="Arial" w:hAnsi="Arial" w:cs="Arial"/>
        </w:rPr>
        <w:t xml:space="preserve"> to the smallest sequencing depth. Inclusion in “permissive” transcript set required </w:t>
      </w:r>
      <w:r>
        <w:rPr>
          <w:rFonts w:ascii="Arial" w:eastAsia="Arial" w:hAnsi="Arial" w:cs="Arial"/>
        </w:rPr>
        <w:t>isoform identification in at least 2 libraries with a minimum of 24 reads in total. Permissive set of isoforms demonstrates improved separation between brain regions.</w:t>
      </w:r>
    </w:p>
    <w:p w14:paraId="6D82D954" w14:textId="77777777" w:rsidR="0071099D" w:rsidRDefault="0071099D" w:rsidP="0071099D"/>
    <w:p w14:paraId="4FD857F0" w14:textId="77777777" w:rsidR="0071099D" w:rsidRDefault="0071099D" w:rsidP="0071099D">
      <w:pPr>
        <w:spacing w:after="160" w:line="256" w:lineRule="auto"/>
      </w:pPr>
      <w:r>
        <w:br w:type="page"/>
      </w:r>
    </w:p>
    <w:p w14:paraId="39B265BC" w14:textId="77777777" w:rsidR="0071099D" w:rsidRDefault="0071099D" w:rsidP="0071099D">
      <w:pPr>
        <w:rPr>
          <w:rFonts w:ascii="Arial" w:eastAsia="Arial" w:hAnsi="Arial" w:cs="Arial"/>
          <w:b/>
        </w:rPr>
      </w:pPr>
      <w:r>
        <w:rPr>
          <w:rFonts w:ascii="Arial" w:eastAsia="Arial" w:hAnsi="Arial" w:cs="Arial"/>
          <w:b/>
        </w:rPr>
        <w:lastRenderedPageBreak/>
        <w:t xml:space="preserve">Supplementary Figure 6: Principal Component Analysis of </w:t>
      </w:r>
      <w:r>
        <w:rPr>
          <w:rFonts w:ascii="Arial" w:eastAsia="Arial" w:hAnsi="Arial" w:cs="Arial"/>
          <w:b/>
          <w:i/>
        </w:rPr>
        <w:t>CACNA1C</w:t>
      </w:r>
      <w:r>
        <w:rPr>
          <w:rFonts w:ascii="Arial" w:eastAsia="Arial" w:hAnsi="Arial" w:cs="Arial"/>
          <w:b/>
        </w:rPr>
        <w:t xml:space="preserve"> isoform expression between individuals and tissues with the permissive set of filtered transcripts</w:t>
      </w:r>
    </w:p>
    <w:p w14:paraId="0BF5A515" w14:textId="77777777" w:rsidR="0071099D" w:rsidRDefault="0071099D" w:rsidP="0071099D">
      <w:pPr>
        <w:ind w:left="720"/>
      </w:pPr>
      <w:r>
        <w:rPr>
          <w:noProof/>
        </w:rPr>
        <w:drawing>
          <wp:inline distT="0" distB="0" distL="0" distR="0" wp14:anchorId="43833741" wp14:editId="1BEB92E8">
            <wp:extent cx="4424680" cy="6653530"/>
            <wp:effectExtent l="0" t="0" r="0" b="0"/>
            <wp:docPr id="16" name="Picture 16" descr="Macintosh HD:Users:michael:Documents:CACNA1C_amplicon_seq:Paper_Figures:Sup_fig_5_downsampled_PCAs_sum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chael:Documents:CACNA1C_amplicon_seq:Paper_Figures:Sup_fig_5_downsampled_PCAs_sum_2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4680" cy="6653530"/>
                    </a:xfrm>
                    <a:prstGeom prst="rect">
                      <a:avLst/>
                    </a:prstGeom>
                    <a:noFill/>
                    <a:ln>
                      <a:noFill/>
                    </a:ln>
                  </pic:spPr>
                </pic:pic>
              </a:graphicData>
            </a:graphic>
          </wp:inline>
        </w:drawing>
      </w:r>
    </w:p>
    <w:p w14:paraId="69CACA8D" w14:textId="77777777" w:rsidR="0071099D" w:rsidRDefault="0071099D" w:rsidP="0071099D"/>
    <w:p w14:paraId="23C97EB5" w14:textId="77777777" w:rsidR="0071099D" w:rsidRDefault="0071099D" w:rsidP="0071099D">
      <w:pPr>
        <w:rPr>
          <w:rFonts w:ascii="Arial" w:eastAsia="Arial" w:hAnsi="Arial" w:cs="Arial"/>
        </w:rPr>
      </w:pPr>
      <w:r>
        <w:rPr>
          <w:rFonts w:ascii="Arial" w:eastAsia="Arial" w:hAnsi="Arial" w:cs="Arial"/>
        </w:rPr>
        <w:t>Principal Component Analysis based on normalised transcript expression.</w:t>
      </w:r>
      <w:r>
        <w:rPr>
          <w:rFonts w:ascii="Arial" w:hAnsi="Arial" w:cs="Arial"/>
        </w:rPr>
        <w:t xml:space="preserve"> Due to the large difference in sequencing depth between samples, all libraries were </w:t>
      </w:r>
      <w:proofErr w:type="spellStart"/>
      <w:r>
        <w:rPr>
          <w:rFonts w:ascii="Arial" w:hAnsi="Arial" w:cs="Arial"/>
        </w:rPr>
        <w:t>downsampled</w:t>
      </w:r>
      <w:proofErr w:type="spellEnd"/>
      <w:r>
        <w:rPr>
          <w:rFonts w:ascii="Arial" w:hAnsi="Arial" w:cs="Arial"/>
        </w:rPr>
        <w:t xml:space="preserve"> to the smallest sequencing depth. Inclusion in “permissive” isoform set required </w:t>
      </w:r>
      <w:r>
        <w:rPr>
          <w:rFonts w:ascii="Arial" w:eastAsia="Arial" w:hAnsi="Arial" w:cs="Arial"/>
        </w:rPr>
        <w:t>transcript identification in at least 2 libraries with a minimum of 24 reads in total. Permissive set of transcripts demonstrates improved separation between brain regions.</w:t>
      </w:r>
    </w:p>
    <w:p w14:paraId="040EA66C" w14:textId="77777777" w:rsidR="0071099D" w:rsidRDefault="0071099D" w:rsidP="0071099D">
      <w:pPr>
        <w:spacing w:after="160" w:line="256" w:lineRule="auto"/>
      </w:pPr>
    </w:p>
    <w:p w14:paraId="41132758" w14:textId="77777777" w:rsidR="0071099D" w:rsidRPr="00895DF4" w:rsidRDefault="0071099D" w:rsidP="0071099D">
      <w:pPr>
        <w:spacing w:after="160" w:line="256" w:lineRule="auto"/>
        <w:rPr>
          <w:rFonts w:ascii="Arial" w:hAnsi="Arial" w:cs="Arial"/>
          <w:b/>
        </w:rPr>
      </w:pPr>
      <w:r>
        <w:rPr>
          <w:rFonts w:ascii="Arial" w:hAnsi="Arial" w:cs="Arial"/>
          <w:b/>
        </w:rPr>
        <w:t>Supplementary Figure 7</w:t>
      </w:r>
    </w:p>
    <w:p w14:paraId="16D937F5" w14:textId="77777777" w:rsidR="0071099D" w:rsidRDefault="0071099D" w:rsidP="0071099D">
      <w:pPr>
        <w:jc w:val="both"/>
        <w:rPr>
          <w:rFonts w:ascii="Arial" w:eastAsia="Arial" w:hAnsi="Arial" w:cs="Arial"/>
        </w:rPr>
      </w:pPr>
      <w:r>
        <w:rPr>
          <w:rFonts w:ascii="Arial" w:eastAsia="Arial" w:hAnsi="Arial" w:cs="Arial"/>
          <w:noProof/>
        </w:rPr>
        <w:drawing>
          <wp:inline distT="0" distB="0" distL="0" distR="0" wp14:anchorId="376F7D0A" wp14:editId="4B1CA94C">
            <wp:extent cx="4742688" cy="2913888"/>
            <wp:effectExtent l="0" t="0" r="127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ding proportion across region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42688" cy="2913888"/>
                    </a:xfrm>
                    <a:prstGeom prst="rect">
                      <a:avLst/>
                    </a:prstGeom>
                  </pic:spPr>
                </pic:pic>
              </a:graphicData>
            </a:graphic>
          </wp:inline>
        </w:drawing>
      </w:r>
    </w:p>
    <w:p w14:paraId="26447571" w14:textId="77777777" w:rsidR="0071099D" w:rsidRDefault="0071099D" w:rsidP="0071099D">
      <w:pPr>
        <w:jc w:val="both"/>
        <w:rPr>
          <w:rFonts w:ascii="Arial" w:eastAsia="Arial" w:hAnsi="Arial" w:cs="Arial"/>
        </w:rPr>
      </w:pPr>
      <w:r>
        <w:rPr>
          <w:rFonts w:ascii="Arial" w:eastAsia="Arial" w:hAnsi="Arial" w:cs="Arial"/>
        </w:rPr>
        <w:t xml:space="preserve">The majority of reads map to </w:t>
      </w:r>
      <w:r w:rsidRPr="00011362">
        <w:rPr>
          <w:rFonts w:ascii="Arial" w:eastAsia="Arial" w:hAnsi="Arial" w:cs="Arial"/>
          <w:i/>
        </w:rPr>
        <w:t>CACNA1C</w:t>
      </w:r>
      <w:r>
        <w:rPr>
          <w:rFonts w:ascii="Arial" w:eastAsia="Arial" w:hAnsi="Arial" w:cs="Arial"/>
        </w:rPr>
        <w:t xml:space="preserve"> transcripts that predicted to encode a functional protein. The figure shows the proportion of </w:t>
      </w:r>
      <w:r w:rsidRPr="006471AC">
        <w:rPr>
          <w:rFonts w:ascii="Arial" w:eastAsia="Arial" w:hAnsi="Arial" w:cs="Arial"/>
          <w:i/>
        </w:rPr>
        <w:t>CACNA1C</w:t>
      </w:r>
      <w:r>
        <w:rPr>
          <w:rFonts w:ascii="Arial" w:eastAsia="Arial" w:hAnsi="Arial" w:cs="Arial"/>
        </w:rPr>
        <w:t xml:space="preserve"> reads that are predicted to encode a functional protein (black bars), compared to those which introduce a frame-</w:t>
      </w:r>
      <w:proofErr w:type="gramStart"/>
      <w:r>
        <w:rPr>
          <w:rFonts w:ascii="Arial" w:eastAsia="Arial" w:hAnsi="Arial" w:cs="Arial"/>
        </w:rPr>
        <w:t>shift</w:t>
      </w:r>
      <w:proofErr w:type="gramEnd"/>
      <w:r>
        <w:rPr>
          <w:rFonts w:ascii="Arial" w:eastAsia="Arial" w:hAnsi="Arial" w:cs="Arial"/>
        </w:rPr>
        <w:t xml:space="preserve"> or which include sequence variants predicted to disrupt transmembrane regions (‘non-coding; white bars) in the different brain regions studied.</w:t>
      </w:r>
    </w:p>
    <w:p w14:paraId="2B5A35D0" w14:textId="77777777" w:rsidR="0071099D" w:rsidRDefault="0071099D" w:rsidP="0071099D">
      <w:pPr>
        <w:jc w:val="both"/>
        <w:rPr>
          <w:rFonts w:ascii="Arial" w:eastAsia="Arial" w:hAnsi="Arial" w:cs="Arial"/>
        </w:rPr>
      </w:pPr>
    </w:p>
    <w:p w14:paraId="3ECF2429" w14:textId="77777777" w:rsidR="0071099D" w:rsidRDefault="0071099D" w:rsidP="0071099D">
      <w:pPr>
        <w:jc w:val="both"/>
        <w:rPr>
          <w:rFonts w:ascii="Arial" w:eastAsia="Arial" w:hAnsi="Arial" w:cs="Arial"/>
          <w:b/>
        </w:rPr>
      </w:pPr>
      <w:r>
        <w:rPr>
          <w:rFonts w:ascii="Arial" w:eastAsia="Arial" w:hAnsi="Arial" w:cs="Arial"/>
          <w:b/>
        </w:rPr>
        <w:t xml:space="preserve">Supplementary Figure 8: Full-length, highly pure pooled CACNA1C amplicons. </w:t>
      </w:r>
    </w:p>
    <w:p w14:paraId="2BAB0A31" w14:textId="77777777" w:rsidR="0071099D" w:rsidRDefault="0071099D" w:rsidP="0071099D">
      <w:pPr>
        <w:jc w:val="both"/>
        <w:rPr>
          <w:rFonts w:ascii="Arial" w:eastAsia="Arial" w:hAnsi="Arial" w:cs="Arial"/>
        </w:rPr>
      </w:pPr>
      <w:r>
        <w:rPr>
          <w:rFonts w:ascii="Arial" w:eastAsia="Arial" w:hAnsi="Arial" w:cs="Arial"/>
        </w:rPr>
        <w:t xml:space="preserve">A) Run1 B) Run2. Slight apparent shift of amplicon to a larger size is due to slight inaccuracy inherent in gDNA </w:t>
      </w:r>
      <w:proofErr w:type="spellStart"/>
      <w:r>
        <w:rPr>
          <w:rFonts w:ascii="Arial" w:eastAsia="Arial" w:hAnsi="Arial" w:cs="Arial"/>
        </w:rPr>
        <w:t>screentape</w:t>
      </w:r>
      <w:proofErr w:type="spellEnd"/>
      <w:r>
        <w:rPr>
          <w:rFonts w:ascii="Arial" w:eastAsia="Arial" w:hAnsi="Arial" w:cs="Arial"/>
        </w:rPr>
        <w:t xml:space="preserve"> where there is only a lower marker for sizing.</w:t>
      </w:r>
    </w:p>
    <w:p w14:paraId="5BB2D6B6" w14:textId="77777777" w:rsidR="0071099D" w:rsidRDefault="0071099D" w:rsidP="0071099D">
      <w:pPr>
        <w:jc w:val="both"/>
        <w:rPr>
          <w:rFonts w:ascii="Arial" w:eastAsia="Arial" w:hAnsi="Arial" w:cs="Arial"/>
          <w:color w:val="000000"/>
        </w:rPr>
      </w:pPr>
      <w:r>
        <w:rPr>
          <w:rFonts w:ascii="Arial" w:eastAsia="Arial" w:hAnsi="Arial" w:cs="Arial"/>
          <w:noProof/>
        </w:rPr>
        <w:drawing>
          <wp:inline distT="0" distB="0" distL="0" distR="0" wp14:anchorId="25979916" wp14:editId="43D8979D">
            <wp:extent cx="5748655" cy="19050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8655" cy="1905000"/>
                    </a:xfrm>
                    <a:prstGeom prst="rect">
                      <a:avLst/>
                    </a:prstGeom>
                    <a:noFill/>
                    <a:ln>
                      <a:noFill/>
                    </a:ln>
                  </pic:spPr>
                </pic:pic>
              </a:graphicData>
            </a:graphic>
          </wp:inline>
        </w:drawing>
      </w:r>
    </w:p>
    <w:p w14:paraId="76E3E6F2" w14:textId="77777777" w:rsidR="0071099D" w:rsidRDefault="0071099D" w:rsidP="0071099D">
      <w:pPr>
        <w:jc w:val="both"/>
        <w:rPr>
          <w:rFonts w:ascii="Arial" w:eastAsia="Arial" w:hAnsi="Arial" w:cs="Arial"/>
        </w:rPr>
      </w:pPr>
    </w:p>
    <w:p w14:paraId="201FC229" w14:textId="77777777" w:rsidR="0071099D" w:rsidRDefault="0071099D" w:rsidP="0071099D">
      <w:pPr>
        <w:jc w:val="both"/>
        <w:rPr>
          <w:rFonts w:ascii="Arial" w:eastAsia="Arial" w:hAnsi="Arial" w:cs="Arial"/>
        </w:rPr>
      </w:pPr>
    </w:p>
    <w:p w14:paraId="7D685643" w14:textId="77777777" w:rsidR="0071099D" w:rsidRDefault="0071099D">
      <w:pPr>
        <w:spacing w:after="160" w:line="259" w:lineRule="auto"/>
      </w:pPr>
      <w:r>
        <w:br w:type="page"/>
      </w:r>
    </w:p>
    <w:p w14:paraId="26C25176" w14:textId="77777777" w:rsidR="0071099D" w:rsidRPr="0071099D" w:rsidRDefault="0071099D">
      <w:pPr>
        <w:rPr>
          <w:rFonts w:ascii="Arial" w:hAnsi="Arial" w:cs="Arial"/>
          <w:b/>
        </w:rPr>
      </w:pPr>
      <w:r w:rsidRPr="0071099D">
        <w:rPr>
          <w:rFonts w:ascii="Arial" w:hAnsi="Arial" w:cs="Arial"/>
          <w:b/>
        </w:rPr>
        <w:lastRenderedPageBreak/>
        <w:t>Supplementary Data Files:</w:t>
      </w:r>
    </w:p>
    <w:p w14:paraId="4EB87669" w14:textId="27B830AE" w:rsidR="00D611F9" w:rsidRPr="0071099D" w:rsidRDefault="00D611F9" w:rsidP="00D611F9">
      <w:pPr>
        <w:rPr>
          <w:rFonts w:ascii="Arial" w:hAnsi="Arial" w:cs="Arial"/>
          <w:i/>
        </w:rPr>
      </w:pPr>
      <w:r w:rsidRPr="0071099D">
        <w:rPr>
          <w:rFonts w:ascii="Arial" w:hAnsi="Arial" w:cs="Arial"/>
          <w:i/>
        </w:rPr>
        <w:t xml:space="preserve">Supplementary Data </w:t>
      </w:r>
      <w:r>
        <w:rPr>
          <w:rFonts w:ascii="Arial" w:hAnsi="Arial" w:cs="Arial"/>
          <w:i/>
        </w:rPr>
        <w:t>1</w:t>
      </w:r>
      <w:r w:rsidRPr="0071099D">
        <w:rPr>
          <w:rFonts w:ascii="Arial" w:hAnsi="Arial" w:cs="Arial"/>
          <w:i/>
        </w:rPr>
        <w:t>:</w:t>
      </w:r>
    </w:p>
    <w:p w14:paraId="15A37FAD" w14:textId="69228BF7" w:rsidR="00D611F9" w:rsidRDefault="00D611F9" w:rsidP="00D611F9">
      <w:pPr>
        <w:rPr>
          <w:rFonts w:ascii="Arial" w:hAnsi="Arial" w:cs="Arial"/>
        </w:rPr>
      </w:pPr>
      <w:r>
        <w:rPr>
          <w:rFonts w:ascii="Arial" w:hAnsi="Arial" w:cs="Arial"/>
        </w:rPr>
        <w:t>Details of novel exons</w:t>
      </w:r>
      <w:bookmarkStart w:id="0" w:name="_GoBack"/>
      <w:bookmarkEnd w:id="0"/>
      <w:r>
        <w:rPr>
          <w:rFonts w:ascii="Arial" w:hAnsi="Arial" w:cs="Arial"/>
        </w:rPr>
        <w:t xml:space="preserve"> in .bed format.</w:t>
      </w:r>
    </w:p>
    <w:p w14:paraId="2B0FC3FD" w14:textId="77777777" w:rsidR="00D611F9" w:rsidRDefault="00D611F9" w:rsidP="00CC3318">
      <w:pPr>
        <w:rPr>
          <w:rFonts w:ascii="Arial" w:hAnsi="Arial" w:cs="Arial"/>
          <w:i/>
        </w:rPr>
      </w:pPr>
    </w:p>
    <w:p w14:paraId="5F35E7F7" w14:textId="460AE569" w:rsidR="00CC3318" w:rsidRPr="0071099D" w:rsidRDefault="00CC3318" w:rsidP="00CC3318">
      <w:pPr>
        <w:rPr>
          <w:rFonts w:ascii="Arial" w:hAnsi="Arial" w:cs="Arial"/>
          <w:i/>
        </w:rPr>
      </w:pPr>
      <w:r w:rsidRPr="0071099D">
        <w:rPr>
          <w:rFonts w:ascii="Arial" w:hAnsi="Arial" w:cs="Arial"/>
          <w:i/>
        </w:rPr>
        <w:t xml:space="preserve">Supplementary Data </w:t>
      </w:r>
      <w:r w:rsidR="00D611F9">
        <w:rPr>
          <w:rFonts w:ascii="Arial" w:hAnsi="Arial" w:cs="Arial"/>
          <w:i/>
        </w:rPr>
        <w:t>2</w:t>
      </w:r>
      <w:r w:rsidRPr="0071099D">
        <w:rPr>
          <w:rFonts w:ascii="Arial" w:hAnsi="Arial" w:cs="Arial"/>
          <w:i/>
        </w:rPr>
        <w:t>:</w:t>
      </w:r>
    </w:p>
    <w:p w14:paraId="3210D7A2" w14:textId="77777777" w:rsidR="00CC3318" w:rsidRDefault="00CC3318" w:rsidP="00CC3318">
      <w:pPr>
        <w:rPr>
          <w:rFonts w:ascii="Arial" w:hAnsi="Arial" w:cs="Arial"/>
        </w:rPr>
      </w:pPr>
      <w:r>
        <w:rPr>
          <w:rFonts w:ascii="Arial" w:hAnsi="Arial" w:cs="Arial"/>
        </w:rPr>
        <w:t>Identity of low confidence transcripts from exon-level analysis in .bed format.</w:t>
      </w:r>
    </w:p>
    <w:p w14:paraId="4B2D20B7" w14:textId="77777777" w:rsidR="0071099D" w:rsidRPr="0071099D" w:rsidRDefault="0071099D" w:rsidP="0071099D">
      <w:pPr>
        <w:rPr>
          <w:rFonts w:ascii="Arial" w:hAnsi="Arial" w:cs="Arial"/>
        </w:rPr>
      </w:pPr>
    </w:p>
    <w:p w14:paraId="1D4CF588" w14:textId="14F0B0DF" w:rsidR="0071099D" w:rsidRPr="0071099D" w:rsidRDefault="0071099D" w:rsidP="0071099D">
      <w:pPr>
        <w:rPr>
          <w:rFonts w:ascii="Arial" w:hAnsi="Arial" w:cs="Arial"/>
          <w:i/>
        </w:rPr>
      </w:pPr>
      <w:r w:rsidRPr="0071099D">
        <w:rPr>
          <w:rFonts w:ascii="Arial" w:hAnsi="Arial" w:cs="Arial"/>
          <w:i/>
        </w:rPr>
        <w:t xml:space="preserve">Supplementary Data </w:t>
      </w:r>
      <w:r w:rsidR="00D611F9">
        <w:rPr>
          <w:rFonts w:ascii="Arial" w:hAnsi="Arial" w:cs="Arial"/>
          <w:i/>
        </w:rPr>
        <w:t>3</w:t>
      </w:r>
      <w:r w:rsidRPr="0071099D">
        <w:rPr>
          <w:rFonts w:ascii="Arial" w:hAnsi="Arial" w:cs="Arial"/>
          <w:i/>
        </w:rPr>
        <w:t xml:space="preserve">: </w:t>
      </w:r>
    </w:p>
    <w:p w14:paraId="2C742F36" w14:textId="77777777" w:rsidR="00CC3318" w:rsidRPr="0071099D" w:rsidRDefault="00CC3318" w:rsidP="0071099D">
      <w:pPr>
        <w:rPr>
          <w:rFonts w:ascii="Arial" w:hAnsi="Arial" w:cs="Arial"/>
        </w:rPr>
      </w:pPr>
      <w:r>
        <w:rPr>
          <w:rFonts w:ascii="Arial" w:hAnsi="Arial" w:cs="Arial"/>
        </w:rPr>
        <w:t>Abundance of low confidence transcripts from exon-level analysis in different samples.</w:t>
      </w:r>
    </w:p>
    <w:p w14:paraId="64ADBACD" w14:textId="77777777" w:rsidR="00D611F9" w:rsidRDefault="00D611F9" w:rsidP="00DA40FE">
      <w:pPr>
        <w:rPr>
          <w:rFonts w:ascii="Arial" w:hAnsi="Arial" w:cs="Arial"/>
          <w:i/>
        </w:rPr>
      </w:pPr>
    </w:p>
    <w:p w14:paraId="4BBE8F90" w14:textId="769388B6" w:rsidR="00DA40FE" w:rsidRPr="0071099D" w:rsidRDefault="00DA40FE" w:rsidP="00DA40FE">
      <w:pPr>
        <w:rPr>
          <w:rFonts w:ascii="Arial" w:hAnsi="Arial" w:cs="Arial"/>
          <w:i/>
        </w:rPr>
      </w:pPr>
      <w:r w:rsidRPr="0071099D">
        <w:rPr>
          <w:rFonts w:ascii="Arial" w:hAnsi="Arial" w:cs="Arial"/>
          <w:i/>
        </w:rPr>
        <w:t xml:space="preserve">Supplementary Data  </w:t>
      </w:r>
      <w:r w:rsidR="00D611F9">
        <w:rPr>
          <w:rFonts w:ascii="Arial" w:hAnsi="Arial" w:cs="Arial"/>
          <w:i/>
        </w:rPr>
        <w:t>4:</w:t>
      </w:r>
    </w:p>
    <w:p w14:paraId="689664F9" w14:textId="77777777" w:rsidR="00DA40FE" w:rsidRDefault="00DA40FE" w:rsidP="00DA40FE">
      <w:pPr>
        <w:rPr>
          <w:rFonts w:ascii="Arial" w:hAnsi="Arial" w:cs="Arial"/>
        </w:rPr>
      </w:pPr>
      <w:r>
        <w:rPr>
          <w:rFonts w:ascii="Arial" w:hAnsi="Arial" w:cs="Arial"/>
        </w:rPr>
        <w:t>Identity of high confidence transcripts from exon-level analysis in .bed format.</w:t>
      </w:r>
    </w:p>
    <w:p w14:paraId="6CAC803E" w14:textId="77777777" w:rsidR="00DA40FE" w:rsidRDefault="00DA40FE" w:rsidP="00DA40FE">
      <w:pPr>
        <w:rPr>
          <w:rFonts w:ascii="Arial" w:hAnsi="Arial" w:cs="Arial"/>
          <w:i/>
        </w:rPr>
      </w:pPr>
    </w:p>
    <w:p w14:paraId="30C0B7EC" w14:textId="542A51DE" w:rsidR="00DA40FE" w:rsidRPr="0071099D" w:rsidRDefault="00DA40FE" w:rsidP="00DA40FE">
      <w:pPr>
        <w:rPr>
          <w:rFonts w:ascii="Arial" w:hAnsi="Arial" w:cs="Arial"/>
          <w:i/>
        </w:rPr>
      </w:pPr>
      <w:r w:rsidRPr="0071099D">
        <w:rPr>
          <w:rFonts w:ascii="Arial" w:hAnsi="Arial" w:cs="Arial"/>
          <w:i/>
        </w:rPr>
        <w:t xml:space="preserve">Supplementary data </w:t>
      </w:r>
      <w:r w:rsidR="00D611F9">
        <w:rPr>
          <w:rFonts w:ascii="Arial" w:hAnsi="Arial" w:cs="Arial"/>
          <w:i/>
        </w:rPr>
        <w:t>5</w:t>
      </w:r>
      <w:r w:rsidRPr="0071099D">
        <w:rPr>
          <w:rFonts w:ascii="Arial" w:hAnsi="Arial" w:cs="Arial"/>
          <w:i/>
        </w:rPr>
        <w:t>:</w:t>
      </w:r>
    </w:p>
    <w:p w14:paraId="6C5C93B3" w14:textId="77777777" w:rsidR="00DA40FE" w:rsidRDefault="00DA40FE" w:rsidP="00DA40FE">
      <w:pPr>
        <w:rPr>
          <w:rFonts w:ascii="Arial" w:hAnsi="Arial" w:cs="Arial"/>
        </w:rPr>
      </w:pPr>
      <w:r>
        <w:rPr>
          <w:rFonts w:ascii="Arial" w:hAnsi="Arial" w:cs="Arial"/>
        </w:rPr>
        <w:t>Abundance of high confidence transcripts from exon-level analysis in different samples.</w:t>
      </w:r>
    </w:p>
    <w:p w14:paraId="0043E511" w14:textId="77777777" w:rsidR="0071099D" w:rsidRPr="0071099D" w:rsidRDefault="0071099D" w:rsidP="0071099D">
      <w:pPr>
        <w:rPr>
          <w:rFonts w:ascii="Arial" w:hAnsi="Arial" w:cs="Arial"/>
        </w:rPr>
      </w:pPr>
    </w:p>
    <w:p w14:paraId="47B7645D" w14:textId="40C4ACEA" w:rsidR="0071099D" w:rsidRPr="0071099D" w:rsidRDefault="0071099D" w:rsidP="0071099D">
      <w:pPr>
        <w:rPr>
          <w:rFonts w:ascii="Arial" w:hAnsi="Arial" w:cs="Arial"/>
          <w:i/>
        </w:rPr>
      </w:pPr>
      <w:r w:rsidRPr="0071099D">
        <w:rPr>
          <w:rFonts w:ascii="Arial" w:hAnsi="Arial" w:cs="Arial"/>
          <w:i/>
        </w:rPr>
        <w:t xml:space="preserve">Supplementary Data </w:t>
      </w:r>
      <w:r w:rsidR="00D611F9">
        <w:rPr>
          <w:rFonts w:ascii="Arial" w:hAnsi="Arial" w:cs="Arial"/>
          <w:i/>
        </w:rPr>
        <w:t>6</w:t>
      </w:r>
      <w:r w:rsidRPr="0071099D">
        <w:rPr>
          <w:rFonts w:ascii="Arial" w:hAnsi="Arial" w:cs="Arial"/>
          <w:i/>
        </w:rPr>
        <w:t>:</w:t>
      </w:r>
    </w:p>
    <w:p w14:paraId="61921D8D" w14:textId="77777777" w:rsidR="0071099D" w:rsidRDefault="0071099D" w:rsidP="0071099D">
      <w:pPr>
        <w:rPr>
          <w:rFonts w:ascii="Arial" w:hAnsi="Arial" w:cs="Arial"/>
        </w:rPr>
      </w:pPr>
      <w:r>
        <w:rPr>
          <w:rFonts w:ascii="Arial" w:hAnsi="Arial" w:cs="Arial"/>
        </w:rPr>
        <w:t>Identity of splice-site analysis transcripts in .bed format.</w:t>
      </w:r>
    </w:p>
    <w:p w14:paraId="3D848350" w14:textId="77777777" w:rsidR="0071099D" w:rsidRPr="0071099D" w:rsidRDefault="0071099D" w:rsidP="0071099D">
      <w:pPr>
        <w:rPr>
          <w:rFonts w:ascii="Arial" w:hAnsi="Arial" w:cs="Arial"/>
        </w:rPr>
      </w:pPr>
    </w:p>
    <w:p w14:paraId="1FAE6CC8" w14:textId="79D3788D" w:rsidR="0071099D" w:rsidRPr="00CC3318" w:rsidRDefault="0071099D" w:rsidP="0071099D">
      <w:pPr>
        <w:rPr>
          <w:rFonts w:ascii="Arial" w:hAnsi="Arial" w:cs="Arial"/>
          <w:i/>
        </w:rPr>
      </w:pPr>
      <w:r w:rsidRPr="00CC3318">
        <w:rPr>
          <w:rFonts w:ascii="Arial" w:hAnsi="Arial" w:cs="Arial"/>
          <w:i/>
        </w:rPr>
        <w:t xml:space="preserve">Supplementary Data </w:t>
      </w:r>
      <w:r w:rsidR="00D611F9">
        <w:rPr>
          <w:rFonts w:ascii="Arial" w:hAnsi="Arial" w:cs="Arial"/>
          <w:i/>
        </w:rPr>
        <w:t>7</w:t>
      </w:r>
      <w:r w:rsidRPr="00CC3318">
        <w:rPr>
          <w:rFonts w:ascii="Arial" w:hAnsi="Arial" w:cs="Arial"/>
          <w:i/>
        </w:rPr>
        <w:t>:</w:t>
      </w:r>
    </w:p>
    <w:p w14:paraId="018FEA89" w14:textId="77777777" w:rsidR="00CC3318" w:rsidRDefault="00CC3318" w:rsidP="00CC3318">
      <w:pPr>
        <w:rPr>
          <w:rFonts w:ascii="Arial" w:hAnsi="Arial" w:cs="Arial"/>
        </w:rPr>
      </w:pPr>
      <w:r>
        <w:rPr>
          <w:rFonts w:ascii="Arial" w:hAnsi="Arial" w:cs="Arial"/>
        </w:rPr>
        <w:t>Abundance of splice-site analysis transcripts from exon-level analysis in different samples.</w:t>
      </w:r>
    </w:p>
    <w:p w14:paraId="09252DE3" w14:textId="77777777" w:rsidR="00CC3318" w:rsidRPr="0071099D" w:rsidRDefault="00CC3318" w:rsidP="0071099D">
      <w:pPr>
        <w:rPr>
          <w:rFonts w:ascii="Arial" w:hAnsi="Arial" w:cs="Arial"/>
        </w:rPr>
      </w:pPr>
    </w:p>
    <w:sectPr w:rsidR="00CC3318" w:rsidRPr="0071099D" w:rsidSect="00EB01A0">
      <w:headerReference w:type="even" r:id="rId16"/>
      <w:headerReference w:type="default" r:id="rId17"/>
      <w:footerReference w:type="even" r:id="rId18"/>
      <w:footerReference w:type="default" r:id="rId19"/>
      <w:headerReference w:type="first" r:id="rId20"/>
      <w:footerReference w:type="first" r:id="rId21"/>
      <w:pgSz w:w="11906" w:h="16838"/>
      <w:pgMar w:top="1440" w:right="1410" w:bottom="1440" w:left="141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07BDD" w14:textId="77777777" w:rsidR="00000000" w:rsidRDefault="00D611F9">
      <w:pPr>
        <w:spacing w:after="0" w:line="240" w:lineRule="auto"/>
      </w:pPr>
      <w:r>
        <w:separator/>
      </w:r>
    </w:p>
  </w:endnote>
  <w:endnote w:type="continuationSeparator" w:id="0">
    <w:p w14:paraId="5F85FA6F" w14:textId="77777777" w:rsidR="00000000" w:rsidRDefault="00D61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0840C"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BA129"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7B947"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3A494" w14:textId="77777777" w:rsidR="00000000" w:rsidRDefault="00D611F9">
      <w:pPr>
        <w:spacing w:after="0" w:line="240" w:lineRule="auto"/>
      </w:pPr>
      <w:r>
        <w:separator/>
      </w:r>
    </w:p>
  </w:footnote>
  <w:footnote w:type="continuationSeparator" w:id="0">
    <w:p w14:paraId="220D76C1" w14:textId="77777777" w:rsidR="00000000" w:rsidRDefault="00D61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E51C4"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5643E"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9F76" w14:textId="77777777" w:rsidR="00EF226C" w:rsidRDefault="00D611F9">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9D"/>
    <w:rsid w:val="0071099D"/>
    <w:rsid w:val="00CC3318"/>
    <w:rsid w:val="00D611F9"/>
    <w:rsid w:val="00DA4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F3ED"/>
  <w15:chartTrackingRefBased/>
  <w15:docId w15:val="{7ADF057B-1425-4152-BC3F-B50F576C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99D"/>
    <w:pPr>
      <w:spacing w:after="200" w:line="276" w:lineRule="auto"/>
    </w:pPr>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99D"/>
    <w:rPr>
      <w:color w:val="0563C1" w:themeColor="hyperlink"/>
      <w:u w:val="single"/>
    </w:rPr>
  </w:style>
  <w:style w:type="paragraph" w:styleId="BalloonText">
    <w:name w:val="Balloon Text"/>
    <w:basedOn w:val="Normal"/>
    <w:link w:val="BalloonTextChar"/>
    <w:uiPriority w:val="99"/>
    <w:semiHidden/>
    <w:unhideWhenUsed/>
    <w:rsid w:val="00DA4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0FE"/>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36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paperpile.com/c/K8DwLs/pXsh" TargetMode="Externa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paperpile.com/c/K8DwLs/sVYu"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2557</Words>
  <Characters>14576</Characters>
  <Application>Microsoft Office Word</Application>
  <DocSecurity>0</DocSecurity>
  <Lines>121</Lines>
  <Paragraphs>34</Paragraphs>
  <ScaleCrop>false</ScaleCrop>
  <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Tunbridge</dc:creator>
  <cp:keywords/>
  <dc:description/>
  <cp:lastModifiedBy>Elizabeth Tunbridge</cp:lastModifiedBy>
  <cp:revision>4</cp:revision>
  <dcterms:created xsi:type="dcterms:W3CDTF">2019-05-21T17:06:00Z</dcterms:created>
  <dcterms:modified xsi:type="dcterms:W3CDTF">2019-09-10T16:35:00Z</dcterms:modified>
</cp:coreProperties>
</file>