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337D1" w14:textId="3079C558" w:rsidR="00D04BCF" w:rsidRPr="009A79CF" w:rsidRDefault="00BB2D2A" w:rsidP="00772BBC">
      <w:pPr>
        <w:jc w:val="center"/>
        <w:rPr>
          <w:rFonts w:ascii="Arial" w:hAnsi="Arial" w:cs="Arial"/>
          <w:sz w:val="36"/>
          <w:szCs w:val="36"/>
        </w:rPr>
      </w:pPr>
      <w:r w:rsidRPr="009A79CF">
        <w:rPr>
          <w:rFonts w:ascii="Arial" w:hAnsi="Arial" w:cs="Arial"/>
          <w:sz w:val="36"/>
          <w:szCs w:val="36"/>
        </w:rPr>
        <w:t xml:space="preserve">Supplementary </w:t>
      </w:r>
      <w:r w:rsidR="004D6C17">
        <w:rPr>
          <w:rFonts w:ascii="Arial" w:hAnsi="Arial" w:cs="Arial"/>
          <w:sz w:val="36"/>
          <w:szCs w:val="36"/>
        </w:rPr>
        <w:t>Information</w:t>
      </w:r>
      <w:r w:rsidR="009743A9" w:rsidRPr="009A79CF">
        <w:rPr>
          <w:rFonts w:ascii="Arial" w:hAnsi="Arial" w:cs="Arial"/>
          <w:sz w:val="36"/>
          <w:szCs w:val="36"/>
        </w:rPr>
        <w:t xml:space="preserve"> for</w:t>
      </w:r>
    </w:p>
    <w:p w14:paraId="29411C5A" w14:textId="77777777" w:rsidR="005001AC" w:rsidRPr="009A79CF" w:rsidRDefault="005001AC">
      <w:pPr>
        <w:rPr>
          <w:rFonts w:ascii="Arial" w:hAnsi="Arial" w:cs="Arial"/>
        </w:rPr>
      </w:pPr>
    </w:p>
    <w:p w14:paraId="6F6A8FCC" w14:textId="77777777" w:rsidR="00AB0256" w:rsidRPr="009A79CF" w:rsidRDefault="00AB0256" w:rsidP="00AB0256">
      <w:pPr>
        <w:jc w:val="center"/>
        <w:rPr>
          <w:rFonts w:ascii="Arial" w:hAnsi="Arial" w:cs="Arial"/>
          <w:b/>
          <w:sz w:val="28"/>
          <w:szCs w:val="28"/>
        </w:rPr>
      </w:pPr>
      <w:r w:rsidRPr="009A79CF">
        <w:rPr>
          <w:rFonts w:ascii="Arial" w:hAnsi="Arial" w:cs="Arial"/>
          <w:b/>
          <w:sz w:val="28"/>
          <w:szCs w:val="28"/>
        </w:rPr>
        <w:t>Consequences of NMDA receptor deficiency can be rescued in the adult brain</w:t>
      </w:r>
    </w:p>
    <w:p w14:paraId="339B31F7" w14:textId="77777777" w:rsidR="00015F74" w:rsidRPr="009A79CF" w:rsidRDefault="00015F74" w:rsidP="003B40E6">
      <w:pPr>
        <w:jc w:val="center"/>
        <w:rPr>
          <w:rFonts w:ascii="Arial" w:hAnsi="Arial" w:cs="Arial"/>
          <w:sz w:val="28"/>
          <w:szCs w:val="28"/>
        </w:rPr>
      </w:pPr>
    </w:p>
    <w:p w14:paraId="47F8BE5B" w14:textId="52F5BD0F" w:rsidR="003008BE" w:rsidRPr="009C4BD4" w:rsidRDefault="003008BE" w:rsidP="003008BE">
      <w:pPr>
        <w:rPr>
          <w:rFonts w:ascii="Arial" w:hAnsi="Arial" w:cs="Arial"/>
        </w:rPr>
      </w:pPr>
      <w:r w:rsidRPr="009C4BD4">
        <w:rPr>
          <w:rFonts w:ascii="Arial" w:hAnsi="Arial" w:cs="Arial"/>
          <w:b/>
        </w:rPr>
        <w:t xml:space="preserve">Authors: </w:t>
      </w:r>
      <w:r w:rsidRPr="009C4BD4">
        <w:rPr>
          <w:rFonts w:ascii="Arial" w:hAnsi="Arial" w:cs="Arial"/>
        </w:rPr>
        <w:t>Catharine A. Mielnik</w:t>
      </w:r>
      <w:r w:rsidRPr="009C4BD4">
        <w:rPr>
          <w:rFonts w:ascii="Arial" w:hAnsi="Arial" w:cs="Arial"/>
          <w:vertAlign w:val="superscript"/>
        </w:rPr>
        <w:t>1</w:t>
      </w:r>
      <w:r w:rsidRPr="009C4BD4">
        <w:rPr>
          <w:rFonts w:ascii="Arial" w:hAnsi="Arial" w:cs="Arial"/>
        </w:rPr>
        <w:t>, Mary A. Binko</w:t>
      </w:r>
      <w:r w:rsidRPr="009C4BD4">
        <w:rPr>
          <w:rFonts w:ascii="Arial" w:hAnsi="Arial" w:cs="Arial"/>
          <w:vertAlign w:val="superscript"/>
        </w:rPr>
        <w:t>2</w:t>
      </w:r>
      <w:r w:rsidR="005F6C23">
        <w:rPr>
          <w:rFonts w:ascii="Arial" w:hAnsi="Arial" w:cs="Arial"/>
          <w:vertAlign w:val="superscript"/>
        </w:rPr>
        <w:t>#</w:t>
      </w:r>
      <w:r w:rsidRPr="009C4BD4">
        <w:rPr>
          <w:rFonts w:ascii="Arial" w:hAnsi="Arial" w:cs="Arial"/>
        </w:rPr>
        <w:t xml:space="preserve">, </w:t>
      </w:r>
      <w:proofErr w:type="spellStart"/>
      <w:r w:rsidRPr="009C4BD4">
        <w:rPr>
          <w:rFonts w:ascii="Arial" w:hAnsi="Arial" w:cs="Arial"/>
        </w:rPr>
        <w:t>Yuxiao</w:t>
      </w:r>
      <w:proofErr w:type="spellEnd"/>
      <w:r w:rsidRPr="009C4BD4">
        <w:rPr>
          <w:rFonts w:ascii="Arial" w:hAnsi="Arial" w:cs="Arial"/>
        </w:rPr>
        <w:t xml:space="preserve"> Chen</w:t>
      </w:r>
      <w:r w:rsidRPr="009C4BD4">
        <w:rPr>
          <w:rFonts w:ascii="Arial" w:hAnsi="Arial" w:cs="Arial"/>
          <w:vertAlign w:val="superscript"/>
        </w:rPr>
        <w:t>1</w:t>
      </w:r>
      <w:r w:rsidRPr="001D41D9">
        <w:rPr>
          <w:rFonts w:ascii="Arial" w:hAnsi="Arial" w:cs="Arial"/>
        </w:rPr>
        <w:t>,</w:t>
      </w:r>
      <w:r>
        <w:rPr>
          <w:rFonts w:ascii="Arial" w:hAnsi="Arial" w:cs="Arial"/>
          <w:vertAlign w:val="superscript"/>
        </w:rPr>
        <w:t xml:space="preserve"> </w:t>
      </w:r>
      <w:r w:rsidRPr="009C4BD4">
        <w:rPr>
          <w:rFonts w:ascii="Arial" w:hAnsi="Arial" w:cs="Arial"/>
        </w:rPr>
        <w:t>Adam J. Funk</w:t>
      </w:r>
      <w:r>
        <w:rPr>
          <w:rFonts w:ascii="Arial" w:hAnsi="Arial" w:cs="Arial"/>
          <w:vertAlign w:val="superscript"/>
        </w:rPr>
        <w:t>3</w:t>
      </w:r>
      <w:r w:rsidRPr="00A8725E">
        <w:rPr>
          <w:rFonts w:ascii="Arial" w:hAnsi="Arial" w:cs="Arial"/>
        </w:rPr>
        <w:t>,</w:t>
      </w:r>
      <w:r>
        <w:rPr>
          <w:rFonts w:ascii="Arial" w:hAnsi="Arial" w:cs="Arial"/>
          <w:vertAlign w:val="superscript"/>
        </w:rPr>
        <w:t xml:space="preserve"> </w:t>
      </w:r>
      <w:r w:rsidRPr="009C4BD4">
        <w:rPr>
          <w:rFonts w:ascii="Arial" w:hAnsi="Arial" w:cs="Arial"/>
        </w:rPr>
        <w:t>Emily M. Johansson</w:t>
      </w:r>
      <w:r>
        <w:rPr>
          <w:rFonts w:ascii="Arial" w:hAnsi="Arial" w:cs="Arial"/>
          <w:vertAlign w:val="superscript"/>
        </w:rPr>
        <w:t>4</w:t>
      </w:r>
      <w:r w:rsidRPr="009C4BD4">
        <w:rPr>
          <w:rFonts w:ascii="Arial" w:hAnsi="Arial" w:cs="Arial"/>
        </w:rPr>
        <w:t xml:space="preserve">, </w:t>
      </w:r>
      <w:proofErr w:type="spellStart"/>
      <w:r>
        <w:rPr>
          <w:rFonts w:ascii="Arial" w:hAnsi="Arial" w:cs="Arial"/>
        </w:rPr>
        <w:t>Katheron</w:t>
      </w:r>
      <w:proofErr w:type="spellEnd"/>
      <w:r>
        <w:rPr>
          <w:rFonts w:ascii="Arial" w:hAnsi="Arial" w:cs="Arial"/>
        </w:rPr>
        <w:t xml:space="preserve"> Intson</w:t>
      </w:r>
      <w:r>
        <w:rPr>
          <w:rFonts w:ascii="Arial" w:hAnsi="Arial" w:cs="Arial"/>
          <w:vertAlign w:val="superscript"/>
        </w:rPr>
        <w:t>1</w:t>
      </w:r>
      <w:r w:rsidRPr="00A8725E">
        <w:rPr>
          <w:rFonts w:ascii="Arial" w:hAnsi="Arial" w:cs="Arial"/>
        </w:rPr>
        <w:t>,</w:t>
      </w:r>
      <w:r>
        <w:rPr>
          <w:rFonts w:ascii="Arial" w:hAnsi="Arial" w:cs="Arial"/>
        </w:rPr>
        <w:t xml:space="preserve"> </w:t>
      </w:r>
      <w:proofErr w:type="spellStart"/>
      <w:r w:rsidRPr="009C4BD4">
        <w:rPr>
          <w:rFonts w:ascii="Arial" w:hAnsi="Arial" w:cs="Arial"/>
        </w:rPr>
        <w:t>Nirun</w:t>
      </w:r>
      <w:proofErr w:type="spellEnd"/>
      <w:r w:rsidRPr="009C4BD4">
        <w:rPr>
          <w:rFonts w:ascii="Arial" w:hAnsi="Arial" w:cs="Arial"/>
        </w:rPr>
        <w:t xml:space="preserve"> Sivananthan</w:t>
      </w:r>
      <w:r w:rsidRPr="00AC5962">
        <w:rPr>
          <w:rFonts w:ascii="Arial" w:hAnsi="Arial" w:cs="Arial"/>
          <w:vertAlign w:val="superscript"/>
        </w:rPr>
        <w:t>1</w:t>
      </w:r>
      <w:r>
        <w:rPr>
          <w:rFonts w:ascii="Arial" w:hAnsi="Arial" w:cs="Arial"/>
        </w:rPr>
        <w:t xml:space="preserve">, </w:t>
      </w:r>
      <w:proofErr w:type="spellStart"/>
      <w:r w:rsidRPr="009C4BD4">
        <w:rPr>
          <w:rFonts w:ascii="Arial" w:hAnsi="Arial" w:cs="Arial"/>
        </w:rPr>
        <w:t>Rehnuma</w:t>
      </w:r>
      <w:proofErr w:type="spellEnd"/>
      <w:r w:rsidRPr="009C4BD4">
        <w:rPr>
          <w:rFonts w:ascii="Arial" w:hAnsi="Arial" w:cs="Arial"/>
        </w:rPr>
        <w:t xml:space="preserve"> Islam</w:t>
      </w:r>
      <w:r w:rsidRPr="009C4BD4">
        <w:rPr>
          <w:rFonts w:ascii="Arial" w:hAnsi="Arial" w:cs="Arial"/>
          <w:vertAlign w:val="superscript"/>
        </w:rPr>
        <w:t>2</w:t>
      </w:r>
      <w:r w:rsidRPr="009C4BD4">
        <w:rPr>
          <w:rFonts w:ascii="Arial" w:hAnsi="Arial" w:cs="Arial"/>
        </w:rPr>
        <w:t>,</w:t>
      </w:r>
      <w:r>
        <w:rPr>
          <w:rFonts w:ascii="Arial" w:hAnsi="Arial" w:cs="Arial"/>
        </w:rPr>
        <w:t xml:space="preserve"> </w:t>
      </w:r>
      <w:proofErr w:type="spellStart"/>
      <w:r w:rsidRPr="009C4BD4">
        <w:rPr>
          <w:rFonts w:ascii="Arial" w:hAnsi="Arial" w:cs="Arial"/>
        </w:rPr>
        <w:t>Marija</w:t>
      </w:r>
      <w:proofErr w:type="spellEnd"/>
      <w:r w:rsidRPr="009C4BD4">
        <w:rPr>
          <w:rFonts w:ascii="Arial" w:hAnsi="Arial" w:cs="Arial"/>
        </w:rPr>
        <w:t xml:space="preserve"> Milenkovic</w:t>
      </w:r>
      <w:r w:rsidRPr="009C4BD4">
        <w:rPr>
          <w:rFonts w:ascii="Arial" w:hAnsi="Arial" w:cs="Arial"/>
          <w:vertAlign w:val="superscript"/>
        </w:rPr>
        <w:t>1</w:t>
      </w:r>
      <w:r w:rsidRPr="009C4BD4">
        <w:rPr>
          <w:rFonts w:ascii="Arial" w:hAnsi="Arial" w:cs="Arial"/>
        </w:rPr>
        <w:t>, Wendy Horsfall</w:t>
      </w:r>
      <w:r w:rsidRPr="009C4BD4">
        <w:rPr>
          <w:rFonts w:ascii="Arial" w:hAnsi="Arial" w:cs="Arial"/>
          <w:vertAlign w:val="superscript"/>
        </w:rPr>
        <w:t>1</w:t>
      </w:r>
      <w:r w:rsidRPr="009C4BD4">
        <w:rPr>
          <w:rFonts w:ascii="Arial" w:hAnsi="Arial" w:cs="Arial"/>
        </w:rPr>
        <w:t>, Ruth A. Ross</w:t>
      </w:r>
      <w:r w:rsidRPr="009C4BD4">
        <w:rPr>
          <w:rFonts w:ascii="Arial" w:hAnsi="Arial" w:cs="Arial"/>
          <w:vertAlign w:val="superscript"/>
        </w:rPr>
        <w:t>1</w:t>
      </w:r>
      <w:r>
        <w:rPr>
          <w:rFonts w:ascii="Arial" w:hAnsi="Arial" w:cs="Arial"/>
        </w:rPr>
        <w:t xml:space="preserve">, </w:t>
      </w:r>
      <w:r w:rsidRPr="009C4BD4">
        <w:rPr>
          <w:rFonts w:ascii="Arial" w:hAnsi="Arial" w:cs="Arial"/>
        </w:rPr>
        <w:t>Laurent Groc</w:t>
      </w:r>
      <w:r w:rsidRPr="009C4BD4">
        <w:rPr>
          <w:rFonts w:ascii="Arial" w:hAnsi="Arial" w:cs="Arial"/>
          <w:vertAlign w:val="superscript"/>
        </w:rPr>
        <w:t>3</w:t>
      </w:r>
      <w:r w:rsidRPr="009C4BD4">
        <w:rPr>
          <w:rFonts w:ascii="Arial" w:hAnsi="Arial" w:cs="Arial"/>
        </w:rPr>
        <w:t>, Ali Salahpour</w:t>
      </w:r>
      <w:r w:rsidRPr="009C4BD4">
        <w:rPr>
          <w:rFonts w:ascii="Arial" w:hAnsi="Arial" w:cs="Arial"/>
          <w:vertAlign w:val="superscript"/>
        </w:rPr>
        <w:t>1</w:t>
      </w:r>
      <w:r w:rsidRPr="009C4BD4">
        <w:rPr>
          <w:rFonts w:ascii="Arial" w:hAnsi="Arial" w:cs="Arial"/>
        </w:rPr>
        <w:t>, Robert E. McCullumsmith</w:t>
      </w:r>
      <w:r w:rsidRPr="009C4BD4">
        <w:rPr>
          <w:rFonts w:ascii="Arial" w:hAnsi="Arial" w:cs="Arial"/>
          <w:vertAlign w:val="superscript"/>
        </w:rPr>
        <w:t>4</w:t>
      </w:r>
      <w:r w:rsidRPr="009C4BD4">
        <w:rPr>
          <w:rFonts w:ascii="Arial" w:hAnsi="Arial" w:cs="Arial"/>
        </w:rPr>
        <w:t xml:space="preserve">, </w:t>
      </w:r>
      <w:proofErr w:type="spellStart"/>
      <w:r>
        <w:rPr>
          <w:rFonts w:ascii="Arial" w:hAnsi="Arial" w:cs="Arial"/>
        </w:rPr>
        <w:t>Shreejoy</w:t>
      </w:r>
      <w:proofErr w:type="spellEnd"/>
      <w:r>
        <w:rPr>
          <w:rFonts w:ascii="Arial" w:hAnsi="Arial" w:cs="Arial"/>
        </w:rPr>
        <w:t xml:space="preserve"> Tripathy</w:t>
      </w:r>
      <w:r w:rsidRPr="00A8725E">
        <w:rPr>
          <w:rFonts w:ascii="Arial" w:hAnsi="Arial" w:cs="Arial"/>
          <w:vertAlign w:val="superscript"/>
        </w:rPr>
        <w:t>5</w:t>
      </w:r>
      <w:r w:rsidRPr="001D41D9">
        <w:rPr>
          <w:rFonts w:ascii="Arial" w:hAnsi="Arial" w:cs="Arial"/>
        </w:rPr>
        <w:t>,</w:t>
      </w:r>
      <w:r>
        <w:rPr>
          <w:rFonts w:ascii="Arial" w:hAnsi="Arial" w:cs="Arial"/>
          <w:vertAlign w:val="superscript"/>
        </w:rPr>
        <w:t xml:space="preserve"> </w:t>
      </w:r>
      <w:r w:rsidRPr="009C4BD4">
        <w:rPr>
          <w:rFonts w:ascii="Arial" w:hAnsi="Arial" w:cs="Arial"/>
        </w:rPr>
        <w:t>Evelyn K. Lambe</w:t>
      </w:r>
      <w:r w:rsidRPr="009C4BD4">
        <w:rPr>
          <w:rFonts w:ascii="Arial" w:hAnsi="Arial" w:cs="Arial"/>
          <w:vertAlign w:val="superscript"/>
        </w:rPr>
        <w:t>2</w:t>
      </w:r>
      <w:r w:rsidR="005F6C23">
        <w:rPr>
          <w:rFonts w:ascii="Arial" w:hAnsi="Arial" w:cs="Arial"/>
          <w:vertAlign w:val="superscript"/>
        </w:rPr>
        <w:t>,6,7</w:t>
      </w:r>
      <w:r w:rsidRPr="009C4BD4">
        <w:rPr>
          <w:rFonts w:ascii="Arial" w:hAnsi="Arial" w:cs="Arial"/>
        </w:rPr>
        <w:t>, and Amy J. Ramsey</w:t>
      </w:r>
      <w:r w:rsidRPr="009C4BD4">
        <w:rPr>
          <w:rFonts w:ascii="Arial" w:hAnsi="Arial" w:cs="Arial"/>
          <w:vertAlign w:val="superscript"/>
        </w:rPr>
        <w:t>1,2</w:t>
      </w:r>
      <w:r w:rsidRPr="009C4BD4">
        <w:rPr>
          <w:rFonts w:ascii="Arial" w:hAnsi="Arial" w:cs="Arial"/>
        </w:rPr>
        <w:t>*</w:t>
      </w:r>
    </w:p>
    <w:p w14:paraId="2CAB9315" w14:textId="77777777" w:rsidR="003008BE" w:rsidRPr="009C4BD4" w:rsidRDefault="003008BE" w:rsidP="003008BE">
      <w:pPr>
        <w:rPr>
          <w:rFonts w:ascii="Arial" w:hAnsi="Arial" w:cs="Arial"/>
        </w:rPr>
      </w:pPr>
    </w:p>
    <w:p w14:paraId="4D36674B" w14:textId="77777777" w:rsidR="003008BE" w:rsidRPr="009C4BD4" w:rsidRDefault="003008BE" w:rsidP="003008BE">
      <w:pPr>
        <w:rPr>
          <w:rFonts w:ascii="Arial" w:hAnsi="Arial" w:cs="Arial"/>
          <w:b/>
        </w:rPr>
      </w:pPr>
      <w:r w:rsidRPr="009C4BD4">
        <w:rPr>
          <w:rFonts w:ascii="Arial" w:hAnsi="Arial" w:cs="Arial"/>
          <w:b/>
        </w:rPr>
        <w:t>Affiliations:</w:t>
      </w:r>
    </w:p>
    <w:p w14:paraId="3B2579D8" w14:textId="77777777" w:rsidR="003008BE" w:rsidRPr="009C4BD4" w:rsidRDefault="003008BE" w:rsidP="003008BE">
      <w:pPr>
        <w:rPr>
          <w:rFonts w:ascii="Arial" w:hAnsi="Arial" w:cs="Arial"/>
          <w:b/>
        </w:rPr>
      </w:pPr>
    </w:p>
    <w:p w14:paraId="27C025E4" w14:textId="77777777" w:rsidR="003008BE" w:rsidRPr="009C4BD4" w:rsidRDefault="003008BE" w:rsidP="003008BE">
      <w:pPr>
        <w:rPr>
          <w:rFonts w:ascii="Arial" w:hAnsi="Arial" w:cs="Arial"/>
        </w:rPr>
      </w:pPr>
      <w:r w:rsidRPr="009C4BD4">
        <w:rPr>
          <w:rFonts w:ascii="Arial" w:hAnsi="Arial" w:cs="Arial"/>
          <w:vertAlign w:val="superscript"/>
        </w:rPr>
        <w:t>1</w:t>
      </w:r>
      <w:r w:rsidRPr="009C4BD4">
        <w:rPr>
          <w:rFonts w:ascii="Arial" w:hAnsi="Arial" w:cs="Arial"/>
        </w:rPr>
        <w:t xml:space="preserve"> Department of Pharmacology &amp; Toxicology, University of Toronto, ON, M5S 1A8, Canada</w:t>
      </w:r>
    </w:p>
    <w:p w14:paraId="117A6E2D" w14:textId="77777777" w:rsidR="003008BE" w:rsidRPr="009C4BD4" w:rsidRDefault="003008BE" w:rsidP="003008BE">
      <w:pPr>
        <w:rPr>
          <w:rFonts w:ascii="Arial" w:hAnsi="Arial" w:cs="Arial"/>
        </w:rPr>
      </w:pPr>
    </w:p>
    <w:p w14:paraId="20E17FBA" w14:textId="77777777" w:rsidR="003008BE" w:rsidRPr="009C4BD4" w:rsidRDefault="003008BE" w:rsidP="003008BE">
      <w:pPr>
        <w:rPr>
          <w:rFonts w:ascii="Arial" w:hAnsi="Arial"/>
          <w:color w:val="222222"/>
          <w:shd w:val="clear" w:color="auto" w:fill="FFFFFF"/>
          <w:lang w:val="fr-CA"/>
        </w:rPr>
      </w:pPr>
      <w:r w:rsidRPr="009C4BD4">
        <w:rPr>
          <w:rFonts w:ascii="Arial" w:hAnsi="Arial" w:cs="Arial"/>
          <w:vertAlign w:val="superscript"/>
        </w:rPr>
        <w:t>2</w:t>
      </w:r>
      <w:r w:rsidRPr="009C4BD4">
        <w:rPr>
          <w:rFonts w:ascii="Arial" w:hAnsi="Arial" w:cs="Arial"/>
        </w:rPr>
        <w:t xml:space="preserve"> Department of Physiology, University of Toronto, Toronto, ON, M5S 1A8, Canada</w:t>
      </w:r>
    </w:p>
    <w:p w14:paraId="05EDD213" w14:textId="77777777" w:rsidR="003008BE" w:rsidRPr="009C4BD4" w:rsidRDefault="003008BE" w:rsidP="003008BE">
      <w:pPr>
        <w:rPr>
          <w:rFonts w:ascii="Arial" w:hAnsi="Arial"/>
          <w:color w:val="222222"/>
          <w:shd w:val="clear" w:color="auto" w:fill="FFFFFF"/>
          <w:lang w:val="fr-CA"/>
        </w:rPr>
      </w:pPr>
    </w:p>
    <w:p w14:paraId="0FA0CBAB" w14:textId="77777777" w:rsidR="003008BE" w:rsidRDefault="003008BE" w:rsidP="003008BE">
      <w:pPr>
        <w:rPr>
          <w:rFonts w:ascii="Arial" w:hAnsi="Arial" w:cs="Arial"/>
          <w:color w:val="222222"/>
          <w:shd w:val="clear" w:color="auto" w:fill="FFFFFF"/>
        </w:rPr>
      </w:pPr>
      <w:r>
        <w:rPr>
          <w:rFonts w:ascii="Arial" w:hAnsi="Arial" w:cs="Arial"/>
          <w:color w:val="222222"/>
          <w:shd w:val="clear" w:color="auto" w:fill="FFFFFF"/>
          <w:vertAlign w:val="superscript"/>
        </w:rPr>
        <w:t>3</w:t>
      </w:r>
      <w:r w:rsidRPr="009C4BD4">
        <w:rPr>
          <w:rFonts w:ascii="Arial" w:hAnsi="Arial" w:cs="Arial"/>
          <w:color w:val="222222"/>
          <w:shd w:val="clear" w:color="auto" w:fill="FFFFFF"/>
        </w:rPr>
        <w:t>Department of Neurosciences, University of Toledo, Toledo, OH 43614 USA</w:t>
      </w:r>
    </w:p>
    <w:p w14:paraId="26B20B68" w14:textId="77777777" w:rsidR="003008BE" w:rsidRDefault="003008BE" w:rsidP="003008BE">
      <w:pPr>
        <w:rPr>
          <w:rFonts w:ascii="Arial" w:hAnsi="Arial"/>
          <w:vertAlign w:val="superscript"/>
          <w:lang w:val="fr-CA"/>
        </w:rPr>
      </w:pPr>
    </w:p>
    <w:p w14:paraId="176C55AC" w14:textId="77777777" w:rsidR="003008BE" w:rsidRDefault="003008BE" w:rsidP="003008BE">
      <w:pPr>
        <w:rPr>
          <w:rFonts w:ascii="Arial" w:hAnsi="Arial" w:cs="Arial"/>
          <w:color w:val="222222"/>
          <w:shd w:val="clear" w:color="auto" w:fill="FFFFFF"/>
        </w:rPr>
      </w:pPr>
      <w:r>
        <w:rPr>
          <w:rFonts w:ascii="Arial" w:hAnsi="Arial"/>
          <w:vertAlign w:val="superscript"/>
          <w:lang w:val="fr-CA"/>
        </w:rPr>
        <w:t>4</w:t>
      </w:r>
      <w:r w:rsidRPr="009C4BD4">
        <w:rPr>
          <w:rFonts w:ascii="Arial" w:hAnsi="Arial"/>
          <w:lang w:val="fr-CA"/>
        </w:rPr>
        <w:t xml:space="preserve">Interdisciplinary Institute for </w:t>
      </w:r>
      <w:proofErr w:type="spellStart"/>
      <w:r w:rsidRPr="009C4BD4">
        <w:rPr>
          <w:rFonts w:ascii="Arial" w:hAnsi="Arial"/>
          <w:lang w:val="fr-CA"/>
        </w:rPr>
        <w:t>NeuroScience</w:t>
      </w:r>
      <w:proofErr w:type="spellEnd"/>
      <w:r w:rsidRPr="009C4BD4">
        <w:rPr>
          <w:rFonts w:ascii="Arial" w:hAnsi="Arial"/>
          <w:lang w:val="fr-CA"/>
        </w:rPr>
        <w:t xml:space="preserve"> (IINS) CNRS, Université Bordeaux Segalen, </w:t>
      </w:r>
      <w:r w:rsidRPr="009C4BD4">
        <w:rPr>
          <w:rFonts w:ascii="Arial" w:hAnsi="Arial"/>
          <w:color w:val="222222"/>
          <w:shd w:val="clear" w:color="auto" w:fill="FFFFFF"/>
          <w:lang w:val="fr-CA"/>
        </w:rPr>
        <w:t>33000 Bordeaux, France</w:t>
      </w:r>
    </w:p>
    <w:p w14:paraId="321F6680" w14:textId="77777777" w:rsidR="003008BE" w:rsidRDefault="003008BE" w:rsidP="003008BE"/>
    <w:p w14:paraId="43A4FBD0" w14:textId="77777777" w:rsidR="005F6C23" w:rsidRDefault="003008BE" w:rsidP="003008BE">
      <w:pPr>
        <w:rPr>
          <w:rFonts w:ascii="Arial" w:hAnsi="Arial" w:cs="Arial"/>
        </w:rPr>
      </w:pPr>
      <w:r w:rsidRPr="00A8725E">
        <w:rPr>
          <w:rFonts w:ascii="Arial" w:hAnsi="Arial" w:cs="Arial"/>
          <w:vertAlign w:val="superscript"/>
        </w:rPr>
        <w:t>5</w:t>
      </w:r>
      <w:r w:rsidRPr="00A8725E">
        <w:rPr>
          <w:rFonts w:ascii="Arial" w:hAnsi="Arial" w:cs="Arial"/>
        </w:rPr>
        <w:t xml:space="preserve">Krembil Centre for </w:t>
      </w:r>
      <w:proofErr w:type="spellStart"/>
      <w:r w:rsidRPr="00A8725E">
        <w:rPr>
          <w:rFonts w:ascii="Arial" w:hAnsi="Arial" w:cs="Arial"/>
        </w:rPr>
        <w:t>Neuroinformatics</w:t>
      </w:r>
      <w:proofErr w:type="spellEnd"/>
      <w:r w:rsidRPr="00A8725E">
        <w:rPr>
          <w:rFonts w:ascii="Arial" w:hAnsi="Arial" w:cs="Arial"/>
        </w:rPr>
        <w:t>, Centre for Addiction and Mental Health, Department of Psychiatry, University of Toronto, Toronto, ON M5</w:t>
      </w:r>
      <w:r>
        <w:rPr>
          <w:rFonts w:ascii="Arial" w:hAnsi="Arial" w:cs="Arial"/>
        </w:rPr>
        <w:t>T 1L8, Canada</w:t>
      </w:r>
    </w:p>
    <w:p w14:paraId="27A55F80" w14:textId="77777777" w:rsidR="005F6C23" w:rsidRDefault="005F6C23" w:rsidP="003008BE">
      <w:pPr>
        <w:rPr>
          <w:rFonts w:ascii="Arial" w:hAnsi="Arial" w:cs="Arial"/>
        </w:rPr>
      </w:pPr>
    </w:p>
    <w:p w14:paraId="67E41F9D" w14:textId="77777777" w:rsidR="005F6C23" w:rsidRDefault="005F6C23" w:rsidP="005F6C23">
      <w:pPr>
        <w:rPr>
          <w:rFonts w:ascii="Arial" w:hAnsi="Arial" w:cs="Arial"/>
        </w:rPr>
      </w:pPr>
      <w:r w:rsidRPr="00C55E8A">
        <w:rPr>
          <w:rFonts w:ascii="Arial" w:hAnsi="Arial" w:cs="Arial"/>
          <w:vertAlign w:val="superscript"/>
        </w:rPr>
        <w:t>6</w:t>
      </w:r>
      <w:r>
        <w:rPr>
          <w:rFonts w:ascii="Arial" w:hAnsi="Arial" w:cs="Arial"/>
        </w:rPr>
        <w:t>Department of OBGYN, University of Toronto ON, M5G 1E2, Canada</w:t>
      </w:r>
    </w:p>
    <w:p w14:paraId="359DBEB3" w14:textId="77777777" w:rsidR="005F6C23" w:rsidRDefault="005F6C23" w:rsidP="005F6C23">
      <w:pPr>
        <w:rPr>
          <w:rFonts w:ascii="Arial" w:hAnsi="Arial" w:cs="Arial"/>
        </w:rPr>
      </w:pPr>
    </w:p>
    <w:p w14:paraId="7FA9ABBF" w14:textId="77777777" w:rsidR="005F6C23" w:rsidRDefault="005F6C23" w:rsidP="005F6C23">
      <w:pPr>
        <w:rPr>
          <w:rFonts w:ascii="Arial" w:hAnsi="Arial" w:cs="Arial"/>
        </w:rPr>
      </w:pPr>
      <w:r w:rsidRPr="00C55E8A">
        <w:rPr>
          <w:rFonts w:ascii="Arial" w:hAnsi="Arial" w:cs="Arial"/>
          <w:vertAlign w:val="superscript"/>
        </w:rPr>
        <w:t>7</w:t>
      </w:r>
      <w:r>
        <w:rPr>
          <w:rFonts w:ascii="Arial" w:hAnsi="Arial" w:cs="Arial"/>
        </w:rPr>
        <w:t>Department of Psychiatry, University of Toronto ON, M5T 1L8, Canada</w:t>
      </w:r>
    </w:p>
    <w:p w14:paraId="38A097A4" w14:textId="77777777" w:rsidR="005F6C23" w:rsidRPr="00A8725E" w:rsidRDefault="005F6C23" w:rsidP="005F6C23">
      <w:pPr>
        <w:rPr>
          <w:rFonts w:ascii="Arial" w:hAnsi="Arial" w:cs="Arial"/>
        </w:rPr>
      </w:pPr>
    </w:p>
    <w:p w14:paraId="79AC0D1F" w14:textId="03E6468C" w:rsidR="003008BE" w:rsidRPr="00A8725E" w:rsidRDefault="005F6C23" w:rsidP="005F6C23">
      <w:pPr>
        <w:rPr>
          <w:rFonts w:ascii="Arial" w:hAnsi="Arial" w:cs="Arial"/>
        </w:rPr>
      </w:pPr>
      <w:r w:rsidRPr="00C55E8A">
        <w:rPr>
          <w:rFonts w:ascii="Arial" w:hAnsi="Arial" w:cs="Arial"/>
          <w:vertAlign w:val="superscript"/>
        </w:rPr>
        <w:t>#</w:t>
      </w:r>
      <w:r>
        <w:rPr>
          <w:rFonts w:ascii="Arial" w:hAnsi="Arial" w:cs="Arial"/>
        </w:rPr>
        <w:t>Current affiliation: University of Pittsburgh School of Medicine, Pittsburgh PA, 15213</w:t>
      </w:r>
      <w:r w:rsidR="003008BE" w:rsidRPr="00A8725E">
        <w:rPr>
          <w:rFonts w:ascii="Arial" w:hAnsi="Arial" w:cs="Arial"/>
        </w:rPr>
        <w:t xml:space="preserve"> </w:t>
      </w:r>
    </w:p>
    <w:p w14:paraId="5880492F" w14:textId="77777777" w:rsidR="003008BE" w:rsidRPr="009C4BD4" w:rsidRDefault="003008BE" w:rsidP="003008BE"/>
    <w:p w14:paraId="5BBBF32C" w14:textId="15E27D50" w:rsidR="00015F74" w:rsidRDefault="003008BE" w:rsidP="003008BE">
      <w:pPr>
        <w:rPr>
          <w:rFonts w:ascii="Arial" w:hAnsi="Arial" w:cs="Arial"/>
        </w:rPr>
      </w:pPr>
      <w:r w:rsidRPr="009C4BD4">
        <w:rPr>
          <w:rFonts w:ascii="Arial" w:hAnsi="Arial" w:cs="Arial"/>
        </w:rPr>
        <w:t>*Correspond</w:t>
      </w:r>
      <w:r>
        <w:rPr>
          <w:rFonts w:ascii="Arial" w:hAnsi="Arial" w:cs="Arial"/>
        </w:rPr>
        <w:t>e</w:t>
      </w:r>
      <w:r w:rsidRPr="009C4BD4">
        <w:rPr>
          <w:rFonts w:ascii="Arial" w:hAnsi="Arial" w:cs="Arial"/>
        </w:rPr>
        <w:t>nce to:</w:t>
      </w:r>
      <w:r w:rsidRPr="009C4BD4">
        <w:rPr>
          <w:rFonts w:ascii="Arial" w:hAnsi="Arial" w:cs="Arial"/>
        </w:rPr>
        <w:br/>
        <w:t>Amy Ramsey</w:t>
      </w:r>
      <w:r w:rsidRPr="009C4BD4">
        <w:rPr>
          <w:rFonts w:ascii="Arial" w:hAnsi="Arial" w:cs="Arial"/>
        </w:rPr>
        <w:br/>
        <w:t>1 King’s College Circle</w:t>
      </w:r>
      <w:r w:rsidRPr="009C4BD4">
        <w:rPr>
          <w:rFonts w:ascii="Arial" w:hAnsi="Arial" w:cs="Arial"/>
        </w:rPr>
        <w:br/>
        <w:t>Room 4302 Medical Sciences Building</w:t>
      </w:r>
      <w:r w:rsidRPr="009C4BD4">
        <w:rPr>
          <w:rFonts w:ascii="Arial" w:hAnsi="Arial" w:cs="Arial"/>
        </w:rPr>
        <w:br/>
        <w:t>Toronto, ON M5S 1A8 Canada</w:t>
      </w:r>
      <w:r w:rsidRPr="009C4BD4">
        <w:rPr>
          <w:rFonts w:ascii="Arial" w:hAnsi="Arial" w:cs="Arial"/>
        </w:rPr>
        <w:br/>
        <w:t>(416) 978-2509</w:t>
      </w:r>
    </w:p>
    <w:p w14:paraId="2CEE351D" w14:textId="77777777" w:rsidR="003008BE" w:rsidRPr="009A79CF" w:rsidRDefault="003008BE" w:rsidP="003008BE">
      <w:pPr>
        <w:rPr>
          <w:rFonts w:ascii="Arial" w:hAnsi="Arial" w:cs="Arial"/>
          <w:b/>
        </w:rPr>
      </w:pPr>
    </w:p>
    <w:p w14:paraId="546CBFCA" w14:textId="456D70C1" w:rsidR="002C030F" w:rsidRPr="009A79CF" w:rsidRDefault="009743A9">
      <w:pPr>
        <w:rPr>
          <w:rFonts w:ascii="Arial" w:hAnsi="Arial" w:cs="Arial"/>
          <w:b/>
        </w:rPr>
      </w:pPr>
      <w:r w:rsidRPr="009A79CF">
        <w:rPr>
          <w:rFonts w:ascii="Arial" w:hAnsi="Arial" w:cs="Arial"/>
          <w:b/>
        </w:rPr>
        <w:t xml:space="preserve">This file </w:t>
      </w:r>
      <w:r w:rsidR="002C030F" w:rsidRPr="009A79CF">
        <w:rPr>
          <w:rFonts w:ascii="Arial" w:hAnsi="Arial" w:cs="Arial"/>
          <w:b/>
        </w:rPr>
        <w:t>includes:</w:t>
      </w:r>
    </w:p>
    <w:p w14:paraId="6B069C4B" w14:textId="77777777" w:rsidR="002C030F" w:rsidRPr="009A79CF" w:rsidRDefault="002C030F">
      <w:pPr>
        <w:rPr>
          <w:rFonts w:ascii="Arial" w:hAnsi="Arial" w:cs="Arial"/>
        </w:rPr>
      </w:pPr>
    </w:p>
    <w:p w14:paraId="77A6E95F" w14:textId="77777777" w:rsidR="002C030F" w:rsidRPr="009A79CF" w:rsidRDefault="002C030F" w:rsidP="00262D72">
      <w:pPr>
        <w:ind w:left="720"/>
        <w:rPr>
          <w:rFonts w:ascii="Arial" w:hAnsi="Arial" w:cs="Arial"/>
        </w:rPr>
      </w:pPr>
      <w:r w:rsidRPr="009A79CF">
        <w:rPr>
          <w:rFonts w:ascii="Arial" w:hAnsi="Arial" w:cs="Arial"/>
        </w:rPr>
        <w:t>Materials and Methods</w:t>
      </w:r>
    </w:p>
    <w:p w14:paraId="7FC81517" w14:textId="3CFF7D07" w:rsidR="002C030F" w:rsidRPr="009A79CF" w:rsidRDefault="00BB58FA" w:rsidP="00262D72">
      <w:pPr>
        <w:ind w:left="720"/>
        <w:rPr>
          <w:rFonts w:ascii="Arial" w:hAnsi="Arial" w:cs="Arial"/>
        </w:rPr>
      </w:pPr>
      <w:r>
        <w:rPr>
          <w:rFonts w:ascii="Arial" w:hAnsi="Arial" w:cs="Arial"/>
        </w:rPr>
        <w:t xml:space="preserve">Supplementary Figures 1 - </w:t>
      </w:r>
      <w:r w:rsidR="007B740E">
        <w:rPr>
          <w:rFonts w:ascii="Arial" w:hAnsi="Arial" w:cs="Arial"/>
        </w:rPr>
        <w:t>7</w:t>
      </w:r>
    </w:p>
    <w:p w14:paraId="29BAE7AB" w14:textId="6286E08E" w:rsidR="00A33898" w:rsidRPr="00D4549B" w:rsidRDefault="00BB58FA" w:rsidP="00D4549B">
      <w:pPr>
        <w:ind w:left="720"/>
        <w:rPr>
          <w:rFonts w:ascii="Arial" w:hAnsi="Arial" w:cs="Arial"/>
        </w:rPr>
      </w:pPr>
      <w:r>
        <w:rPr>
          <w:rFonts w:ascii="Arial" w:hAnsi="Arial" w:cs="Arial"/>
        </w:rPr>
        <w:t>Supplementary Tables 1</w:t>
      </w:r>
      <w:r w:rsidR="006F5034">
        <w:rPr>
          <w:rFonts w:ascii="Arial" w:hAnsi="Arial" w:cs="Arial"/>
        </w:rPr>
        <w:t xml:space="preserve"> - 3</w:t>
      </w:r>
      <w:r w:rsidR="00015F74">
        <w:br w:type="page"/>
      </w:r>
      <w:bookmarkStart w:id="0" w:name="Tables"/>
      <w:bookmarkStart w:id="1" w:name="MaterialsMethods"/>
      <w:bookmarkEnd w:id="0"/>
      <w:bookmarkEnd w:id="1"/>
    </w:p>
    <w:p w14:paraId="453E5C21" w14:textId="69C1B18E" w:rsidR="00A33898" w:rsidRPr="001409D5" w:rsidRDefault="00A33898" w:rsidP="001409D5">
      <w:pPr>
        <w:spacing w:line="360" w:lineRule="auto"/>
        <w:outlineLvl w:val="0"/>
        <w:rPr>
          <w:rFonts w:ascii="Arial" w:hAnsi="Arial" w:cs="Arial"/>
          <w:b/>
          <w:szCs w:val="24"/>
        </w:rPr>
      </w:pPr>
      <w:r w:rsidRPr="001409D5">
        <w:rPr>
          <w:rFonts w:ascii="Arial" w:hAnsi="Arial" w:cs="Arial"/>
          <w:b/>
          <w:szCs w:val="24"/>
        </w:rPr>
        <w:lastRenderedPageBreak/>
        <w:t>MATERIALS AND METHODS</w:t>
      </w:r>
    </w:p>
    <w:p w14:paraId="0461313D" w14:textId="77777777" w:rsidR="00A33898" w:rsidRPr="001409D5" w:rsidRDefault="00A33898" w:rsidP="001409D5">
      <w:pPr>
        <w:spacing w:line="360" w:lineRule="auto"/>
        <w:rPr>
          <w:rFonts w:ascii="Arial" w:hAnsi="Arial" w:cs="Arial"/>
          <w:b/>
          <w:szCs w:val="24"/>
        </w:rPr>
      </w:pPr>
      <w:r w:rsidRPr="001409D5">
        <w:rPr>
          <w:rFonts w:ascii="Arial" w:hAnsi="Arial" w:cs="Arial"/>
          <w:b/>
          <w:szCs w:val="24"/>
        </w:rPr>
        <w:t xml:space="preserve">Generation of </w:t>
      </w:r>
      <w:r w:rsidRPr="001409D5">
        <w:rPr>
          <w:rFonts w:ascii="Arial" w:hAnsi="Arial" w:cs="Arial"/>
          <w:b/>
          <w:i/>
          <w:szCs w:val="24"/>
        </w:rPr>
        <w:t>Grin1</w:t>
      </w:r>
      <w:r w:rsidRPr="001409D5">
        <w:rPr>
          <w:rFonts w:ascii="Arial" w:hAnsi="Arial" w:cs="Arial"/>
          <w:b/>
          <w:szCs w:val="24"/>
        </w:rPr>
        <w:t xml:space="preserve"> Inducible-Rescue Mice (</w:t>
      </w:r>
      <w:r w:rsidRPr="001409D5">
        <w:rPr>
          <w:rFonts w:ascii="Arial" w:hAnsi="Arial" w:cs="Arial"/>
          <w:b/>
          <w:i/>
          <w:szCs w:val="24"/>
        </w:rPr>
        <w:t>Grin1</w:t>
      </w:r>
      <w:r w:rsidRPr="001409D5">
        <w:rPr>
          <w:rFonts w:ascii="Arial" w:hAnsi="Arial" w:cs="Arial"/>
          <w:b/>
          <w:i/>
          <w:szCs w:val="24"/>
          <w:vertAlign w:val="superscript"/>
        </w:rPr>
        <w:t>flneo/</w:t>
      </w:r>
      <w:proofErr w:type="spellStart"/>
      <w:r w:rsidRPr="001409D5">
        <w:rPr>
          <w:rFonts w:ascii="Arial" w:hAnsi="Arial" w:cs="Arial"/>
          <w:b/>
          <w:i/>
          <w:szCs w:val="24"/>
          <w:vertAlign w:val="superscript"/>
        </w:rPr>
        <w:t>flneo</w:t>
      </w:r>
      <w:proofErr w:type="spellEnd"/>
      <w:r w:rsidRPr="001409D5">
        <w:rPr>
          <w:rFonts w:ascii="Arial" w:hAnsi="Arial" w:cs="Arial"/>
          <w:b/>
          <w:szCs w:val="24"/>
        </w:rPr>
        <w:t>)</w:t>
      </w:r>
      <w:r w:rsidRPr="001409D5">
        <w:rPr>
          <w:rFonts w:ascii="Arial" w:hAnsi="Arial" w:cs="Arial"/>
          <w:b/>
          <w:szCs w:val="24"/>
        </w:rPr>
        <w:br/>
      </w:r>
      <w:r w:rsidRPr="001409D5">
        <w:rPr>
          <w:rFonts w:ascii="Arial" w:hAnsi="Arial" w:cs="Arial"/>
          <w:szCs w:val="24"/>
        </w:rPr>
        <w:t xml:space="preserve">Animal housing and experimentation were carried out in accordance with the Canadian Council in Animal Care (CCAC) guidelines for the care and use of animals and following protocols approved by the Faculty of Medicine and Pharmacy Animal Care Committee at the University of Toronto. Mice were group housed with littermates on a 12-h light-dark cycle (0700 to 1900h) and were given </w:t>
      </w:r>
      <w:r w:rsidRPr="001409D5">
        <w:rPr>
          <w:rFonts w:ascii="Arial" w:hAnsi="Arial" w:cs="Arial"/>
          <w:i/>
          <w:szCs w:val="24"/>
        </w:rPr>
        <w:t>ad libitum</w:t>
      </w:r>
      <w:r w:rsidRPr="001409D5">
        <w:rPr>
          <w:rFonts w:ascii="Arial" w:hAnsi="Arial" w:cs="Arial"/>
          <w:szCs w:val="24"/>
        </w:rPr>
        <w:t xml:space="preserve"> access to food (2018 </w:t>
      </w:r>
      <w:proofErr w:type="spellStart"/>
      <w:r w:rsidRPr="001409D5">
        <w:rPr>
          <w:rFonts w:ascii="Arial" w:hAnsi="Arial" w:cs="Arial"/>
          <w:szCs w:val="24"/>
        </w:rPr>
        <w:t>Teklad</w:t>
      </w:r>
      <w:proofErr w:type="spellEnd"/>
      <w:r w:rsidRPr="001409D5">
        <w:rPr>
          <w:rFonts w:ascii="Arial" w:hAnsi="Arial" w:cs="Arial"/>
          <w:szCs w:val="24"/>
        </w:rPr>
        <w:t xml:space="preserve"> Global 18% Protein Rodent Diet, </w:t>
      </w:r>
      <w:proofErr w:type="spellStart"/>
      <w:r w:rsidRPr="001409D5">
        <w:rPr>
          <w:rFonts w:ascii="Arial" w:hAnsi="Arial" w:cs="Arial"/>
          <w:szCs w:val="24"/>
        </w:rPr>
        <w:t>Envigo</w:t>
      </w:r>
      <w:proofErr w:type="spellEnd"/>
      <w:r w:rsidRPr="001409D5">
        <w:rPr>
          <w:rFonts w:ascii="Arial" w:hAnsi="Arial" w:cs="Arial"/>
          <w:szCs w:val="24"/>
        </w:rPr>
        <w:t>, Madison Wisconsin USA, www.envigo.com). Tail biopsy for genotyping and toe tattooing for identification was performed at PD13 (± 3 days) and mice were weaned at P21.</w:t>
      </w:r>
    </w:p>
    <w:p w14:paraId="1FAAB413" w14:textId="77777777" w:rsidR="00A33898" w:rsidRPr="001409D5" w:rsidRDefault="00A33898" w:rsidP="001409D5">
      <w:pPr>
        <w:spacing w:line="360" w:lineRule="auto"/>
        <w:rPr>
          <w:rFonts w:ascii="Arial" w:hAnsi="Arial" w:cs="Arial"/>
          <w:i/>
          <w:szCs w:val="24"/>
        </w:rPr>
      </w:pPr>
    </w:p>
    <w:p w14:paraId="72CAF83E" w14:textId="4F1AE6BD" w:rsidR="00A33898" w:rsidRPr="001409D5" w:rsidRDefault="00A33898" w:rsidP="001409D5">
      <w:pPr>
        <w:spacing w:line="360" w:lineRule="auto"/>
        <w:rPr>
          <w:rFonts w:ascii="Arial" w:hAnsi="Arial" w:cs="Arial"/>
          <w:szCs w:val="24"/>
        </w:rPr>
      </w:pPr>
      <w:r w:rsidRPr="001409D5">
        <w:rPr>
          <w:rFonts w:ascii="Arial" w:hAnsi="Arial" w:cs="Arial"/>
          <w:i/>
          <w:szCs w:val="24"/>
        </w:rPr>
        <w:t>ROSA26</w:t>
      </w:r>
      <w:r w:rsidRPr="001409D5">
        <w:rPr>
          <w:rFonts w:ascii="Arial" w:hAnsi="Arial" w:cs="Arial"/>
          <w:i/>
          <w:szCs w:val="24"/>
          <w:vertAlign w:val="superscript"/>
        </w:rPr>
        <w:t>CreERT2</w:t>
      </w:r>
      <w:r w:rsidRPr="001409D5">
        <w:rPr>
          <w:rFonts w:ascii="Arial" w:hAnsi="Arial" w:cs="Arial"/>
          <w:szCs w:val="24"/>
        </w:rPr>
        <w:t xml:space="preserve"> mice were obtained from Jackson Laboratory (008463; B6.129-</w:t>
      </w:r>
      <w:r w:rsidRPr="001409D5">
        <w:rPr>
          <w:rFonts w:ascii="Arial" w:hAnsi="Arial" w:cs="Arial"/>
          <w:i/>
          <w:szCs w:val="24"/>
        </w:rPr>
        <w:t>Gt(ROSA)26Sor</w:t>
      </w:r>
      <w:r w:rsidRPr="001409D5">
        <w:rPr>
          <w:rFonts w:ascii="Arial" w:hAnsi="Arial" w:cs="Arial"/>
          <w:i/>
          <w:szCs w:val="24"/>
          <w:vertAlign w:val="superscript"/>
        </w:rPr>
        <w:t>tm1(</w:t>
      </w:r>
      <w:proofErr w:type="spellStart"/>
      <w:r w:rsidRPr="001409D5">
        <w:rPr>
          <w:rFonts w:ascii="Arial" w:hAnsi="Arial" w:cs="Arial"/>
          <w:i/>
          <w:szCs w:val="24"/>
          <w:vertAlign w:val="superscript"/>
        </w:rPr>
        <w:t>cre</w:t>
      </w:r>
      <w:proofErr w:type="spellEnd"/>
      <w:r w:rsidRPr="001409D5">
        <w:rPr>
          <w:rFonts w:ascii="Arial" w:hAnsi="Arial" w:cs="Arial"/>
          <w:i/>
          <w:szCs w:val="24"/>
          <w:vertAlign w:val="superscript"/>
        </w:rPr>
        <w:t>/ERT2)</w:t>
      </w:r>
      <w:proofErr w:type="spellStart"/>
      <w:r w:rsidRPr="001409D5">
        <w:rPr>
          <w:rFonts w:ascii="Arial" w:hAnsi="Arial" w:cs="Arial"/>
          <w:i/>
          <w:szCs w:val="24"/>
          <w:vertAlign w:val="superscript"/>
        </w:rPr>
        <w:t>Tyj</w:t>
      </w:r>
      <w:proofErr w:type="spellEnd"/>
      <w:r w:rsidRPr="001409D5">
        <w:rPr>
          <w:rFonts w:ascii="Arial" w:hAnsi="Arial" w:cs="Arial"/>
          <w:i/>
          <w:szCs w:val="24"/>
        </w:rPr>
        <w:t>/J</w:t>
      </w:r>
      <w:r w:rsidRPr="001409D5">
        <w:rPr>
          <w:rFonts w:ascii="Arial" w:hAnsi="Arial" w:cs="Arial"/>
          <w:szCs w:val="24"/>
        </w:rPr>
        <w:t>), and were previously described</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{"citationItems":[{"id":"ITEM-1","itemData":{"DOI":"10.1038/nature05541","ISBN":"1476-4687 (Electronic)\\r0028-0836 (Linking)","ISSN":"14764687","PMID":"17251932","abstract":"Tumorigenesis is a multi-step process that requires activation of oncogenes and inactivation of tumour suppressor genes. Mouse models of human cancers have recently demonstrated that continuous expression of a dominantly acting oncogene (for example, Hras, Kras and Myc) is often required for tumour maintenance; this phenotype is referred to as oncogene addiction. This concept has received clinical validation by the development of active anticancer drugs that specifically inhibit the function of oncoproteins such as BCR-ABL, c-KIT and EGFR. Identifying additional gene mutations that are required for tumour maintenance may therefore yield clinically useful targets for new cancer therapies. Although loss of p53 function is a common feature of human cancers, it is not known whether sustained inactivation of this or other tumour suppressor pathways is required for tumour maintenance. To explore this issue, we developed a Cre-loxP-based strategy to temporally control tumour suppressor gene expression in vivo. Here we show that restoring endogenous p53 expression leads to regression of autochthonous lymphomas and sarcomas in mice without affecting normal tissues. The mechanism responsible for tumour regression is dependent on the tumour type, with the main consequence of p53 restoration being apoptosis in lymphomas and suppression of cell growth with features of cellular senescence in sarcomas. These results support efforts to treat human cancers by way of pharmacological reactivation of p53.","author":[{"dropping-particle":"","family":"Ventura","given":"Andrea","non-dropping-particle":"","parse-names":false,"suffix":""},{"dropping-particle":"","family":"Kirsch","given":"David G.","non-dropping-particle":"","parse-names":false,"suffix":""},{"dropping-particle":"","family":"McLaughlin","given":"Margaret E.","non-dropping-particle":"","parse-names":false,"suffix":""},{"dropping-particle":"","family":"Tuveson","given":"David A.","non-dropping-particle":"","parse-names":false,"suffix":""},{"dropping-particle":"","family":"Grimm","given":"Jan","non-dropping-particle":"","parse-names":false,"suffix":""},{"dropping-particle":"","family":"Lintault","given":"Laura","non-dropping-particle":"","parse-names":false,"suffix":""},{"dropping-particle":"","family":"Newman","given":"Jamie","non-dropping-particle":"","parse-names":false,"suffix":""},{"dropping-particle":"","family":"Reczek","given":"Elizabeth E.","non-dropping-particle":"","parse-names":false,"suffix":""},{"dropping-particle":"","family":"Weissleder","given":"Ralph","non-dropping-particle":"","parse-names":false,"suffix":""},{"dropping-particle":"","family":"Jacks","given":"Tyler","non-dropping-particle":"","parse-names":false,"suffix":""}],"container-title":"Nature","id":"ITEM-1","issue":"7128","issued":{"date-parts":[["2007","2","24"]]},"page":"661-665","title":"Restoration of p53 function leads to tumour regression in vivo","type":"article-journal","volume":"445"},"uris":["http://www.mendeley.com/documents/?uuid=58766fb8-7eb5-36aa-80d1-706cc2855fd5"]}],"mendeley":{"formattedCitation":"[1]","plainTextFormattedCitation":"[1]","previouslyFormattedCitation":"(Ventura et al., 2007)"},"properties":{"noteIndex":0},"schema":"https://github.com/citation-style-language/schema/raw/master/csl-citation.json"}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[1]</w:t>
      </w:r>
      <w:r w:rsidRPr="001409D5">
        <w:rPr>
          <w:rFonts w:ascii="Arial" w:hAnsi="Arial" w:cs="Arial"/>
          <w:szCs w:val="24"/>
        </w:rPr>
        <w:fldChar w:fldCharType="end"/>
      </w:r>
      <w:r w:rsidRPr="001409D5">
        <w:rPr>
          <w:rFonts w:ascii="Arial" w:hAnsi="Arial" w:cs="Arial"/>
          <w:szCs w:val="24"/>
        </w:rPr>
        <w:t xml:space="preserve">. Mice harboring the </w:t>
      </w:r>
      <w:proofErr w:type="spellStart"/>
      <w:r w:rsidRPr="001409D5">
        <w:rPr>
          <w:rFonts w:ascii="Arial" w:hAnsi="Arial" w:cs="Arial"/>
          <w:szCs w:val="24"/>
        </w:rPr>
        <w:t>Cre</w:t>
      </w:r>
      <w:proofErr w:type="spellEnd"/>
      <w:r w:rsidRPr="001409D5">
        <w:rPr>
          <w:rFonts w:ascii="Arial" w:hAnsi="Arial" w:cs="Arial"/>
          <w:szCs w:val="24"/>
        </w:rPr>
        <w:t xml:space="preserve"> transgene were identified by PCR of genomic DNA using the following primers: common forward 5’-</w:t>
      </w:r>
      <w:r w:rsidRPr="001409D5">
        <w:rPr>
          <w:szCs w:val="24"/>
        </w:rPr>
        <w:t xml:space="preserve"> </w:t>
      </w:r>
      <w:r w:rsidRPr="001409D5">
        <w:rPr>
          <w:rFonts w:ascii="Arial" w:hAnsi="Arial" w:cs="Arial"/>
          <w:szCs w:val="24"/>
        </w:rPr>
        <w:t>AAA GTC GCT CTG AGT TGT TAT-3’, wildtype reverse 5’-</w:t>
      </w:r>
      <w:r w:rsidRPr="001409D5">
        <w:rPr>
          <w:szCs w:val="24"/>
        </w:rPr>
        <w:t xml:space="preserve"> </w:t>
      </w:r>
      <w:r w:rsidRPr="001409D5">
        <w:rPr>
          <w:rFonts w:ascii="Arial" w:hAnsi="Arial" w:cs="Arial"/>
          <w:szCs w:val="24"/>
        </w:rPr>
        <w:t>GGA GCG GGA GAA ATG GAT ATG-3’, mutant reverse 5’-</w:t>
      </w:r>
      <w:r w:rsidRPr="001409D5">
        <w:rPr>
          <w:szCs w:val="24"/>
        </w:rPr>
        <w:t xml:space="preserve"> </w:t>
      </w:r>
      <w:r w:rsidRPr="001409D5">
        <w:rPr>
          <w:rFonts w:ascii="Arial" w:hAnsi="Arial" w:cs="Arial"/>
          <w:szCs w:val="24"/>
        </w:rPr>
        <w:t>CCT GAT CCT GGC AAT TTC G-3’.</w:t>
      </w:r>
    </w:p>
    <w:p w14:paraId="6FA25D54" w14:textId="77777777" w:rsidR="00A33898" w:rsidRPr="001409D5" w:rsidRDefault="00A33898" w:rsidP="001409D5">
      <w:pPr>
        <w:spacing w:line="360" w:lineRule="auto"/>
        <w:rPr>
          <w:rFonts w:ascii="Arial" w:hAnsi="Arial" w:cs="Arial"/>
          <w:szCs w:val="24"/>
        </w:rPr>
      </w:pPr>
    </w:p>
    <w:p w14:paraId="42E354A1" w14:textId="726CADD8" w:rsidR="00A33898" w:rsidRPr="001409D5" w:rsidRDefault="00A33898" w:rsidP="001409D5">
      <w:pPr>
        <w:spacing w:line="360" w:lineRule="auto"/>
        <w:rPr>
          <w:rFonts w:ascii="Arial" w:hAnsi="Arial" w:cs="Arial"/>
          <w:szCs w:val="24"/>
        </w:rPr>
      </w:pPr>
      <w:r w:rsidRPr="001409D5">
        <w:rPr>
          <w:rFonts w:ascii="Arial" w:hAnsi="Arial" w:cs="Arial"/>
          <w:szCs w:val="24"/>
        </w:rPr>
        <w:t xml:space="preserve">The </w:t>
      </w:r>
      <w:proofErr w:type="spellStart"/>
      <w:r w:rsidRPr="001409D5">
        <w:rPr>
          <w:rFonts w:ascii="Arial" w:hAnsi="Arial" w:cs="Arial"/>
          <w:szCs w:val="24"/>
        </w:rPr>
        <w:t>Cre</w:t>
      </w:r>
      <w:proofErr w:type="spellEnd"/>
      <w:r w:rsidRPr="001409D5">
        <w:rPr>
          <w:rFonts w:ascii="Arial" w:hAnsi="Arial" w:cs="Arial"/>
          <w:szCs w:val="24"/>
        </w:rPr>
        <w:t xml:space="preserve">-reporter mouse line used, </w:t>
      </w:r>
      <w:r w:rsidRPr="001409D5">
        <w:rPr>
          <w:rFonts w:ascii="Arial" w:hAnsi="Arial" w:cs="Arial"/>
          <w:i/>
          <w:szCs w:val="24"/>
        </w:rPr>
        <w:t>ROSA26</w:t>
      </w:r>
      <w:r w:rsidRPr="001409D5">
        <w:rPr>
          <w:rFonts w:ascii="Arial" w:hAnsi="Arial" w:cs="Arial"/>
          <w:i/>
          <w:szCs w:val="24"/>
          <w:vertAlign w:val="superscript"/>
        </w:rPr>
        <w:t>tdTomato</w:t>
      </w:r>
      <w:r w:rsidRPr="001409D5">
        <w:rPr>
          <w:rFonts w:ascii="Arial" w:hAnsi="Arial" w:cs="Arial"/>
          <w:szCs w:val="24"/>
        </w:rPr>
        <w:t>, was obtained from Jackson Laboratory (007914; B</w:t>
      </w:r>
      <w:proofErr w:type="gramStart"/>
      <w:r w:rsidRPr="001409D5">
        <w:rPr>
          <w:rFonts w:ascii="Arial" w:hAnsi="Arial" w:cs="Arial"/>
          <w:szCs w:val="24"/>
        </w:rPr>
        <w:t>6.Cg</w:t>
      </w:r>
      <w:proofErr w:type="gramEnd"/>
      <w:r w:rsidRPr="001409D5">
        <w:rPr>
          <w:rFonts w:ascii="Arial" w:hAnsi="Arial" w:cs="Arial"/>
          <w:szCs w:val="24"/>
        </w:rPr>
        <w:t>-</w:t>
      </w:r>
      <w:r w:rsidRPr="001409D5">
        <w:rPr>
          <w:rFonts w:ascii="Arial" w:hAnsi="Arial" w:cs="Arial"/>
          <w:i/>
          <w:szCs w:val="24"/>
        </w:rPr>
        <w:t>Gt(ROSA)26Sor</w:t>
      </w:r>
      <w:r w:rsidRPr="001409D5">
        <w:rPr>
          <w:rFonts w:ascii="Arial" w:hAnsi="Arial" w:cs="Arial"/>
          <w:i/>
          <w:szCs w:val="24"/>
          <w:vertAlign w:val="superscript"/>
        </w:rPr>
        <w:t>t</w:t>
      </w:r>
      <w:r w:rsidRPr="001409D5">
        <w:rPr>
          <w:rFonts w:ascii="Arial" w:hAnsi="Arial" w:cs="Arial"/>
          <w:szCs w:val="24"/>
          <w:vertAlign w:val="superscript"/>
        </w:rPr>
        <w:t>m</w:t>
      </w:r>
      <w:r w:rsidRPr="001409D5">
        <w:rPr>
          <w:rFonts w:ascii="Arial" w:hAnsi="Arial" w:cs="Arial"/>
          <w:i/>
          <w:szCs w:val="24"/>
          <w:vertAlign w:val="superscript"/>
        </w:rPr>
        <w:t>14(CAG-</w:t>
      </w:r>
      <w:proofErr w:type="spellStart"/>
      <w:r w:rsidRPr="001409D5">
        <w:rPr>
          <w:rFonts w:ascii="Arial" w:hAnsi="Arial" w:cs="Arial"/>
          <w:i/>
          <w:szCs w:val="24"/>
          <w:vertAlign w:val="superscript"/>
        </w:rPr>
        <w:t>tdTomato</w:t>
      </w:r>
      <w:proofErr w:type="spellEnd"/>
      <w:r w:rsidRPr="001409D5">
        <w:rPr>
          <w:rFonts w:ascii="Arial" w:hAnsi="Arial" w:cs="Arial"/>
          <w:i/>
          <w:szCs w:val="24"/>
          <w:vertAlign w:val="superscript"/>
        </w:rPr>
        <w:t>)</w:t>
      </w:r>
      <w:proofErr w:type="spellStart"/>
      <w:r w:rsidRPr="001409D5">
        <w:rPr>
          <w:rFonts w:ascii="Arial" w:hAnsi="Arial" w:cs="Arial"/>
          <w:i/>
          <w:szCs w:val="24"/>
          <w:vertAlign w:val="superscript"/>
        </w:rPr>
        <w:t>Hze</w:t>
      </w:r>
      <w:proofErr w:type="spellEnd"/>
      <w:r w:rsidRPr="001409D5">
        <w:rPr>
          <w:rFonts w:ascii="Arial" w:hAnsi="Arial" w:cs="Arial"/>
          <w:szCs w:val="24"/>
        </w:rPr>
        <w:t xml:space="preserve">/J) and was crossed with the </w:t>
      </w:r>
      <w:r w:rsidRPr="001409D5">
        <w:rPr>
          <w:rFonts w:ascii="Arial" w:hAnsi="Arial" w:cs="Arial"/>
          <w:i/>
          <w:szCs w:val="24"/>
        </w:rPr>
        <w:t>ROSA26</w:t>
      </w:r>
      <w:r w:rsidRPr="001409D5">
        <w:rPr>
          <w:rFonts w:ascii="Arial" w:hAnsi="Arial" w:cs="Arial"/>
          <w:i/>
          <w:szCs w:val="24"/>
          <w:vertAlign w:val="superscript"/>
        </w:rPr>
        <w:t>CreERT2</w:t>
      </w:r>
      <w:r w:rsidRPr="001409D5">
        <w:rPr>
          <w:rFonts w:ascii="Arial" w:hAnsi="Arial" w:cs="Arial"/>
          <w:szCs w:val="24"/>
        </w:rPr>
        <w:t xml:space="preserve"> line. The mouse line expresses </w:t>
      </w:r>
      <w:proofErr w:type="spellStart"/>
      <w:r w:rsidRPr="001409D5">
        <w:rPr>
          <w:rFonts w:ascii="Arial" w:hAnsi="Arial" w:cs="Arial"/>
          <w:szCs w:val="24"/>
        </w:rPr>
        <w:t>tdTomato</w:t>
      </w:r>
      <w:proofErr w:type="spellEnd"/>
      <w:r w:rsidRPr="001409D5">
        <w:rPr>
          <w:rFonts w:ascii="Arial" w:hAnsi="Arial" w:cs="Arial"/>
          <w:szCs w:val="24"/>
        </w:rPr>
        <w:t xml:space="preserve"> following </w:t>
      </w:r>
      <w:proofErr w:type="spellStart"/>
      <w:r w:rsidRPr="001409D5">
        <w:rPr>
          <w:rFonts w:ascii="Arial" w:hAnsi="Arial" w:cs="Arial"/>
          <w:szCs w:val="24"/>
        </w:rPr>
        <w:t>Cre</w:t>
      </w:r>
      <w:proofErr w:type="spellEnd"/>
      <w:r w:rsidRPr="001409D5">
        <w:rPr>
          <w:rFonts w:ascii="Arial" w:hAnsi="Arial" w:cs="Arial"/>
          <w:szCs w:val="24"/>
        </w:rPr>
        <w:t xml:space="preserve">-mediated recombination. This mouse line was used to ensure ubiquitous activation of </w:t>
      </w:r>
      <w:proofErr w:type="spellStart"/>
      <w:r w:rsidRPr="001409D5">
        <w:rPr>
          <w:rFonts w:ascii="Arial" w:hAnsi="Arial" w:cs="Arial"/>
          <w:szCs w:val="24"/>
        </w:rPr>
        <w:t>Cre</w:t>
      </w:r>
      <w:proofErr w:type="spellEnd"/>
      <w:r w:rsidRPr="001409D5">
        <w:rPr>
          <w:rFonts w:ascii="Arial" w:hAnsi="Arial" w:cs="Arial"/>
          <w:szCs w:val="24"/>
        </w:rPr>
        <w:t xml:space="preserve"> following tamoxifen administration as previously described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{"citationItems":[{"id":"ITEM-1","itemData":{"DOI":"10.1038/nn.2467","ISBN":"1546-1726 (Electronic)\\n1097-6256 (Linking)","ISSN":"10976256","PMID":"20023653","abstract":"The Cre/lox system is widely used in mice to achieve cell-type-specific gene expression. However, a strong and universally responding system to express genes under Cre control is still lacking. We have generated a set of Cre reporter mice with strong, ubiquitous expression of fluorescent proteins of different spectra. The robust native fluorescence of these reporters enables direct visualization of fine dendritic structures and axonal projections of the labeled neurons, which is useful in mapping neuronal circuitry, imaging and tracking specific cell populations in vivo. Using these reporters and a high-throughput in situ hybridization platform, we are systematically profiling Cre-directed gene expression throughout the mouse brain in several Cre-driver lines, including new Cre lines targeting different cell types in the cortex. Our expression data are displayed in a public online database to help researchers assess the utility of various Cre-driver lines for cell-type-specific genetic manipulation.","author":[{"dropping-particle":"","family":"Madisen","given":"Linda","non-dropping-particle":"","parse-names":false,"suffix":""},{"dropping-particle":"","family":"Zwingman","given":"Theresa A","non-dropping-particle":"","parse-names":false,"suffix":""},{"dropping-particle":"","family":"Sunkin","given":"Susan M","non-dropping-particle":"","parse-names":false,"suffix":""},{"dropping-particle":"","family":"Oh","given":"Seung Wook","non-dropping-particle":"","parse-names":false,"suffix":""},{"dropping-particle":"","family":"Zariwala","given":"Hatim A","non-dropping-particle":"","parse-names":false,"suffix":""},{"dropping-particle":"","family":"Gu","given":"Hong","non-dropping-particle":"","parse-names":false,"suffix":""},{"dropping-particle":"","family":"Ng","given":"Lydia L","non-dropping-particle":"","parse-names":false,"suffix":""},{"dropping-particle":"","family":"Palmiter","given":"Richard D","non-dropping-particle":"","parse-names":false,"suffix":""},{"dropping-particle":"","family":"Hawrylycz","given":"Michael J","non-dropping-particle":"","parse-names":false,"suffix":""},{"dropping-particle":"","family":"Jones","given":"Allan R","non-dropping-particle":"","parse-names":false,"suffix":""},{"dropping-particle":"","family":"Lein","given":"Ed S","non-dropping-particle":"","parse-names":false,"suffix":""},{"dropping-particle":"","family":"Zeng","given":"Hongkui","non-dropping-particle":"","parse-names":false,"suffix":""}],"container-title":"Nature Neuroscience","id":"ITEM-1","issue":"1","issued":{"date-parts":[["2010","1","20"]]},"page":"133-140","title":"A robust and high-throughput Cre reporting and characterization system for the whole mouse brain","type":"article-journal","volume":"13"},"uris":["http://www.mendeley.com/documents/?uuid=30043668-6839-3298-8c15-b182bac3fb50"]}],"mendeley":{"formattedCitation":"[2]","plainTextFormattedCitation":"[2]","previouslyFormattedCitation":"(Madisen et al., 2010)"},"properties":{"noteIndex":0},"schema":"https://github.com/citation-style-language/schema/raw/master/csl-citation.json"}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[2]</w:t>
      </w:r>
      <w:r w:rsidRPr="001409D5">
        <w:rPr>
          <w:rFonts w:ascii="Arial" w:hAnsi="Arial" w:cs="Arial"/>
          <w:szCs w:val="24"/>
        </w:rPr>
        <w:fldChar w:fldCharType="end"/>
      </w:r>
      <w:r w:rsidRPr="001409D5">
        <w:rPr>
          <w:rFonts w:ascii="Arial" w:hAnsi="Arial" w:cs="Arial"/>
          <w:szCs w:val="24"/>
        </w:rPr>
        <w:t xml:space="preserve">. Mice harboring the </w:t>
      </w:r>
      <w:proofErr w:type="spellStart"/>
      <w:r w:rsidRPr="001409D5">
        <w:rPr>
          <w:rFonts w:ascii="Arial" w:hAnsi="Arial" w:cs="Arial"/>
          <w:szCs w:val="24"/>
        </w:rPr>
        <w:t>Cre</w:t>
      </w:r>
      <w:proofErr w:type="spellEnd"/>
      <w:r w:rsidRPr="001409D5">
        <w:rPr>
          <w:rFonts w:ascii="Arial" w:hAnsi="Arial" w:cs="Arial"/>
          <w:szCs w:val="24"/>
        </w:rPr>
        <w:t>-reporter transgene were identified by PCR of genomic DNA using the following primers: wildtype forward 5’-</w:t>
      </w:r>
      <w:r w:rsidRPr="001409D5">
        <w:rPr>
          <w:szCs w:val="24"/>
        </w:rPr>
        <w:t xml:space="preserve"> </w:t>
      </w:r>
      <w:r w:rsidRPr="001409D5">
        <w:rPr>
          <w:rFonts w:ascii="Arial" w:hAnsi="Arial" w:cs="Arial"/>
          <w:szCs w:val="24"/>
        </w:rPr>
        <w:t>AAG GGA GCT GCA GTG GAG TA-3’, wildtype reverse 5’-</w:t>
      </w:r>
      <w:r w:rsidRPr="001409D5">
        <w:rPr>
          <w:szCs w:val="24"/>
        </w:rPr>
        <w:t xml:space="preserve"> </w:t>
      </w:r>
      <w:r w:rsidRPr="001409D5">
        <w:rPr>
          <w:rFonts w:ascii="Arial" w:hAnsi="Arial" w:cs="Arial"/>
          <w:szCs w:val="24"/>
        </w:rPr>
        <w:t>CCG AAA ATC TGT GGG AAG TC-3’, mutant forward 5’-</w:t>
      </w:r>
      <w:r w:rsidRPr="001409D5">
        <w:rPr>
          <w:szCs w:val="24"/>
        </w:rPr>
        <w:t xml:space="preserve"> </w:t>
      </w:r>
      <w:r w:rsidRPr="001409D5">
        <w:rPr>
          <w:rFonts w:ascii="Arial" w:hAnsi="Arial" w:cs="Arial"/>
          <w:szCs w:val="24"/>
        </w:rPr>
        <w:t>GGC ATT AAA GCA GCG TAT CC-3’, mutant reverse 5’-</w:t>
      </w:r>
      <w:r w:rsidRPr="001409D5">
        <w:rPr>
          <w:szCs w:val="24"/>
        </w:rPr>
        <w:t xml:space="preserve"> </w:t>
      </w:r>
      <w:r w:rsidRPr="001409D5">
        <w:rPr>
          <w:rFonts w:ascii="Arial" w:hAnsi="Arial" w:cs="Arial"/>
          <w:szCs w:val="24"/>
        </w:rPr>
        <w:t>CTG TTC CTG TAC GGC ATG G-3’.</w:t>
      </w:r>
    </w:p>
    <w:p w14:paraId="26327ABC" w14:textId="77777777" w:rsidR="00A33898" w:rsidRPr="001409D5" w:rsidRDefault="00A33898" w:rsidP="001409D5">
      <w:pPr>
        <w:spacing w:line="360" w:lineRule="auto"/>
        <w:rPr>
          <w:rFonts w:ascii="Arial" w:hAnsi="Arial" w:cs="Arial"/>
          <w:i/>
          <w:szCs w:val="24"/>
        </w:rPr>
      </w:pPr>
    </w:p>
    <w:p w14:paraId="799B3464" w14:textId="63F5EF6D" w:rsidR="00A33898" w:rsidRPr="001409D5" w:rsidRDefault="00A33898" w:rsidP="001409D5">
      <w:pPr>
        <w:spacing w:line="360" w:lineRule="auto"/>
        <w:rPr>
          <w:rFonts w:ascii="Arial" w:hAnsi="Arial" w:cs="Arial"/>
          <w:szCs w:val="24"/>
        </w:rPr>
      </w:pPr>
      <w:r w:rsidRPr="001409D5">
        <w:rPr>
          <w:rFonts w:ascii="Arial" w:hAnsi="Arial" w:cs="Arial"/>
          <w:i/>
          <w:szCs w:val="24"/>
        </w:rPr>
        <w:t>Grin1</w:t>
      </w:r>
      <w:r w:rsidRPr="001409D5">
        <w:rPr>
          <w:rFonts w:ascii="Arial" w:hAnsi="Arial" w:cs="Arial"/>
          <w:i/>
          <w:szCs w:val="24"/>
          <w:vertAlign w:val="superscript"/>
        </w:rPr>
        <w:t>flneo/</w:t>
      </w:r>
      <w:proofErr w:type="spellStart"/>
      <w:r w:rsidRPr="001409D5">
        <w:rPr>
          <w:rFonts w:ascii="Arial" w:hAnsi="Arial" w:cs="Arial"/>
          <w:i/>
          <w:szCs w:val="24"/>
          <w:vertAlign w:val="superscript"/>
        </w:rPr>
        <w:t>flneo</w:t>
      </w:r>
      <w:proofErr w:type="spellEnd"/>
      <w:r w:rsidRPr="001409D5">
        <w:rPr>
          <w:rFonts w:ascii="Arial" w:hAnsi="Arial" w:cs="Arial"/>
          <w:i/>
          <w:szCs w:val="24"/>
          <w:vertAlign w:val="superscript"/>
        </w:rPr>
        <w:t xml:space="preserve"> </w:t>
      </w:r>
      <w:r w:rsidRPr="001409D5">
        <w:rPr>
          <w:rFonts w:ascii="Arial" w:hAnsi="Arial" w:cs="Arial"/>
          <w:szCs w:val="24"/>
        </w:rPr>
        <w:t xml:space="preserve">mice were generated at the University of Toronto, based on the previously described </w:t>
      </w:r>
      <w:r w:rsidRPr="001409D5">
        <w:rPr>
          <w:rFonts w:ascii="Arial" w:hAnsi="Arial" w:cs="Arial"/>
          <w:i/>
          <w:szCs w:val="24"/>
        </w:rPr>
        <w:t>Grin1</w:t>
      </w:r>
      <w:r w:rsidRPr="001409D5">
        <w:rPr>
          <w:rFonts w:ascii="Arial" w:hAnsi="Arial" w:cs="Arial"/>
          <w:i/>
          <w:szCs w:val="24"/>
          <w:vertAlign w:val="superscript"/>
        </w:rPr>
        <w:t>neo/neo</w:t>
      </w:r>
      <w:r w:rsidRPr="001409D5">
        <w:rPr>
          <w:rFonts w:ascii="Arial" w:hAnsi="Arial" w:cs="Arial"/>
          <w:szCs w:val="24"/>
          <w:vertAlign w:val="superscript"/>
        </w:rPr>
        <w:t xml:space="preserve"> </w:t>
      </w:r>
      <w:r w:rsidRPr="001409D5">
        <w:rPr>
          <w:rFonts w:ascii="Arial" w:hAnsi="Arial" w:cs="Arial"/>
          <w:szCs w:val="24"/>
        </w:rPr>
        <w:t xml:space="preserve">mouse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{"citationItems":[{"id":"ITEM-1","itemData":{"DOI":"10.1016/S0092-8674(00)81972-8","ISBN":"0092-8674 (Print)","ISSN":"00928674","PMID":"10481908","abstract":"N-methyl-D-aspartate receptors (NMDARs) represent a subclass of glutamate receptors that play a critical role in neuronal development and physiology. We report here the generation of mice expressing only 5% of normal levels of the essential NMDAR1 (NR1) subunit. Unlike NR1 null mice, these mice survive to adulthood and display behavioral abnormalities, including increased motor activity and stereotypy and deficits in social and sexual interactions. These behavioral alterations are similar to those observed in pharmacologically induced animal models of schizophrenia and can be ameliorated by treatment with haloperidol or clozapine, antipsychotic drugs that antagonize dopaminergic and serotonergic receptors. These findings support a model in which reduced NMDA receptor activity results in schizophrenic-like behavior and reveals how pharmacological manipulation of monoaminergic pathways can affect this phenotype.","author":[{"dropping-particle":"","family":"Mohn","given":"Amy R","non-dropping-particle":"","parse-names":false,"suffix":""},{"dropping-particle":"","family":"Gainetdinov","given":"Raul R","non-dropping-particle":"","parse-names":false,"suffix":""},{"dropping-particle":"","family":"Caron","given":"Marc G","non-dropping-particle":"","parse-names":false,"suffix":""},{"dropping-particle":"","family":"Koller","given":"Beverly H","non-dropping-particle":"","parse-names":false,"suffix":""}],"container-title":"Cell","id":"ITEM-1","issue":"4","issued":{"date-parts":[["1999","8","20"]]},"page":"427-436","title":"Mice with reduced NMDA receptor expression display behaviors related to schizophrenia","type":"article-journal","volume":"98"},"uris":["http://www.mendeley.com/documents/?uuid=de336a1e-ccf8-3969-b516-e47c9d206f83"]}],"mendeley":{"formattedCitation":"[3]","plainTextFormattedCitation":"[3]","previouslyFormattedCitation":"(Mohn, Gainetdinov, Caron, &amp; Koller, 1999)"},"properties":{"noteIndex":0},"schema":"https://github.com/citation-style-language/schema/raw/master/csl-citation.json"}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[3]</w:t>
      </w:r>
      <w:r w:rsidRPr="001409D5">
        <w:rPr>
          <w:rFonts w:ascii="Arial" w:hAnsi="Arial" w:cs="Arial"/>
          <w:szCs w:val="24"/>
        </w:rPr>
        <w:fldChar w:fldCharType="end"/>
      </w:r>
      <w:r w:rsidRPr="001409D5">
        <w:rPr>
          <w:rFonts w:ascii="Arial" w:hAnsi="Arial" w:cs="Arial"/>
          <w:szCs w:val="24"/>
        </w:rPr>
        <w:t xml:space="preserve">. Identical to the </w:t>
      </w:r>
      <w:r w:rsidRPr="001409D5">
        <w:rPr>
          <w:rFonts w:ascii="Arial" w:hAnsi="Arial" w:cs="Arial"/>
          <w:i/>
          <w:szCs w:val="24"/>
        </w:rPr>
        <w:t>Grin1</w:t>
      </w:r>
      <w:r w:rsidRPr="001409D5">
        <w:rPr>
          <w:rFonts w:ascii="Arial" w:hAnsi="Arial" w:cs="Arial"/>
          <w:i/>
          <w:szCs w:val="24"/>
          <w:vertAlign w:val="superscript"/>
        </w:rPr>
        <w:t>neo/neo</w:t>
      </w:r>
      <w:r w:rsidRPr="001409D5">
        <w:rPr>
          <w:rFonts w:ascii="Arial" w:hAnsi="Arial" w:cs="Arial"/>
          <w:szCs w:val="24"/>
        </w:rPr>
        <w:t xml:space="preserve"> model, the </w:t>
      </w:r>
      <w:r w:rsidRPr="001409D5">
        <w:rPr>
          <w:rFonts w:ascii="Arial" w:hAnsi="Arial" w:cs="Arial"/>
          <w:i/>
          <w:szCs w:val="24"/>
        </w:rPr>
        <w:t>Grin1</w:t>
      </w:r>
      <w:r w:rsidRPr="001409D5">
        <w:rPr>
          <w:rFonts w:ascii="Arial" w:hAnsi="Arial" w:cs="Arial"/>
          <w:szCs w:val="24"/>
        </w:rPr>
        <w:t xml:space="preserve"> gene was modified via homologous recombination with an intervening sequence (neomycin cassette), and targeted into intron 19, but this time flanked by </w:t>
      </w:r>
      <w:proofErr w:type="spellStart"/>
      <w:r w:rsidRPr="001409D5">
        <w:rPr>
          <w:rFonts w:ascii="Arial" w:hAnsi="Arial" w:cs="Arial"/>
          <w:i/>
          <w:szCs w:val="24"/>
        </w:rPr>
        <w:t>loxP</w:t>
      </w:r>
      <w:proofErr w:type="spellEnd"/>
      <w:r w:rsidRPr="001409D5">
        <w:rPr>
          <w:rFonts w:ascii="Arial" w:hAnsi="Arial" w:cs="Arial"/>
          <w:szCs w:val="24"/>
        </w:rPr>
        <w:t xml:space="preserve"> sites, so the insertion mutation could be excised following </w:t>
      </w:r>
      <w:proofErr w:type="spellStart"/>
      <w:r w:rsidRPr="001409D5">
        <w:rPr>
          <w:rFonts w:ascii="Arial" w:hAnsi="Arial" w:cs="Arial"/>
          <w:szCs w:val="24"/>
        </w:rPr>
        <w:t>Cre</w:t>
      </w:r>
      <w:proofErr w:type="spellEnd"/>
      <w:r w:rsidRPr="001409D5">
        <w:rPr>
          <w:rFonts w:ascii="Arial" w:hAnsi="Arial" w:cs="Arial"/>
          <w:szCs w:val="24"/>
        </w:rPr>
        <w:t>-recombination. The vector (</w:t>
      </w:r>
      <w:proofErr w:type="spellStart"/>
      <w:r w:rsidRPr="001409D5">
        <w:rPr>
          <w:rFonts w:ascii="Arial" w:hAnsi="Arial" w:cs="Arial"/>
          <w:szCs w:val="24"/>
        </w:rPr>
        <w:t>pXena</w:t>
      </w:r>
      <w:proofErr w:type="spellEnd"/>
      <w:r w:rsidRPr="001409D5">
        <w:rPr>
          <w:rFonts w:ascii="Arial" w:hAnsi="Arial" w:cs="Arial"/>
          <w:szCs w:val="24"/>
        </w:rPr>
        <w:t xml:space="preserve">; gift of Dr. Beverly Koller) contained a </w:t>
      </w:r>
      <w:proofErr w:type="spellStart"/>
      <w:r w:rsidRPr="001409D5">
        <w:rPr>
          <w:rFonts w:ascii="Arial" w:hAnsi="Arial" w:cs="Arial"/>
          <w:szCs w:val="24"/>
        </w:rPr>
        <w:t>floxed</w:t>
      </w:r>
      <w:proofErr w:type="spellEnd"/>
      <w:r w:rsidRPr="001409D5">
        <w:rPr>
          <w:rFonts w:ascii="Arial" w:hAnsi="Arial" w:cs="Arial"/>
          <w:szCs w:val="24"/>
        </w:rPr>
        <w:t xml:space="preserve"> neomycin resistance gene. Homologous arms of intron 19 of the </w:t>
      </w:r>
      <w:r w:rsidRPr="001409D5">
        <w:rPr>
          <w:rFonts w:ascii="Arial" w:hAnsi="Arial" w:cs="Arial"/>
          <w:i/>
          <w:szCs w:val="24"/>
        </w:rPr>
        <w:t>Grin1</w:t>
      </w:r>
      <w:r w:rsidRPr="001409D5">
        <w:rPr>
          <w:rFonts w:ascii="Arial" w:hAnsi="Arial" w:cs="Arial"/>
          <w:szCs w:val="24"/>
        </w:rPr>
        <w:t xml:space="preserve"> gene </w:t>
      </w:r>
      <w:r w:rsidRPr="001409D5">
        <w:rPr>
          <w:rFonts w:ascii="Arial" w:hAnsi="Arial" w:cs="Arial"/>
          <w:szCs w:val="24"/>
        </w:rPr>
        <w:lastRenderedPageBreak/>
        <w:t xml:space="preserve">were PCR-amplified from mouse genomic DNA and cloned into the vector flanking the </w:t>
      </w:r>
      <w:proofErr w:type="spellStart"/>
      <w:r w:rsidRPr="001409D5">
        <w:rPr>
          <w:rFonts w:ascii="Arial" w:hAnsi="Arial" w:cs="Arial"/>
          <w:szCs w:val="24"/>
        </w:rPr>
        <w:t>floxed</w:t>
      </w:r>
      <w:proofErr w:type="spellEnd"/>
      <w:r w:rsidRPr="001409D5">
        <w:rPr>
          <w:rFonts w:ascii="Arial" w:hAnsi="Arial" w:cs="Arial"/>
          <w:szCs w:val="24"/>
        </w:rPr>
        <w:t xml:space="preserve"> neomycin cassette. The linearized targeting construct was electroporated into mouse ES cells (129/</w:t>
      </w:r>
      <w:proofErr w:type="spellStart"/>
      <w:r w:rsidRPr="001409D5">
        <w:rPr>
          <w:rFonts w:ascii="Arial" w:hAnsi="Arial" w:cs="Arial"/>
          <w:szCs w:val="24"/>
        </w:rPr>
        <w:t>SvlmJ</w:t>
      </w:r>
      <w:proofErr w:type="spellEnd"/>
      <w:r w:rsidRPr="001409D5">
        <w:rPr>
          <w:rFonts w:ascii="Arial" w:hAnsi="Arial" w:cs="Arial"/>
          <w:szCs w:val="24"/>
        </w:rPr>
        <w:t xml:space="preserve"> strain) by The Centre for </w:t>
      </w:r>
      <w:proofErr w:type="spellStart"/>
      <w:r w:rsidRPr="001409D5">
        <w:rPr>
          <w:rFonts w:ascii="Arial" w:hAnsi="Arial" w:cs="Arial"/>
          <w:szCs w:val="24"/>
        </w:rPr>
        <w:t>Phenogenomics</w:t>
      </w:r>
      <w:proofErr w:type="spellEnd"/>
      <w:r w:rsidRPr="001409D5">
        <w:rPr>
          <w:rFonts w:ascii="Arial" w:hAnsi="Arial" w:cs="Arial"/>
          <w:szCs w:val="24"/>
        </w:rPr>
        <w:t xml:space="preserve"> (TCP, Toronto, ON). G418 was used for positive selection of targeted ES cells. Drug resistant clones were screened by PCR, and homologous recombination was confirmed by Southern blot analysis (data not shown). Correctly targeted ES cell clones were used to make chimeras by diploid aggregation (TCP), which were subsequently bred to 129/</w:t>
      </w:r>
      <w:proofErr w:type="spellStart"/>
      <w:r w:rsidRPr="001409D5">
        <w:rPr>
          <w:rFonts w:ascii="Arial" w:hAnsi="Arial" w:cs="Arial"/>
          <w:szCs w:val="24"/>
        </w:rPr>
        <w:t>SvlmJ</w:t>
      </w:r>
      <w:proofErr w:type="spellEnd"/>
      <w:r w:rsidRPr="001409D5">
        <w:rPr>
          <w:rFonts w:ascii="Arial" w:hAnsi="Arial" w:cs="Arial"/>
          <w:szCs w:val="24"/>
        </w:rPr>
        <w:t xml:space="preserve"> female mice to obtain ES cell germline-transmitted offspring, determined by PCR genotyping. The </w:t>
      </w:r>
      <w:proofErr w:type="spellStart"/>
      <w:r w:rsidRPr="001409D5">
        <w:rPr>
          <w:rFonts w:ascii="Arial" w:hAnsi="Arial" w:cs="Arial"/>
          <w:szCs w:val="24"/>
        </w:rPr>
        <w:t>floxed</w:t>
      </w:r>
      <w:proofErr w:type="spellEnd"/>
      <w:r w:rsidRPr="001409D5">
        <w:rPr>
          <w:rFonts w:ascii="Arial" w:hAnsi="Arial" w:cs="Arial"/>
          <w:szCs w:val="24"/>
        </w:rPr>
        <w:t xml:space="preserve"> insertion mutation (neo) was identified using the following primers: wildtype forward 5’-</w:t>
      </w:r>
      <w:r w:rsidRPr="001409D5">
        <w:rPr>
          <w:szCs w:val="24"/>
        </w:rPr>
        <w:t xml:space="preserve"> </w:t>
      </w:r>
      <w:r w:rsidRPr="001409D5">
        <w:rPr>
          <w:rFonts w:ascii="Arial" w:hAnsi="Arial" w:cs="Arial"/>
          <w:szCs w:val="24"/>
        </w:rPr>
        <w:t>TGA GGG GAA GCT CTT CCT GT-3’, mutant forward 5’-</w:t>
      </w:r>
      <w:r w:rsidRPr="001409D5">
        <w:rPr>
          <w:szCs w:val="24"/>
        </w:rPr>
        <w:t xml:space="preserve"> </w:t>
      </w:r>
      <w:r w:rsidRPr="001409D5">
        <w:rPr>
          <w:rFonts w:ascii="Arial" w:hAnsi="Arial" w:cs="Arial"/>
          <w:szCs w:val="24"/>
        </w:rPr>
        <w:t>GCT TCC TCG TGC TTT ACG GTA T-3’, common reverse 5’</w:t>
      </w:r>
      <w:r w:rsidRPr="001409D5">
        <w:rPr>
          <w:szCs w:val="24"/>
        </w:rPr>
        <w:t>-</w:t>
      </w:r>
      <w:r w:rsidRPr="001409D5">
        <w:rPr>
          <w:rFonts w:ascii="Arial" w:hAnsi="Arial" w:cs="Arial"/>
          <w:szCs w:val="24"/>
        </w:rPr>
        <w:t>AAG CGA TTA GAC AAC TAA GGG T-3’.</w:t>
      </w:r>
    </w:p>
    <w:p w14:paraId="5235E613" w14:textId="77777777" w:rsidR="00A33898" w:rsidRPr="001409D5" w:rsidRDefault="00A33898" w:rsidP="001409D5">
      <w:pPr>
        <w:spacing w:line="360" w:lineRule="auto"/>
        <w:rPr>
          <w:rFonts w:ascii="Arial" w:hAnsi="Arial" w:cs="Arial"/>
          <w:szCs w:val="24"/>
        </w:rPr>
      </w:pPr>
    </w:p>
    <w:p w14:paraId="78C84994" w14:textId="1FDF0CF0" w:rsidR="00A33898" w:rsidRPr="001409D5" w:rsidRDefault="00A33898" w:rsidP="001409D5">
      <w:pPr>
        <w:spacing w:line="360" w:lineRule="auto"/>
        <w:rPr>
          <w:rFonts w:ascii="Arial" w:hAnsi="Arial" w:cs="Arial"/>
          <w:szCs w:val="24"/>
        </w:rPr>
      </w:pPr>
      <w:r w:rsidRPr="001409D5">
        <w:rPr>
          <w:rFonts w:ascii="Arial" w:hAnsi="Arial" w:cs="Arial"/>
          <w:szCs w:val="24"/>
        </w:rPr>
        <w:t>Germline transmitting chimeras were crossed directly with 129/</w:t>
      </w:r>
      <w:proofErr w:type="spellStart"/>
      <w:r w:rsidRPr="001409D5">
        <w:rPr>
          <w:rFonts w:ascii="Arial" w:hAnsi="Arial" w:cs="Arial"/>
          <w:szCs w:val="24"/>
        </w:rPr>
        <w:t>SvlmJ</w:t>
      </w:r>
      <w:proofErr w:type="spellEnd"/>
      <w:r w:rsidRPr="001409D5">
        <w:rPr>
          <w:rFonts w:ascii="Arial" w:hAnsi="Arial" w:cs="Arial"/>
          <w:szCs w:val="24"/>
        </w:rPr>
        <w:t xml:space="preserve"> mice to produce </w:t>
      </w:r>
      <w:r w:rsidRPr="001409D5">
        <w:rPr>
          <w:rFonts w:ascii="Arial" w:hAnsi="Arial" w:cs="Arial"/>
          <w:i/>
          <w:szCs w:val="24"/>
        </w:rPr>
        <w:t>Grin1</w:t>
      </w:r>
      <w:r w:rsidRPr="001409D5">
        <w:rPr>
          <w:rFonts w:ascii="Arial" w:hAnsi="Arial" w:cs="Arial"/>
          <w:i/>
          <w:szCs w:val="24"/>
          <w:vertAlign w:val="superscript"/>
        </w:rPr>
        <w:t>+/</w:t>
      </w:r>
      <w:proofErr w:type="spellStart"/>
      <w:r w:rsidRPr="001409D5">
        <w:rPr>
          <w:rFonts w:ascii="Arial" w:hAnsi="Arial" w:cs="Arial"/>
          <w:i/>
          <w:szCs w:val="24"/>
          <w:vertAlign w:val="superscript"/>
        </w:rPr>
        <w:t>flneo</w:t>
      </w:r>
      <w:proofErr w:type="spellEnd"/>
      <w:r w:rsidRPr="001409D5">
        <w:rPr>
          <w:rFonts w:ascii="Arial" w:hAnsi="Arial" w:cs="Arial"/>
          <w:i/>
          <w:szCs w:val="24"/>
        </w:rPr>
        <w:t xml:space="preserve"> </w:t>
      </w:r>
      <w:r w:rsidRPr="001409D5">
        <w:rPr>
          <w:rFonts w:ascii="Arial" w:hAnsi="Arial" w:cs="Arial"/>
          <w:szCs w:val="24"/>
        </w:rPr>
        <w:t>129/</w:t>
      </w:r>
      <w:proofErr w:type="spellStart"/>
      <w:r w:rsidRPr="001409D5">
        <w:rPr>
          <w:rFonts w:ascii="Arial" w:hAnsi="Arial" w:cs="Arial"/>
          <w:szCs w:val="24"/>
        </w:rPr>
        <w:t>SvlmJ</w:t>
      </w:r>
      <w:proofErr w:type="spellEnd"/>
      <w:r w:rsidRPr="001409D5">
        <w:rPr>
          <w:rFonts w:ascii="Arial" w:hAnsi="Arial" w:cs="Arial"/>
          <w:szCs w:val="24"/>
        </w:rPr>
        <w:t xml:space="preserve"> </w:t>
      </w:r>
      <w:proofErr w:type="spellStart"/>
      <w:r w:rsidRPr="001409D5">
        <w:rPr>
          <w:rFonts w:ascii="Arial" w:hAnsi="Arial" w:cs="Arial"/>
          <w:szCs w:val="24"/>
        </w:rPr>
        <w:t>congenics</w:t>
      </w:r>
      <w:proofErr w:type="spellEnd"/>
      <w:r w:rsidRPr="001409D5">
        <w:rPr>
          <w:rFonts w:ascii="Arial" w:hAnsi="Arial" w:cs="Arial"/>
          <w:szCs w:val="24"/>
        </w:rPr>
        <w:t xml:space="preserve">. Mice were also crossed to C57Bl/6J wildtypes for at least 6 generations to produce C57Bl/6J </w:t>
      </w:r>
      <w:r w:rsidRPr="001409D5">
        <w:rPr>
          <w:rFonts w:ascii="Arial" w:hAnsi="Arial" w:cs="Arial"/>
          <w:i/>
          <w:szCs w:val="24"/>
        </w:rPr>
        <w:t>Grin1</w:t>
      </w:r>
      <w:r w:rsidRPr="001409D5">
        <w:rPr>
          <w:rFonts w:ascii="Arial" w:hAnsi="Arial" w:cs="Arial"/>
          <w:i/>
          <w:szCs w:val="24"/>
          <w:vertAlign w:val="superscript"/>
        </w:rPr>
        <w:t>+/</w:t>
      </w:r>
      <w:proofErr w:type="spellStart"/>
      <w:r w:rsidRPr="001409D5">
        <w:rPr>
          <w:rFonts w:ascii="Arial" w:hAnsi="Arial" w:cs="Arial"/>
          <w:i/>
          <w:szCs w:val="24"/>
          <w:vertAlign w:val="superscript"/>
        </w:rPr>
        <w:t>flneo</w:t>
      </w:r>
      <w:proofErr w:type="spellEnd"/>
      <w:r w:rsidRPr="001409D5">
        <w:rPr>
          <w:rFonts w:ascii="Arial" w:hAnsi="Arial" w:cs="Arial"/>
          <w:i/>
          <w:szCs w:val="24"/>
          <w:vertAlign w:val="superscript"/>
        </w:rPr>
        <w:t xml:space="preserve"> </w:t>
      </w:r>
      <w:proofErr w:type="spellStart"/>
      <w:r w:rsidRPr="001409D5">
        <w:rPr>
          <w:rFonts w:ascii="Arial" w:hAnsi="Arial" w:cs="Arial"/>
          <w:szCs w:val="24"/>
        </w:rPr>
        <w:t>congenics</w:t>
      </w:r>
      <w:proofErr w:type="spellEnd"/>
      <w:r w:rsidRPr="001409D5">
        <w:rPr>
          <w:rFonts w:ascii="Arial" w:hAnsi="Arial" w:cs="Arial"/>
          <w:szCs w:val="24"/>
        </w:rPr>
        <w:t xml:space="preserve">. Subsequently, </w:t>
      </w:r>
      <w:r w:rsidRPr="001409D5">
        <w:rPr>
          <w:rFonts w:ascii="Arial" w:hAnsi="Arial" w:cs="Arial"/>
          <w:i/>
          <w:szCs w:val="24"/>
        </w:rPr>
        <w:t>Grin1</w:t>
      </w:r>
      <w:r w:rsidRPr="001409D5">
        <w:rPr>
          <w:rFonts w:ascii="Arial" w:hAnsi="Arial" w:cs="Arial"/>
          <w:i/>
          <w:szCs w:val="24"/>
          <w:vertAlign w:val="superscript"/>
        </w:rPr>
        <w:t>+/</w:t>
      </w:r>
      <w:proofErr w:type="spellStart"/>
      <w:r w:rsidRPr="001409D5">
        <w:rPr>
          <w:rFonts w:ascii="Arial" w:hAnsi="Arial" w:cs="Arial"/>
          <w:i/>
          <w:szCs w:val="24"/>
          <w:vertAlign w:val="superscript"/>
        </w:rPr>
        <w:t>flneo</w:t>
      </w:r>
      <w:proofErr w:type="spellEnd"/>
      <w:r w:rsidRPr="001409D5">
        <w:rPr>
          <w:rFonts w:ascii="Arial" w:hAnsi="Arial" w:cs="Arial"/>
          <w:i/>
          <w:szCs w:val="24"/>
        </w:rPr>
        <w:t xml:space="preserve"> </w:t>
      </w:r>
      <w:r w:rsidRPr="001409D5">
        <w:rPr>
          <w:rFonts w:ascii="Arial" w:hAnsi="Arial" w:cs="Arial"/>
          <w:szCs w:val="24"/>
        </w:rPr>
        <w:t xml:space="preserve">: </w:t>
      </w:r>
      <w:proofErr w:type="spellStart"/>
      <w:r w:rsidRPr="001409D5">
        <w:rPr>
          <w:rFonts w:ascii="Arial" w:hAnsi="Arial" w:cs="Arial"/>
          <w:szCs w:val="24"/>
        </w:rPr>
        <w:t>CreTg</w:t>
      </w:r>
      <w:proofErr w:type="spellEnd"/>
      <w:r w:rsidRPr="001409D5">
        <w:rPr>
          <w:rFonts w:ascii="Arial" w:hAnsi="Arial" w:cs="Arial"/>
          <w:szCs w:val="24"/>
        </w:rPr>
        <w:t xml:space="preserve"> mice</w:t>
      </w:r>
      <w:r w:rsidRPr="001409D5">
        <w:rPr>
          <w:rFonts w:ascii="Arial" w:hAnsi="Arial" w:cs="Arial"/>
          <w:i/>
          <w:szCs w:val="24"/>
        </w:rPr>
        <w:t xml:space="preserve"> </w:t>
      </w:r>
      <w:r w:rsidRPr="001409D5">
        <w:rPr>
          <w:rFonts w:ascii="Arial" w:hAnsi="Arial" w:cs="Arial"/>
          <w:szCs w:val="24"/>
        </w:rPr>
        <w:t xml:space="preserve">were produced by crossing </w:t>
      </w:r>
      <w:r w:rsidRPr="001409D5">
        <w:rPr>
          <w:rFonts w:ascii="Arial" w:hAnsi="Arial" w:cs="Arial"/>
          <w:i/>
          <w:szCs w:val="24"/>
        </w:rPr>
        <w:t>ROSA26</w:t>
      </w:r>
      <w:r w:rsidRPr="001409D5">
        <w:rPr>
          <w:rFonts w:ascii="Arial" w:hAnsi="Arial" w:cs="Arial"/>
          <w:i/>
          <w:szCs w:val="24"/>
          <w:vertAlign w:val="superscript"/>
        </w:rPr>
        <w:t>CreERT2</w:t>
      </w:r>
      <w:r w:rsidRPr="001409D5">
        <w:rPr>
          <w:rFonts w:ascii="Arial" w:hAnsi="Arial" w:cs="Arial"/>
          <w:szCs w:val="24"/>
        </w:rPr>
        <w:t xml:space="preserve"> C57Bl/6J congenic mice to </w:t>
      </w:r>
      <w:r w:rsidRPr="001409D5">
        <w:rPr>
          <w:rFonts w:ascii="Arial" w:hAnsi="Arial" w:cs="Arial"/>
          <w:i/>
          <w:szCs w:val="24"/>
        </w:rPr>
        <w:t>Grin1</w:t>
      </w:r>
      <w:r w:rsidRPr="001409D5">
        <w:rPr>
          <w:rFonts w:ascii="Arial" w:hAnsi="Arial" w:cs="Arial"/>
          <w:i/>
          <w:szCs w:val="24"/>
          <w:vertAlign w:val="superscript"/>
        </w:rPr>
        <w:t>+/</w:t>
      </w:r>
      <w:proofErr w:type="spellStart"/>
      <w:r w:rsidRPr="001409D5">
        <w:rPr>
          <w:rFonts w:ascii="Arial" w:hAnsi="Arial" w:cs="Arial"/>
          <w:i/>
          <w:szCs w:val="24"/>
          <w:vertAlign w:val="superscript"/>
        </w:rPr>
        <w:t>flneo</w:t>
      </w:r>
      <w:proofErr w:type="spellEnd"/>
      <w:r w:rsidRPr="001409D5">
        <w:rPr>
          <w:rFonts w:ascii="Arial" w:hAnsi="Arial" w:cs="Arial"/>
          <w:szCs w:val="24"/>
        </w:rPr>
        <w:t xml:space="preserve"> C57Bl/6J </w:t>
      </w:r>
      <w:proofErr w:type="spellStart"/>
      <w:r w:rsidRPr="001409D5">
        <w:rPr>
          <w:rFonts w:ascii="Arial" w:hAnsi="Arial" w:cs="Arial"/>
          <w:szCs w:val="24"/>
        </w:rPr>
        <w:t>congenics</w:t>
      </w:r>
      <w:proofErr w:type="spellEnd"/>
      <w:r w:rsidRPr="001409D5">
        <w:rPr>
          <w:rFonts w:ascii="Arial" w:hAnsi="Arial" w:cs="Arial"/>
          <w:szCs w:val="24"/>
        </w:rPr>
        <w:t xml:space="preserve">. The resulting compound heterozygotes were bred to </w:t>
      </w:r>
      <w:r w:rsidRPr="001409D5">
        <w:rPr>
          <w:rFonts w:ascii="Arial" w:hAnsi="Arial" w:cs="Arial"/>
          <w:i/>
          <w:szCs w:val="24"/>
        </w:rPr>
        <w:t>Grin1</w:t>
      </w:r>
      <w:r w:rsidRPr="001409D5">
        <w:rPr>
          <w:rFonts w:ascii="Arial" w:hAnsi="Arial" w:cs="Arial"/>
          <w:i/>
          <w:szCs w:val="24"/>
          <w:vertAlign w:val="superscript"/>
        </w:rPr>
        <w:t>+/</w:t>
      </w:r>
      <w:proofErr w:type="spellStart"/>
      <w:r w:rsidRPr="001409D5">
        <w:rPr>
          <w:rFonts w:ascii="Arial" w:hAnsi="Arial" w:cs="Arial"/>
          <w:i/>
          <w:szCs w:val="24"/>
          <w:vertAlign w:val="superscript"/>
        </w:rPr>
        <w:t>flneo</w:t>
      </w:r>
      <w:proofErr w:type="spellEnd"/>
      <w:r w:rsidRPr="001409D5">
        <w:rPr>
          <w:rFonts w:ascii="Arial" w:hAnsi="Arial" w:cs="Arial"/>
          <w:szCs w:val="24"/>
        </w:rPr>
        <w:t xml:space="preserve"> 129/</w:t>
      </w:r>
      <w:proofErr w:type="spellStart"/>
      <w:r w:rsidRPr="001409D5">
        <w:rPr>
          <w:rFonts w:ascii="Arial" w:hAnsi="Arial" w:cs="Arial"/>
          <w:szCs w:val="24"/>
        </w:rPr>
        <w:t>SvlmJ</w:t>
      </w:r>
      <w:proofErr w:type="spellEnd"/>
      <w:r w:rsidRPr="001409D5">
        <w:rPr>
          <w:rFonts w:ascii="Arial" w:hAnsi="Arial" w:cs="Arial"/>
          <w:szCs w:val="24"/>
        </w:rPr>
        <w:t xml:space="preserve"> </w:t>
      </w:r>
      <w:proofErr w:type="spellStart"/>
      <w:r w:rsidRPr="001409D5">
        <w:rPr>
          <w:rFonts w:ascii="Arial" w:hAnsi="Arial" w:cs="Arial"/>
          <w:szCs w:val="24"/>
        </w:rPr>
        <w:t>congenics</w:t>
      </w:r>
      <w:proofErr w:type="spellEnd"/>
      <w:r w:rsidRPr="001409D5">
        <w:rPr>
          <w:rFonts w:ascii="Arial" w:hAnsi="Arial" w:cs="Arial"/>
          <w:szCs w:val="24"/>
        </w:rPr>
        <w:t xml:space="preserve"> to produce the F1 progeny used for all experiments. Use of an F1 genetic background is recommended by the Banbury Conference</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{"citationItems":[{"id":"ITEM-1","itemData":{"DOI":"10.1016/S0896-6273(00)80958-7","ISSN":"08966273","PMID":"9354323","abstract":"Controlling genetic background during the construction and testing of mutants is complex. Here, we propose that the genetic background of the mutants should always be described in detail, and that any background used should be easily recreated from available stocks. We also propose that both transgenic and gene-targeted mice be generated and maintained in inbred genetic backgrounds (i.e., either 129/J and/or C57BL/6). We propose the study of F1 hybride mice whenever possible (50% C57BL/6 and 50% 129/J). It is important to standardize the genetic background of the mutants studied the facilitate the comparison of results between experiments and among laboratories.","author":[{"dropping-particle":"","family":"Silva","given":"Alcino J.","non-dropping-particle":"","parse-names":false,"suffix":""},{"dropping-particle":"","family":"Simpson","given":"Elizabeth M.","non-dropping-particle":"","parse-names":false,"suffix":""},{"dropping-particle":"","family":"Takahashi","given":"Joseph S.","non-dropping-particle":"","parse-names":false,"suffix":""},{"dropping-particle":"","family":"Lipp","given":"Hans Peter","non-dropping-particle":"","parse-names":false,"suffix":""},{"dropping-particle":"","family":"Nakanishi","given":"Shigetada","non-dropping-particle":"","parse-names":false,"suffix":""},{"dropping-particle":"","family":"Wehner","given":"Jeanne M.","non-dropping-particle":"","parse-names":false,"suffix":""},{"dropping-particle":"","family":"Giese","given":"Karl P.","non-dropping-particle":"","parse-names":false,"suffix":""},{"dropping-particle":"","family":"Tully","given":"Tim","non-dropping-particle":"","parse-names":false,"suffix":""},{"dropping-particle":"","family":"Abel","given":"Ted","non-dropping-particle":"","parse-names":false,"suffix":""},{"dropping-particle":"","family":"Chapman","given":"Paul F.","non-dropping-particle":"","parse-names":false,"suffix":""},{"dropping-particle":"","family":"Fox","given":"Kevin","non-dropping-particle":"","parse-names":false,"suffix":""},{"dropping-particle":"","family":"Grant","given":"Seth","non-dropping-particle":"","parse-names":false,"suffix":""},{"dropping-particle":"","family":"Itohara","given":"Shigeyoshi","non-dropping-particle":"","parse-names":false,"suffix":""},{"dropping-particle":"","family":"Lathe","given":"Richard","non-dropping-particle":"","parse-names":false,"suffix":""},{"dropping-particle":"","family":"Mayford","given":"Mark","non-dropping-particle":"","parse-names":false,"suffix":""},{"dropping-particle":"","family":"McNamara","given":"James O.","non-dropping-particle":"","parse-names":false,"suffix":""},{"dropping-particle":"","family":"Morris","given":"Roger J.","non-dropping-particle":"","parse-names":false,"suffix":""},{"dropping-particle":"","family":"Picciotto","given":"Marina","non-dropping-particle":"","parse-names":false,"suffix":""},{"dropping-particle":"","family":"Roder","given":"John","non-dropping-particle":"","parse-names":false,"suffix":""},{"dropping-particle":"","family":"Shin","given":"Hee Sup","non-dropping-particle":"","parse-names":false,"suffix":""},{"dropping-particle":"","family":"Slesinger","given":"Paul A.","non-dropping-particle":"","parse-names":false,"suffix":""},{"dropping-particle":"","family":"Storm","given":"Daniel R.","non-dropping-particle":"","parse-names":false,"suffix":""},{"dropping-particle":"","family":"Stryker","given":"Michael P.","non-dropping-particle":"","parse-names":false,"suffix":""},{"dropping-particle":"","family":"Tonegawa","given":"Susumu","non-dropping-particle":"","parse-names":false,"suffix":""},{"dropping-particle":"","family":"Wang","given":"Yanyan","non-dropping-particle":"","parse-names":false,"suffix":""},{"dropping-particle":"","family":"Wolfer","given":"David P.","non-dropping-particle":"","parse-names":false,"suffix":""}],"container-title":"Neuron","id":"ITEM-1","issue":"4","issued":{"date-parts":[["1997","10","1"]]},"page":"755-759","publisher":"Elsevier","title":"Mutant mice and neuroscience: Recommendations concerning genetic background","type":"article","volume":"19"},"uris":["http://www.mendeley.com/documents/?uuid=10bc720f-d4fb-3063-a8b5-7321fb2935dc"]}],"mendeley":{"formattedCitation":"[4]","plainTextFormattedCitation":"[4]","previouslyFormattedCitation":"(Silva et al., 1997)"},"properties":{"noteIndex":0},"schema":"https://github.com/citation-style-language/schema/raw/master/csl-citation.json"}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[4]</w:t>
      </w:r>
      <w:r w:rsidRPr="001409D5">
        <w:rPr>
          <w:rFonts w:ascii="Arial" w:hAnsi="Arial" w:cs="Arial"/>
          <w:szCs w:val="24"/>
        </w:rPr>
        <w:fldChar w:fldCharType="end"/>
      </w:r>
      <w:r w:rsidRPr="001409D5">
        <w:rPr>
          <w:rFonts w:ascii="Arial" w:hAnsi="Arial" w:cs="Arial"/>
          <w:szCs w:val="24"/>
        </w:rPr>
        <w:t xml:space="preserve"> and is experimentally required since there is a high mortality rate for homozygous mutant </w:t>
      </w:r>
      <w:r w:rsidRPr="001409D5">
        <w:rPr>
          <w:rFonts w:ascii="Arial" w:hAnsi="Arial" w:cs="Arial"/>
          <w:i/>
          <w:szCs w:val="24"/>
        </w:rPr>
        <w:t>Grin1</w:t>
      </w:r>
      <w:r w:rsidRPr="001409D5">
        <w:rPr>
          <w:rFonts w:ascii="Arial" w:hAnsi="Arial" w:cs="Arial"/>
          <w:szCs w:val="24"/>
        </w:rPr>
        <w:t xml:space="preserve"> mice on the C57Bl/6J background.</w:t>
      </w:r>
    </w:p>
    <w:p w14:paraId="36BBBB70" w14:textId="77777777" w:rsidR="00A33898" w:rsidRPr="001409D5" w:rsidRDefault="00A33898" w:rsidP="001409D5">
      <w:pPr>
        <w:spacing w:line="360" w:lineRule="auto"/>
        <w:rPr>
          <w:rFonts w:ascii="Arial" w:hAnsi="Arial" w:cs="Arial"/>
          <w:b/>
          <w:szCs w:val="24"/>
        </w:rPr>
      </w:pPr>
    </w:p>
    <w:p w14:paraId="5B127727" w14:textId="04E31C31" w:rsidR="00A33898" w:rsidRPr="001409D5" w:rsidRDefault="00A33898" w:rsidP="001409D5">
      <w:pPr>
        <w:spacing w:line="360" w:lineRule="auto"/>
        <w:rPr>
          <w:rFonts w:ascii="Arial" w:hAnsi="Arial" w:cs="Arial"/>
          <w:b/>
          <w:szCs w:val="24"/>
        </w:rPr>
      </w:pPr>
      <w:r w:rsidRPr="001409D5">
        <w:rPr>
          <w:rFonts w:ascii="Arial" w:hAnsi="Arial" w:cs="Arial"/>
          <w:b/>
          <w:szCs w:val="24"/>
        </w:rPr>
        <w:t>Tamoxifen Administration</w:t>
      </w:r>
      <w:r w:rsidRPr="001409D5">
        <w:rPr>
          <w:rFonts w:ascii="Arial" w:hAnsi="Arial" w:cs="Arial"/>
          <w:b/>
          <w:szCs w:val="24"/>
        </w:rPr>
        <w:br/>
      </w:r>
      <w:r w:rsidRPr="001409D5">
        <w:rPr>
          <w:rFonts w:ascii="Arial" w:hAnsi="Arial" w:cs="Arial"/>
          <w:szCs w:val="24"/>
        </w:rPr>
        <w:t xml:space="preserve">Tamoxifen was administered to all genotypes of mice (WT, </w:t>
      </w:r>
      <w:proofErr w:type="spellStart"/>
      <w:r w:rsidRPr="001409D5">
        <w:rPr>
          <w:rFonts w:ascii="Arial" w:hAnsi="Arial" w:cs="Arial"/>
          <w:szCs w:val="24"/>
        </w:rPr>
        <w:t>WTCre</w:t>
      </w:r>
      <w:proofErr w:type="spellEnd"/>
      <w:r w:rsidRPr="001409D5">
        <w:rPr>
          <w:rFonts w:ascii="Arial" w:hAnsi="Arial" w:cs="Arial"/>
          <w:szCs w:val="24"/>
        </w:rPr>
        <w:t xml:space="preserve">, </w:t>
      </w:r>
      <w:r w:rsidRPr="001409D5">
        <w:rPr>
          <w:rFonts w:ascii="Arial" w:hAnsi="Arial" w:cs="Arial"/>
          <w:i/>
          <w:szCs w:val="24"/>
        </w:rPr>
        <w:t>Grin1</w:t>
      </w:r>
      <w:r w:rsidRPr="001409D5">
        <w:rPr>
          <w:rFonts w:ascii="Arial" w:hAnsi="Arial" w:cs="Arial"/>
          <w:iCs/>
          <w:szCs w:val="24"/>
          <w:vertAlign w:val="superscript"/>
        </w:rPr>
        <w:t>KD</w:t>
      </w:r>
      <w:r w:rsidRPr="001409D5">
        <w:rPr>
          <w:rFonts w:ascii="Arial" w:hAnsi="Arial" w:cs="Arial"/>
          <w:szCs w:val="24"/>
        </w:rPr>
        <w:t xml:space="preserve">, </w:t>
      </w:r>
      <w:r w:rsidRPr="001409D5">
        <w:rPr>
          <w:rFonts w:ascii="Arial" w:hAnsi="Arial" w:cs="Arial"/>
          <w:i/>
          <w:szCs w:val="24"/>
        </w:rPr>
        <w:t>Grin1</w:t>
      </w:r>
      <w:r w:rsidRPr="001409D5">
        <w:rPr>
          <w:rFonts w:ascii="Arial" w:hAnsi="Arial" w:cs="Arial"/>
          <w:iCs/>
          <w:szCs w:val="24"/>
          <w:vertAlign w:val="superscript"/>
        </w:rPr>
        <w:t>RESCUE</w:t>
      </w:r>
      <w:r w:rsidRPr="001409D5">
        <w:rPr>
          <w:rFonts w:ascii="Arial" w:hAnsi="Arial" w:cs="Arial"/>
          <w:szCs w:val="24"/>
        </w:rPr>
        <w:t xml:space="preserve">). Tamoxifen (T5648, Sigma-Aldrich, St. Louis, MO, USA) was administered via oral gavage (6mg, 20mg/ml dissolved in 100% corn oil at 65°C for 1 hour) on day 1 of treatment, and then mice were given tamoxifen chow (TD.140425, 500mg/kg, </w:t>
      </w:r>
      <w:proofErr w:type="spellStart"/>
      <w:r w:rsidRPr="001409D5">
        <w:rPr>
          <w:rFonts w:ascii="Arial" w:hAnsi="Arial" w:cs="Arial"/>
          <w:szCs w:val="24"/>
        </w:rPr>
        <w:t>Envigo</w:t>
      </w:r>
      <w:proofErr w:type="spellEnd"/>
      <w:r w:rsidRPr="001409D5">
        <w:rPr>
          <w:rFonts w:ascii="Arial" w:hAnsi="Arial" w:cs="Arial"/>
          <w:szCs w:val="24"/>
        </w:rPr>
        <w:t xml:space="preserve">) </w:t>
      </w:r>
      <w:r w:rsidRPr="001409D5">
        <w:rPr>
          <w:rFonts w:ascii="Arial" w:hAnsi="Arial" w:cs="Arial"/>
          <w:i/>
          <w:szCs w:val="24"/>
        </w:rPr>
        <w:t>ad libitum</w:t>
      </w:r>
      <w:r w:rsidRPr="001409D5">
        <w:rPr>
          <w:rFonts w:ascii="Arial" w:hAnsi="Arial" w:cs="Arial"/>
          <w:szCs w:val="24"/>
        </w:rPr>
        <w:t xml:space="preserve"> for 14 days. Following tamoxifen administration, mouse toenails were trimmed every two weeks to prevent the skin lesions that otherwise occur due to excessive grooming of </w:t>
      </w:r>
      <w:r w:rsidRPr="001409D5">
        <w:rPr>
          <w:rFonts w:ascii="Arial" w:hAnsi="Arial" w:cs="Arial"/>
          <w:i/>
          <w:szCs w:val="24"/>
        </w:rPr>
        <w:t>Grin1</w:t>
      </w:r>
      <w:r w:rsidRPr="001409D5">
        <w:rPr>
          <w:rFonts w:ascii="Arial" w:hAnsi="Arial" w:cs="Arial"/>
          <w:i/>
          <w:szCs w:val="24"/>
          <w:vertAlign w:val="superscript"/>
        </w:rPr>
        <w:t>KD</w:t>
      </w:r>
      <w:r w:rsidRPr="001409D5">
        <w:rPr>
          <w:rFonts w:ascii="Arial" w:hAnsi="Arial" w:cs="Arial"/>
          <w:szCs w:val="24"/>
        </w:rPr>
        <w:t xml:space="preserve"> and </w:t>
      </w:r>
      <w:r w:rsidRPr="001409D5">
        <w:rPr>
          <w:rFonts w:ascii="Arial" w:hAnsi="Arial" w:cs="Arial"/>
          <w:i/>
          <w:szCs w:val="24"/>
        </w:rPr>
        <w:t>Grin1</w:t>
      </w:r>
      <w:r w:rsidRPr="001409D5">
        <w:rPr>
          <w:rFonts w:ascii="Arial" w:hAnsi="Arial" w:cs="Arial"/>
          <w:i/>
          <w:szCs w:val="24"/>
          <w:vertAlign w:val="superscript"/>
        </w:rPr>
        <w:t>RESCUE</w:t>
      </w:r>
      <w:r w:rsidRPr="001409D5">
        <w:rPr>
          <w:rFonts w:ascii="Arial" w:hAnsi="Arial" w:cs="Arial"/>
          <w:szCs w:val="24"/>
        </w:rPr>
        <w:t xml:space="preserve"> mice. </w:t>
      </w:r>
      <w:r w:rsidR="00E80E31" w:rsidRPr="001409D5">
        <w:rPr>
          <w:rFonts w:ascii="Arial" w:hAnsi="Arial" w:cs="Arial"/>
          <w:szCs w:val="24"/>
        </w:rPr>
        <w:t xml:space="preserve">Administration of tamoxifen began at either PD21, </w:t>
      </w:r>
      <w:r w:rsidR="00C61839" w:rsidRPr="001409D5">
        <w:rPr>
          <w:rFonts w:ascii="Arial" w:hAnsi="Arial" w:cs="Arial"/>
          <w:szCs w:val="24"/>
        </w:rPr>
        <w:t>PD</w:t>
      </w:r>
      <w:r w:rsidR="00E80E31" w:rsidRPr="001409D5">
        <w:rPr>
          <w:rFonts w:ascii="Arial" w:hAnsi="Arial" w:cs="Arial"/>
          <w:szCs w:val="24"/>
        </w:rPr>
        <w:t xml:space="preserve">42, or </w:t>
      </w:r>
      <w:r w:rsidR="00C61839" w:rsidRPr="001409D5">
        <w:rPr>
          <w:rFonts w:ascii="Arial" w:hAnsi="Arial" w:cs="Arial"/>
          <w:szCs w:val="24"/>
        </w:rPr>
        <w:t>PD</w:t>
      </w:r>
      <w:r w:rsidR="00E80E31" w:rsidRPr="001409D5">
        <w:rPr>
          <w:rFonts w:ascii="Arial" w:hAnsi="Arial" w:cs="Arial"/>
          <w:szCs w:val="24"/>
        </w:rPr>
        <w:t>70.</w:t>
      </w:r>
    </w:p>
    <w:p w14:paraId="6E71E73C" w14:textId="77777777" w:rsidR="00A33898" w:rsidRPr="001409D5" w:rsidRDefault="00A33898" w:rsidP="001409D5">
      <w:pPr>
        <w:spacing w:line="360" w:lineRule="auto"/>
        <w:outlineLvl w:val="0"/>
        <w:rPr>
          <w:rFonts w:ascii="Arial" w:hAnsi="Arial" w:cs="Arial"/>
          <w:b/>
          <w:szCs w:val="24"/>
        </w:rPr>
      </w:pPr>
    </w:p>
    <w:p w14:paraId="22C0E15C" w14:textId="77777777" w:rsidR="00A33898" w:rsidRPr="001409D5" w:rsidRDefault="00A33898" w:rsidP="001409D5">
      <w:pPr>
        <w:spacing w:line="360" w:lineRule="auto"/>
        <w:outlineLvl w:val="0"/>
        <w:rPr>
          <w:rFonts w:ascii="Arial" w:hAnsi="Arial" w:cs="Arial"/>
          <w:b/>
          <w:szCs w:val="24"/>
        </w:rPr>
      </w:pPr>
      <w:proofErr w:type="spellStart"/>
      <w:r w:rsidRPr="001409D5">
        <w:rPr>
          <w:rFonts w:ascii="Arial" w:hAnsi="Arial" w:cs="Arial"/>
          <w:b/>
          <w:szCs w:val="24"/>
        </w:rPr>
        <w:lastRenderedPageBreak/>
        <w:t>Behavioural</w:t>
      </w:r>
      <w:proofErr w:type="spellEnd"/>
      <w:r w:rsidRPr="001409D5">
        <w:rPr>
          <w:rFonts w:ascii="Arial" w:hAnsi="Arial" w:cs="Arial"/>
          <w:b/>
          <w:szCs w:val="24"/>
        </w:rPr>
        <w:t xml:space="preserve"> Testing</w:t>
      </w:r>
      <w:r w:rsidRPr="001409D5">
        <w:rPr>
          <w:rFonts w:ascii="Arial" w:hAnsi="Arial" w:cs="Arial"/>
          <w:b/>
          <w:szCs w:val="24"/>
        </w:rPr>
        <w:br/>
      </w:r>
      <w:r w:rsidRPr="001409D5">
        <w:rPr>
          <w:rFonts w:ascii="Arial" w:hAnsi="Arial" w:cs="Arial"/>
          <w:szCs w:val="24"/>
        </w:rPr>
        <w:t xml:space="preserve">Male and female mice of equal numbers were used for </w:t>
      </w:r>
      <w:proofErr w:type="spellStart"/>
      <w:r w:rsidRPr="001409D5">
        <w:rPr>
          <w:rFonts w:ascii="Arial" w:hAnsi="Arial" w:cs="Arial"/>
          <w:szCs w:val="24"/>
        </w:rPr>
        <w:t>behavioural</w:t>
      </w:r>
      <w:proofErr w:type="spellEnd"/>
      <w:r w:rsidRPr="001409D5">
        <w:rPr>
          <w:rFonts w:ascii="Arial" w:hAnsi="Arial" w:cs="Arial"/>
          <w:szCs w:val="24"/>
        </w:rPr>
        <w:t xml:space="preserve"> testing. Tests were administered at PD98 or PD126, as specified. </w:t>
      </w:r>
      <w:proofErr w:type="spellStart"/>
      <w:r w:rsidRPr="001409D5">
        <w:rPr>
          <w:rFonts w:ascii="Arial" w:hAnsi="Arial" w:cs="Arial"/>
          <w:szCs w:val="24"/>
        </w:rPr>
        <w:t>Behavioural</w:t>
      </w:r>
      <w:proofErr w:type="spellEnd"/>
      <w:r w:rsidRPr="001409D5">
        <w:rPr>
          <w:rFonts w:ascii="Arial" w:hAnsi="Arial" w:cs="Arial"/>
          <w:szCs w:val="24"/>
        </w:rPr>
        <w:t xml:space="preserve"> tests were conducted between 09:00 and 15:00h. All experimental animals were first tested for locomotor activity on Day 1 of </w:t>
      </w:r>
      <w:proofErr w:type="spellStart"/>
      <w:r w:rsidRPr="001409D5">
        <w:rPr>
          <w:rFonts w:ascii="Arial" w:hAnsi="Arial" w:cs="Arial"/>
          <w:szCs w:val="24"/>
        </w:rPr>
        <w:t>behavioural</w:t>
      </w:r>
      <w:proofErr w:type="spellEnd"/>
      <w:r w:rsidRPr="001409D5">
        <w:rPr>
          <w:rFonts w:ascii="Arial" w:hAnsi="Arial" w:cs="Arial"/>
          <w:szCs w:val="24"/>
        </w:rPr>
        <w:t xml:space="preserve"> assessment. Mice were then assigned to one of two groups for subsequent </w:t>
      </w:r>
      <w:proofErr w:type="spellStart"/>
      <w:r w:rsidRPr="001409D5">
        <w:rPr>
          <w:rFonts w:ascii="Arial" w:hAnsi="Arial" w:cs="Arial"/>
          <w:szCs w:val="24"/>
        </w:rPr>
        <w:t>behavioural</w:t>
      </w:r>
      <w:proofErr w:type="spellEnd"/>
      <w:r w:rsidRPr="001409D5">
        <w:rPr>
          <w:rFonts w:ascii="Arial" w:hAnsi="Arial" w:cs="Arial"/>
          <w:szCs w:val="24"/>
        </w:rPr>
        <w:t xml:space="preserve"> tests that spanned three days. The puzzle box test was administered to mice in Group A over Days 2-4. Mice in Group B were tested in the elevated plus maze (data not shown) on Day 2, the social affiliative paradigm on Day 3, and pre-pulse inhibition of acoustic startle on Day 4.</w:t>
      </w:r>
    </w:p>
    <w:p w14:paraId="5C9243F0" w14:textId="77777777" w:rsidR="00A33898" w:rsidRPr="001409D5" w:rsidRDefault="00A33898" w:rsidP="001409D5">
      <w:pPr>
        <w:spacing w:line="360" w:lineRule="auto"/>
        <w:outlineLvl w:val="0"/>
        <w:rPr>
          <w:rFonts w:ascii="Arial" w:hAnsi="Arial" w:cs="Arial"/>
          <w:i/>
          <w:szCs w:val="24"/>
        </w:rPr>
      </w:pPr>
    </w:p>
    <w:p w14:paraId="72452CE5" w14:textId="28468688" w:rsidR="00A33898" w:rsidRPr="001409D5" w:rsidRDefault="00A33898" w:rsidP="001409D5">
      <w:pPr>
        <w:spacing w:line="360" w:lineRule="auto"/>
        <w:outlineLvl w:val="0"/>
        <w:rPr>
          <w:rFonts w:ascii="Arial" w:hAnsi="Arial" w:cs="Arial"/>
          <w:b/>
          <w:szCs w:val="24"/>
        </w:rPr>
      </w:pPr>
      <w:r w:rsidRPr="001409D5">
        <w:rPr>
          <w:rFonts w:ascii="Arial" w:hAnsi="Arial" w:cs="Arial"/>
          <w:i/>
          <w:szCs w:val="24"/>
        </w:rPr>
        <w:t>Open Field Test:</w:t>
      </w:r>
      <w:r w:rsidRPr="001409D5">
        <w:rPr>
          <w:rFonts w:ascii="Arial" w:hAnsi="Arial" w:cs="Arial"/>
          <w:b/>
          <w:szCs w:val="24"/>
        </w:rPr>
        <w:t xml:space="preserve"> </w:t>
      </w:r>
      <w:r w:rsidRPr="001409D5">
        <w:rPr>
          <w:rFonts w:ascii="Arial" w:hAnsi="Arial" w:cs="Arial"/>
          <w:szCs w:val="24"/>
        </w:rPr>
        <w:t xml:space="preserve">Locomotor activity was measured as previously described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{"citationItems":[{"id":"ITEM-1","itemData":{"DOI":"10.1038/s41537-017-0014-8","ISSN":"2334-265X","PMID":"28560258","abstract":"Several studies have found decreased levels of ω-3 polyunsaturated fatty acids in the brain and blood of schizophrenia patients. Furthermore, dietary ω-3 supplements may improve schizophrenia symptoms and delay the onset of first-episode psychosis. We used an animal model of NMDA receptor hypofunction, NR1KD mice, to understand whether changes in glutamate neurotransmission could lead to changes in brain and serum fatty acids. We further asked whether dietary manipulations of ω-3, either depletion or supplementation, would affect schizophrenia-relevant behaviors of NR1KD mice. We discovered that NR1KD mice have elevated brain levels of ω-6 fatty acids regardless of their diet. While ω-3 supplementation did not improve any of the NR1KD behavioral abnormalities, ω-3 depletion exacerbated their deficits in executive function. Omega-3 depletion also caused extreme mortality among male mutant mice, with 75% mortality rate by 12 weeks of age. Our studies show that alterations in NMDAR function alter serum and brain lipid composition and make the brain more vulnerable to dietary ω-3 deprivation.","author":[{"dropping-particle":"","family":"Islam","given":"Rehnuma","non-dropping-particle":"","parse-names":false,"suffix":""},{"dropping-particle":"","family":"Trépanier","given":"Marc-Olivier","non-dropping-particle":"","parse-names":false,"suffix":""},{"dropping-particle":"","family":"Milenkovic","given":"Marija","non-dropping-particle":"","parse-names":false,"suffix":""},{"dropping-particle":"","family":"Horsfall","given":"Wendy","non-dropping-particle":"","parse-names":false,"suffix":""},{"dropping-particle":"","family":"Salahpour","given":"Ali","non-dropping-particle":"","parse-names":false,"suffix":""},{"dropping-particle":"","family":"Bazinet","given":"Richard P","non-dropping-particle":"","parse-names":false,"suffix":""},{"dropping-particle":"","family":"Ramsey","given":"Amy J","non-dropping-particle":"","parse-names":false,"suffix":""}],"container-title":"npj Schizophrenia","id":"ITEM-1","issue":"1","issued":{"date-parts":[["2017"]]},"page":"12","title":"Vulnerability to omega-3 deprivation in a mouse model of NMDA receptor","type":"article-journal","volume":"3"},"uris":["http://www.mendeley.com/documents/?uuid=0f899bb3-8454-3504-adaa-5ccc5b8ae282"]},{"id":"ITEM-2","itemData":{"DOI":"10.1111/gbb.12183","ISBN":"1601-1848","ISSN":"1601183X","PMID":"25327402","abstract":"N-methyl-d-aspartate (NMDA) receptor-deficient mice can be used to understand the role that NMDA receptors (NMDARs) play in the pathophysiology of neurodevelopmental disorders such as schizophrenia. Genetically modified mice with low levels of NR1 subunit (NR1 knockdown mice) have reduced receptor levels throughout development, and have robust abnormalities in behaviours that are relevant to schizophrenia. We traced the onset and severity of these behaviours at three developmental stages to understand when in development the underlying circuits depend on intact NMDAR function. We examined social behaviour, working memory, executive function, locomotor activity and stereotypy at 3, 6 and 12 weeks of age in NR1 knockdown mice and their wild-type littermates. We discovered that each of these behaviours had a unique developmental trajectory in mutant mice, and males showed an earlier onset and severity than females in several behaviours. Hyperlocomotion was most substantial in juvenile mice and plateaued in adult mice, whereas stereotypy progressively worsened with age. Impairments in working memory and sociability were sexually dimorphic, with deficits first detected in peri-adolescent males but only detected in adult females. Interestingly, executive function was most impaired in peri-adolescent mice of either sex. Furthermore, while juvenile mutant mice had some ability to problem solve in the puzzle box test, the same mice lost this ability when tested 4 weeks later. Our studies highlight key developmental periods for males and females in the expression of behaviours that are relevant to psychiatric disorders.","author":[{"dropping-particle":"","family":"Milenkovic","given":"M.","non-dropping-particle":"","parse-names":false,"suffix":""},{"dropping-particle":"","family":"Mielnik","given":"C.A. A","non-dropping-particle":"","parse-names":false,"suffix":""},{"dropping-particle":"","family":"Ramsey","given":"A.J. J","non-dropping-particle":"","parse-names":false,"suffix":""}],"container-title":"Genes, Brain and Behavior","id":"ITEM-2","issue":"8","issued":{"date-parts":[["2014","11"]]},"page":"850-862","title":"NMDA receptor-deficient mice display sexual dimorphism in the onset and severity of behavioural abnormalities","type":"article-journal","volume":"13"},"uris":["http://www.mendeley.com/documents/?uuid=58976e11-4413-4b8c-b7d2-24c4bd948a09"]}],"mendeley":{"formattedCitation":"[5, 6]","plainTextFormattedCitation":"[5, 6]","previouslyFormattedCitation":"(Islam et al., 2017; Milenkovic, Mielnik, &amp; Ramsey, 2014)"},"properties":{"noteIndex":0},"schema":"https://github.com/citation-style-language/schema/raw/master/csl-citation.json"}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[5, 6]</w:t>
      </w:r>
      <w:r w:rsidRPr="001409D5">
        <w:rPr>
          <w:rFonts w:ascii="Arial" w:hAnsi="Arial" w:cs="Arial"/>
          <w:szCs w:val="24"/>
        </w:rPr>
        <w:fldChar w:fldCharType="end"/>
      </w:r>
      <w:r w:rsidRPr="001409D5">
        <w:rPr>
          <w:rFonts w:ascii="Arial" w:hAnsi="Arial" w:cs="Arial"/>
          <w:szCs w:val="24"/>
        </w:rPr>
        <w:t>, using digital activity monitors (</w:t>
      </w:r>
      <w:proofErr w:type="spellStart"/>
      <w:r w:rsidRPr="001409D5">
        <w:rPr>
          <w:rFonts w:ascii="Arial" w:hAnsi="Arial" w:cs="Arial"/>
          <w:szCs w:val="24"/>
        </w:rPr>
        <w:t>Omnitech</w:t>
      </w:r>
      <w:proofErr w:type="spellEnd"/>
      <w:r w:rsidRPr="001409D5">
        <w:rPr>
          <w:rFonts w:ascii="Arial" w:hAnsi="Arial" w:cs="Arial"/>
          <w:szCs w:val="24"/>
        </w:rPr>
        <w:t xml:space="preserve"> Electronics, Columbus, OH, USA) on the first day of testing. Naïve mice were placed in novel Plexiglas arenas (20 x 20 x 45 cm) and their locomotor and stereotypic activity were recorded over a 120-min period in dim light (15-16 lux). Activity was tracked via infrared light beam sensors; total distance travelled and stereotypic movements were collected in 5-minute bins. The habituation index was calculated by the time to ½ of maximal activity by linear regression using GraphPad Prism.</w:t>
      </w:r>
    </w:p>
    <w:p w14:paraId="62D83DCF" w14:textId="77777777" w:rsidR="00A33898" w:rsidRPr="001409D5" w:rsidRDefault="00A33898" w:rsidP="001409D5">
      <w:pPr>
        <w:spacing w:line="360" w:lineRule="auto"/>
        <w:outlineLvl w:val="0"/>
        <w:rPr>
          <w:rFonts w:ascii="Arial" w:hAnsi="Arial" w:cs="Arial"/>
          <w:i/>
          <w:szCs w:val="24"/>
        </w:rPr>
      </w:pPr>
    </w:p>
    <w:p w14:paraId="1CC80857" w14:textId="1D959F76" w:rsidR="00A33898" w:rsidRPr="001409D5" w:rsidRDefault="00A33898" w:rsidP="001409D5">
      <w:pPr>
        <w:spacing w:line="360" w:lineRule="auto"/>
        <w:outlineLvl w:val="0"/>
        <w:rPr>
          <w:rFonts w:ascii="Arial" w:hAnsi="Arial" w:cs="Arial"/>
          <w:b/>
          <w:szCs w:val="24"/>
        </w:rPr>
      </w:pPr>
      <w:r w:rsidRPr="001409D5">
        <w:rPr>
          <w:rFonts w:ascii="Arial" w:hAnsi="Arial" w:cs="Arial"/>
          <w:i/>
          <w:szCs w:val="24"/>
        </w:rPr>
        <w:t>Puzzle Box Assay:</w:t>
      </w:r>
      <w:r w:rsidRPr="001409D5">
        <w:rPr>
          <w:rFonts w:ascii="Arial" w:hAnsi="Arial" w:cs="Arial"/>
          <w:b/>
          <w:szCs w:val="24"/>
        </w:rPr>
        <w:t xml:space="preserve"> </w:t>
      </w:r>
      <w:r w:rsidRPr="001409D5">
        <w:rPr>
          <w:rFonts w:ascii="Arial" w:hAnsi="Arial" w:cs="Arial"/>
          <w:szCs w:val="24"/>
        </w:rPr>
        <w:t xml:space="preserve">The </w:t>
      </w:r>
      <w:proofErr w:type="spellStart"/>
      <w:r w:rsidRPr="001409D5">
        <w:rPr>
          <w:rFonts w:ascii="Arial" w:hAnsi="Arial" w:cs="Arial"/>
          <w:szCs w:val="24"/>
        </w:rPr>
        <w:t>puzzlebox</w:t>
      </w:r>
      <w:proofErr w:type="spellEnd"/>
      <w:r w:rsidRPr="001409D5">
        <w:rPr>
          <w:rFonts w:ascii="Arial" w:hAnsi="Arial" w:cs="Arial"/>
          <w:szCs w:val="24"/>
        </w:rPr>
        <w:t xml:space="preserve"> test was used to assess executive function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{"citationItems":[{"id":"ITEM-1","itemData":{"DOI":"10.1016/j.expneurol.2010.09.008","ISBN":"1090-2430 (Electronic)\\r0014-4886 (Linking)","ISSN":"00144886","PMID":"20851119","abstract":"Deficits in executive functions are key features of schizophrenia. Rodent behavioral paradigms used so far to find animal correlates of such deficits require extensive effort and time. The puzzle box is a problem-solving test in which mice are required to complete escape tasks of increasing difficulty within a limited amount of time. Previous data have indicated that it is a quick but highly reliable test of higher-order cognitive functioning.We evaluated the use of the puzzle box to explore executive functioning in five different mouse models of schizophrenia: mice with prefrontal cortex and hippocampus lesions, mice treated sub-chronically with the NMDA-receptor antagonist MK-801, mice constitutively lacking the GluA1 subunit of AMPA-receptors, and mice over-expressing dopamine D2 receptors in the striatum. All mice displayed altered executive functions in the puzzle box, although the nature and extent of the deficits varied between the different models. Deficits were strongest in hippocampus-lesioned and GluA1 knockout mice, while more subtle deficits but specific to problem solving were found in the medial prefrontal-lesioned mice, MK-801-treated mice, and in mice with striatal overexpression of D2 receptors.Data from this study demonstrate the utility of the puzzle box as an effective screening tool for executive functions in general and for schizophrenia mouse models in particular. © 2010.","author":[{"dropping-particle":"","family":"Abdallah","given":"Nada M.-B.","non-dropping-particle":"Ben","parse-names":false,"suffix":""},{"dropping-particle":"","family":"Fuss","given":"Johannes","non-dropping-particle":"","parse-names":false,"suffix":""},{"dropping-particle":"","family":"Trusel","given":"Massimo","non-dropping-particle":"","parse-names":false,"suffix":""},{"dropping-particle":"","family":"Galsworthy","given":"Michael J.","non-dropping-particle":"","parse-names":false,"suffix":""},{"dropping-particle":"","family":"Bobsin","given":"Kristin","non-dropping-particle":"","parse-names":false,"suffix":""},{"dropping-particle":"","family":"Colacicco","given":"Giovanni","non-dropping-particle":"","parse-names":false,"suffix":""},{"dropping-particle":"","family":"Deacon","given":"Robert M.J.","non-dropping-particle":"","parse-names":false,"suffix":""},{"dropping-particle":"","family":"Riva","given":"Marco A.","non-dropping-particle":"","parse-names":false,"suffix":""},{"dropping-particle":"","family":"Kellendonk","given":"Christoph","non-dropping-particle":"","parse-names":false,"suffix":""},{"dropping-particle":"","family":"Sprengel","given":"Rolf","non-dropping-particle":"","parse-names":false,"suffix":""},{"dropping-particle":"","family":"Lipp","given":"Hans Peter","non-dropping-particle":"","parse-names":false,"suffix":""},{"dropping-particle":"","family":"Gass","given":"Peter","non-dropping-particle":"","parse-names":false,"suffix":""}],"container-title":"Experimental Neurology","id":"ITEM-1","issue":"1","issued":{"date-parts":[["2011","1","1"]]},"page":"42-52","publisher":"Academic Press","title":"The puzzle box as a simple and efficient behavioral test for exploring impairments of general cognition and executive functions in mouse models of schizophrenia","type":"article-journal","volume":"227"},"uris":["http://www.mendeley.com/documents/?uuid=24cff96f-0bd7-4952-aba4-b606312a7153"]}],"mendeley":{"formattedCitation":"[7]","plainTextFormattedCitation":"[7]","previouslyFormattedCitation":"(Ben Abdallah et al., 2011)"},"properties":{"noteIndex":0},"schema":"https://github.com/citation-style-language/schema/raw/master/csl-citation.json"}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[7]</w:t>
      </w:r>
      <w:r w:rsidRPr="001409D5">
        <w:rPr>
          <w:rFonts w:ascii="Arial" w:hAnsi="Arial" w:cs="Arial"/>
          <w:szCs w:val="24"/>
        </w:rPr>
        <w:fldChar w:fldCharType="end"/>
      </w:r>
      <w:r w:rsidRPr="001409D5">
        <w:rPr>
          <w:rFonts w:ascii="Arial" w:hAnsi="Arial" w:cs="Arial"/>
          <w:szCs w:val="24"/>
        </w:rPr>
        <w:t xml:space="preserve"> as previously described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{"citationItems":[{"id":"ITEM-1","itemData":{"DOI":"10.1038/s41537-017-0014-8","ISSN":"2334-265X","PMID":"28560258","abstract":"Several studies have found decreased levels of ω-3 polyunsaturated fatty acids in the brain and blood of schizophrenia patients. Furthermore, dietary ω-3 supplements may improve schizophrenia symptoms and delay the onset of first-episode psychosis. We used an animal model of NMDA receptor hypofunction, NR1KD mice, to understand whether changes in glutamate neurotransmission could lead to changes in brain and serum fatty acids. We further asked whether dietary manipulations of ω-3, either depletion or supplementation, would affect schizophrenia-relevant behaviors of NR1KD mice. We discovered that NR1KD mice have elevated brain levels of ω-6 fatty acids regardless of their diet. While ω-3 supplementation did not improve any of the NR1KD behavioral abnormalities, ω-3 depletion exacerbated their deficits in executive function. Omega-3 depletion also caused extreme mortality among male mutant mice, with 75% mortality rate by 12 weeks of age. Our studies show that alterations in NMDAR function alter serum and brain lipid composition and make the brain more vulnerable to dietary ω-3 deprivation.","author":[{"dropping-particle":"","family":"Islam","given":"Rehnuma","non-dropping-particle":"","parse-names":false,"suffix":""},{"dropping-particle":"","family":"Trépanier","given":"Marc-Olivier","non-dropping-particle":"","parse-names":false,"suffix":""},{"dropping-particle":"","family":"Milenkovic","given":"Marija","non-dropping-particle":"","parse-names":false,"suffix":""},{"dropping-particle":"","family":"Horsfall","given":"Wendy","non-dropping-particle":"","parse-names":false,"suffix":""},{"dropping-particle":"","family":"Salahpour","given":"Ali","non-dropping-particle":"","parse-names":false,"suffix":""},{"dropping-particle":"","family":"Bazinet","given":"Richard P","non-dropping-particle":"","parse-names":false,"suffix":""},{"dropping-particle":"","family":"Ramsey","given":"Amy J","non-dropping-particle":"","parse-names":false,"suffix":""}],"container-title":"npj Schizophrenia","id":"ITEM-1","issue":"1","issued":{"date-parts":[["2017"]]},"page":"12","title":"Vulnerability to omega-3 deprivation in a mouse model of NMDA receptor","type":"article-journal","volume":"3"},"uris":["http://www.mendeley.com/documents/?uuid=0f899bb3-8454-3504-adaa-5ccc5b8ae282"]},{"id":"ITEM-2","itemData":{"DOI":"10.1111/gbb.12183","ISBN":"1601-1848","ISSN":"1601183X","PMID":"25327402","abstract":"N-methyl-d-aspartate (NMDA) receptor-deficient mice can be used to understand the role that NMDA receptors (NMDARs) play in the pathophysiology of neurodevelopmental disorders such as schizophrenia. Genetically modified mice with low levels of NR1 subunit (NR1 knockdown mice) have reduced receptor levels throughout development, and have robust abnormalities in behaviours that are relevant to schizophrenia. We traced the onset and severity of these behaviours at three developmental stages to understand when in development the underlying circuits depend on intact NMDAR function. We examined social behaviour, working memory, executive function, locomotor activity and stereotypy at 3, 6 and 12 weeks of age in NR1 knockdown mice and their wild-type littermates. We discovered that each of these behaviours had a unique developmental trajectory in mutant mice, and males showed an earlier onset and severity than females in several behaviours. Hyperlocomotion was most substantial in juvenile mice and plateaued in adult mice, whereas stereotypy progressively worsened with age. Impairments in working memory and sociability were sexually dimorphic, with deficits first detected in peri-adolescent males but only detected in adult females. Interestingly, executive function was most impaired in peri-adolescent mice of either sex. Furthermore, while juvenile mutant mice had some ability to problem solve in the puzzle box test, the same mice lost this ability when tested 4 weeks later. Our studies highlight key developmental periods for males and females in the expression of behaviours that are relevant to psychiatric disorders.","author":[{"dropping-particle":"","family":"Milenkovic","given":"M.","non-dropping-particle":"","parse-names":false,"suffix":""},{"dropping-particle":"","family":"Mielnik","given":"C.A. A","non-dropping-particle":"","parse-names":false,"suffix":""},{"dropping-particle":"","family":"Ramsey","given":"A.J. J","non-dropping-particle":"","parse-names":false,"suffix":""}],"container-title":"Genes, Brain and Behavior","id":"ITEM-2","issue":"8","issued":{"date-parts":[["2014","11"]]},"page":"850-862","title":"NMDA receptor-deficient mice display sexual dimorphism in the onset and severity of behavioural abnormalities","type":"article-journal","volume":"13"},"uris":["http://www.mendeley.com/documents/?uuid=58976e11-4413-4b8c-b7d2-24c4bd948a09"]}],"mendeley":{"formattedCitation":"[5, 6]","plainTextFormattedCitation":"[5, 6]","previouslyFormattedCitation":"(Islam et al., 2017; Milenkovic et al., 2014)"},"properties":{"noteIndex":0},"schema":"https://github.com/citation-style-language/schema/raw/master/csl-citation.json"}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[5, 6]</w:t>
      </w:r>
      <w:r w:rsidRPr="001409D5">
        <w:rPr>
          <w:rFonts w:ascii="Arial" w:hAnsi="Arial" w:cs="Arial"/>
          <w:szCs w:val="24"/>
        </w:rPr>
        <w:fldChar w:fldCharType="end"/>
      </w:r>
      <w:r w:rsidRPr="001409D5">
        <w:rPr>
          <w:rFonts w:ascii="Arial" w:hAnsi="Arial" w:cs="Arial"/>
          <w:szCs w:val="24"/>
        </w:rPr>
        <w:t>. The puzzle box arena contained a brightly lit area (250 lux, 58 x 28 x 27.5 cm), and a dimly lit area termed the goal box (5 lux, 14 x 28 x 27.5 cm). The two areas were separated by a black Plexiglas divider, and increasingly difficult barriers were presented to the mice. Mice were placed in the lighted area and the time required for the mouse to reach the goal box was scored manually with a 300 second cut-off. The first trial measured the time required to reach the goal when a doorway gave access to the goal box. The second, third, and fourth trials measured the time required to reach the goal when the only access to the goal box was an underpass. The fifth, sixth, and seventh trials measured the time required to reach the goal box when the underpass was blocked with bedding. The inter-trial interval for trials 2, 3, 5 and 6 was two minutes. The inter-trial interval for trials 4 and 7 was 24 hours.</w:t>
      </w:r>
    </w:p>
    <w:p w14:paraId="40F4B8CA" w14:textId="77777777" w:rsidR="00A33898" w:rsidRPr="001409D5" w:rsidRDefault="00A33898" w:rsidP="001409D5">
      <w:pPr>
        <w:spacing w:line="360" w:lineRule="auto"/>
        <w:rPr>
          <w:rFonts w:ascii="Arial" w:hAnsi="Arial" w:cs="Arial"/>
          <w:szCs w:val="24"/>
        </w:rPr>
      </w:pPr>
      <w:r w:rsidRPr="001409D5">
        <w:rPr>
          <w:rFonts w:ascii="Arial" w:hAnsi="Arial" w:cs="Arial"/>
          <w:szCs w:val="24"/>
        </w:rPr>
        <w:lastRenderedPageBreak/>
        <w:t xml:space="preserve">Thus the trials for the puzzle box were as follows; </w:t>
      </w:r>
      <w:r w:rsidRPr="001409D5">
        <w:rPr>
          <w:rFonts w:ascii="Arial" w:hAnsi="Arial" w:cs="Arial"/>
          <w:szCs w:val="24"/>
        </w:rPr>
        <w:br/>
      </w:r>
      <w:r w:rsidRPr="001409D5">
        <w:rPr>
          <w:rFonts w:ascii="Arial" w:hAnsi="Arial" w:cs="Arial"/>
          <w:i/>
          <w:szCs w:val="24"/>
        </w:rPr>
        <w:t>Day 1:</w:t>
      </w:r>
      <w:r w:rsidRPr="001409D5">
        <w:rPr>
          <w:rFonts w:ascii="Arial" w:hAnsi="Arial" w:cs="Arial"/>
          <w:szCs w:val="24"/>
        </w:rPr>
        <w:t xml:space="preserve"> T1 open door and underpass, T2 and T3 underpass only access.</w:t>
      </w:r>
      <w:r w:rsidRPr="001409D5">
        <w:rPr>
          <w:rFonts w:ascii="Arial" w:hAnsi="Arial" w:cs="Arial"/>
          <w:szCs w:val="24"/>
        </w:rPr>
        <w:br/>
      </w:r>
      <w:r w:rsidRPr="001409D5">
        <w:rPr>
          <w:rFonts w:ascii="Arial" w:hAnsi="Arial" w:cs="Arial"/>
          <w:i/>
          <w:szCs w:val="24"/>
        </w:rPr>
        <w:t>Day 2:</w:t>
      </w:r>
      <w:r w:rsidRPr="001409D5">
        <w:rPr>
          <w:rFonts w:ascii="Arial" w:hAnsi="Arial" w:cs="Arial"/>
          <w:szCs w:val="24"/>
        </w:rPr>
        <w:t xml:space="preserve"> T4 underpass only, T5 and T6 underpass filled with bedding.</w:t>
      </w:r>
    </w:p>
    <w:p w14:paraId="0761E64B" w14:textId="77777777" w:rsidR="00A33898" w:rsidRPr="001409D5" w:rsidRDefault="00A33898" w:rsidP="001409D5">
      <w:pPr>
        <w:spacing w:line="360" w:lineRule="auto"/>
        <w:rPr>
          <w:rFonts w:ascii="Arial" w:hAnsi="Arial" w:cs="Arial"/>
          <w:szCs w:val="24"/>
        </w:rPr>
      </w:pPr>
      <w:r w:rsidRPr="001409D5">
        <w:rPr>
          <w:rFonts w:ascii="Arial" w:hAnsi="Arial" w:cs="Arial"/>
          <w:i/>
          <w:szCs w:val="24"/>
        </w:rPr>
        <w:t>Day 3:</w:t>
      </w:r>
      <w:r w:rsidRPr="001409D5">
        <w:rPr>
          <w:rFonts w:ascii="Arial" w:hAnsi="Arial" w:cs="Arial"/>
          <w:szCs w:val="24"/>
        </w:rPr>
        <w:t xml:space="preserve"> T7 underpass filled with bedding.</w:t>
      </w:r>
    </w:p>
    <w:p w14:paraId="51CC749B" w14:textId="1B2D4DD6" w:rsidR="00A33898" w:rsidRPr="001409D5" w:rsidRDefault="00A33898" w:rsidP="001409D5">
      <w:pPr>
        <w:spacing w:line="360" w:lineRule="auto"/>
        <w:outlineLvl w:val="0"/>
        <w:rPr>
          <w:rFonts w:ascii="Arial" w:hAnsi="Arial" w:cs="Arial"/>
          <w:szCs w:val="24"/>
        </w:rPr>
      </w:pPr>
    </w:p>
    <w:p w14:paraId="4A4EC36B" w14:textId="252A6A60" w:rsidR="003372FE" w:rsidRPr="001409D5" w:rsidRDefault="003372FE" w:rsidP="001409D5">
      <w:pPr>
        <w:spacing w:line="360" w:lineRule="auto"/>
        <w:outlineLvl w:val="0"/>
        <w:rPr>
          <w:rFonts w:ascii="Arial" w:hAnsi="Arial" w:cs="Arial"/>
          <w:szCs w:val="24"/>
        </w:rPr>
      </w:pPr>
      <w:r w:rsidRPr="001409D5">
        <w:rPr>
          <w:rFonts w:ascii="Arial" w:hAnsi="Arial" w:cs="Arial"/>
          <w:i/>
          <w:szCs w:val="24"/>
        </w:rPr>
        <w:t>Elevated Plus Maze:</w:t>
      </w:r>
      <w:r w:rsidRPr="001409D5">
        <w:rPr>
          <w:rFonts w:ascii="Arial" w:hAnsi="Arial" w:cs="Arial"/>
          <w:b/>
          <w:szCs w:val="24"/>
        </w:rPr>
        <w:t xml:space="preserve"> </w:t>
      </w:r>
      <w:r w:rsidRPr="001409D5">
        <w:rPr>
          <w:rFonts w:ascii="Arial" w:hAnsi="Arial" w:cs="Arial"/>
          <w:szCs w:val="24"/>
        </w:rPr>
        <w:t xml:space="preserve">Half of the mice had their anxiety behavior assessed on day 2 of testing via elevated plus maze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{"citationItems":[{"id":"ITEM-1","itemData":{"DOI":"10.1016/j.bbr.2006.07.030","ISBN":"0166-4328 (Print)\\n0166-4328 (Linking)","ISSN":"01664328","PMID":"16971002","abstract":"Three defining clinical symptoms of autism are aberrant reciprocal social interactions, deficits in social communication, and repetitive behaviors, including motor stereotypies and insistence on sameness. We developed a set of behavioral tasks designed to model components of these core symptoms in mice. Male mice from 10 inbred strains were characterized in assays for sociability, preference for social novelty, and reversal of the spatial location of the reinforcer in T-maze and Morris water maze tasks. Six strains, C57BL/6J, C57L/J, DBA/2J, FVB/NJ, C3H/HeJ, and AKR/J, showed significant levels of sociability, while A/J, BALB/cByJ, BTBR T+tf/J, and 129S1/SvImJ mice did not. C57BL/6J, C57L/J, DBA/2J, FVB/NJ, BALB/cByJ, and BTBR T+tf/J showed significant preference for social novelty, while C3H/HeJ, AKR/J, A/J, and 129S1/SvImJ did not. Normal scores on relevant control measures confirmed general health and physical abilities in all strains, ruling out artifactual explanations for social deficits. Elevated plus maze scores confirmed high anxiety-like behaviors in A/J, BALB/cByJ, and 129S1/SvImJ, which could underlie components of their low social approach. Strains that showed high levels of performance on acquisition of a T-maze task were also able to reach criterion for reversal learning. On the Morris water maze task, DBA/2J, AKR/J, BTBR T+tf/J, and 129S1/SvImJ failed to show significant quadrant preference during the reversal probe trial. These results highlight a dissociation between social task performance and reversal learning. BTBR T+tf/J is a particularly interesting strain, displaying both low social approach and resistance to change in routine on the water maze, consistent with an autism-like phenotype. Our multitask strategy for modeling symptoms of autism will be useful for investigating targeted and random gene mutations, QTLs, and microarray analyses. © 2006 Elsevier B.V. All rights reserved.","author":[{"dropping-particle":"","family":"Moy","given":"Sheryl S.","non-dropping-particle":"","parse-names":false,"suffix":""},{"dropping-particle":"","family":"Nadler","given":"Jessica J.","non-dropping-particle":"","parse-names":false,"suffix":""},{"dropping-particle":"","family":"Young","given":"Nancy B.","non-dropping-particle":"","parse-names":false,"suffix":""},{"dropping-particle":"","family":"Perez","given":"Antonio","non-dropping-particle":"","parse-names":false,"suffix":""},{"dropping-particle":"","family":"Holloway","given":"L. Paige","non-dropping-particle":"","parse-names":false,"suffix":""},{"dropping-particle":"","family":"Barbaro","given":"Ryan P.","non-dropping-particle":"","parse-names":false,"suffix":""},{"dropping-particle":"","family":"Barbaro","given":"Justin R.","non-dropping-particle":"","parse-names":false,"suffix":""},{"dropping-particle":"","family":"Wilson","given":"Lindsay M.","non-dropping-particle":"","parse-names":false,"suffix":""},{"dropping-particle":"","family":"Threadgill","given":"David W.","non-dropping-particle":"","parse-names":false,"suffix":""},{"dropping-particle":"","family":"Lauder","given":"Jean M.","non-dropping-particle":"","parse-names":false,"suffix":""},{"dropping-particle":"","family":"Magnuson","given":"Terry R","non-dropping-particle":"","parse-names":false,"suffix":""},{"dropping-particle":"","family":"Crawley","given":"Jacqueline N","non-dropping-particle":"","parse-names":false,"suffix":""}],"container-title":"Behavioural Brain Research","id":"ITEM-1","issue":"1","issued":{"date-parts":[["2007","1","10"]]},"page":"4-20","title":"Mouse behavioral tasks relevant to autism: Phenotypes of 10 inbred strains","type":"article-journal","volume":"176"},"uris":["http://www.mendeley.com/documents/?uuid=9f95fc7d-7642-30a2-a604-49a663cbdd1a"]}],"mendeley":{"formattedCitation":"[8]","plainTextFormattedCitation":"[8]","previouslyFormattedCitation":"(Moy et al., 2007)"},"properties":{"noteIndex":0},"schema":"https://github.com/citation-style-language/schema/raw/master/csl-citation.json"}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[8]</w:t>
      </w:r>
      <w:r w:rsidRPr="001409D5">
        <w:rPr>
          <w:rFonts w:ascii="Arial" w:hAnsi="Arial" w:cs="Arial"/>
          <w:szCs w:val="24"/>
        </w:rPr>
        <w:fldChar w:fldCharType="end"/>
      </w:r>
      <w:r w:rsidRPr="001409D5">
        <w:rPr>
          <w:rFonts w:ascii="Arial" w:hAnsi="Arial" w:cs="Arial"/>
          <w:szCs w:val="24"/>
        </w:rPr>
        <w:t xml:space="preserve">. The elevated plus maze was composed of 4 opaque-white arms (2 opposite arms closed, 2 opposite arms open), arranged in a plus shape, with an open center. The dimensions were as follows; maze elevation (38.7cm), open arm (L:30.5cm, W:5cm, H:0cm), closed arm (L:30.5cm, W:5cm, H:15.2cm) and center (5cm x 5cm). The experiment mouse was placed in the center of the maze, and allowed to freely explore the maze for 8-min in dim light (15-16lux), while being tracked with an overhead camera. Open and closed arm times were recorded and collected by </w:t>
      </w:r>
      <w:proofErr w:type="spellStart"/>
      <w:r w:rsidRPr="001409D5">
        <w:rPr>
          <w:rFonts w:ascii="Arial" w:hAnsi="Arial" w:cs="Arial"/>
          <w:szCs w:val="24"/>
        </w:rPr>
        <w:t>Biobserve</w:t>
      </w:r>
      <w:proofErr w:type="spellEnd"/>
      <w:r w:rsidRPr="001409D5">
        <w:rPr>
          <w:rFonts w:ascii="Arial" w:hAnsi="Arial" w:cs="Arial"/>
          <w:szCs w:val="24"/>
        </w:rPr>
        <w:t xml:space="preserve"> Viewer3 software. The percentage of time spent in the open arms as compared to closed arms and center time was calculated and expressed as a percent of time spent in the open arms of the maze.</w:t>
      </w:r>
    </w:p>
    <w:p w14:paraId="340FC603" w14:textId="77777777" w:rsidR="003372FE" w:rsidRPr="001409D5" w:rsidRDefault="003372FE" w:rsidP="001409D5">
      <w:pPr>
        <w:spacing w:line="360" w:lineRule="auto"/>
        <w:outlineLvl w:val="0"/>
        <w:rPr>
          <w:rFonts w:ascii="Arial" w:hAnsi="Arial" w:cs="Arial"/>
          <w:szCs w:val="24"/>
        </w:rPr>
      </w:pPr>
    </w:p>
    <w:p w14:paraId="3E476B11" w14:textId="77777777" w:rsidR="003372FE" w:rsidRPr="001409D5" w:rsidRDefault="003372FE" w:rsidP="001409D5">
      <w:pPr>
        <w:spacing w:line="360" w:lineRule="auto"/>
        <w:outlineLvl w:val="0"/>
        <w:rPr>
          <w:rFonts w:ascii="Arial" w:hAnsi="Arial" w:cs="Arial"/>
          <w:szCs w:val="24"/>
        </w:rPr>
      </w:pPr>
    </w:p>
    <w:p w14:paraId="2BA24257" w14:textId="7520B3EF" w:rsidR="00A33898" w:rsidRPr="001409D5" w:rsidRDefault="00A33898" w:rsidP="001409D5">
      <w:pPr>
        <w:spacing w:line="360" w:lineRule="auto"/>
        <w:outlineLvl w:val="0"/>
        <w:rPr>
          <w:rFonts w:ascii="Arial" w:hAnsi="Arial" w:cs="Arial"/>
          <w:szCs w:val="24"/>
        </w:rPr>
      </w:pPr>
      <w:r w:rsidRPr="001409D5">
        <w:rPr>
          <w:rFonts w:ascii="Arial" w:hAnsi="Arial" w:cs="Arial"/>
          <w:i/>
          <w:szCs w:val="24"/>
        </w:rPr>
        <w:t>Affiliative Social Interaction:</w:t>
      </w:r>
      <w:r w:rsidRPr="001409D5">
        <w:rPr>
          <w:rFonts w:ascii="Arial" w:hAnsi="Arial" w:cs="Arial"/>
          <w:b/>
          <w:szCs w:val="24"/>
        </w:rPr>
        <w:t xml:space="preserve"> </w:t>
      </w:r>
      <w:r w:rsidRPr="001409D5">
        <w:rPr>
          <w:rFonts w:ascii="Arial" w:hAnsi="Arial" w:cs="Arial"/>
          <w:szCs w:val="24"/>
        </w:rPr>
        <w:t xml:space="preserve">Affiliative social </w:t>
      </w:r>
      <w:proofErr w:type="spellStart"/>
      <w:r w:rsidRPr="001409D5">
        <w:rPr>
          <w:rFonts w:ascii="Arial" w:hAnsi="Arial" w:cs="Arial"/>
          <w:szCs w:val="24"/>
        </w:rPr>
        <w:t>behaviour</w:t>
      </w:r>
      <w:proofErr w:type="spellEnd"/>
      <w:r w:rsidRPr="001409D5">
        <w:rPr>
          <w:rFonts w:ascii="Arial" w:hAnsi="Arial" w:cs="Arial"/>
          <w:szCs w:val="24"/>
        </w:rPr>
        <w:t xml:space="preserve"> was assessed as previously described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{"citationItems":[{"id":"ITEM-1","itemData":{"DOI":"10.1038/s41537-017-0014-8","ISSN":"2334-265X","PMID":"28560258","abstract":"Several studies have found decreased levels of ω-3 polyunsaturated fatty acids in the brain and blood of schizophrenia patients. Furthermore, dietary ω-3 supplements may improve schizophrenia symptoms and delay the onset of first-episode psychosis. We used an animal model of NMDA receptor hypofunction, NR1KD mice, to understand whether changes in glutamate neurotransmission could lead to changes in brain and serum fatty acids. We further asked whether dietary manipulations of ω-3, either depletion or supplementation, would affect schizophrenia-relevant behaviors of NR1KD mice. We discovered that NR1KD mice have elevated brain levels of ω-6 fatty acids regardless of their diet. While ω-3 supplementation did not improve any of the NR1KD behavioral abnormalities, ω-3 depletion exacerbated their deficits in executive function. Omega-3 depletion also caused extreme mortality among male mutant mice, with 75% mortality rate by 12 weeks of age. Our studies show that alterations in NMDAR function alter serum and brain lipid composition and make the brain more vulnerable to dietary ω-3 deprivation.","author":[{"dropping-particle":"","family":"Islam","given":"Rehnuma","non-dropping-particle":"","parse-names":false,"suffix":""},{"dropping-particle":"","family":"Trépanier","given":"Marc-Olivier","non-dropping-particle":"","parse-names":false,"suffix":""},{"dropping-particle":"","family":"Milenkovic","given":"Marija","non-dropping-particle":"","parse-names":false,"suffix":""},{"dropping-particle":"","family":"Horsfall","given":"Wendy","non-dropping-particle":"","parse-names":false,"suffix":""},{"dropping-particle":"","family":"Salahpour","given":"Ali","non-dropping-particle":"","parse-names":false,"suffix":""},{"dropping-particle":"","family":"Bazinet","given":"Richard P","non-dropping-particle":"","parse-names":false,"suffix":""},{"dropping-particle":"","family":"Ramsey","given":"Amy J","non-dropping-particle":"","parse-names":false,"suffix":""}],"container-title":"npj Schizophrenia","id":"ITEM-1","issue":"1","issued":{"date-parts":[["2017"]]},"page":"12","title":"Vulnerability to omega-3 deprivation in a mouse model of NMDA receptor","type":"article-journal","volume":"3"},"uris":["http://www.mendeley.com/documents/?uuid=0f899bb3-8454-3504-adaa-5ccc5b8ae282"]},{"id":"ITEM-2","itemData":{"DOI":"10.1111/gbb.12155","ISBN":"1601-183x","ISSN":"1601183X","PMID":"25040071","abstract":"NR1 knockdown (NR1KD) mice are genetically modified to express low levels of the NR1 subunit of N-methyl-D-aspartate (NMDA) receptors, and show deficits in affiliative social behaviour. In this study, we deter-mined which brain regions were selectively activated in response to social stimulation and asked whether differences in neuronal activation could be observed in mice with reduced sociability. Furthermore, we aimed to determine whether brain activation patterns correlated with the amelioration of social deficits through phar-macological intervention. The cingulate cortex, lateral septal nuclei, hypothalamus, thalamus and amygdala showed an increase in c-Fos immunoreactivity that was selective for exposure to social stimuli. NR1KD mice dis-played a reduction in social behaviour and a reduction in c-Fos immunoreactivity in the cingulate cortex and septal nuclei. Acute clozapine did not significantly alter sociability; however, diazepam treatment did increase sociability and neuronal activation in the lateral sep-tal region. This study has identified the lateral septal region as a neural substrate of social behaviour and the GABA system as a potential therapeutic target for social dysfunction.","author":[{"dropping-particle":"","family":"Mielnik","given":"C.A. A.","non-dropping-particle":"","parse-names":false,"suffix":""},{"dropping-particle":"","family":"Horsfall","given":"W.","non-dropping-particle":"","parse-names":false,"suffix":""},{"dropping-particle":"","family":"Ramsey","given":"A.J. J.","non-dropping-particle":"","parse-names":false,"suffix":""}],"container-title":"Genes, Brain and Behavior","id":"ITEM-2","issue":"7","issued":{"date-parts":[["2014","9"]]},"page":"592-602","title":"Diazepam improves aspects of social behaviour and neuron activation in NMDA receptor-deficient mice","type":"article-journal","volume":"13"},"uris":["http://www.mendeley.com/documents/?uuid=0c14f2b6-0631-4653-8cb4-8eb28a5fd25f"]},{"id":"ITEM-3","itemData":{"DOI":"10.1111/gbb.12183","ISBN":"1601-1848","ISSN":"1601183X","PMID":"25327402","abstract":"N-methyl-d-aspartate (NMDA) receptor-deficient mice can be used to understand the role that NMDA receptors (NMDARs) play in the pathophysiology of neurodevelopmental disorders such as schizophrenia. Genetically modified mice with low levels of NR1 subunit (NR1 knockdown mice) have reduced receptor levels throughout development, and have robust abnormalities in behaviours that are relevant to schizophrenia. We traced the onset and severity of these behaviours at three developmental stages to understand when in development the underlying circuits depend on intact NMDAR function. We examined social behaviour, working memory, executive function, locomotor activity and stereotypy at 3, 6 and 12 weeks of age in NR1 knockdown mice and their wild-type littermates. We discovered that each of these behaviours had a unique developmental trajectory in mutant mice, and males showed an earlier onset and severity than females in several behaviours. Hyperlocomotion was most substantial in juvenile mice and plateaued in adult mice, whereas stereotypy progressively worsened with age. Impairments in working memory and sociability were sexually dimorphic, with deficits first detected in peri-adolescent males but only detected in adult females. Interestingly, executive function was most impaired in peri-adolescent mice of either sex. Furthermore, while juvenile mutant mice had some ability to problem solve in the puzzle box test, the same mice lost this ability when tested 4 weeks later. Our studies highlight key developmental periods for males and females in the expression of behaviours that are relevant to psychiatric disorders.","author":[{"dropping-particle":"","family":"Milenkovic","given":"M.","non-dropping-particle":"","parse-names":false,"suffix":""},{"dropping-particle":"","family":"Mielnik","given":"C.A. A","non-dropping-particle":"","parse-names":false,"suffix":""},{"dropping-particle":"","family":"Ramsey","given":"A.J. J","non-dropping-particle":"","parse-names":false,"suffix":""}],"container-title":"Genes, Brain and Behavior","id":"ITEM-3","issue":"8","issued":{"date-parts":[["2014","11"]]},"page":"850-862","title":"NMDA receptor-deficient mice display sexual dimorphism in the onset and severity of behavioural abnormalities","type":"article-journal","volume":"13"},"uris":["http://www.mendeley.com/documents/?uuid=58976e11-4413-4b8c-b7d2-24c4bd948a09"]}],"mendeley":{"formattedCitation":"[5, 6, 9]","plainTextFormattedCitation":"[5, 6, 9]","previouslyFormattedCitation":"(Islam et al., 2017; Mielnik, Horsfall, &amp; Ramsey, 2014; Milenkovic et al., 2014)"},"properties":{"noteIndex":0},"schema":"https://github.com/citation-style-language/schema/raw/master/csl-citation.json"}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[5, 6, 9]</w:t>
      </w:r>
      <w:r w:rsidRPr="001409D5">
        <w:rPr>
          <w:rFonts w:ascii="Arial" w:hAnsi="Arial" w:cs="Arial"/>
          <w:szCs w:val="24"/>
        </w:rPr>
        <w:fldChar w:fldCharType="end"/>
      </w:r>
      <w:r w:rsidRPr="001409D5">
        <w:rPr>
          <w:rFonts w:ascii="Arial" w:hAnsi="Arial" w:cs="Arial"/>
          <w:szCs w:val="24"/>
        </w:rPr>
        <w:t xml:space="preserve">. Sociability was measured with </w:t>
      </w:r>
      <w:proofErr w:type="spellStart"/>
      <w:r w:rsidRPr="001409D5">
        <w:rPr>
          <w:rFonts w:ascii="Arial" w:hAnsi="Arial" w:cs="Arial"/>
          <w:szCs w:val="24"/>
        </w:rPr>
        <w:t>videotracking</w:t>
      </w:r>
      <w:proofErr w:type="spellEnd"/>
      <w:r w:rsidRPr="001409D5">
        <w:rPr>
          <w:rFonts w:ascii="Arial" w:hAnsi="Arial" w:cs="Arial"/>
          <w:szCs w:val="24"/>
        </w:rPr>
        <w:t xml:space="preserve"> software </w:t>
      </w:r>
      <w:proofErr w:type="spellStart"/>
      <w:r w:rsidRPr="001409D5">
        <w:rPr>
          <w:rFonts w:ascii="Arial" w:hAnsi="Arial" w:cs="Arial"/>
          <w:szCs w:val="24"/>
        </w:rPr>
        <w:t>Biobserve</w:t>
      </w:r>
      <w:proofErr w:type="spellEnd"/>
      <w:r w:rsidRPr="001409D5">
        <w:rPr>
          <w:rFonts w:ascii="Arial" w:hAnsi="Arial" w:cs="Arial"/>
          <w:szCs w:val="24"/>
        </w:rPr>
        <w:t xml:space="preserve"> Viewer2, with the body center used as the reference point. Experimental mice were allowed to explore the open area (opaque white walls, 62 x 42 x 22 cm) for 10-min in dim lighting (15-16 lux). The area contained two inverted wire cups, one containing a stimulus mouse (‘social’) and the other empty (‘non-social’). Time spent in each zone (3 cm zone around the cup) was recorded with the </w:t>
      </w:r>
      <w:proofErr w:type="spellStart"/>
      <w:r w:rsidRPr="001409D5">
        <w:rPr>
          <w:rFonts w:ascii="Arial" w:hAnsi="Arial" w:cs="Arial"/>
          <w:szCs w:val="24"/>
        </w:rPr>
        <w:t>Biobserve</w:t>
      </w:r>
      <w:proofErr w:type="spellEnd"/>
      <w:r w:rsidRPr="001409D5">
        <w:rPr>
          <w:rFonts w:ascii="Arial" w:hAnsi="Arial" w:cs="Arial"/>
          <w:szCs w:val="24"/>
        </w:rPr>
        <w:t xml:space="preserve"> software. The mice that were used as a social stimulus were novel, wildtype, C57Bl/6 mice that were age- and sex-matched to the test mouse.</w:t>
      </w:r>
    </w:p>
    <w:p w14:paraId="0AD7C9E4" w14:textId="77777777" w:rsidR="00A33898" w:rsidRPr="001409D5" w:rsidRDefault="00A33898" w:rsidP="001409D5">
      <w:pPr>
        <w:spacing w:line="360" w:lineRule="auto"/>
        <w:outlineLvl w:val="0"/>
        <w:rPr>
          <w:rFonts w:ascii="Arial" w:hAnsi="Arial" w:cs="Arial"/>
          <w:i/>
          <w:szCs w:val="24"/>
        </w:rPr>
      </w:pPr>
    </w:p>
    <w:p w14:paraId="1368F1D8" w14:textId="15FF3A21" w:rsidR="00A33898" w:rsidRPr="001409D5" w:rsidRDefault="00A33898" w:rsidP="001409D5">
      <w:pPr>
        <w:spacing w:line="360" w:lineRule="auto"/>
        <w:outlineLvl w:val="0"/>
        <w:rPr>
          <w:rFonts w:ascii="Arial" w:hAnsi="Arial" w:cs="Arial"/>
          <w:szCs w:val="24"/>
        </w:rPr>
      </w:pPr>
      <w:r w:rsidRPr="001409D5">
        <w:rPr>
          <w:rFonts w:ascii="Arial" w:hAnsi="Arial" w:cs="Arial"/>
          <w:i/>
          <w:szCs w:val="24"/>
        </w:rPr>
        <w:t>Pre-Pulse Inhibition/Startle Reflex:</w:t>
      </w:r>
      <w:r w:rsidRPr="001409D5">
        <w:rPr>
          <w:rFonts w:ascii="Arial" w:hAnsi="Arial" w:cs="Arial"/>
          <w:b/>
          <w:szCs w:val="24"/>
        </w:rPr>
        <w:t xml:space="preserve"> </w:t>
      </w:r>
      <w:r w:rsidRPr="001409D5">
        <w:rPr>
          <w:rFonts w:ascii="Arial" w:hAnsi="Arial" w:cs="Arial"/>
          <w:szCs w:val="24"/>
        </w:rPr>
        <w:t xml:space="preserve">Pre-pulse inhibition of the acoustic startle response was measured with SR-LAB equipment and software from San Diego Instruments, as previously described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{"citationItems":[{"id":"ITEM-1","itemData":{"DOI":"10.1038/s41537-017-0014-8","ISSN":"2334-265X","PMID":"28560258","abstract":"Several studies have found decreased levels of ω-3 polyunsaturated fatty acids in the brain and blood of schizophrenia patients. Furthermore, dietary ω-3 supplements may improve schizophrenia symptoms and delay the onset of first-episode psychosis. We used an animal model of NMDA receptor hypofunction, NR1KD mice, to understand whether changes in glutamate neurotransmission could lead to changes in brain and serum fatty acids. We further asked whether dietary manipulations of ω-3, either depletion or supplementation, would affect schizophrenia-relevant behaviors of NR1KD mice. We discovered that NR1KD mice have elevated brain levels of ω-6 fatty acids regardless of their diet. While ω-3 supplementation did not improve any of the NR1KD behavioral abnormalities, ω-3 depletion exacerbated their deficits in executive function. Omega-3 depletion also caused extreme mortality among male mutant mice, with 75% mortality rate by 12 weeks of age. Our studies show that alterations in NMDAR function alter serum and brain lipid composition and make the brain more vulnerable to dietary ω-3 deprivation.","author":[{"dropping-particle":"","family":"Islam","given":"Rehnuma","non-dropping-particle":"","parse-names":false,"suffix":""},{"dropping-particle":"","family":"Trépanier","given":"Marc-Olivier","non-dropping-particle":"","parse-names":false,"suffix":""},{"dropping-particle":"","family":"Milenkovic","given":"Marija","non-dropping-particle":"","parse-names":false,"suffix":""},{"dropping-particle":"","family":"Horsfall","given":"Wendy","non-dropping-particle":"","parse-names":false,"suffix":""},{"dropping-particle":"","family":"Salahpour","given":"Ali","non-dropping-particle":"","parse-names":false,"suffix":""},{"dropping-particle":"","family":"Bazinet","given":"Richard P","non-dropping-particle":"","parse-names":false,"suffix":""},{"dropping-particle":"","family":"Ramsey","given":"Amy J","non-dropping-particle":"","parse-names":false,"suffix":""}],"container-title":"npj Schizophrenia","id":"ITEM-1","issue":"1","issued":{"date-parts":[["2017"]]},"page":"12","title":"Vulnerability to omega-3 deprivation in a mouse model of NMDA receptor","type":"article-journal","volume":"3"},"uris":["http://www.mendeley.com/documents/?uuid=0f899bb3-8454-3504-adaa-5ccc5b8ae282"]}],"mendeley":{"formattedCitation":"[5]","plainTextFormattedCitation":"[5]","previouslyFormattedCitation":"(Islam et al., 2017)"},"properties":{"noteIndex":0},"schema":"https://github.com/citation-style-language/schema/raw/master/csl-citation.json"}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[5]</w:t>
      </w:r>
      <w:r w:rsidRPr="001409D5">
        <w:rPr>
          <w:rFonts w:ascii="Arial" w:hAnsi="Arial" w:cs="Arial"/>
          <w:szCs w:val="24"/>
        </w:rPr>
        <w:fldChar w:fldCharType="end"/>
      </w:r>
      <w:r w:rsidRPr="001409D5">
        <w:rPr>
          <w:rFonts w:ascii="Arial" w:hAnsi="Arial" w:cs="Arial"/>
          <w:szCs w:val="24"/>
        </w:rPr>
        <w:t xml:space="preserve">. Briefly, accelerometers were calibrated to 700±5 mV and output voltages were amplified and analyzed for voltage changes using SR Analysis (San Diego Instruments, San Diego, CA, USA). Background white noise was maintained at 65dB. PPI was measured in a </w:t>
      </w:r>
      <w:r w:rsidRPr="001409D5">
        <w:rPr>
          <w:rFonts w:ascii="Arial" w:hAnsi="Arial" w:cs="Arial"/>
          <w:szCs w:val="24"/>
        </w:rPr>
        <w:lastRenderedPageBreak/>
        <w:t xml:space="preserve">30-min test with 80 randomized trials of: </w:t>
      </w:r>
      <w:r w:rsidR="00526E30" w:rsidRPr="001409D5">
        <w:rPr>
          <w:rFonts w:ascii="Arial" w:hAnsi="Arial" w:cs="Arial"/>
          <w:szCs w:val="24"/>
        </w:rPr>
        <w:t>(1)</w:t>
      </w:r>
      <w:r w:rsidRPr="001409D5">
        <w:rPr>
          <w:rFonts w:ascii="Arial" w:hAnsi="Arial" w:cs="Arial"/>
          <w:szCs w:val="24"/>
        </w:rPr>
        <w:t xml:space="preserve"> 10 trials pulse alone </w:t>
      </w:r>
      <w:r w:rsidR="00526E30" w:rsidRPr="001409D5">
        <w:rPr>
          <w:rFonts w:ascii="Arial" w:hAnsi="Arial" w:cs="Arial"/>
          <w:szCs w:val="24"/>
        </w:rPr>
        <w:t>(2)</w:t>
      </w:r>
      <w:r w:rsidRPr="001409D5">
        <w:rPr>
          <w:rFonts w:ascii="Arial" w:hAnsi="Arial" w:cs="Arial"/>
          <w:szCs w:val="24"/>
        </w:rPr>
        <w:t xml:space="preserve"> 10 trials pre-pulse alone (for each pre-pulse), </w:t>
      </w:r>
      <w:r w:rsidR="00526E30" w:rsidRPr="001409D5">
        <w:rPr>
          <w:rFonts w:ascii="Arial" w:hAnsi="Arial" w:cs="Arial"/>
          <w:szCs w:val="24"/>
        </w:rPr>
        <w:t xml:space="preserve">(3) </w:t>
      </w:r>
      <w:r w:rsidRPr="001409D5">
        <w:rPr>
          <w:rFonts w:ascii="Arial" w:hAnsi="Arial" w:cs="Arial"/>
          <w:szCs w:val="24"/>
        </w:rPr>
        <w:t xml:space="preserve">10 trials pre-pulse plus pulse (for each pre-pulse), and </w:t>
      </w:r>
      <w:r w:rsidR="00526E30" w:rsidRPr="001409D5">
        <w:rPr>
          <w:rFonts w:ascii="Arial" w:hAnsi="Arial" w:cs="Arial"/>
          <w:szCs w:val="24"/>
        </w:rPr>
        <w:t>(4)</w:t>
      </w:r>
      <w:r w:rsidRPr="001409D5">
        <w:rPr>
          <w:rFonts w:ascii="Arial" w:hAnsi="Arial" w:cs="Arial"/>
          <w:szCs w:val="24"/>
        </w:rPr>
        <w:t xml:space="preserve"> 10 trials no pulse. 5 pulse alone trials were performed before and after the 80 trials, totaling 90 trials per run. The pre-pulse (4dB, 8dB, or 16dB above 65dB background) was presented 100ms prior to the startle pulse (100dB above 65dB background). The inter-stimulus interval (ISI) was randomized between 5 and 20s. Experimental mice were placed in a cylindrical tube on a platform in a soundproof chamber. Mice were allowed to acclimatize in the chamber and to the background noise for 300s, followed by 5 consecutive pulse alone trials, then by 80 randomized trials (as described above) and then 5 consecutive pulse alone trials. Pre-pulse inhibition was measured as a decrease in the amplitude of startle response to a 100dB acoustic startle pulse, following each pre-pulse (4dB, 8dB and 16dB).</w:t>
      </w:r>
    </w:p>
    <w:p w14:paraId="3C129FEB" w14:textId="77777777" w:rsidR="00A33898" w:rsidRPr="001409D5" w:rsidRDefault="00A33898" w:rsidP="001409D5">
      <w:pPr>
        <w:spacing w:line="360" w:lineRule="auto"/>
        <w:outlineLvl w:val="0"/>
        <w:rPr>
          <w:rFonts w:ascii="Arial" w:hAnsi="Arial" w:cs="Arial"/>
          <w:b/>
          <w:szCs w:val="24"/>
        </w:rPr>
      </w:pPr>
    </w:p>
    <w:p w14:paraId="318DD9E8" w14:textId="77777777" w:rsidR="00A33898" w:rsidRPr="001409D5" w:rsidRDefault="00A33898" w:rsidP="001409D5">
      <w:pPr>
        <w:spacing w:line="360" w:lineRule="auto"/>
        <w:outlineLvl w:val="0"/>
        <w:rPr>
          <w:rFonts w:ascii="Arial" w:hAnsi="Arial" w:cs="Arial"/>
          <w:szCs w:val="24"/>
        </w:rPr>
      </w:pPr>
      <w:r w:rsidRPr="001409D5">
        <w:rPr>
          <w:rFonts w:ascii="Arial" w:hAnsi="Arial" w:cs="Arial"/>
          <w:b/>
          <w:szCs w:val="24"/>
        </w:rPr>
        <w:t>Harvesting Whole Brain Tissue</w:t>
      </w:r>
      <w:r w:rsidRPr="001409D5">
        <w:rPr>
          <w:rFonts w:ascii="Arial" w:hAnsi="Arial" w:cs="Arial"/>
          <w:b/>
          <w:szCs w:val="24"/>
        </w:rPr>
        <w:br/>
      </w:r>
      <w:r w:rsidRPr="001409D5">
        <w:rPr>
          <w:rFonts w:ascii="Arial" w:hAnsi="Arial" w:cs="Arial"/>
          <w:szCs w:val="24"/>
        </w:rPr>
        <w:t xml:space="preserve">Mice were euthanized by cervical dislocation on the day subsequent to the last </w:t>
      </w:r>
      <w:proofErr w:type="spellStart"/>
      <w:r w:rsidRPr="001409D5">
        <w:rPr>
          <w:rFonts w:ascii="Arial" w:hAnsi="Arial" w:cs="Arial"/>
          <w:szCs w:val="24"/>
        </w:rPr>
        <w:t>behavioural</w:t>
      </w:r>
      <w:proofErr w:type="spellEnd"/>
      <w:r w:rsidRPr="001409D5">
        <w:rPr>
          <w:rFonts w:ascii="Arial" w:hAnsi="Arial" w:cs="Arial"/>
          <w:szCs w:val="24"/>
        </w:rPr>
        <w:t xml:space="preserve"> test. Brains were removed and frozen in dry-ice chilled 2-methylbutane (Sigma Aldrich). Brains were stored in 5ml </w:t>
      </w:r>
      <w:proofErr w:type="spellStart"/>
      <w:r w:rsidRPr="001409D5">
        <w:rPr>
          <w:rFonts w:ascii="Arial" w:hAnsi="Arial" w:cs="Arial"/>
          <w:szCs w:val="24"/>
        </w:rPr>
        <w:t>eppendorf</w:t>
      </w:r>
      <w:proofErr w:type="spellEnd"/>
      <w:r w:rsidRPr="001409D5">
        <w:rPr>
          <w:rFonts w:ascii="Arial" w:hAnsi="Arial" w:cs="Arial"/>
          <w:szCs w:val="24"/>
        </w:rPr>
        <w:t xml:space="preserve"> tubes at -80°C before use in: radioligand binding, immunohistochemistry, western blot, </w:t>
      </w:r>
      <w:r w:rsidRPr="001409D5">
        <w:rPr>
          <w:rFonts w:ascii="Arial" w:hAnsi="Arial" w:cs="Arial"/>
          <w:i/>
          <w:szCs w:val="24"/>
        </w:rPr>
        <w:t>in situ</w:t>
      </w:r>
      <w:r w:rsidRPr="001409D5">
        <w:rPr>
          <w:rFonts w:ascii="Arial" w:hAnsi="Arial" w:cs="Arial"/>
          <w:szCs w:val="24"/>
        </w:rPr>
        <w:t xml:space="preserve"> hybridization, and PSD-95 pull-down experiments.</w:t>
      </w:r>
    </w:p>
    <w:p w14:paraId="29ED6376" w14:textId="77777777" w:rsidR="00A33898" w:rsidRPr="001409D5" w:rsidRDefault="00A33898" w:rsidP="001409D5">
      <w:pPr>
        <w:spacing w:line="360" w:lineRule="auto"/>
        <w:outlineLvl w:val="0"/>
        <w:rPr>
          <w:rFonts w:ascii="Arial" w:hAnsi="Arial" w:cs="Arial"/>
          <w:b/>
          <w:szCs w:val="24"/>
        </w:rPr>
      </w:pPr>
    </w:p>
    <w:p w14:paraId="06E66012" w14:textId="5F80BEEC" w:rsidR="00A33898" w:rsidRPr="001409D5" w:rsidRDefault="00A33898" w:rsidP="001409D5">
      <w:pPr>
        <w:spacing w:line="360" w:lineRule="auto"/>
        <w:outlineLvl w:val="0"/>
        <w:rPr>
          <w:rFonts w:ascii="Arial" w:hAnsi="Arial" w:cs="Arial"/>
          <w:szCs w:val="24"/>
        </w:rPr>
      </w:pPr>
      <w:r w:rsidRPr="001409D5">
        <w:rPr>
          <w:rFonts w:ascii="Arial" w:hAnsi="Arial" w:cs="Arial"/>
          <w:b/>
          <w:szCs w:val="24"/>
        </w:rPr>
        <w:t>Immunoflu</w:t>
      </w:r>
      <w:r w:rsidR="005F6C23">
        <w:rPr>
          <w:rFonts w:ascii="Arial" w:hAnsi="Arial" w:cs="Arial"/>
          <w:b/>
          <w:szCs w:val="24"/>
        </w:rPr>
        <w:t>o</w:t>
      </w:r>
      <w:r w:rsidRPr="001409D5">
        <w:rPr>
          <w:rFonts w:ascii="Arial" w:hAnsi="Arial" w:cs="Arial"/>
          <w:b/>
          <w:szCs w:val="24"/>
        </w:rPr>
        <w:t xml:space="preserve">rescent detection of </w:t>
      </w:r>
      <w:proofErr w:type="spellStart"/>
      <w:r w:rsidRPr="001409D5">
        <w:rPr>
          <w:rFonts w:ascii="Arial" w:hAnsi="Arial" w:cs="Arial"/>
          <w:b/>
          <w:szCs w:val="24"/>
        </w:rPr>
        <w:t>Cre</w:t>
      </w:r>
      <w:proofErr w:type="spellEnd"/>
      <w:r w:rsidRPr="001409D5">
        <w:rPr>
          <w:rFonts w:ascii="Arial" w:hAnsi="Arial" w:cs="Arial"/>
          <w:b/>
          <w:szCs w:val="24"/>
        </w:rPr>
        <w:t xml:space="preserve"> recombinase activity </w:t>
      </w:r>
      <w:r w:rsidRPr="001409D5">
        <w:rPr>
          <w:rFonts w:ascii="Arial" w:hAnsi="Arial" w:cs="Arial"/>
          <w:b/>
          <w:szCs w:val="24"/>
        </w:rPr>
        <w:br/>
      </w:r>
      <w:r w:rsidRPr="001409D5">
        <w:rPr>
          <w:rFonts w:ascii="Arial" w:hAnsi="Arial" w:cs="Arial"/>
          <w:szCs w:val="24"/>
        </w:rPr>
        <w:t xml:space="preserve">Mice carrying the </w:t>
      </w:r>
      <w:r w:rsidRPr="001409D5">
        <w:rPr>
          <w:rFonts w:ascii="Arial" w:hAnsi="Arial" w:cs="Arial"/>
          <w:i/>
          <w:szCs w:val="24"/>
        </w:rPr>
        <w:t>ROSA26</w:t>
      </w:r>
      <w:r w:rsidRPr="001409D5">
        <w:rPr>
          <w:rFonts w:ascii="Arial" w:hAnsi="Arial" w:cs="Arial"/>
          <w:i/>
          <w:szCs w:val="24"/>
          <w:vertAlign w:val="superscript"/>
        </w:rPr>
        <w:t>tdTomato</w:t>
      </w:r>
      <w:r w:rsidRPr="001409D5">
        <w:rPr>
          <w:rFonts w:ascii="Arial" w:hAnsi="Arial" w:cs="Arial"/>
          <w:szCs w:val="24"/>
        </w:rPr>
        <w:t xml:space="preserve"> and </w:t>
      </w:r>
      <w:r w:rsidRPr="001409D5">
        <w:rPr>
          <w:rFonts w:ascii="Arial" w:hAnsi="Arial" w:cs="Arial"/>
          <w:i/>
          <w:szCs w:val="24"/>
        </w:rPr>
        <w:t>ROSA26</w:t>
      </w:r>
      <w:r w:rsidRPr="001409D5">
        <w:rPr>
          <w:rFonts w:ascii="Arial" w:hAnsi="Arial" w:cs="Arial"/>
          <w:i/>
          <w:szCs w:val="24"/>
          <w:vertAlign w:val="superscript"/>
        </w:rPr>
        <w:t>CreERT2</w:t>
      </w:r>
      <w:r w:rsidRPr="001409D5">
        <w:rPr>
          <w:rFonts w:ascii="Arial" w:hAnsi="Arial" w:cs="Arial"/>
          <w:szCs w:val="24"/>
        </w:rPr>
        <w:t xml:space="preserve"> alleles were generated and administered tamoxifen as described above. Three days after tamoxifen treatment, animals were euthanized by perfusion fixation under anesthesia. Mice were anaesthetized with 250mg/kg Avertin, which was composed of [2,2,2-tribromoethanol (Sigma Aldrich) dissolved in 2-methyl-2-butanol (Sigma Aldrich) 2.5% v/v)]. Whole brains were perfused with 4% paraformaldehyde (PFA), post-fixed in PFA for 3 hours at 4°C and then transferred to 30% sucrose for three days at 4°C. Frozen sections of 40µm were collected (coronal sections at Bregma 1.78mm, 1.10mm, -1.94mm, -6.00mm). Sections were mounted </w:t>
      </w:r>
      <w:r w:rsidR="006D56A7" w:rsidRPr="001409D5">
        <w:rPr>
          <w:rFonts w:ascii="Arial" w:hAnsi="Arial" w:cs="Arial"/>
          <w:szCs w:val="24"/>
        </w:rPr>
        <w:t xml:space="preserve">and visualized using Nikon i80 </w:t>
      </w:r>
      <w:proofErr w:type="spellStart"/>
      <w:r w:rsidR="006D56A7" w:rsidRPr="001409D5">
        <w:rPr>
          <w:rFonts w:ascii="Arial" w:hAnsi="Arial" w:cs="Arial"/>
          <w:szCs w:val="24"/>
        </w:rPr>
        <w:t>epifluorescent</w:t>
      </w:r>
      <w:proofErr w:type="spellEnd"/>
      <w:r w:rsidR="006D56A7" w:rsidRPr="001409D5">
        <w:rPr>
          <w:rFonts w:ascii="Arial" w:hAnsi="Arial" w:cs="Arial"/>
          <w:szCs w:val="24"/>
        </w:rPr>
        <w:t xml:space="preserve"> microscope and Nikon Elements software (NIS-Elements Basic Research, version 3.1)</w:t>
      </w:r>
    </w:p>
    <w:p w14:paraId="4A6D415D" w14:textId="77777777" w:rsidR="006D56A7" w:rsidRPr="001409D5" w:rsidRDefault="006D56A7" w:rsidP="001409D5">
      <w:pPr>
        <w:spacing w:line="360" w:lineRule="auto"/>
        <w:outlineLvl w:val="0"/>
        <w:rPr>
          <w:rFonts w:ascii="Arial" w:hAnsi="Arial" w:cs="Arial"/>
          <w:b/>
          <w:szCs w:val="24"/>
        </w:rPr>
      </w:pPr>
    </w:p>
    <w:p w14:paraId="72E46D45" w14:textId="72F67412" w:rsidR="003372FE" w:rsidRPr="001409D5" w:rsidRDefault="00BF6F25" w:rsidP="001409D5">
      <w:pPr>
        <w:spacing w:line="360" w:lineRule="auto"/>
        <w:rPr>
          <w:rFonts w:ascii="Arial" w:hAnsi="Arial" w:cs="Arial"/>
          <w:b/>
          <w:szCs w:val="24"/>
          <w:lang w:val="en-CA"/>
        </w:rPr>
      </w:pPr>
      <w:r w:rsidRPr="001409D5">
        <w:rPr>
          <w:rFonts w:ascii="Arial" w:hAnsi="Arial" w:cs="Arial"/>
          <w:b/>
          <w:szCs w:val="24"/>
        </w:rPr>
        <w:t>Fluorescence In Situ Hybridization</w:t>
      </w:r>
      <w:r w:rsidR="00A33898" w:rsidRPr="001409D5">
        <w:rPr>
          <w:rFonts w:ascii="Arial" w:hAnsi="Arial" w:cs="Arial"/>
          <w:b/>
          <w:szCs w:val="24"/>
        </w:rPr>
        <w:br/>
      </w:r>
      <w:r w:rsidR="003372FE" w:rsidRPr="001409D5">
        <w:rPr>
          <w:rFonts w:ascii="Arial" w:hAnsi="Arial" w:cs="Arial"/>
          <w:szCs w:val="24"/>
        </w:rPr>
        <w:t xml:space="preserve">Expression of </w:t>
      </w:r>
      <w:r w:rsidR="003372FE" w:rsidRPr="001409D5">
        <w:rPr>
          <w:rFonts w:ascii="Arial" w:hAnsi="Arial" w:cs="Arial"/>
          <w:i/>
          <w:iCs/>
          <w:szCs w:val="24"/>
        </w:rPr>
        <w:t>Grin1</w:t>
      </w:r>
      <w:r w:rsidR="003372FE" w:rsidRPr="001409D5">
        <w:rPr>
          <w:rFonts w:ascii="Arial" w:hAnsi="Arial" w:cs="Arial"/>
          <w:szCs w:val="24"/>
        </w:rPr>
        <w:t xml:space="preserve">, </w:t>
      </w:r>
      <w:r w:rsidR="003372FE" w:rsidRPr="001409D5">
        <w:rPr>
          <w:rFonts w:ascii="Arial" w:hAnsi="Arial" w:cs="Arial"/>
          <w:i/>
          <w:iCs/>
          <w:szCs w:val="24"/>
        </w:rPr>
        <w:t>Vglut1</w:t>
      </w:r>
      <w:r w:rsidR="003372FE" w:rsidRPr="001409D5">
        <w:rPr>
          <w:rFonts w:ascii="Arial" w:hAnsi="Arial" w:cs="Arial"/>
          <w:szCs w:val="24"/>
        </w:rPr>
        <w:t xml:space="preserve">, and </w:t>
      </w:r>
      <w:r w:rsidR="003372FE" w:rsidRPr="001409D5">
        <w:rPr>
          <w:rFonts w:ascii="Arial" w:hAnsi="Arial" w:cs="Arial"/>
          <w:i/>
          <w:iCs/>
          <w:szCs w:val="24"/>
        </w:rPr>
        <w:t>Gad1</w:t>
      </w:r>
      <w:r w:rsidR="003372FE" w:rsidRPr="001409D5">
        <w:rPr>
          <w:rFonts w:ascii="Arial" w:hAnsi="Arial" w:cs="Arial"/>
          <w:szCs w:val="24"/>
        </w:rPr>
        <w:t xml:space="preserve"> mRNA in WT, </w:t>
      </w:r>
      <w:r w:rsidR="003372FE" w:rsidRPr="001409D5">
        <w:rPr>
          <w:rFonts w:ascii="Arial" w:hAnsi="Arial" w:cs="Arial"/>
          <w:i/>
          <w:iCs/>
          <w:szCs w:val="24"/>
        </w:rPr>
        <w:t>Grin1</w:t>
      </w:r>
      <w:r w:rsidR="003372FE" w:rsidRPr="001409D5">
        <w:rPr>
          <w:rFonts w:ascii="Arial" w:hAnsi="Arial" w:cs="Arial"/>
          <w:i/>
          <w:iCs/>
          <w:szCs w:val="24"/>
          <w:vertAlign w:val="superscript"/>
        </w:rPr>
        <w:t>KD</w:t>
      </w:r>
      <w:r w:rsidR="003372FE" w:rsidRPr="001409D5">
        <w:rPr>
          <w:rFonts w:ascii="Arial" w:hAnsi="Arial" w:cs="Arial"/>
          <w:szCs w:val="24"/>
        </w:rPr>
        <w:t xml:space="preserve">, and </w:t>
      </w:r>
      <w:r w:rsidR="003372FE" w:rsidRPr="001409D5">
        <w:rPr>
          <w:rFonts w:ascii="Arial" w:hAnsi="Arial" w:cs="Arial"/>
          <w:i/>
          <w:iCs/>
          <w:szCs w:val="24"/>
        </w:rPr>
        <w:t>Grin1</w:t>
      </w:r>
      <w:r w:rsidR="003372FE" w:rsidRPr="001409D5">
        <w:rPr>
          <w:rFonts w:ascii="Arial" w:hAnsi="Arial" w:cs="Arial"/>
          <w:i/>
          <w:iCs/>
          <w:szCs w:val="24"/>
          <w:vertAlign w:val="superscript"/>
        </w:rPr>
        <w:t>RESCUE</w:t>
      </w:r>
      <w:r w:rsidR="003372FE" w:rsidRPr="001409D5">
        <w:rPr>
          <w:rFonts w:ascii="Arial" w:hAnsi="Arial" w:cs="Arial"/>
          <w:szCs w:val="24"/>
        </w:rPr>
        <w:t xml:space="preserve"> mice was </w:t>
      </w:r>
      <w:r w:rsidR="003372FE" w:rsidRPr="001409D5">
        <w:rPr>
          <w:rFonts w:ascii="Arial" w:hAnsi="Arial" w:cs="Arial"/>
          <w:szCs w:val="24"/>
        </w:rPr>
        <w:lastRenderedPageBreak/>
        <w:t xml:space="preserve">visualized by </w:t>
      </w:r>
      <w:proofErr w:type="spellStart"/>
      <w:r w:rsidR="003372FE" w:rsidRPr="001409D5">
        <w:rPr>
          <w:rFonts w:ascii="Arial" w:hAnsi="Arial" w:cs="Arial"/>
          <w:szCs w:val="24"/>
        </w:rPr>
        <w:t>RNAscope</w:t>
      </w:r>
      <w:proofErr w:type="spellEnd"/>
      <w:r w:rsidR="003372FE" w:rsidRPr="001409D5">
        <w:rPr>
          <w:rFonts w:ascii="Arial" w:hAnsi="Arial" w:cs="Arial"/>
          <w:szCs w:val="24"/>
        </w:rPr>
        <w:t xml:space="preserve"> Multiplex Fluorescent Reagent Kit v2 protocol (ACD Bio; CA, USA). Fresh frozen mouse brains were used to collect 20µm </w:t>
      </w:r>
      <w:proofErr w:type="spellStart"/>
      <w:r w:rsidR="003372FE" w:rsidRPr="001409D5">
        <w:rPr>
          <w:rFonts w:ascii="Arial" w:hAnsi="Arial" w:cs="Arial"/>
          <w:szCs w:val="24"/>
        </w:rPr>
        <w:t>saggital</w:t>
      </w:r>
      <w:proofErr w:type="spellEnd"/>
      <w:r w:rsidR="003372FE" w:rsidRPr="001409D5">
        <w:rPr>
          <w:rFonts w:ascii="Arial" w:hAnsi="Arial" w:cs="Arial"/>
          <w:szCs w:val="24"/>
        </w:rPr>
        <w:t xml:space="preserve"> sections (1.2 </w:t>
      </w:r>
      <w:r w:rsidR="009F5F40" w:rsidRPr="001409D5">
        <w:rPr>
          <w:rFonts w:ascii="Arial" w:hAnsi="Arial" w:cs="Arial"/>
          <w:szCs w:val="24"/>
        </w:rPr>
        <w:t xml:space="preserve"> and 1.53 </w:t>
      </w:r>
      <w:r w:rsidR="003372FE" w:rsidRPr="001409D5">
        <w:rPr>
          <w:rFonts w:ascii="Arial" w:hAnsi="Arial" w:cs="Arial"/>
          <w:szCs w:val="24"/>
        </w:rPr>
        <w:t>mm from midline) onto charged slides (</w:t>
      </w:r>
      <w:proofErr w:type="spellStart"/>
      <w:r w:rsidR="003372FE" w:rsidRPr="001409D5">
        <w:rPr>
          <w:rFonts w:ascii="Arial" w:hAnsi="Arial" w:cs="Arial"/>
          <w:szCs w:val="24"/>
        </w:rPr>
        <w:t>Superfrost</w:t>
      </w:r>
      <w:proofErr w:type="spellEnd"/>
      <w:r w:rsidR="003372FE" w:rsidRPr="001409D5">
        <w:rPr>
          <w:rFonts w:ascii="Arial" w:hAnsi="Arial" w:cs="Arial"/>
          <w:szCs w:val="24"/>
        </w:rPr>
        <w:t xml:space="preserve"> Plus, </w:t>
      </w:r>
      <w:proofErr w:type="spellStart"/>
      <w:r w:rsidR="003372FE" w:rsidRPr="001409D5">
        <w:rPr>
          <w:rFonts w:ascii="Arial" w:hAnsi="Arial" w:cs="Arial"/>
          <w:szCs w:val="24"/>
        </w:rPr>
        <w:t>ThermoFisher</w:t>
      </w:r>
      <w:proofErr w:type="spellEnd"/>
      <w:r w:rsidR="003372FE" w:rsidRPr="001409D5">
        <w:rPr>
          <w:rFonts w:ascii="Arial" w:hAnsi="Arial" w:cs="Arial"/>
          <w:szCs w:val="24"/>
        </w:rPr>
        <w:t xml:space="preserve">). Sections were fixed by submersion in 4% paraformaldehyde, dehydrated in ethanol, incubated in 0.3% hydrogen peroxide, and treated with </w:t>
      </w:r>
      <w:proofErr w:type="spellStart"/>
      <w:r w:rsidR="003372FE" w:rsidRPr="001409D5">
        <w:rPr>
          <w:rFonts w:ascii="Arial" w:hAnsi="Arial" w:cs="Arial"/>
          <w:szCs w:val="24"/>
        </w:rPr>
        <w:t>RNAscope</w:t>
      </w:r>
      <w:proofErr w:type="spellEnd"/>
      <w:r w:rsidR="003372FE" w:rsidRPr="001409D5">
        <w:rPr>
          <w:rFonts w:ascii="Arial" w:hAnsi="Arial" w:cs="Arial"/>
          <w:szCs w:val="24"/>
        </w:rPr>
        <w:t xml:space="preserve"> Protease IV. Sections were hybridized to</w:t>
      </w:r>
      <w:r w:rsidR="003372FE" w:rsidRPr="001409D5">
        <w:rPr>
          <w:rFonts w:ascii="Arial" w:hAnsi="Arial" w:cs="Arial"/>
          <w:i/>
          <w:iCs/>
          <w:szCs w:val="24"/>
        </w:rPr>
        <w:t xml:space="preserve"> Grin1</w:t>
      </w:r>
      <w:r w:rsidR="003372FE" w:rsidRPr="001409D5">
        <w:rPr>
          <w:rFonts w:ascii="Arial" w:hAnsi="Arial" w:cs="Arial"/>
          <w:szCs w:val="24"/>
        </w:rPr>
        <w:t xml:space="preserve"> probes (channel 1 detected with FITC, product reference #533691, ACD Bio) and </w:t>
      </w:r>
      <w:r w:rsidR="003372FE" w:rsidRPr="001409D5">
        <w:rPr>
          <w:rFonts w:ascii="Arial" w:hAnsi="Arial" w:cs="Arial"/>
          <w:i/>
          <w:iCs/>
          <w:szCs w:val="24"/>
        </w:rPr>
        <w:t>Vglut1</w:t>
      </w:r>
      <w:r w:rsidR="003372FE" w:rsidRPr="001409D5">
        <w:rPr>
          <w:rFonts w:ascii="Arial" w:hAnsi="Arial" w:cs="Arial"/>
          <w:szCs w:val="24"/>
        </w:rPr>
        <w:t xml:space="preserve"> probes (channel 2 detected with #416631-C2), to </w:t>
      </w:r>
      <w:r w:rsidR="003372FE" w:rsidRPr="001409D5">
        <w:rPr>
          <w:rFonts w:ascii="Arial" w:hAnsi="Arial" w:cs="Arial"/>
          <w:i/>
          <w:iCs/>
          <w:szCs w:val="24"/>
        </w:rPr>
        <w:t>Grin1</w:t>
      </w:r>
      <w:r w:rsidR="003372FE" w:rsidRPr="001409D5">
        <w:rPr>
          <w:rFonts w:ascii="Arial" w:hAnsi="Arial" w:cs="Arial"/>
          <w:szCs w:val="24"/>
        </w:rPr>
        <w:t xml:space="preserve"> probes and </w:t>
      </w:r>
      <w:r w:rsidR="003372FE" w:rsidRPr="001409D5">
        <w:rPr>
          <w:rFonts w:ascii="Arial" w:hAnsi="Arial" w:cs="Arial"/>
          <w:i/>
          <w:iCs/>
          <w:szCs w:val="24"/>
        </w:rPr>
        <w:t>Gad1</w:t>
      </w:r>
      <w:r w:rsidR="003372FE" w:rsidRPr="001409D5">
        <w:rPr>
          <w:rFonts w:ascii="Arial" w:hAnsi="Arial" w:cs="Arial"/>
          <w:szCs w:val="24"/>
        </w:rPr>
        <w:t xml:space="preserve"> probes (channel 3 detected with #400951-C3) or to control probe mixtures (positive control probes #320881, negative control probes #320871). Signal was detected with TSA Plus cyanine 3 (PerkinElmer, Llantrisant, UK) and horseradish peroxidase. </w:t>
      </w:r>
      <w:proofErr w:type="spellStart"/>
      <w:r w:rsidR="003372FE" w:rsidRPr="001409D5">
        <w:rPr>
          <w:rFonts w:ascii="Arial" w:hAnsi="Arial" w:cs="Arial"/>
          <w:szCs w:val="24"/>
        </w:rPr>
        <w:t>Vectashield</w:t>
      </w:r>
      <w:proofErr w:type="spellEnd"/>
      <w:r w:rsidR="003372FE" w:rsidRPr="001409D5">
        <w:rPr>
          <w:rFonts w:ascii="Arial" w:hAnsi="Arial" w:cs="Arial"/>
          <w:szCs w:val="24"/>
        </w:rPr>
        <w:t xml:space="preserve"> with DAPI mounting medium was used (Vector Laboratories, CA, USA). Processed slides were stored at 4</w:t>
      </w:r>
      <w:r w:rsidR="003372FE" w:rsidRPr="001409D5">
        <w:rPr>
          <w:rFonts w:ascii="Arial" w:hAnsi="Arial" w:cs="Arial"/>
          <w:szCs w:val="24"/>
          <w:vertAlign w:val="superscript"/>
        </w:rPr>
        <w:sym w:font="Symbol" w:char="F0B0"/>
      </w:r>
      <w:r w:rsidR="003372FE" w:rsidRPr="001409D5">
        <w:rPr>
          <w:rFonts w:ascii="Arial" w:hAnsi="Arial" w:cs="Arial"/>
          <w:szCs w:val="24"/>
        </w:rPr>
        <w:t xml:space="preserve">C overnight before imaging at 20X magnification with an </w:t>
      </w:r>
      <w:proofErr w:type="spellStart"/>
      <w:r w:rsidR="003372FE" w:rsidRPr="001409D5">
        <w:rPr>
          <w:rFonts w:ascii="Arial" w:hAnsi="Arial" w:cs="Arial"/>
          <w:szCs w:val="24"/>
        </w:rPr>
        <w:t>Axio</w:t>
      </w:r>
      <w:proofErr w:type="spellEnd"/>
      <w:r w:rsidR="003372FE" w:rsidRPr="001409D5">
        <w:rPr>
          <w:rFonts w:ascii="Arial" w:hAnsi="Arial" w:cs="Arial"/>
          <w:szCs w:val="24"/>
        </w:rPr>
        <w:t xml:space="preserve"> Scan.Z1 slide scanner (Zeiss, </w:t>
      </w:r>
      <w:proofErr w:type="spellStart"/>
      <w:r w:rsidR="003372FE" w:rsidRPr="001409D5">
        <w:rPr>
          <w:rFonts w:ascii="Arial" w:hAnsi="Arial" w:cs="Arial"/>
          <w:szCs w:val="24"/>
        </w:rPr>
        <w:t>Oberkochen</w:t>
      </w:r>
      <w:proofErr w:type="spellEnd"/>
      <w:r w:rsidR="003372FE" w:rsidRPr="001409D5">
        <w:rPr>
          <w:rFonts w:ascii="Arial" w:hAnsi="Arial" w:cs="Arial"/>
          <w:szCs w:val="24"/>
        </w:rPr>
        <w:t xml:space="preserve">, DEU) or 40X magnification with a spinning disk confocal microscope (AxioObserverZ1 inverted motorized microscope). Zen Blue software was used to </w:t>
      </w:r>
      <w:r w:rsidR="003372FE" w:rsidRPr="001409D5">
        <w:rPr>
          <w:rFonts w:ascii="Arial" w:hAnsi="Arial" w:cs="Arial"/>
          <w:szCs w:val="24"/>
          <w:lang w:val="en-CA"/>
        </w:rPr>
        <w:t>reduce signal intensity of DAPI, apply color for the three channels (DAPI, FITC, and Cy3), and add scale bars.</w:t>
      </w:r>
    </w:p>
    <w:p w14:paraId="5690EFE3" w14:textId="4040D49F" w:rsidR="00A33898" w:rsidRPr="001409D5" w:rsidRDefault="00A33898" w:rsidP="001409D5">
      <w:pPr>
        <w:spacing w:line="360" w:lineRule="auto"/>
        <w:rPr>
          <w:rFonts w:ascii="Arial" w:hAnsi="Arial" w:cs="Arial"/>
          <w:b/>
          <w:szCs w:val="24"/>
          <w:lang w:val="en-CA"/>
        </w:rPr>
      </w:pPr>
    </w:p>
    <w:p w14:paraId="114FAD43" w14:textId="3B20CEEE" w:rsidR="00A33898" w:rsidRPr="001409D5" w:rsidRDefault="00A33898" w:rsidP="001409D5">
      <w:pPr>
        <w:spacing w:line="360" w:lineRule="auto"/>
        <w:rPr>
          <w:rFonts w:ascii="Arial" w:hAnsi="Arial" w:cs="Arial"/>
          <w:szCs w:val="24"/>
        </w:rPr>
      </w:pPr>
      <w:r w:rsidRPr="001409D5">
        <w:rPr>
          <w:rFonts w:ascii="Arial" w:hAnsi="Arial" w:cs="Arial"/>
          <w:b/>
          <w:szCs w:val="24"/>
        </w:rPr>
        <w:t>Immunofluorescent Visualization of GluN1 Protein</w:t>
      </w:r>
      <w:r w:rsidRPr="001409D5">
        <w:rPr>
          <w:rFonts w:ascii="Arial" w:hAnsi="Arial" w:cs="Arial"/>
          <w:b/>
          <w:szCs w:val="24"/>
        </w:rPr>
        <w:br/>
      </w:r>
      <w:r w:rsidRPr="001409D5">
        <w:rPr>
          <w:rFonts w:ascii="Arial" w:hAnsi="Arial" w:cs="Arial"/>
          <w:szCs w:val="24"/>
        </w:rPr>
        <w:t xml:space="preserve">Expression of GluN1 protein levels in WT, </w:t>
      </w:r>
      <w:r w:rsidRPr="001409D5">
        <w:rPr>
          <w:rFonts w:ascii="Arial" w:hAnsi="Arial" w:cs="Arial"/>
          <w:i/>
          <w:szCs w:val="24"/>
        </w:rPr>
        <w:t>Grin1</w:t>
      </w:r>
      <w:r w:rsidRPr="001409D5">
        <w:rPr>
          <w:rFonts w:ascii="Arial" w:hAnsi="Arial" w:cs="Arial"/>
          <w:iCs/>
          <w:szCs w:val="24"/>
          <w:vertAlign w:val="superscript"/>
        </w:rPr>
        <w:t>KD</w:t>
      </w:r>
      <w:r w:rsidRPr="001409D5">
        <w:rPr>
          <w:rFonts w:ascii="Arial" w:hAnsi="Arial" w:cs="Arial"/>
          <w:szCs w:val="24"/>
        </w:rPr>
        <w:t xml:space="preserve"> and </w:t>
      </w:r>
      <w:r w:rsidRPr="001409D5">
        <w:rPr>
          <w:rFonts w:ascii="Arial" w:hAnsi="Arial" w:cs="Arial"/>
          <w:i/>
          <w:szCs w:val="24"/>
        </w:rPr>
        <w:t>Grin1</w:t>
      </w:r>
      <w:r w:rsidRPr="001409D5">
        <w:rPr>
          <w:rFonts w:ascii="Arial" w:hAnsi="Arial" w:cs="Arial"/>
          <w:iCs/>
          <w:szCs w:val="24"/>
          <w:vertAlign w:val="superscript"/>
        </w:rPr>
        <w:t>RESCUE</w:t>
      </w:r>
      <w:r w:rsidRPr="001409D5">
        <w:rPr>
          <w:rFonts w:ascii="Arial" w:hAnsi="Arial" w:cs="Arial"/>
          <w:iCs/>
          <w:szCs w:val="24"/>
        </w:rPr>
        <w:t xml:space="preserve"> </w:t>
      </w:r>
      <w:r w:rsidRPr="001409D5">
        <w:rPr>
          <w:rFonts w:ascii="Arial" w:hAnsi="Arial" w:cs="Arial"/>
          <w:szCs w:val="24"/>
        </w:rPr>
        <w:t xml:space="preserve">mice were visualized by fluorescent immunohistochemistry. Sagittal tissue sections (20µm thick; Lateral ~1.92mm) were cut on a microtome-cryostat, thaw-mounted onto </w:t>
      </w:r>
      <w:proofErr w:type="spellStart"/>
      <w:r w:rsidRPr="001409D5">
        <w:rPr>
          <w:rFonts w:ascii="Arial" w:hAnsi="Arial" w:cs="Arial"/>
          <w:szCs w:val="24"/>
        </w:rPr>
        <w:t>SuperFrost</w:t>
      </w:r>
      <w:proofErr w:type="spellEnd"/>
      <w:r w:rsidRPr="001409D5">
        <w:rPr>
          <w:rFonts w:ascii="Arial" w:hAnsi="Arial" w:cs="Arial"/>
          <w:szCs w:val="24"/>
        </w:rPr>
        <w:t xml:space="preserve"> Ultra Plus adhesion slides (Thermo Scientific, MA, USA), and stored at -20°C until further processing. In brief, after fixation at 4°C in 4% paraformaldehyde, the sections were subjected to a heat-induced epitope retrieval protocol by submerging the slides in Tris-EDTA-SDS buffer (10mM </w:t>
      </w:r>
      <w:proofErr w:type="spellStart"/>
      <w:r w:rsidRPr="001409D5">
        <w:rPr>
          <w:rFonts w:ascii="Arial" w:hAnsi="Arial" w:cs="Arial"/>
          <w:szCs w:val="24"/>
        </w:rPr>
        <w:t>TrisBase</w:t>
      </w:r>
      <w:proofErr w:type="spellEnd"/>
      <w:r w:rsidRPr="001409D5">
        <w:rPr>
          <w:rFonts w:ascii="Arial" w:hAnsi="Arial" w:cs="Arial"/>
          <w:szCs w:val="24"/>
        </w:rPr>
        <w:t>, 1mM EDTA, 0.05% SDS, pH 9.0) for 7-min at 96°C. After slowly reducing the temperature, blocking was carried out for 1-hour in Tris-Buffered Saline (TBS) solution in 0.3M glycine containing 10% normal goat serum (Sigma-Aldrich, #G3023, Lot:SLBR1636V, MI, USA). Incubation with a rabbit anti-GluN1 antibody (in-house antibody, 1:200)</w:t>
      </w:r>
      <w:r w:rsidR="00552DE6" w:rsidRPr="001409D5">
        <w:rPr>
          <w:rFonts w:ascii="Arial" w:hAnsi="Arial" w:cs="Arial"/>
          <w:szCs w:val="24"/>
        </w:rPr>
        <w:t xml:space="preserve">, raised against peptide </w:t>
      </w:r>
      <w:r w:rsidR="00535DE1" w:rsidRPr="001409D5">
        <w:rPr>
          <w:rFonts w:ascii="Arial" w:hAnsi="Arial" w:cs="Arial"/>
          <w:szCs w:val="24"/>
        </w:rPr>
        <w:t>ETEKPRGYQMSTRLK (C)</w:t>
      </w:r>
      <w:r w:rsidR="00552DE6" w:rsidRPr="001409D5">
        <w:rPr>
          <w:rFonts w:ascii="Arial" w:hAnsi="Arial" w:cs="Arial"/>
          <w:szCs w:val="24"/>
        </w:rPr>
        <w:t>,</w:t>
      </w:r>
      <w:r w:rsidRPr="001409D5">
        <w:rPr>
          <w:rFonts w:ascii="Arial" w:hAnsi="Arial" w:cs="Arial"/>
          <w:szCs w:val="24"/>
        </w:rPr>
        <w:t xml:space="preserve"> was done in a TBS solution containing 10% normal goat serum overnight at 4°C. Staining with secondary antibody, anti-rabbit Alexa 568 (</w:t>
      </w:r>
      <w:proofErr w:type="spellStart"/>
      <w:r w:rsidRPr="001409D5">
        <w:rPr>
          <w:rFonts w:ascii="Arial" w:hAnsi="Arial" w:cs="Arial"/>
          <w:szCs w:val="24"/>
        </w:rPr>
        <w:t>ThermoFisher</w:t>
      </w:r>
      <w:proofErr w:type="spellEnd"/>
      <w:r w:rsidRPr="001409D5">
        <w:rPr>
          <w:rFonts w:ascii="Arial" w:hAnsi="Arial" w:cs="Arial"/>
          <w:szCs w:val="24"/>
        </w:rPr>
        <w:t xml:space="preserve">, #A11011, Lot:1670154, 1:500), was performed for 1-hour at room temperature, and slides were mounted with DAPI-containing </w:t>
      </w:r>
      <w:proofErr w:type="spellStart"/>
      <w:r w:rsidRPr="001409D5">
        <w:rPr>
          <w:rFonts w:ascii="Arial" w:hAnsi="Arial" w:cs="Arial"/>
          <w:szCs w:val="24"/>
        </w:rPr>
        <w:t>Vectashield</w:t>
      </w:r>
      <w:proofErr w:type="spellEnd"/>
      <w:r w:rsidRPr="001409D5">
        <w:rPr>
          <w:rFonts w:ascii="Arial" w:hAnsi="Arial" w:cs="Arial"/>
          <w:szCs w:val="24"/>
        </w:rPr>
        <w:t xml:space="preserve">. Image acquisition was done on a video </w:t>
      </w:r>
      <w:r w:rsidRPr="001409D5">
        <w:rPr>
          <w:rFonts w:ascii="Arial" w:hAnsi="Arial" w:cs="Arial"/>
          <w:szCs w:val="24"/>
        </w:rPr>
        <w:lastRenderedPageBreak/>
        <w:t>spinning-disk system (Leica DMI6000B, 40X). Figures were assembled in ImageJ (NIH) and a fixed threshold was applied for generation of images from different conditions. Adobe Photoshop (Adobe Systems, CA, USA) was used for composition, only contrast and brightness were adjusted to optimize the image quality.</w:t>
      </w:r>
    </w:p>
    <w:p w14:paraId="38B695FE" w14:textId="77777777" w:rsidR="00A33898" w:rsidRPr="001409D5" w:rsidRDefault="00A33898" w:rsidP="001409D5">
      <w:pPr>
        <w:spacing w:line="360" w:lineRule="auto"/>
        <w:rPr>
          <w:rFonts w:ascii="Arial" w:hAnsi="Arial" w:cs="Arial"/>
          <w:b/>
          <w:szCs w:val="24"/>
        </w:rPr>
      </w:pPr>
    </w:p>
    <w:p w14:paraId="4FA50305" w14:textId="5F880125" w:rsidR="00A33898" w:rsidRPr="001409D5" w:rsidRDefault="00A33898" w:rsidP="001409D5">
      <w:pPr>
        <w:spacing w:line="360" w:lineRule="auto"/>
        <w:rPr>
          <w:rFonts w:ascii="Arial" w:hAnsi="Arial" w:cs="Arial"/>
          <w:b/>
          <w:szCs w:val="24"/>
        </w:rPr>
      </w:pPr>
      <w:r w:rsidRPr="001409D5">
        <w:rPr>
          <w:rFonts w:ascii="Arial" w:hAnsi="Arial" w:cs="Arial"/>
          <w:b/>
          <w:szCs w:val="24"/>
        </w:rPr>
        <w:t>[</w:t>
      </w:r>
      <w:r w:rsidRPr="001409D5">
        <w:rPr>
          <w:rFonts w:ascii="Arial" w:hAnsi="Arial" w:cs="Arial"/>
          <w:b/>
          <w:szCs w:val="24"/>
          <w:vertAlign w:val="superscript"/>
        </w:rPr>
        <w:t>3</w:t>
      </w:r>
      <w:r w:rsidRPr="001409D5">
        <w:rPr>
          <w:rFonts w:ascii="Arial" w:hAnsi="Arial" w:cs="Arial"/>
          <w:b/>
          <w:szCs w:val="24"/>
        </w:rPr>
        <w:t>H]MK-801 Saturation Binding Assay</w:t>
      </w:r>
      <w:r w:rsidRPr="001409D5">
        <w:rPr>
          <w:rFonts w:ascii="Arial" w:hAnsi="Arial" w:cs="Arial"/>
          <w:b/>
          <w:szCs w:val="24"/>
        </w:rPr>
        <w:br/>
      </w:r>
      <w:r w:rsidRPr="001409D5">
        <w:rPr>
          <w:rFonts w:ascii="Arial" w:hAnsi="Arial" w:cs="Arial"/>
          <w:szCs w:val="24"/>
        </w:rPr>
        <w:t xml:space="preserve">Prefrontal cortex and </w:t>
      </w:r>
      <w:r w:rsidR="0019469C">
        <w:rPr>
          <w:rFonts w:ascii="Arial" w:hAnsi="Arial" w:cs="Arial"/>
          <w:szCs w:val="24"/>
        </w:rPr>
        <w:t>striatum</w:t>
      </w:r>
      <w:r w:rsidRPr="001409D5">
        <w:rPr>
          <w:rFonts w:ascii="Arial" w:hAnsi="Arial" w:cs="Arial"/>
          <w:szCs w:val="24"/>
        </w:rPr>
        <w:t xml:space="preserve"> were dissected from frozen brains (see previous section). Each brain region was pooled from two separate animals (</w:t>
      </w:r>
      <w:proofErr w:type="spellStart"/>
      <w:r w:rsidR="0019469C">
        <w:rPr>
          <w:rFonts w:ascii="Arial" w:hAnsi="Arial" w:cs="Arial"/>
          <w:szCs w:val="24"/>
        </w:rPr>
        <w:t>ex.</w:t>
      </w:r>
      <w:r w:rsidRPr="001409D5">
        <w:rPr>
          <w:rFonts w:ascii="Arial" w:hAnsi="Arial" w:cs="Arial"/>
          <w:szCs w:val="24"/>
        </w:rPr>
        <w:t>cortex</w:t>
      </w:r>
      <w:proofErr w:type="spellEnd"/>
      <w:r w:rsidRPr="001409D5">
        <w:rPr>
          <w:rFonts w:ascii="Arial" w:hAnsi="Arial" w:cs="Arial"/>
          <w:szCs w:val="24"/>
        </w:rPr>
        <w:t xml:space="preserve"> from two separate mice were pooled for a single n within each genotype). Tissue was homogenized in binding buffer (20mM HEPES pH 7.4, 1mM EDTA pH 8.0, 0.1mM glycine, 0.1mM glutamate, 0.1mM spermidine, Aprotinin (1000x), Leupeptin (1000x), </w:t>
      </w:r>
      <w:proofErr w:type="spellStart"/>
      <w:r w:rsidRPr="001409D5">
        <w:rPr>
          <w:rFonts w:ascii="Arial" w:hAnsi="Arial" w:cs="Arial"/>
          <w:szCs w:val="24"/>
        </w:rPr>
        <w:t>Pepstatin</w:t>
      </w:r>
      <w:proofErr w:type="spellEnd"/>
      <w:r w:rsidRPr="001409D5">
        <w:rPr>
          <w:rFonts w:ascii="Arial" w:hAnsi="Arial" w:cs="Arial"/>
          <w:szCs w:val="24"/>
        </w:rPr>
        <w:t xml:space="preserve"> A (500x), Benzamidine (1000x) and PMSF (2500x)) using a standing homogenizer and glass Teflon homogenizer tubes followed by Polytron (PT-1200-E). Homogenate was centrifuged at 600 </w:t>
      </w:r>
      <w:r w:rsidRPr="001409D5">
        <w:rPr>
          <w:rFonts w:ascii="Arial" w:hAnsi="Arial" w:cs="Arial"/>
          <w:i/>
          <w:szCs w:val="24"/>
        </w:rPr>
        <w:t>g</w:t>
      </w:r>
      <w:r w:rsidRPr="001409D5">
        <w:rPr>
          <w:rFonts w:ascii="Arial" w:hAnsi="Arial" w:cs="Arial"/>
          <w:szCs w:val="24"/>
        </w:rPr>
        <w:t xml:space="preserve"> for 10 min at 4°C. Supernatant was then centrifuged at 40000 </w:t>
      </w:r>
      <w:r w:rsidRPr="001409D5">
        <w:rPr>
          <w:rFonts w:ascii="Arial" w:hAnsi="Arial" w:cs="Arial"/>
          <w:i/>
          <w:szCs w:val="24"/>
        </w:rPr>
        <w:t>g</w:t>
      </w:r>
      <w:r w:rsidRPr="001409D5">
        <w:rPr>
          <w:rFonts w:ascii="Arial" w:hAnsi="Arial" w:cs="Arial"/>
          <w:szCs w:val="24"/>
        </w:rPr>
        <w:t xml:space="preserve"> 15 min at 4°C. Pellet was washed with binding buffer and centrifuged at 40000 </w:t>
      </w:r>
      <w:r w:rsidRPr="001409D5">
        <w:rPr>
          <w:rFonts w:ascii="Arial" w:hAnsi="Arial" w:cs="Arial"/>
          <w:i/>
          <w:szCs w:val="24"/>
        </w:rPr>
        <w:t>g</w:t>
      </w:r>
      <w:r w:rsidRPr="001409D5">
        <w:rPr>
          <w:rFonts w:ascii="Arial" w:hAnsi="Arial" w:cs="Arial"/>
          <w:szCs w:val="24"/>
        </w:rPr>
        <w:t xml:space="preserve"> for 15 min at 4°C. Pellets were resuspended in binding buffer without protease inhibitors and protein concentration was measured using BCA assay (Thermo Scientific). Membranes were diluted to a 1.6µg/µl working concentration and stored at -80°C.</w:t>
      </w:r>
    </w:p>
    <w:p w14:paraId="0871B72E" w14:textId="77777777" w:rsidR="00A33898" w:rsidRPr="001409D5" w:rsidRDefault="00A33898" w:rsidP="001409D5">
      <w:pPr>
        <w:spacing w:line="360" w:lineRule="auto"/>
        <w:rPr>
          <w:rFonts w:ascii="Arial" w:hAnsi="Arial" w:cs="Arial"/>
          <w:szCs w:val="24"/>
        </w:rPr>
      </w:pPr>
    </w:p>
    <w:p w14:paraId="0D8D0375" w14:textId="63CB445E" w:rsidR="00A33898" w:rsidRPr="001409D5" w:rsidRDefault="00A33898" w:rsidP="001409D5">
      <w:pPr>
        <w:spacing w:line="360" w:lineRule="auto"/>
        <w:rPr>
          <w:rFonts w:ascii="Arial" w:hAnsi="Arial" w:cs="Arial"/>
          <w:b/>
          <w:szCs w:val="24"/>
        </w:rPr>
      </w:pPr>
      <w:r w:rsidRPr="001409D5">
        <w:rPr>
          <w:rFonts w:ascii="Arial" w:hAnsi="Arial" w:cs="Arial"/>
          <w:szCs w:val="24"/>
        </w:rPr>
        <w:t>For the [</w:t>
      </w:r>
      <w:r w:rsidRPr="001409D5">
        <w:rPr>
          <w:rFonts w:ascii="Arial" w:hAnsi="Arial" w:cs="Arial"/>
          <w:szCs w:val="24"/>
          <w:vertAlign w:val="superscript"/>
        </w:rPr>
        <w:t>3</w:t>
      </w:r>
      <w:r w:rsidRPr="001409D5">
        <w:rPr>
          <w:rFonts w:ascii="Arial" w:hAnsi="Arial" w:cs="Arial"/>
          <w:szCs w:val="24"/>
        </w:rPr>
        <w:t>H]MK-801 saturation protein binding assay, working solutions of [</w:t>
      </w:r>
      <w:r w:rsidRPr="001409D5">
        <w:rPr>
          <w:rFonts w:ascii="Arial" w:hAnsi="Arial" w:cs="Arial"/>
          <w:szCs w:val="24"/>
          <w:vertAlign w:val="superscript"/>
        </w:rPr>
        <w:t>3</w:t>
      </w:r>
      <w:r w:rsidRPr="001409D5">
        <w:rPr>
          <w:rFonts w:ascii="Arial" w:hAnsi="Arial" w:cs="Arial"/>
          <w:szCs w:val="24"/>
        </w:rPr>
        <w:t>H]MK-801 and cold MK-801 were prepared. [</w:t>
      </w:r>
      <w:r w:rsidRPr="001409D5">
        <w:rPr>
          <w:rFonts w:ascii="Arial" w:hAnsi="Arial" w:cs="Arial"/>
          <w:szCs w:val="24"/>
          <w:vertAlign w:val="superscript"/>
        </w:rPr>
        <w:t>3</w:t>
      </w:r>
      <w:r w:rsidRPr="001409D5">
        <w:rPr>
          <w:rFonts w:ascii="Arial" w:hAnsi="Arial" w:cs="Arial"/>
          <w:szCs w:val="24"/>
        </w:rPr>
        <w:t>H]MK-801 (Perkin Elmer) was diluted to a working concentration of 120nM (final concentration 40nM) in binding buffer. Cold MK-801 (Sigma Aldrich) was prepared to a 1200nM working solution (final concentration 400nM; 10x [</w:t>
      </w:r>
      <w:r w:rsidRPr="001409D5">
        <w:rPr>
          <w:rFonts w:ascii="Arial" w:hAnsi="Arial" w:cs="Arial"/>
          <w:szCs w:val="24"/>
          <w:vertAlign w:val="superscript"/>
        </w:rPr>
        <w:t>3</w:t>
      </w:r>
      <w:r w:rsidRPr="001409D5">
        <w:rPr>
          <w:rFonts w:ascii="Arial" w:hAnsi="Arial" w:cs="Arial"/>
          <w:szCs w:val="24"/>
        </w:rPr>
        <w:t>H]MK-801) in binding buffer. 80µg membranes were incubated with MK-801 and [</w:t>
      </w:r>
      <w:r w:rsidRPr="001409D5">
        <w:rPr>
          <w:rFonts w:ascii="Arial" w:hAnsi="Arial" w:cs="Arial"/>
          <w:szCs w:val="24"/>
          <w:vertAlign w:val="superscript"/>
        </w:rPr>
        <w:t>3</w:t>
      </w:r>
      <w:r w:rsidRPr="001409D5">
        <w:rPr>
          <w:rFonts w:ascii="Arial" w:hAnsi="Arial" w:cs="Arial"/>
          <w:szCs w:val="24"/>
        </w:rPr>
        <w:t>H]MK-801 in binding buffer at 32°C for 3 hours before termination by the addition of ice-cold wash buffer (20mM HEPES pH 7.4, 1mM EDTA pH 8.0) and vacuum filtration using a 24-well sampling manifold (</w:t>
      </w:r>
      <w:proofErr w:type="spellStart"/>
      <w:r w:rsidRPr="001409D5">
        <w:rPr>
          <w:rFonts w:ascii="Arial" w:hAnsi="Arial" w:cs="Arial"/>
          <w:szCs w:val="24"/>
        </w:rPr>
        <w:t>Brandel</w:t>
      </w:r>
      <w:proofErr w:type="spellEnd"/>
      <w:r w:rsidRPr="001409D5">
        <w:rPr>
          <w:rFonts w:ascii="Arial" w:hAnsi="Arial" w:cs="Arial"/>
          <w:szCs w:val="24"/>
        </w:rPr>
        <w:t xml:space="preserve"> Cell Harvester) and Whatman GF/B glass-</w:t>
      </w:r>
      <w:proofErr w:type="spellStart"/>
      <w:r w:rsidRPr="001409D5">
        <w:rPr>
          <w:rFonts w:ascii="Arial" w:hAnsi="Arial" w:cs="Arial"/>
          <w:szCs w:val="24"/>
        </w:rPr>
        <w:t>fibre</w:t>
      </w:r>
      <w:proofErr w:type="spellEnd"/>
      <w:r w:rsidRPr="001409D5">
        <w:rPr>
          <w:rFonts w:ascii="Arial" w:hAnsi="Arial" w:cs="Arial"/>
          <w:szCs w:val="24"/>
        </w:rPr>
        <w:t xml:space="preserve"> filters (</w:t>
      </w:r>
      <w:proofErr w:type="spellStart"/>
      <w:r w:rsidRPr="001409D5">
        <w:rPr>
          <w:rFonts w:ascii="Arial" w:hAnsi="Arial" w:cs="Arial"/>
          <w:szCs w:val="24"/>
        </w:rPr>
        <w:t>Brandel</w:t>
      </w:r>
      <w:proofErr w:type="spellEnd"/>
      <w:r w:rsidRPr="001409D5">
        <w:rPr>
          <w:rFonts w:ascii="Arial" w:hAnsi="Arial" w:cs="Arial"/>
          <w:szCs w:val="24"/>
        </w:rPr>
        <w:t xml:space="preserve">, MD, USA) soaked in 0.05% </w:t>
      </w:r>
      <w:proofErr w:type="spellStart"/>
      <w:r w:rsidRPr="001409D5">
        <w:rPr>
          <w:rFonts w:ascii="Arial" w:hAnsi="Arial" w:cs="Arial"/>
          <w:szCs w:val="24"/>
        </w:rPr>
        <w:t>polyethylenimine</w:t>
      </w:r>
      <w:proofErr w:type="spellEnd"/>
      <w:r w:rsidRPr="001409D5">
        <w:rPr>
          <w:rFonts w:ascii="Arial" w:hAnsi="Arial" w:cs="Arial"/>
          <w:szCs w:val="24"/>
        </w:rPr>
        <w:t xml:space="preserve">. Filters were placed in 5mL scintillation fluid (Ultima Gold XR, Perkin Elmer) and allowed to incubate overnight. Radioactivity was quantified via liquid scintillation spectrometry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{"citationItems":[{"id":"ITEM-1","itemData":{"DOI":"10.1016/0165-6147(89)90266-6","ISSN":"01656147","abstract":"Saturation experiments using increasing concentrations of .radioligand are commonly used to determine receptor number and affinity, but this protocol is not feasible in all situations. Alternatively, competitive binding experiments are often performed in which binding of a single concentration of .radioligand is competed for by multiple concentrations of the same unlabelled ligand, but the analysis of such data has been difficult. Antonio DeBlasi and colleagues present here a simple method for calculating receptor number and affinity from competitive binding data. This experimental protocol is useful when a single class of binding site is present, but is often not able to detect the presence of two classes of site. © 1989.","author":[{"dropping-particle":"","family":"DeBlasi","given":"Antonio","non-dropping-particle":"","parse-names":false,"suffix":""},{"dropping-particle":"","family":"O'Reilly","given":"Kevin","non-dropping-particle":"","parse-names":false,"suffix":""},{"dropping-particle":"","family":"Motulsky","given":"Harvey J.","non-dropping-particle":"","parse-names":false,"suffix":""}],"container-title":"Trends in Pharmacological Sciences","id":"ITEM-1","issue":"6","issued":{"date-parts":[["1989","6","1"]]},"page":"227-229","publisher":"Elsevier Current Trends","title":"Calculating receptor number from binding experiments using same compound as radioligand and competitor","type":"article-journal","volume":"10"},"uris":["http://www.mendeley.com/documents/?uuid=67b58906-393b-39b9-bdc2-09880bf62436"]}],"mendeley":{"formattedCitation":"[10]","plainTextFormattedCitation":"[10]","previouslyFormattedCitation":"(DeBlasi, O’Reilly, &amp; Motulsky, 1989)"},"properties":{"noteIndex":0},"schema":"https://github.com/citation-style-language/schema/raw/master/csl-citation.json"}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[10]</w:t>
      </w:r>
      <w:r w:rsidRPr="001409D5">
        <w:rPr>
          <w:rFonts w:ascii="Arial" w:hAnsi="Arial" w:cs="Arial"/>
          <w:szCs w:val="24"/>
        </w:rPr>
        <w:fldChar w:fldCharType="end"/>
      </w:r>
      <w:r w:rsidRPr="001409D5">
        <w:rPr>
          <w:rFonts w:ascii="Arial" w:hAnsi="Arial" w:cs="Arial"/>
          <w:szCs w:val="24"/>
        </w:rPr>
        <w:t>.</w:t>
      </w:r>
    </w:p>
    <w:p w14:paraId="75CA4544" w14:textId="77777777" w:rsidR="00A33898" w:rsidRPr="001409D5" w:rsidRDefault="00A33898" w:rsidP="001409D5">
      <w:pPr>
        <w:spacing w:line="360" w:lineRule="auto"/>
        <w:contextualSpacing/>
        <w:rPr>
          <w:rFonts w:ascii="Arial" w:hAnsi="Arial" w:cs="Arial"/>
          <w:szCs w:val="24"/>
        </w:rPr>
      </w:pPr>
    </w:p>
    <w:p w14:paraId="78F121BB" w14:textId="26E689F7" w:rsidR="00D3669E" w:rsidRPr="001409D5" w:rsidRDefault="00D3669E" w:rsidP="001409D5">
      <w:pPr>
        <w:spacing w:line="360" w:lineRule="auto"/>
        <w:contextualSpacing/>
        <w:outlineLvl w:val="0"/>
        <w:rPr>
          <w:rFonts w:ascii="Arial" w:hAnsi="Arial" w:cs="Arial"/>
          <w:b/>
          <w:szCs w:val="24"/>
        </w:rPr>
      </w:pPr>
      <w:r w:rsidRPr="001409D5">
        <w:rPr>
          <w:rFonts w:ascii="Arial" w:hAnsi="Arial" w:cs="Arial"/>
          <w:b/>
          <w:szCs w:val="24"/>
        </w:rPr>
        <w:t>PSD-95 Immunoprecipitation Mass Spectrometry</w:t>
      </w:r>
    </w:p>
    <w:p w14:paraId="2CE25108" w14:textId="33809AD4" w:rsidR="00A33898" w:rsidRPr="001409D5" w:rsidRDefault="00A33898" w:rsidP="001409D5">
      <w:pPr>
        <w:spacing w:line="360" w:lineRule="auto"/>
        <w:contextualSpacing/>
        <w:rPr>
          <w:rFonts w:ascii="Arial" w:hAnsi="Arial" w:cs="Arial"/>
          <w:szCs w:val="24"/>
        </w:rPr>
      </w:pPr>
      <w:r w:rsidRPr="001409D5">
        <w:rPr>
          <w:rFonts w:ascii="Arial" w:hAnsi="Arial" w:cs="Arial"/>
          <w:szCs w:val="24"/>
        </w:rPr>
        <w:lastRenderedPageBreak/>
        <w:t xml:space="preserve">As previously described </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{"citationItems":[{"id":"ITEM-1","itemData":{"DOI":"10.1007/s12035-018-1390-4","ISSN":"15591182","PMID":"30338483","abstract":"We utilized a cell-level approach to examine glycolytic pathways in the DLPFC of subjects with schizophrenia (n = 16) and control (n = 16) and found decreased mRNA expression of glycolytic enzymes in pyramidal neurons, but not astrocytes. To replicate these novel bioenergetic findings, we probed independent datasets for bioenergetic targets and found similar abnormalities. Next, we used a novel strategy to build a schizophrenia bioenergetic profile by a tailored application of the Library of Integrated Network-Based Cellular Signatures data portal (iLINCS) and investigated connected cellular pathways, kinases, and transcription factors using Enrichr. Finally, with the goal of identifying drugs capable of \"reversing\" the bioenergetic schizophrenia signature, we performed a connectivity analysis with iLINCS and identified peroxisome proliferator-activated receptor (PPAR) agonists as promising therapeutic targets. We administered a PPAR agonist to the GluN1 knockdown model of schizophrenia and found it improved long-term memory. Taken together, our findings suggest that tailored bioinformatics approaches, coupled with the LINCS library of transcriptional signatures of chemical and genetic perturbagens, may be employed to identify novel treatment strategies for schizophrenia and related diseases.","author":[{"dropping-particle":"","family":"Sullivan","given":"C.R. Courtney R.","non-dropping-particle":"","parse-names":false,"suffix":""},{"dropping-particle":"","family":"Mielnik","given":"Catharine A. C.A.","non-dropping-particle":"","parse-names":false,"suffix":""},{"dropping-particle":"","family":"O’Donovan","given":"S.M. Sinead M.","non-dropping-particle":"","parse-names":false,"suffix":""},{"dropping-particle":"","family":"Funk","given":"A.J. Adam J.","non-dropping-particle":"","parse-names":false,"suffix":""},{"dropping-particle":"","family":"Bentea","given":"Eduard","non-dropping-particle":"","parse-names":false,"suffix":""},{"dropping-particle":"","family":"DePasquale","given":"Erica A. E.A.","non-dropping-particle":"","parse-names":false,"suffix":""},{"dropping-particle":"","family":"Alganem","given":"Khaled","non-dropping-particle":"","parse-names":false,"suffix":""},{"dropping-particle":"","family":"Wen","given":"Zhexing","non-dropping-particle":"","parse-names":false,"suffix":""},{"dropping-particle":"","family":"Haroutunian","given":"Vahram","non-dropping-particle":"","parse-names":false,"suffix":""},{"dropping-particle":"","family":"Katsel","given":"Pavel","non-dropping-particle":"","parse-names":false,"suffix":""},{"dropping-particle":"","family":"Ramsey","given":"Amy J. A.J.","non-dropping-particle":"","parse-names":false,"suffix":""},{"dropping-particle":"","family":"Meller","given":"Jarek","non-dropping-particle":"","parse-names":false,"suffix":""},{"dropping-particle":"","family":"McCullumsmith","given":"Robert E. R.E.","non-dropping-particle":"","parse-names":false,"suffix":""}],"container-title":"Molecular Neurobiology","id":"ITEM-1","issue":"6","issued":{"date-parts":[["2018","10","18"]]},"title":"Connectivity Analyses of Bioenergetic Changes in Schizophrenia: Identification of Novel Treatments","type":"article-newspaper","volume":"56"},"uris":["http://www.mendeley.com/documents/?uuid=364a8643-f82c-4e4d-9aff-4a77f81b30d3"]}],"mendeley":{"formattedCitation":"[11]","plainTextFormattedCitation":"[11]","previouslyFormattedCitation":"(Sullivan et al., 2018)"},"properties":{"noteIndex":0},"schema":"https://github.com/citation-style-language/schema/raw/master/csl-citation.json"}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[11]</w:t>
      </w:r>
      <w:r w:rsidRPr="001409D5">
        <w:rPr>
          <w:rFonts w:ascii="Arial" w:hAnsi="Arial" w:cs="Arial"/>
          <w:szCs w:val="24"/>
        </w:rPr>
        <w:fldChar w:fldCharType="end"/>
      </w:r>
      <w:r w:rsidRPr="001409D5">
        <w:rPr>
          <w:rFonts w:ascii="Arial" w:hAnsi="Arial" w:cs="Arial"/>
          <w:szCs w:val="24"/>
        </w:rPr>
        <w:t xml:space="preserve">, a mouse anti-PSD-95 antibody (Millipore, catalogue # MAB1596) was used to capture PSD-95 protein complexes from samples (3 male and 3 female WT, 3 male and 3 female </w:t>
      </w:r>
      <w:r w:rsidRPr="001409D5">
        <w:rPr>
          <w:rFonts w:ascii="Arial" w:hAnsi="Arial" w:cs="Arial"/>
          <w:i/>
          <w:szCs w:val="24"/>
        </w:rPr>
        <w:t>Grin1</w:t>
      </w:r>
      <w:r w:rsidRPr="001409D5">
        <w:rPr>
          <w:rFonts w:ascii="Arial" w:hAnsi="Arial" w:cs="Arial"/>
          <w:i/>
          <w:szCs w:val="24"/>
          <w:vertAlign w:val="superscript"/>
        </w:rPr>
        <w:t>KD</w:t>
      </w:r>
      <w:r w:rsidRPr="001409D5">
        <w:rPr>
          <w:rFonts w:ascii="Arial" w:hAnsi="Arial" w:cs="Arial"/>
          <w:szCs w:val="24"/>
        </w:rPr>
        <w:t xml:space="preserve">, and 3 male and 3 female </w:t>
      </w:r>
      <w:r w:rsidRPr="001409D5">
        <w:rPr>
          <w:rFonts w:ascii="Arial" w:hAnsi="Arial" w:cs="Arial"/>
          <w:i/>
          <w:szCs w:val="24"/>
        </w:rPr>
        <w:t>Grin1</w:t>
      </w:r>
      <w:r w:rsidRPr="001409D5">
        <w:rPr>
          <w:rFonts w:ascii="Arial" w:hAnsi="Arial" w:cs="Arial"/>
          <w:i/>
          <w:szCs w:val="24"/>
          <w:vertAlign w:val="superscript"/>
        </w:rPr>
        <w:t>RESCUE</w:t>
      </w:r>
      <w:r w:rsidRPr="001409D5">
        <w:rPr>
          <w:rFonts w:ascii="Arial" w:hAnsi="Arial" w:cs="Arial"/>
          <w:szCs w:val="24"/>
        </w:rPr>
        <w:t xml:space="preserve">). The specificity of this antibody was verified using multiple reaction monitoring mass spectrometry analysis of PSD-95 peptides captured by affinity purification. 5 µg of PSD-95 antibody was coupled to 1 mg of </w:t>
      </w:r>
      <w:proofErr w:type="spellStart"/>
      <w:r w:rsidRPr="001409D5">
        <w:rPr>
          <w:rFonts w:ascii="Arial" w:hAnsi="Arial" w:cs="Arial"/>
          <w:szCs w:val="24"/>
        </w:rPr>
        <w:t>Dynabeads</w:t>
      </w:r>
      <w:proofErr w:type="spellEnd"/>
      <w:r w:rsidRPr="001409D5">
        <w:rPr>
          <w:rFonts w:ascii="Arial" w:hAnsi="Arial" w:cs="Arial"/>
          <w:szCs w:val="24"/>
        </w:rPr>
        <w:t xml:space="preserve"> (Life Technologies, CA, USA) according to the antibody coupling kit protocol (#14311D). For each sample, 1000µl of 10mg/ml antibody coupled beads were washed 2x 1ml with ice cold 1x PBST (#9809S, Cell Signaling, MA, USA), then incubated with mouse brain lysate brought to a final volume of 1000µl with ice cold 1x PBST for 1 hour at room temperature. The supernatant was removed and the beads were washed 4 x 10 min at room temperature in 1ml ice cold 1x PBST. Captured protein complexes were eluted with 30µl of 1N Ammonium Hydroxide (#320145, Sigma-Aldrich), 5mM EDTA, pH 12 for 10 min at room temperature. 6µl of 6x protein denaturing buffer (4.5% SDS, 15% β-</w:t>
      </w:r>
      <w:proofErr w:type="spellStart"/>
      <w:r w:rsidRPr="001409D5">
        <w:rPr>
          <w:rFonts w:ascii="Arial" w:hAnsi="Arial" w:cs="Arial"/>
          <w:szCs w:val="24"/>
        </w:rPr>
        <w:t>mercaptoethanol</w:t>
      </w:r>
      <w:proofErr w:type="spellEnd"/>
      <w:r w:rsidRPr="001409D5">
        <w:rPr>
          <w:rFonts w:ascii="Arial" w:hAnsi="Arial" w:cs="Arial"/>
          <w:szCs w:val="24"/>
        </w:rPr>
        <w:t>, 0.018% bromophenol blue, and 36% glycerol in 170 mM Tris-HCl, pH 6.8) was added to each sample elution. The eluted samples were heated at 70°C for 10-min then processed for mass spectrometry.</w:t>
      </w:r>
    </w:p>
    <w:p w14:paraId="014B7D59" w14:textId="77777777" w:rsidR="00A33898" w:rsidRPr="001409D5" w:rsidRDefault="00A33898" w:rsidP="001409D5">
      <w:pPr>
        <w:spacing w:line="360" w:lineRule="auto"/>
        <w:contextualSpacing/>
        <w:rPr>
          <w:rFonts w:ascii="Arial" w:hAnsi="Arial" w:cs="Arial"/>
          <w:szCs w:val="24"/>
        </w:rPr>
      </w:pPr>
    </w:p>
    <w:p w14:paraId="48145FDA" w14:textId="77777777" w:rsidR="00A33898" w:rsidRPr="001409D5" w:rsidRDefault="00A33898" w:rsidP="001409D5">
      <w:pPr>
        <w:spacing w:line="360" w:lineRule="auto"/>
        <w:contextualSpacing/>
        <w:rPr>
          <w:rFonts w:ascii="Arial" w:hAnsi="Arial" w:cs="Arial"/>
          <w:szCs w:val="24"/>
        </w:rPr>
      </w:pPr>
      <w:r w:rsidRPr="001409D5">
        <w:rPr>
          <w:rFonts w:ascii="Arial" w:hAnsi="Arial" w:cs="Arial"/>
          <w:szCs w:val="24"/>
        </w:rPr>
        <w:t xml:space="preserve">All samples were loaded on a 1.5 mm, 4-12% Bis-Tris Invitrogen </w:t>
      </w:r>
      <w:proofErr w:type="spellStart"/>
      <w:r w:rsidRPr="001409D5">
        <w:rPr>
          <w:rFonts w:ascii="Arial" w:hAnsi="Arial" w:cs="Arial"/>
          <w:szCs w:val="24"/>
        </w:rPr>
        <w:t>NuPage</w:t>
      </w:r>
      <w:proofErr w:type="spellEnd"/>
      <w:r w:rsidRPr="001409D5">
        <w:rPr>
          <w:rFonts w:ascii="Arial" w:hAnsi="Arial" w:cs="Arial"/>
          <w:szCs w:val="24"/>
        </w:rPr>
        <w:t xml:space="preserve"> gel (NP0335BOX) and electrophoresed in 1x MES buffer (NP0002) for 10-min at 180v. The gel was fixed in 50% ethanol/10% acetic acid overnight at RT, then washed in 30% ethanol for 10-min followed by two 10-min washes in </w:t>
      </w:r>
      <w:proofErr w:type="spellStart"/>
      <w:r w:rsidRPr="001409D5">
        <w:rPr>
          <w:rFonts w:ascii="Arial" w:hAnsi="Arial" w:cs="Arial"/>
          <w:szCs w:val="24"/>
        </w:rPr>
        <w:t>MilliQ</w:t>
      </w:r>
      <w:proofErr w:type="spellEnd"/>
      <w:r w:rsidRPr="001409D5">
        <w:rPr>
          <w:rFonts w:ascii="Arial" w:hAnsi="Arial" w:cs="Arial"/>
          <w:szCs w:val="24"/>
        </w:rPr>
        <w:t xml:space="preserve"> water (</w:t>
      </w:r>
      <w:proofErr w:type="spellStart"/>
      <w:r w:rsidRPr="001409D5">
        <w:rPr>
          <w:rFonts w:ascii="Arial" w:hAnsi="Arial" w:cs="Arial"/>
          <w:szCs w:val="24"/>
        </w:rPr>
        <w:t>MilliQ</w:t>
      </w:r>
      <w:proofErr w:type="spellEnd"/>
      <w:r w:rsidRPr="001409D5">
        <w:rPr>
          <w:rFonts w:ascii="Arial" w:hAnsi="Arial" w:cs="Arial"/>
          <w:szCs w:val="24"/>
        </w:rPr>
        <w:t xml:space="preserve"> Gradient system, Millipore, MA, USA). The lanes were harvested, cut into small (~2mm) squares, and subjected to in-gel tryptic digestion and peptide recovery. Samples were resuspended in 0.1% formic acid.</w:t>
      </w:r>
    </w:p>
    <w:p w14:paraId="50AE0197" w14:textId="77777777" w:rsidR="00A33898" w:rsidRPr="001409D5" w:rsidRDefault="00A33898" w:rsidP="001409D5">
      <w:pPr>
        <w:spacing w:line="360" w:lineRule="auto"/>
        <w:contextualSpacing/>
        <w:rPr>
          <w:rFonts w:ascii="Arial" w:hAnsi="Arial" w:cs="Arial"/>
          <w:szCs w:val="24"/>
        </w:rPr>
      </w:pPr>
    </w:p>
    <w:p w14:paraId="3E7FE987" w14:textId="77777777" w:rsidR="00A33898" w:rsidRPr="001409D5" w:rsidRDefault="00A33898" w:rsidP="001409D5">
      <w:pPr>
        <w:spacing w:line="360" w:lineRule="auto"/>
        <w:contextualSpacing/>
        <w:rPr>
          <w:rFonts w:ascii="Arial" w:hAnsi="Arial" w:cs="Arial"/>
          <w:szCs w:val="24"/>
        </w:rPr>
      </w:pPr>
      <w:r w:rsidRPr="001409D5">
        <w:rPr>
          <w:rFonts w:ascii="Arial" w:hAnsi="Arial" w:cs="Arial"/>
          <w:szCs w:val="24"/>
        </w:rPr>
        <w:t>Nano liquid chromatography coupled electrospray tandem mass spectrometry (</w:t>
      </w:r>
      <w:proofErr w:type="spellStart"/>
      <w:r w:rsidRPr="001409D5">
        <w:rPr>
          <w:rFonts w:ascii="Arial" w:hAnsi="Arial" w:cs="Arial"/>
          <w:szCs w:val="24"/>
        </w:rPr>
        <w:t>nLC</w:t>
      </w:r>
      <w:proofErr w:type="spellEnd"/>
      <w:r w:rsidRPr="001409D5">
        <w:rPr>
          <w:rFonts w:ascii="Arial" w:hAnsi="Arial" w:cs="Arial"/>
          <w:szCs w:val="24"/>
        </w:rPr>
        <w:t>-ESI-MS/MS) analyses were performed on a 5600+ QTOF mass spectrometer (</w:t>
      </w:r>
      <w:proofErr w:type="spellStart"/>
      <w:r w:rsidRPr="001409D5">
        <w:rPr>
          <w:rFonts w:ascii="Arial" w:hAnsi="Arial" w:cs="Arial"/>
          <w:szCs w:val="24"/>
        </w:rPr>
        <w:t>Sciex</w:t>
      </w:r>
      <w:proofErr w:type="spellEnd"/>
      <w:r w:rsidRPr="001409D5">
        <w:rPr>
          <w:rFonts w:ascii="Arial" w:hAnsi="Arial" w:cs="Arial"/>
          <w:szCs w:val="24"/>
        </w:rPr>
        <w:t xml:space="preserve">, Toronto, ON, Canada) interfaced to an </w:t>
      </w:r>
      <w:proofErr w:type="spellStart"/>
      <w:r w:rsidRPr="001409D5">
        <w:rPr>
          <w:rFonts w:ascii="Arial" w:hAnsi="Arial" w:cs="Arial"/>
          <w:szCs w:val="24"/>
        </w:rPr>
        <w:t>Eksigent</w:t>
      </w:r>
      <w:proofErr w:type="spellEnd"/>
      <w:r w:rsidRPr="001409D5">
        <w:rPr>
          <w:rFonts w:ascii="Arial" w:hAnsi="Arial" w:cs="Arial"/>
          <w:szCs w:val="24"/>
        </w:rPr>
        <w:t xml:space="preserve"> (Dublin, CA, USA) nanoLC.</w:t>
      </w:r>
      <w:proofErr w:type="spellStart"/>
      <w:r w:rsidRPr="001409D5">
        <w:rPr>
          <w:rFonts w:ascii="Arial" w:hAnsi="Arial" w:cs="Arial"/>
          <w:szCs w:val="24"/>
        </w:rPr>
        <w:t>ultra nanoflow</w:t>
      </w:r>
      <w:proofErr w:type="spellEnd"/>
      <w:r w:rsidRPr="001409D5">
        <w:rPr>
          <w:rFonts w:ascii="Arial" w:hAnsi="Arial" w:cs="Arial"/>
          <w:szCs w:val="24"/>
        </w:rPr>
        <w:t xml:space="preserve"> system. Peptides were loaded (via an </w:t>
      </w:r>
      <w:proofErr w:type="spellStart"/>
      <w:r w:rsidRPr="001409D5">
        <w:rPr>
          <w:rFonts w:ascii="Arial" w:hAnsi="Arial" w:cs="Arial"/>
          <w:szCs w:val="24"/>
        </w:rPr>
        <w:t>Eksigent</w:t>
      </w:r>
      <w:proofErr w:type="spellEnd"/>
      <w:r w:rsidRPr="001409D5">
        <w:rPr>
          <w:rFonts w:ascii="Arial" w:hAnsi="Arial" w:cs="Arial"/>
          <w:szCs w:val="24"/>
        </w:rPr>
        <w:t xml:space="preserve"> nanoLC.as-2 autosampler) onto an </w:t>
      </w:r>
      <w:proofErr w:type="spellStart"/>
      <w:r w:rsidRPr="001409D5">
        <w:rPr>
          <w:rFonts w:ascii="Arial" w:hAnsi="Arial" w:cs="Arial"/>
          <w:szCs w:val="24"/>
        </w:rPr>
        <w:t>IntegraFrit</w:t>
      </w:r>
      <w:proofErr w:type="spellEnd"/>
      <w:r w:rsidRPr="001409D5">
        <w:rPr>
          <w:rFonts w:ascii="Arial" w:hAnsi="Arial" w:cs="Arial"/>
          <w:szCs w:val="24"/>
        </w:rPr>
        <w:t xml:space="preserve"> Trap Column (outer diameter of 360µm, inner diameter of 100µm, and 25 µm packed bed) from New Objective, Inc. (Woburn, MA, USA) at 2 µl/min in formic acid/H</w:t>
      </w:r>
      <w:r w:rsidRPr="001409D5">
        <w:rPr>
          <w:rFonts w:ascii="Arial" w:hAnsi="Arial" w:cs="Arial"/>
          <w:szCs w:val="24"/>
          <w:vertAlign w:val="subscript"/>
        </w:rPr>
        <w:t>2</w:t>
      </w:r>
      <w:r w:rsidRPr="001409D5">
        <w:rPr>
          <w:rFonts w:ascii="Arial" w:hAnsi="Arial" w:cs="Arial"/>
          <w:szCs w:val="24"/>
        </w:rPr>
        <w:t>O 0.1/99.9 (v/v) for 15-min, to desalt and concentrate the samples. For the chromatographic separation of peptides, the trap-</w:t>
      </w:r>
      <w:r w:rsidRPr="001409D5">
        <w:rPr>
          <w:rFonts w:ascii="Arial" w:hAnsi="Arial" w:cs="Arial"/>
          <w:szCs w:val="24"/>
        </w:rPr>
        <w:lastRenderedPageBreak/>
        <w:t xml:space="preserve">column was switched to align with the analytical column, Acclaim PepMap100 (inner diameter of 75µm, length of 15cm, C18 particle sizes of 3µm and pore sizes of 100Å) from </w:t>
      </w:r>
      <w:proofErr w:type="spellStart"/>
      <w:r w:rsidRPr="001409D5">
        <w:rPr>
          <w:rFonts w:ascii="Arial" w:hAnsi="Arial" w:cs="Arial"/>
          <w:szCs w:val="24"/>
        </w:rPr>
        <w:t>Dionex</w:t>
      </w:r>
      <w:proofErr w:type="spellEnd"/>
      <w:r w:rsidRPr="001409D5">
        <w:rPr>
          <w:rFonts w:ascii="Arial" w:hAnsi="Arial" w:cs="Arial"/>
          <w:szCs w:val="24"/>
        </w:rPr>
        <w:t>-Thermo Fisher Scientific (Sunnyvale, CA, USA). The peptides were eluted using a variable mobile phase (MP) gradient from 95% phase A (Formic acid/H</w:t>
      </w:r>
      <w:r w:rsidRPr="001409D5">
        <w:rPr>
          <w:rFonts w:ascii="Arial" w:hAnsi="Arial" w:cs="Arial"/>
          <w:szCs w:val="24"/>
          <w:vertAlign w:val="subscript"/>
        </w:rPr>
        <w:t>2</w:t>
      </w:r>
      <w:r w:rsidRPr="001409D5">
        <w:rPr>
          <w:rFonts w:ascii="Arial" w:hAnsi="Arial" w:cs="Arial"/>
          <w:szCs w:val="24"/>
        </w:rPr>
        <w:t xml:space="preserve">O 0.1/99.9, v/v) to 40% phase B (Formic Acid/Acetonitrile 0.1/99.9, v/v) for 70-min, from 40% phase B to 85% phase B for 5-min, and then keeping the same mobile phase composition for 5 additional minutes at 300 </w:t>
      </w:r>
      <w:proofErr w:type="spellStart"/>
      <w:r w:rsidRPr="001409D5">
        <w:rPr>
          <w:rFonts w:ascii="Arial" w:hAnsi="Arial" w:cs="Arial"/>
          <w:szCs w:val="24"/>
        </w:rPr>
        <w:t>nL</w:t>
      </w:r>
      <w:proofErr w:type="spellEnd"/>
      <w:r w:rsidRPr="001409D5">
        <w:rPr>
          <w:rFonts w:ascii="Arial" w:hAnsi="Arial" w:cs="Arial"/>
          <w:szCs w:val="24"/>
        </w:rPr>
        <w:t xml:space="preserve">/min. The </w:t>
      </w:r>
      <w:proofErr w:type="spellStart"/>
      <w:r w:rsidRPr="001409D5">
        <w:rPr>
          <w:rFonts w:ascii="Arial" w:hAnsi="Arial" w:cs="Arial"/>
          <w:szCs w:val="24"/>
        </w:rPr>
        <w:t>nLC</w:t>
      </w:r>
      <w:proofErr w:type="spellEnd"/>
      <w:r w:rsidRPr="001409D5">
        <w:rPr>
          <w:rFonts w:ascii="Arial" w:hAnsi="Arial" w:cs="Arial"/>
          <w:szCs w:val="24"/>
        </w:rPr>
        <w:t xml:space="preserve"> effluent was ionized and sprayed into the mass spectrometer using </w:t>
      </w:r>
      <w:proofErr w:type="spellStart"/>
      <w:r w:rsidRPr="001409D5">
        <w:rPr>
          <w:rFonts w:ascii="Arial" w:hAnsi="Arial" w:cs="Arial"/>
          <w:szCs w:val="24"/>
        </w:rPr>
        <w:t>NANOSpray</w:t>
      </w:r>
      <w:proofErr w:type="spellEnd"/>
      <w:r w:rsidRPr="001409D5">
        <w:rPr>
          <w:rFonts w:ascii="Arial" w:hAnsi="Arial" w:cs="Arial"/>
          <w:szCs w:val="24"/>
        </w:rPr>
        <w:t>® III Source (</w:t>
      </w:r>
      <w:proofErr w:type="spellStart"/>
      <w:r w:rsidRPr="001409D5">
        <w:rPr>
          <w:rFonts w:ascii="Arial" w:hAnsi="Arial" w:cs="Arial"/>
          <w:szCs w:val="24"/>
        </w:rPr>
        <w:t>Sciex</w:t>
      </w:r>
      <w:proofErr w:type="spellEnd"/>
      <w:r w:rsidRPr="001409D5">
        <w:rPr>
          <w:rFonts w:ascii="Arial" w:hAnsi="Arial" w:cs="Arial"/>
          <w:szCs w:val="24"/>
        </w:rPr>
        <w:t>). Ion source gas 1 (GS1), ion source gas 2 (GS2) and curtain gas (CUR) were respectively kept at 8, 0 and 35 vendor specified arbitrary units. The mass spectrometer method was operated in positive ion mode and the interface heater temperature and ion spray voltage were kept at 150ºC, and at 2.6kV, respectively. The data was recorded using Analyst-TF (version 1.7) software.</w:t>
      </w:r>
    </w:p>
    <w:p w14:paraId="4C2EBA8E" w14:textId="77777777" w:rsidR="00A33898" w:rsidRPr="001409D5" w:rsidRDefault="00A33898" w:rsidP="001409D5">
      <w:pPr>
        <w:spacing w:line="360" w:lineRule="auto"/>
        <w:contextualSpacing/>
        <w:rPr>
          <w:rFonts w:ascii="Arial" w:hAnsi="Arial" w:cs="Arial"/>
          <w:szCs w:val="24"/>
        </w:rPr>
      </w:pPr>
    </w:p>
    <w:p w14:paraId="37B7C39C" w14:textId="77777777" w:rsidR="00A33898" w:rsidRPr="001409D5" w:rsidRDefault="00A33898" w:rsidP="001409D5">
      <w:pPr>
        <w:spacing w:line="360" w:lineRule="auto"/>
        <w:contextualSpacing/>
        <w:rPr>
          <w:rFonts w:ascii="Arial" w:hAnsi="Arial" w:cs="Arial"/>
          <w:szCs w:val="24"/>
        </w:rPr>
      </w:pPr>
      <w:r w:rsidRPr="001409D5">
        <w:rPr>
          <w:rFonts w:ascii="Arial" w:hAnsi="Arial" w:cs="Arial"/>
          <w:szCs w:val="24"/>
        </w:rPr>
        <w:t xml:space="preserve">The data independent acquisition (DIA) method was set to go through 1757 cycles for 99-min, where each cycle performed one TOF-MS scan type (0.25 second accumulation time, in a 550.0 to 830.0 m/z window) followed by 56 sequential overlapping windows of 6 Daltons each. Note that the Analyst software automatically adds 1 Dalton to each window to provide overlap, thus an input of 5 Da in the method set up window results in an overlapping 6 Da collection window width (e.g. 550-556, then 555-561, 560-566, </w:t>
      </w:r>
      <w:proofErr w:type="spellStart"/>
      <w:r w:rsidRPr="001409D5">
        <w:rPr>
          <w:rFonts w:ascii="Arial" w:hAnsi="Arial" w:cs="Arial"/>
          <w:szCs w:val="24"/>
        </w:rPr>
        <w:t>etc</w:t>
      </w:r>
      <w:proofErr w:type="spellEnd"/>
      <w:r w:rsidRPr="001409D5">
        <w:rPr>
          <w:rFonts w:ascii="Arial" w:hAnsi="Arial" w:cs="Arial"/>
          <w:szCs w:val="24"/>
        </w:rPr>
        <w:t xml:space="preserve">). Within each window, a charge state of +2, high sensitivity mode, and rolling collision energy with a collision energy spread (CES) of 15 V was selected. The resulting data were analyzed by </w:t>
      </w:r>
      <w:proofErr w:type="spellStart"/>
      <w:r w:rsidRPr="001409D5">
        <w:rPr>
          <w:rFonts w:ascii="Arial" w:hAnsi="Arial" w:cs="Arial"/>
          <w:szCs w:val="24"/>
        </w:rPr>
        <w:t>Sciex</w:t>
      </w:r>
      <w:proofErr w:type="spellEnd"/>
      <w:r w:rsidRPr="001409D5">
        <w:rPr>
          <w:rFonts w:ascii="Arial" w:hAnsi="Arial" w:cs="Arial"/>
          <w:szCs w:val="24"/>
        </w:rPr>
        <w:t xml:space="preserve"> DIA software to generate peptide intensities.</w:t>
      </w:r>
    </w:p>
    <w:p w14:paraId="1FD81256" w14:textId="77777777" w:rsidR="00A33898" w:rsidRPr="001409D5" w:rsidRDefault="00A33898" w:rsidP="001409D5">
      <w:pPr>
        <w:spacing w:line="360" w:lineRule="auto"/>
        <w:outlineLvl w:val="0"/>
        <w:rPr>
          <w:rFonts w:ascii="Arial" w:hAnsi="Arial" w:cs="Arial"/>
          <w:b/>
          <w:szCs w:val="24"/>
        </w:rPr>
      </w:pPr>
    </w:p>
    <w:p w14:paraId="7A545D63" w14:textId="14E1C004" w:rsidR="00A33898" w:rsidRPr="005F6C23" w:rsidRDefault="00A33898" w:rsidP="005F6C23">
      <w:pPr>
        <w:spacing w:line="360" w:lineRule="auto"/>
        <w:outlineLvl w:val="0"/>
        <w:rPr>
          <w:szCs w:val="24"/>
        </w:rPr>
      </w:pPr>
      <w:r w:rsidRPr="001409D5">
        <w:rPr>
          <w:rFonts w:ascii="Arial" w:hAnsi="Arial" w:cs="Arial"/>
          <w:b/>
          <w:szCs w:val="24"/>
        </w:rPr>
        <w:t>Electrophysiological Recordings</w:t>
      </w:r>
      <w:r w:rsidRPr="001409D5">
        <w:rPr>
          <w:szCs w:val="24"/>
        </w:rPr>
        <w:t xml:space="preserve"> </w:t>
      </w:r>
      <w:r w:rsidRPr="001409D5">
        <w:rPr>
          <w:szCs w:val="24"/>
        </w:rPr>
        <w:br/>
      </w:r>
      <w:r w:rsidRPr="001409D5">
        <w:rPr>
          <w:rFonts w:ascii="Arial" w:hAnsi="Arial" w:cs="Arial"/>
          <w:szCs w:val="24"/>
        </w:rPr>
        <w:t xml:space="preserve">Mice (WT, </w:t>
      </w:r>
      <w:r w:rsidRPr="001409D5">
        <w:rPr>
          <w:rFonts w:ascii="Arial" w:hAnsi="Arial" w:cs="Arial"/>
          <w:i/>
          <w:szCs w:val="24"/>
        </w:rPr>
        <w:t>Grin1</w:t>
      </w:r>
      <w:r w:rsidRPr="001409D5">
        <w:rPr>
          <w:rFonts w:ascii="Arial" w:hAnsi="Arial" w:cs="Arial"/>
          <w:i/>
          <w:szCs w:val="24"/>
          <w:vertAlign w:val="superscript"/>
        </w:rPr>
        <w:t>KD</w:t>
      </w:r>
      <w:r w:rsidRPr="001409D5">
        <w:rPr>
          <w:rFonts w:ascii="Arial" w:hAnsi="Arial" w:cs="Arial"/>
          <w:szCs w:val="24"/>
        </w:rPr>
        <w:t xml:space="preserve">, and </w:t>
      </w:r>
      <w:r w:rsidRPr="001409D5">
        <w:rPr>
          <w:rFonts w:ascii="Arial" w:hAnsi="Arial" w:cs="Arial"/>
          <w:i/>
          <w:szCs w:val="24"/>
        </w:rPr>
        <w:t>Grin1</w:t>
      </w:r>
      <w:r w:rsidRPr="001409D5">
        <w:rPr>
          <w:rFonts w:ascii="Arial" w:hAnsi="Arial" w:cs="Arial"/>
          <w:i/>
          <w:szCs w:val="24"/>
          <w:vertAlign w:val="superscript"/>
        </w:rPr>
        <w:t>RESCUE</w:t>
      </w:r>
      <w:r w:rsidRPr="001409D5">
        <w:rPr>
          <w:rFonts w:ascii="Arial" w:hAnsi="Arial" w:cs="Arial"/>
          <w:szCs w:val="24"/>
          <w:vertAlign w:val="superscript"/>
        </w:rPr>
        <w:t xml:space="preserve"> </w:t>
      </w:r>
      <w:r w:rsidRPr="001409D5">
        <w:rPr>
          <w:rFonts w:ascii="Arial" w:hAnsi="Arial" w:cs="Arial"/>
          <w:szCs w:val="24"/>
        </w:rPr>
        <w:t xml:space="preserve">at PD70) were administered chloral hydrate (400 mg/kg) and euthanized by decapitation. The brain was removed from the skull and cooled in oxygenated sucrose-substituted ACSF. The brain was blocked to obtain the anterior portion and coronal slices (400 µm) </w:t>
      </w:r>
      <w:r w:rsidR="005F6C23">
        <w:rPr>
          <w:rFonts w:ascii="Arial" w:hAnsi="Arial" w:cs="Arial"/>
          <w:szCs w:val="24"/>
        </w:rPr>
        <w:t>containing</w:t>
      </w:r>
      <w:r w:rsidR="005F6C23" w:rsidRPr="001409D5">
        <w:rPr>
          <w:rFonts w:ascii="Arial" w:hAnsi="Arial" w:cs="Arial"/>
          <w:szCs w:val="24"/>
        </w:rPr>
        <w:t xml:space="preserve"> medial prefrontal cortex</w:t>
      </w:r>
      <w:r w:rsidRPr="001409D5">
        <w:rPr>
          <w:rFonts w:ascii="Arial" w:hAnsi="Arial" w:cs="Arial"/>
          <w:szCs w:val="24"/>
        </w:rPr>
        <w:t xml:space="preserve"> (1.98 mm-1.34 mm)</w:t>
      </w:r>
      <w:r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{"citationItems":[{"id":"ITEM-1","itemData":{"DOI":"10.1364/OE.20.020998","ISBN":"0125476361","ISSN":"1094-4087","PMID":"23037223","abstract":"Stimulated emission depletion (STED) microscopy allows fluorescence far-field imaging with diffraction-unlimited resolution. Unfortunately, extending this technique to three-dimensional (3D) imaging of thick specimens has been inhibited by sample-induced aberrations. Here we present the first implementation of adaptive optics in STED microscopy to allow 3D super-resolution imaging in strongly aberrated imaging conditions, such as those introduced by thick biological tissue.","author":[{"dropping-particle":"","family":"Paxinos","given":"George","non-dropping-particle":"","parse-names":false,"suffix":""},{"dropping-particle":"","family":"Franklin","given":"Keith B.J.","non-dropping-particle":"","parse-names":false,"suffix":""}],"container-title":"Academic Press","id":"ITEM-1","issued":{"date-parts":[["2001"]]},"number-of-pages":"360","title":"Paxinos and Franklin's the Mouse Brain in Stereotaxic Coordinates","type":"book","volume":"2nd Editio"},"uris":["http://www.mendeley.com/documents/?uuid=ffc57fed-de67-30c5-a4f4-6ad8dccb2efc"]}],"mendeley":{"formattedCitation":"[12]","plainTextFormattedCitation":"[12]","previouslyFormattedCitation":"(Franklin &amp; Paxinos, n.d.)"},"properties":{"noteIndex":0},"schema":"https://github.com/citation-style-language/schema/raw/master/csl-citation.json"}</w:instrText>
      </w:r>
      <w:r w:rsidRPr="001409D5">
        <w:rPr>
          <w:rFonts w:ascii="Arial" w:hAnsi="Arial" w:cs="Arial"/>
          <w:szCs w:val="24"/>
        </w:rPr>
        <w:fldChar w:fldCharType="separate"/>
      </w:r>
      <w:r w:rsidR="001409D5" w:rsidRPr="001409D5">
        <w:rPr>
          <w:rFonts w:ascii="Arial" w:hAnsi="Arial" w:cs="Arial"/>
          <w:noProof/>
          <w:szCs w:val="24"/>
        </w:rPr>
        <w:t>[12]</w:t>
      </w:r>
      <w:r w:rsidRPr="001409D5">
        <w:rPr>
          <w:rFonts w:ascii="Arial" w:hAnsi="Arial" w:cs="Arial"/>
          <w:szCs w:val="24"/>
        </w:rPr>
        <w:fldChar w:fldCharType="end"/>
      </w:r>
      <w:r w:rsidRPr="001409D5">
        <w:rPr>
          <w:rFonts w:ascii="Arial" w:hAnsi="Arial" w:cs="Arial"/>
          <w:szCs w:val="24"/>
        </w:rPr>
        <w:t xml:space="preserve"> </w:t>
      </w:r>
      <w:r w:rsidR="005F6C23">
        <w:rPr>
          <w:rFonts w:ascii="Arial" w:hAnsi="Arial" w:cs="Arial"/>
          <w:szCs w:val="24"/>
        </w:rPr>
        <w:t xml:space="preserve">and caudate putamen (1.54 mm – 0.14 mm) </w:t>
      </w:r>
      <w:r w:rsidRPr="001409D5">
        <w:rPr>
          <w:rFonts w:ascii="Arial" w:hAnsi="Arial" w:cs="Arial"/>
          <w:szCs w:val="24"/>
        </w:rPr>
        <w:t xml:space="preserve">were sectioned by the </w:t>
      </w:r>
      <w:proofErr w:type="spellStart"/>
      <w:r w:rsidRPr="001409D5">
        <w:rPr>
          <w:rFonts w:ascii="Arial" w:hAnsi="Arial" w:cs="Arial"/>
          <w:szCs w:val="24"/>
        </w:rPr>
        <w:t>Dosaka</w:t>
      </w:r>
      <w:proofErr w:type="spellEnd"/>
      <w:r w:rsidRPr="001409D5">
        <w:rPr>
          <w:rFonts w:ascii="Arial" w:hAnsi="Arial" w:cs="Arial"/>
          <w:szCs w:val="24"/>
        </w:rPr>
        <w:t xml:space="preserve"> Pro-7 Linear Slicer (</w:t>
      </w:r>
      <w:proofErr w:type="spellStart"/>
      <w:r w:rsidRPr="001409D5">
        <w:rPr>
          <w:rFonts w:ascii="Arial" w:hAnsi="Arial" w:cs="Arial"/>
          <w:szCs w:val="24"/>
        </w:rPr>
        <w:t>SciMedia</w:t>
      </w:r>
      <w:proofErr w:type="spellEnd"/>
      <w:r w:rsidRPr="001409D5">
        <w:rPr>
          <w:rFonts w:ascii="Arial" w:hAnsi="Arial" w:cs="Arial"/>
          <w:szCs w:val="24"/>
        </w:rPr>
        <w:t>, CA, USA). The slices recovered for at least 1.5-hours in a chamber containing oxygenated ACSF (in mM: 128 NaCl, 10 D-glucose, 26 NaHCO</w:t>
      </w:r>
      <w:r w:rsidRPr="001409D5">
        <w:rPr>
          <w:rFonts w:ascii="Arial" w:hAnsi="Arial" w:cs="Arial"/>
          <w:szCs w:val="24"/>
          <w:vertAlign w:val="subscript"/>
        </w:rPr>
        <w:t>3</w:t>
      </w:r>
      <w:r w:rsidRPr="001409D5">
        <w:rPr>
          <w:rFonts w:ascii="Arial" w:hAnsi="Arial" w:cs="Arial"/>
          <w:szCs w:val="24"/>
        </w:rPr>
        <w:t>, 2 CaCl</w:t>
      </w:r>
      <w:r w:rsidRPr="001409D5">
        <w:rPr>
          <w:rFonts w:ascii="Arial" w:hAnsi="Arial" w:cs="Arial"/>
          <w:szCs w:val="24"/>
          <w:vertAlign w:val="subscript"/>
        </w:rPr>
        <w:t>2</w:t>
      </w:r>
      <w:r w:rsidRPr="001409D5">
        <w:rPr>
          <w:rFonts w:ascii="Arial" w:hAnsi="Arial" w:cs="Arial"/>
          <w:szCs w:val="24"/>
        </w:rPr>
        <w:t>, 1.25 NaH</w:t>
      </w:r>
      <w:r w:rsidRPr="001409D5">
        <w:rPr>
          <w:rFonts w:ascii="Arial" w:hAnsi="Arial" w:cs="Arial"/>
          <w:szCs w:val="24"/>
          <w:vertAlign w:val="subscript"/>
        </w:rPr>
        <w:t>2</w:t>
      </w:r>
      <w:r w:rsidRPr="001409D5">
        <w:rPr>
          <w:rFonts w:ascii="Arial" w:hAnsi="Arial" w:cs="Arial"/>
          <w:szCs w:val="24"/>
        </w:rPr>
        <w:t>PO</w:t>
      </w:r>
      <w:r w:rsidRPr="001409D5">
        <w:rPr>
          <w:rFonts w:ascii="Arial" w:hAnsi="Arial" w:cs="Arial"/>
          <w:szCs w:val="24"/>
          <w:vertAlign w:val="subscript"/>
        </w:rPr>
        <w:t>4</w:t>
      </w:r>
      <w:r w:rsidRPr="001409D5">
        <w:rPr>
          <w:rFonts w:ascii="Arial" w:hAnsi="Arial" w:cs="Arial"/>
          <w:szCs w:val="24"/>
        </w:rPr>
        <w:t xml:space="preserve">, 2 </w:t>
      </w:r>
      <w:r w:rsidRPr="001409D5">
        <w:rPr>
          <w:rFonts w:ascii="Arial" w:hAnsi="Arial" w:cs="Arial"/>
          <w:szCs w:val="24"/>
        </w:rPr>
        <w:lastRenderedPageBreak/>
        <w:t>MgSO</w:t>
      </w:r>
      <w:r w:rsidRPr="001409D5">
        <w:rPr>
          <w:rFonts w:ascii="Arial" w:hAnsi="Arial" w:cs="Arial"/>
          <w:szCs w:val="24"/>
          <w:vertAlign w:val="subscript"/>
        </w:rPr>
        <w:t>4</w:t>
      </w:r>
      <w:r w:rsidRPr="001409D5">
        <w:rPr>
          <w:rFonts w:ascii="Arial" w:hAnsi="Arial" w:cs="Arial"/>
          <w:szCs w:val="24"/>
        </w:rPr>
        <w:t xml:space="preserve">, 3 </w:t>
      </w:r>
      <w:proofErr w:type="spellStart"/>
      <w:r w:rsidRPr="001409D5">
        <w:rPr>
          <w:rFonts w:ascii="Arial" w:hAnsi="Arial" w:cs="Arial"/>
          <w:szCs w:val="24"/>
        </w:rPr>
        <w:t>KCl</w:t>
      </w:r>
      <w:proofErr w:type="spellEnd"/>
      <w:r w:rsidRPr="001409D5">
        <w:rPr>
          <w:rFonts w:ascii="Arial" w:hAnsi="Arial" w:cs="Arial"/>
          <w:szCs w:val="24"/>
        </w:rPr>
        <w:t>) at 30°C before being transferred to the stage of an</w:t>
      </w:r>
      <w:r w:rsidR="005F6C23">
        <w:rPr>
          <w:rFonts w:ascii="Arial" w:hAnsi="Arial" w:cs="Arial"/>
          <w:szCs w:val="24"/>
        </w:rPr>
        <w:t xml:space="preserve"> Olympus BX51WI</w:t>
      </w:r>
      <w:r w:rsidRPr="001409D5">
        <w:rPr>
          <w:rFonts w:ascii="Arial" w:hAnsi="Arial" w:cs="Arial"/>
          <w:szCs w:val="24"/>
        </w:rPr>
        <w:t xml:space="preserve"> microscope </w:t>
      </w:r>
      <w:r w:rsidR="005F6C23">
        <w:rPr>
          <w:rFonts w:ascii="Arial" w:hAnsi="Arial" w:cs="Arial"/>
          <w:szCs w:val="24"/>
        </w:rPr>
        <w:t xml:space="preserve">(Olympus) </w:t>
      </w:r>
      <w:r w:rsidRPr="001409D5">
        <w:rPr>
          <w:rFonts w:ascii="Arial" w:hAnsi="Arial" w:cs="Arial"/>
          <w:szCs w:val="24"/>
        </w:rPr>
        <w:t xml:space="preserve">for whole cell patch clamp recordings. Layer V pyramidal neurons in the medial prefrontal cortex </w:t>
      </w:r>
      <w:r w:rsidR="005F6C23">
        <w:rPr>
          <w:rFonts w:ascii="Arial" w:hAnsi="Arial" w:cs="Arial"/>
          <w:szCs w:val="24"/>
        </w:rPr>
        <w:t>and medium spiny neurons in the dorsal striatum</w:t>
      </w:r>
      <w:r w:rsidR="005F6C23" w:rsidRPr="001409D5">
        <w:rPr>
          <w:rFonts w:ascii="Arial" w:hAnsi="Arial" w:cs="Arial"/>
          <w:szCs w:val="24"/>
        </w:rPr>
        <w:t xml:space="preserve"> </w:t>
      </w:r>
      <w:r w:rsidRPr="001409D5">
        <w:rPr>
          <w:rFonts w:ascii="Arial" w:hAnsi="Arial" w:cs="Arial"/>
          <w:szCs w:val="24"/>
        </w:rPr>
        <w:t xml:space="preserve">were identified by infrared differential inference contrast microscopy. The whole cell patch pipettes (2-4 MΩ) contained the following intracellular solution (in mM): 120 potassium gluconate, 5 </w:t>
      </w:r>
      <w:proofErr w:type="spellStart"/>
      <w:r w:rsidRPr="001409D5">
        <w:rPr>
          <w:rFonts w:ascii="Arial" w:hAnsi="Arial" w:cs="Arial"/>
          <w:szCs w:val="24"/>
        </w:rPr>
        <w:t>KCl</w:t>
      </w:r>
      <w:proofErr w:type="spellEnd"/>
      <w:r w:rsidRPr="001409D5">
        <w:rPr>
          <w:rFonts w:ascii="Arial" w:hAnsi="Arial" w:cs="Arial"/>
          <w:szCs w:val="24"/>
        </w:rPr>
        <w:t xml:space="preserve">, 2 </w:t>
      </w:r>
      <w:proofErr w:type="spellStart"/>
      <w:r w:rsidRPr="001409D5">
        <w:rPr>
          <w:rFonts w:ascii="Arial" w:hAnsi="Arial" w:cs="Arial"/>
          <w:szCs w:val="24"/>
        </w:rPr>
        <w:t>MgCl</w:t>
      </w:r>
      <w:proofErr w:type="spellEnd"/>
      <w:r w:rsidRPr="001409D5">
        <w:rPr>
          <w:rFonts w:ascii="Arial" w:hAnsi="Arial" w:cs="Arial"/>
          <w:szCs w:val="24"/>
        </w:rPr>
        <w:t>, 4 K</w:t>
      </w:r>
      <w:r w:rsidRPr="001409D5">
        <w:rPr>
          <w:rFonts w:ascii="Arial" w:hAnsi="Arial" w:cs="Arial"/>
          <w:szCs w:val="24"/>
          <w:vertAlign w:val="subscript"/>
        </w:rPr>
        <w:t>2</w:t>
      </w:r>
      <w:r w:rsidRPr="001409D5">
        <w:rPr>
          <w:rFonts w:ascii="Arial" w:hAnsi="Arial" w:cs="Arial"/>
          <w:szCs w:val="24"/>
        </w:rPr>
        <w:t>-ATP, 0.4 Na</w:t>
      </w:r>
      <w:r w:rsidRPr="001409D5">
        <w:rPr>
          <w:rFonts w:ascii="Arial" w:hAnsi="Arial" w:cs="Arial"/>
          <w:szCs w:val="24"/>
          <w:vertAlign w:val="subscript"/>
        </w:rPr>
        <w:t>2</w:t>
      </w:r>
      <w:r w:rsidRPr="001409D5">
        <w:rPr>
          <w:rFonts w:ascii="Arial" w:hAnsi="Arial" w:cs="Arial"/>
          <w:szCs w:val="24"/>
        </w:rPr>
        <w:t>-GTP, 10 Na</w:t>
      </w:r>
      <w:r w:rsidRPr="001409D5">
        <w:rPr>
          <w:rFonts w:ascii="Arial" w:hAnsi="Arial" w:cs="Arial"/>
          <w:szCs w:val="24"/>
          <w:vertAlign w:val="subscript"/>
        </w:rPr>
        <w:t>2</w:t>
      </w:r>
      <w:r w:rsidRPr="001409D5">
        <w:rPr>
          <w:rFonts w:ascii="Arial" w:hAnsi="Arial" w:cs="Arial"/>
          <w:szCs w:val="24"/>
        </w:rPr>
        <w:t xml:space="preserve">-phosphocreatine, and 10 HEPES buffer, adjusted to pH 7.33 with KOH. </w:t>
      </w:r>
      <w:r w:rsidR="005F6C23" w:rsidRPr="004511EA">
        <w:rPr>
          <w:rFonts w:ascii="Arial" w:hAnsi="Arial" w:cs="Arial"/>
          <w:szCs w:val="24"/>
        </w:rPr>
        <w:t xml:space="preserve">Data were acquired with </w:t>
      </w:r>
      <w:proofErr w:type="spellStart"/>
      <w:r w:rsidR="005F6C23">
        <w:rPr>
          <w:rFonts w:ascii="Arial" w:hAnsi="Arial" w:cs="Arial"/>
          <w:szCs w:val="24"/>
        </w:rPr>
        <w:t>Axopatch</w:t>
      </w:r>
      <w:proofErr w:type="spellEnd"/>
      <w:r w:rsidR="005F6C23">
        <w:rPr>
          <w:rFonts w:ascii="Arial" w:hAnsi="Arial" w:cs="Arial"/>
          <w:szCs w:val="24"/>
        </w:rPr>
        <w:t xml:space="preserve"> 200B</w:t>
      </w:r>
      <w:r w:rsidR="005F6C23" w:rsidRPr="004511EA">
        <w:rPr>
          <w:rFonts w:ascii="Arial" w:hAnsi="Arial" w:cs="Arial"/>
          <w:szCs w:val="24"/>
        </w:rPr>
        <w:t xml:space="preserve"> amplifier at 20 kHz with </w:t>
      </w:r>
      <w:proofErr w:type="spellStart"/>
      <w:r w:rsidR="005F6C23" w:rsidRPr="004511EA">
        <w:rPr>
          <w:rFonts w:ascii="Arial" w:hAnsi="Arial" w:cs="Arial"/>
          <w:szCs w:val="24"/>
        </w:rPr>
        <w:t>Digidata</w:t>
      </w:r>
      <w:proofErr w:type="spellEnd"/>
      <w:r w:rsidR="005F6C23" w:rsidRPr="004511EA">
        <w:rPr>
          <w:rFonts w:ascii="Arial" w:hAnsi="Arial" w:cs="Arial"/>
          <w:szCs w:val="24"/>
        </w:rPr>
        <w:t xml:space="preserve"> 1440A and </w:t>
      </w:r>
      <w:proofErr w:type="spellStart"/>
      <w:r w:rsidR="005F6C23" w:rsidRPr="004511EA">
        <w:rPr>
          <w:rFonts w:ascii="Arial" w:hAnsi="Arial" w:cs="Arial"/>
          <w:szCs w:val="24"/>
        </w:rPr>
        <w:t>pClamp</w:t>
      </w:r>
      <w:proofErr w:type="spellEnd"/>
      <w:r w:rsidR="005F6C23" w:rsidRPr="004511EA">
        <w:rPr>
          <w:rFonts w:ascii="Arial" w:hAnsi="Arial" w:cs="Arial"/>
          <w:szCs w:val="24"/>
        </w:rPr>
        <w:t xml:space="preserve"> 10.</w:t>
      </w:r>
      <w:r w:rsidR="005F6C23">
        <w:rPr>
          <w:rFonts w:ascii="Arial" w:hAnsi="Arial" w:cs="Arial"/>
          <w:szCs w:val="24"/>
        </w:rPr>
        <w:t>2</w:t>
      </w:r>
      <w:r w:rsidR="005F6C23" w:rsidRPr="004511EA">
        <w:rPr>
          <w:rFonts w:ascii="Arial" w:hAnsi="Arial" w:cs="Arial"/>
          <w:szCs w:val="24"/>
        </w:rPr>
        <w:t xml:space="preserve"> acquisition software (Molecular devices)</w:t>
      </w:r>
      <w:r w:rsidR="005F6C23">
        <w:rPr>
          <w:rFonts w:ascii="Arial" w:hAnsi="Arial" w:cs="Arial"/>
          <w:szCs w:val="24"/>
        </w:rPr>
        <w:t>, with correction for the liquid junction potential. Initial experiments examined spontaneous excitatory postsynaptic currents (</w:t>
      </w:r>
      <w:proofErr w:type="spellStart"/>
      <w:r w:rsidR="005F6C23">
        <w:rPr>
          <w:rFonts w:ascii="Arial" w:hAnsi="Arial" w:cs="Arial"/>
          <w:szCs w:val="24"/>
        </w:rPr>
        <w:t>sEPSCs</w:t>
      </w:r>
      <w:proofErr w:type="spellEnd"/>
      <w:r w:rsidR="005F6C23">
        <w:rPr>
          <w:rFonts w:ascii="Arial" w:hAnsi="Arial" w:cs="Arial"/>
          <w:szCs w:val="24"/>
        </w:rPr>
        <w:t xml:space="preserve">) in a subset of layer V pyramidal neurons of medial prefrontal cortex with oxygenated ACSF at </w:t>
      </w:r>
      <w:r w:rsidR="005F6C23" w:rsidRPr="001409D5">
        <w:rPr>
          <w:rFonts w:ascii="Arial" w:hAnsi="Arial" w:cs="Arial"/>
          <w:szCs w:val="24"/>
        </w:rPr>
        <w:t>30°C</w:t>
      </w:r>
      <w:r w:rsidR="005F6C23">
        <w:rPr>
          <w:rFonts w:ascii="Arial" w:hAnsi="Arial" w:cs="Arial"/>
          <w:szCs w:val="24"/>
        </w:rPr>
        <w:t xml:space="preserve">. To determine the frequency and amplitude of </w:t>
      </w:r>
      <w:proofErr w:type="spellStart"/>
      <w:r w:rsidR="005F6C23">
        <w:rPr>
          <w:rFonts w:ascii="Arial" w:hAnsi="Arial" w:cs="Arial"/>
          <w:szCs w:val="24"/>
        </w:rPr>
        <w:t>sEPSCs</w:t>
      </w:r>
      <w:proofErr w:type="spellEnd"/>
      <w:r w:rsidR="005F6C23">
        <w:rPr>
          <w:rFonts w:ascii="Arial" w:hAnsi="Arial" w:cs="Arial"/>
          <w:szCs w:val="24"/>
        </w:rPr>
        <w:t>, voltage-clamp data was collected over 5 min at a holding potential of -75 mV and analyzed with Mini Analysis software (</w:t>
      </w:r>
      <w:proofErr w:type="spellStart"/>
      <w:r w:rsidR="005F6C23">
        <w:rPr>
          <w:rFonts w:ascii="Arial" w:hAnsi="Arial" w:cs="Arial"/>
          <w:szCs w:val="24"/>
        </w:rPr>
        <w:t>Synaptosoft</w:t>
      </w:r>
      <w:proofErr w:type="spellEnd"/>
      <w:r w:rsidR="005F6C23">
        <w:rPr>
          <w:rFonts w:ascii="Arial" w:hAnsi="Arial" w:cs="Arial"/>
          <w:szCs w:val="24"/>
        </w:rPr>
        <w:t xml:space="preserve">). </w:t>
      </w:r>
      <w:r w:rsidR="005F6C23" w:rsidRPr="001409D5">
        <w:rPr>
          <w:rFonts w:ascii="Arial" w:hAnsi="Arial" w:cs="Arial"/>
          <w:szCs w:val="24"/>
        </w:rPr>
        <w:t xml:space="preserve">For </w:t>
      </w:r>
      <w:r w:rsidR="005F6C23">
        <w:rPr>
          <w:rFonts w:ascii="Arial" w:hAnsi="Arial" w:cs="Arial"/>
          <w:szCs w:val="24"/>
        </w:rPr>
        <w:t>the electrophysiological</w:t>
      </w:r>
      <w:r w:rsidR="005F6C23" w:rsidRPr="001409D5">
        <w:rPr>
          <w:rFonts w:ascii="Arial" w:hAnsi="Arial" w:cs="Arial"/>
          <w:szCs w:val="24"/>
        </w:rPr>
        <w:t xml:space="preserve"> experiments</w:t>
      </w:r>
      <w:r w:rsidR="005F6C23">
        <w:rPr>
          <w:rFonts w:ascii="Arial" w:hAnsi="Arial" w:cs="Arial"/>
          <w:szCs w:val="24"/>
        </w:rPr>
        <w:t xml:space="preserve"> examining NMDAR currents in medial prefrontal cortex and the dorsal striatum, oxygenated modified ACSF </w:t>
      </w:r>
      <w:r w:rsidR="005F6C23" w:rsidRPr="001409D5">
        <w:rPr>
          <w:rFonts w:ascii="Arial" w:hAnsi="Arial" w:cs="Arial"/>
          <w:szCs w:val="24"/>
        </w:rPr>
        <w:t>(in mM: 128 NaCl, 10 D-glucose, 26 NaHCO</w:t>
      </w:r>
      <w:r w:rsidR="005F6C23" w:rsidRPr="001409D5">
        <w:rPr>
          <w:rFonts w:ascii="Arial" w:hAnsi="Arial" w:cs="Arial"/>
          <w:szCs w:val="24"/>
          <w:vertAlign w:val="subscript"/>
        </w:rPr>
        <w:t>3</w:t>
      </w:r>
      <w:r w:rsidR="005F6C23" w:rsidRPr="001409D5">
        <w:rPr>
          <w:rFonts w:ascii="Arial" w:hAnsi="Arial" w:cs="Arial"/>
          <w:szCs w:val="24"/>
        </w:rPr>
        <w:t>, 2 CaCl</w:t>
      </w:r>
      <w:r w:rsidR="005F6C23" w:rsidRPr="001409D5">
        <w:rPr>
          <w:rFonts w:ascii="Arial" w:hAnsi="Arial" w:cs="Arial"/>
          <w:szCs w:val="24"/>
          <w:vertAlign w:val="subscript"/>
        </w:rPr>
        <w:t>2</w:t>
      </w:r>
      <w:r w:rsidR="005F6C23" w:rsidRPr="001409D5">
        <w:rPr>
          <w:rFonts w:ascii="Arial" w:hAnsi="Arial" w:cs="Arial"/>
          <w:szCs w:val="24"/>
        </w:rPr>
        <w:t>, 1.25 NaH</w:t>
      </w:r>
      <w:r w:rsidR="005F6C23" w:rsidRPr="001409D5">
        <w:rPr>
          <w:rFonts w:ascii="Arial" w:hAnsi="Arial" w:cs="Arial"/>
          <w:szCs w:val="24"/>
          <w:vertAlign w:val="subscript"/>
        </w:rPr>
        <w:t>2</w:t>
      </w:r>
      <w:r w:rsidR="005F6C23" w:rsidRPr="001409D5">
        <w:rPr>
          <w:rFonts w:ascii="Arial" w:hAnsi="Arial" w:cs="Arial"/>
          <w:szCs w:val="24"/>
        </w:rPr>
        <w:t>PO</w:t>
      </w:r>
      <w:r w:rsidR="005F6C23" w:rsidRPr="001409D5">
        <w:rPr>
          <w:rFonts w:ascii="Arial" w:hAnsi="Arial" w:cs="Arial"/>
          <w:szCs w:val="24"/>
          <w:vertAlign w:val="subscript"/>
        </w:rPr>
        <w:t>4</w:t>
      </w:r>
      <w:r w:rsidR="005F6C23" w:rsidRPr="001409D5">
        <w:rPr>
          <w:rFonts w:ascii="Arial" w:hAnsi="Arial" w:cs="Arial"/>
          <w:szCs w:val="24"/>
        </w:rPr>
        <w:t>, 0.5 MgSO</w:t>
      </w:r>
      <w:r w:rsidR="005F6C23" w:rsidRPr="001409D5">
        <w:rPr>
          <w:rFonts w:ascii="Arial" w:hAnsi="Arial" w:cs="Arial"/>
          <w:szCs w:val="24"/>
          <w:vertAlign w:val="subscript"/>
        </w:rPr>
        <w:t>4</w:t>
      </w:r>
      <w:r w:rsidR="005F6C23" w:rsidRPr="001409D5">
        <w:rPr>
          <w:rFonts w:ascii="Arial" w:hAnsi="Arial" w:cs="Arial"/>
          <w:szCs w:val="24"/>
        </w:rPr>
        <w:t xml:space="preserve">, 5 </w:t>
      </w:r>
      <w:proofErr w:type="spellStart"/>
      <w:r w:rsidR="005F6C23" w:rsidRPr="001409D5">
        <w:rPr>
          <w:rFonts w:ascii="Arial" w:hAnsi="Arial" w:cs="Arial"/>
          <w:szCs w:val="24"/>
        </w:rPr>
        <w:t>KCl</w:t>
      </w:r>
      <w:proofErr w:type="spellEnd"/>
      <w:r w:rsidR="005F6C23" w:rsidRPr="001409D5">
        <w:rPr>
          <w:rFonts w:ascii="Arial" w:hAnsi="Arial" w:cs="Arial"/>
          <w:szCs w:val="24"/>
        </w:rPr>
        <w:t xml:space="preserve">) </w:t>
      </w:r>
      <w:r w:rsidR="005F6C23">
        <w:rPr>
          <w:rFonts w:ascii="Arial" w:hAnsi="Arial" w:cs="Arial"/>
          <w:szCs w:val="24"/>
        </w:rPr>
        <w:t xml:space="preserve">was used </w:t>
      </w:r>
      <w:r w:rsidR="005F6C23" w:rsidRPr="001409D5">
        <w:rPr>
          <w:rFonts w:ascii="Arial" w:hAnsi="Arial" w:cs="Arial"/>
          <w:szCs w:val="24"/>
        </w:rPr>
        <w:t xml:space="preserve">to relieve the magnesium blockade. </w:t>
      </w:r>
      <w:r w:rsidR="005F6C23">
        <w:rPr>
          <w:rFonts w:ascii="Arial" w:hAnsi="Arial" w:cs="Arial"/>
          <w:szCs w:val="24"/>
        </w:rPr>
        <w:t>The latter e</w:t>
      </w:r>
      <w:r w:rsidR="005F6C23" w:rsidRPr="001409D5">
        <w:rPr>
          <w:rFonts w:ascii="Arial" w:hAnsi="Arial" w:cs="Arial"/>
          <w:szCs w:val="24"/>
        </w:rPr>
        <w:t>xperiments were performed in the presence of CNQX disodium salt</w:t>
      </w:r>
      <w:r w:rsidR="005F6C23">
        <w:rPr>
          <w:rFonts w:ascii="Arial" w:hAnsi="Arial" w:cs="Arial"/>
          <w:szCs w:val="24"/>
        </w:rPr>
        <w:t xml:space="preserve"> </w:t>
      </w:r>
      <w:r w:rsidR="005F6C23" w:rsidRPr="001409D5">
        <w:rPr>
          <w:rFonts w:ascii="Arial" w:hAnsi="Arial" w:cs="Arial"/>
          <w:szCs w:val="24"/>
        </w:rPr>
        <w:t xml:space="preserve">(20 µm; </w:t>
      </w:r>
      <w:proofErr w:type="spellStart"/>
      <w:r w:rsidR="005F6C23" w:rsidRPr="001409D5">
        <w:rPr>
          <w:rFonts w:ascii="Arial" w:hAnsi="Arial" w:cs="Arial"/>
          <w:szCs w:val="24"/>
        </w:rPr>
        <w:t>Alomone</w:t>
      </w:r>
      <w:proofErr w:type="spellEnd"/>
      <w:r w:rsidR="005F6C23" w:rsidRPr="001409D5">
        <w:rPr>
          <w:rFonts w:ascii="Arial" w:hAnsi="Arial" w:cs="Arial"/>
          <w:szCs w:val="24"/>
        </w:rPr>
        <w:t xml:space="preserve"> Labs, Israel) to block AMPA receptors. NMDA (30 µm; Sigma-Aldrich) was bath applied to assess NMDAR function. Application of APV (50 µM; </w:t>
      </w:r>
      <w:proofErr w:type="spellStart"/>
      <w:r w:rsidR="005F6C23" w:rsidRPr="001409D5">
        <w:rPr>
          <w:rFonts w:ascii="Arial" w:hAnsi="Arial" w:cs="Arial"/>
          <w:szCs w:val="24"/>
        </w:rPr>
        <w:t>Alomone</w:t>
      </w:r>
      <w:proofErr w:type="spellEnd"/>
      <w:r w:rsidR="005F6C23" w:rsidRPr="001409D5">
        <w:rPr>
          <w:rFonts w:ascii="Arial" w:hAnsi="Arial" w:cs="Arial"/>
          <w:szCs w:val="24"/>
        </w:rPr>
        <w:t xml:space="preserve"> Labs) confirmed the inward currents were mediated by NMDARs.</w:t>
      </w:r>
      <w:r w:rsidR="005F6C23" w:rsidRPr="001409D5">
        <w:rPr>
          <w:rFonts w:ascii="Arial" w:hAnsi="Arial" w:cs="Arial"/>
          <w:b/>
          <w:szCs w:val="24"/>
        </w:rPr>
        <w:t xml:space="preserve"> </w:t>
      </w:r>
      <w:r w:rsidR="005F6C23" w:rsidRPr="001409D5">
        <w:rPr>
          <w:rFonts w:ascii="Arial" w:hAnsi="Arial" w:cs="Arial"/>
          <w:szCs w:val="24"/>
        </w:rPr>
        <w:t xml:space="preserve">The peak amplitude of the NMDA currents was measured using </w:t>
      </w:r>
      <w:proofErr w:type="spellStart"/>
      <w:r w:rsidR="005F6C23" w:rsidRPr="001409D5">
        <w:rPr>
          <w:rFonts w:ascii="Arial" w:hAnsi="Arial" w:cs="Arial"/>
          <w:szCs w:val="24"/>
        </w:rPr>
        <w:t>Clampfit</w:t>
      </w:r>
      <w:proofErr w:type="spellEnd"/>
      <w:r w:rsidR="005F6C23" w:rsidRPr="001409D5">
        <w:rPr>
          <w:rFonts w:ascii="Arial" w:hAnsi="Arial" w:cs="Arial"/>
          <w:szCs w:val="24"/>
        </w:rPr>
        <w:t xml:space="preserve"> software (Molecular Devices, CA, USA). The magnitude of NMDA-elicited inward currents was quantified by subtracting a 1 second average holding current at the peak from the average holding current at the baseline.</w:t>
      </w:r>
      <w:r w:rsidRPr="001409D5">
        <w:rPr>
          <w:rFonts w:ascii="Arial" w:hAnsi="Arial" w:cs="Arial"/>
          <w:szCs w:val="24"/>
        </w:rPr>
        <w:t xml:space="preserve"> </w:t>
      </w:r>
    </w:p>
    <w:p w14:paraId="79C4210A" w14:textId="77777777" w:rsidR="00DF216D" w:rsidRPr="001409D5" w:rsidRDefault="00DF216D" w:rsidP="001409D5">
      <w:pPr>
        <w:spacing w:line="360" w:lineRule="auto"/>
        <w:rPr>
          <w:rFonts w:ascii="Arial" w:hAnsi="Arial" w:cs="Arial"/>
          <w:szCs w:val="24"/>
        </w:rPr>
      </w:pPr>
    </w:p>
    <w:p w14:paraId="4CDFA784" w14:textId="61D1AA71" w:rsidR="00DF216D" w:rsidRPr="001409D5" w:rsidRDefault="00637177" w:rsidP="001409D5">
      <w:pPr>
        <w:spacing w:line="360" w:lineRule="auto"/>
        <w:outlineLvl w:val="0"/>
        <w:rPr>
          <w:rFonts w:ascii="Arial" w:hAnsi="Arial" w:cs="Arial"/>
          <w:szCs w:val="24"/>
        </w:rPr>
      </w:pPr>
      <w:r w:rsidRPr="00831098">
        <w:rPr>
          <w:rFonts w:ascii="Arial" w:hAnsi="Arial" w:cs="Arial"/>
          <w:b/>
          <w:szCs w:val="24"/>
        </w:rPr>
        <w:t>Re-analysis of publicly-accessible single-cell and cell type-specific genomics data</w:t>
      </w:r>
      <w:r w:rsidR="00433FFF" w:rsidRPr="001409D5">
        <w:rPr>
          <w:rFonts w:ascii="Arial" w:hAnsi="Arial" w:cs="Arial"/>
          <w:szCs w:val="24"/>
        </w:rPr>
        <w:br/>
      </w:r>
      <w:r w:rsidR="00DF216D" w:rsidRPr="001409D5">
        <w:rPr>
          <w:rFonts w:ascii="Arial" w:hAnsi="Arial" w:cs="Arial"/>
          <w:szCs w:val="24"/>
        </w:rPr>
        <w:t xml:space="preserve">We obtained single-cell </w:t>
      </w:r>
      <w:proofErr w:type="spellStart"/>
      <w:r w:rsidR="00DF216D" w:rsidRPr="001409D5">
        <w:rPr>
          <w:rFonts w:ascii="Arial" w:hAnsi="Arial" w:cs="Arial"/>
          <w:szCs w:val="24"/>
        </w:rPr>
        <w:t>RNAseq</w:t>
      </w:r>
      <w:proofErr w:type="spellEnd"/>
      <w:r w:rsidR="00DF216D" w:rsidRPr="001409D5">
        <w:rPr>
          <w:rFonts w:ascii="Arial" w:hAnsi="Arial" w:cs="Arial"/>
          <w:szCs w:val="24"/>
        </w:rPr>
        <w:t xml:space="preserve"> data sampled from the adult mouse visual cortex via the Allen Institute for Brain Science’s Cell Types database (</w:t>
      </w:r>
      <w:hyperlink r:id="rId8" w:history="1">
        <w:r w:rsidR="00DF216D" w:rsidRPr="001409D5">
          <w:rPr>
            <w:rStyle w:val="Hyperlink"/>
            <w:rFonts w:ascii="Arial" w:hAnsi="Arial" w:cs="Arial"/>
            <w:szCs w:val="24"/>
          </w:rPr>
          <w:t>http://celltypes.brain-map.org/</w:t>
        </w:r>
      </w:hyperlink>
      <w:r w:rsidR="00DF216D" w:rsidRPr="001409D5">
        <w:rPr>
          <w:rFonts w:ascii="Arial" w:hAnsi="Arial" w:cs="Arial"/>
          <w:szCs w:val="24"/>
        </w:rPr>
        <w:t xml:space="preserve">) </w:t>
      </w:r>
      <w:r w:rsidR="00DF216D"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{"citationItems":[{"id":"ITEM-1","itemData":{"DOI":"10.1038/s41586-018-0654-5","ISSN":"14764687","PMID":"30382198","abstract":"The neocortex contains a multitude of cell types that are segregated into layers and functionally distinct areas. To investigate the diversity of cell types across the mouse neocortex, here we analysed 23,822 cells from two areas at distant poles of the mouse neocortex: the primary visual cortex and the anterior lateral motor cortex. We define 133 transcriptomic cell types by deep, single-cell RNA sequencing. Nearly all types of GABA (γ-aminobutyric acid)-containing neurons are shared across both areas, whereas most types of glutamatergic neurons were found in one of the two areas. By combining single-cell RNA sequencing and retrograde labelling, we match transcriptomic types of glutamatergic neurons to their long-range projection specificity. Our study establishes a combined transcriptomic and projectional taxonomy of cortical cell types from functionally distinct areas of the adult mouse cortex.","author":[{"dropping-particle":"","family":"Tasic","given":"Bosiljka","non-dropping-particle":"","parse-names":false,"suffix":""},{"dropping-particle":"","family":"Yao","given":"Zizhen","non-dropping-particle":"","parse-names":false,"suffix":""},{"dropping-particle":"","family":"Graybuck","given":"Lucas T","non-dropping-particle":"","parse-names":false,"suffix":""},{"dropping-particle":"","family":"Smith","given":"Kimberly A","non-dropping-particle":"","parse-names":false,"suffix":""},{"dropping-particle":"","family":"Nguyen","given":"Thuc Nghi","non-dropping-particle":"","parse-names":false,"suffix":""},{"dropping-particle":"","family":"Bertagnolli","given":"Darren","non-dropping-particle":"","parse-names":false,"suffix":""},{"dropping-particle":"","family":"Goldy","given":"Jeff","non-dropping-particle":"","parse-names":false,"suffix":""},{"dropping-particle":"","family":"Garren","given":"Emma","non-dropping-particle":"","parse-names":false,"suffix":""},{"dropping-particle":"","family":"Economo","given":"Michael N","non-dropping-particle":"","parse-names":false,"suffix":""},{"dropping-particle":"","family":"Viswanathan","given":"Sarada","non-dropping-particle":"","parse-names":false,"suffix":""},{"dropping-particle":"","family":"Penn","given":"Osnat","non-dropping-particle":"","parse-names":false,"suffix":""},{"dropping-particle":"","family":"Bakken","given":"Trygve","non-dropping-particle":"","parse-names":false,"suffix":""},{"dropping-particle":"","family":"Menon","given":"Vilas","non-dropping-particle":"","parse-names":false,"suffix":""},{"dropping-particle":"","family":"Miller","given":"Jeremy","non-dropping-particle":"","parse-names":false,"suffix":""},{"dropping-particle":"","family":"Fong","given":"Olivia","non-dropping-particle":"","parse-names":false,"suffix":""},{"dropping-particle":"","family":"Hirokawa","given":"Karla E","non-dropping-particle":"","parse-names":false,"suffix":""},{"dropping-particle":"","family":"Lathia","given":"Kanan","non-dropping-particle":"","parse-names":false,"suffix":""},{"dropping-particle":"","family":"Rimorin","given":"Christine","non-dropping-particle":"","parse-names":false,"suffix":""},{"dropping-particle":"","family":"Tieu","given":"Michael","non-dropping-particle":"","parse-names":false,"suffix":""},{"dropping-particle":"","family":"Larsen","given":"Rachael","non-dropping-particle":"","parse-names":false,"suffix":""},{"dropping-particle":"","family":"Casper","given":"Tamara","non-dropping-particle":"","parse-names":false,"suffix":""},{"dropping-particle":"","family":"Barkan","given":"Eliza","non-dropping-particle":"","parse-names":false,"suffix":""},{"dropping-particle":"","family":"Kroll","given":"Matthew","non-dropping-particle":"","parse-names":false,"suffix":""},{"dropping-particle":"","family":"Parry","given":"Sheana","non-dropping-particle":"","parse-names":false,"suffix":""},{"dropping-particle":"V","family":"Shapovalova","given":"Nadiya","non-dropping-particle":"","parse-names":false,"suffix":""},{"dropping-particle":"","family":"Hirschstein","given":"Daniel","non-dropping-particle":"","parse-names":false,"suffix":""},{"dropping-particle":"","family":"Pendergraft","given":"Julie","non-dropping-particle":"","parse-names":false,"suffix":""},{"dropping-particle":"","family":"Sullivan","given":"Heather A","non-dropping-particle":"","parse-names":false,"suffix":""},{"dropping-particle":"","family":"Kim","given":"Tae Kyung","non-dropping-particle":"","parse-names":false,"suffix":""},{"dropping-particle":"","family":"Szafer","given":"Aaron","non-dropping-particle":"","parse-names":false,"suffix":""},{"dropping-particle":"","family":"Dee","given":"Nick","non-dropping-particle":"","parse-names":false,"suffix":""},{"dropping-particle":"","family":"Groblewski","given":"Peter","non-dropping-particle":"","parse-names":false,"suffix":""},{"dropping-particle":"","family":"Wickersham","given":"Ian","non-dropping-particle":"","parse-names":false,"suffix":""},{"dropping-particle":"","family":"Cetin","given":"Ali","non-dropping-particle":"","parse-names":false,"suffix":""},{"dropping-particle":"","family":"Harris","given":"Julie A","non-dropping-particle":"","parse-names":false,"suffix":""},{"dropping-particle":"","family":"Levi","given":"Boaz P","non-dropping-particle":"","parse-names":false,"suffix":""},{"dropping-particle":"","family":"Sunkin","given":"Susan M","non-dropping-particle":"","parse-names":false,"suffix":""},{"dropping-particle":"","family":"Madisen","given":"Linda","non-dropping-particle":"","parse-names":false,"suffix":""},{"dropping-particle":"","family":"Daigle","given":"Tanya L","non-dropping-particle":"","parse-names":false,"suffix":""},{"dropping-particle":"","family":"Looger","given":"Loren","non-dropping-particle":"","parse-names":false,"suffix":""},{"dropping-particle":"","family":"Bernard","given":"Amy","non-dropping-particle":"","parse-names":false,"suffix":""},{"dropping-particle":"","family":"Phillips","given":"John","non-dropping-particle":"","parse-names":false,"suffix":""},{"dropping-particle":"","family":"Lein","given":"Ed","non-dropping-particle":"","parse-names":false,"suffix":""},{"dropping-particle":"","family":"Hawrylycz","given":"Michael","non-dropping-particle":"","parse-names":false,"suffix":""},{"dropping-particle":"","family":"Svoboda","given":"Karel","non-dropping-particle":"","parse-names":false,"suffix":""},{"dropping-particle":"","family":"Jones","given":"Allan R","non-dropping-particle":"","parse-names":false,"suffix":""},{"dropping-particle":"","family":"Koch","given":"Christof","non-dropping-particle":"","parse-names":false,"suffix":""},{"dropping-particle":"","family":"Zeng","given":"Hongkui","non-dropping-particle":"","parse-names":false,"suffix":""}],"container-title":"Nature","id":"ITEM-1","issue":"7729","issued":{"date-parts":[["2018"]]},"page":"72-78","publisher":"NIH Public Access","title":"Shared and distinct transcriptomic cell types across neocortical areas","type":"article-journal","volume":"563"},"uris":["http://www.mendeley.com/documents/?uuid=e35fd27f-20cc-36d0-ab71-2630d3f5dc94"]}],"mendeley":{"formattedCitation":"[13]","plainTextFormattedCitation":"[13]","previouslyFormattedCitation":"(Tasic et al., 2018)"},"properties":{"noteIndex":0},"schema":"https://github.com/citation-style-language/schema/raw/master/csl-citation.json"}</w:instrText>
      </w:r>
      <w:r w:rsidR="00DF216D" w:rsidRPr="001409D5">
        <w:rPr>
          <w:rFonts w:ascii="Arial" w:hAnsi="Arial" w:cs="Arial"/>
          <w:szCs w:val="24"/>
        </w:rPr>
        <w:fldChar w:fldCharType="separate"/>
      </w:r>
      <w:r w:rsidR="001409D5" w:rsidRPr="001409D5">
        <w:rPr>
          <w:rFonts w:ascii="Arial" w:hAnsi="Arial" w:cs="Arial"/>
          <w:noProof/>
          <w:szCs w:val="24"/>
        </w:rPr>
        <w:t>[13]</w:t>
      </w:r>
      <w:r w:rsidR="00DF216D" w:rsidRPr="001409D5">
        <w:rPr>
          <w:rFonts w:ascii="Arial" w:hAnsi="Arial" w:cs="Arial"/>
          <w:szCs w:val="24"/>
        </w:rPr>
        <w:fldChar w:fldCharType="end"/>
      </w:r>
      <w:r w:rsidR="00DF216D" w:rsidRPr="001409D5">
        <w:rPr>
          <w:rFonts w:ascii="Arial" w:hAnsi="Arial" w:cs="Arial"/>
          <w:szCs w:val="24"/>
        </w:rPr>
        <w:t xml:space="preserve"> and pooled cell type-specific </w:t>
      </w:r>
      <w:proofErr w:type="spellStart"/>
      <w:r w:rsidR="00DF216D" w:rsidRPr="001409D5">
        <w:rPr>
          <w:rFonts w:ascii="Arial" w:hAnsi="Arial" w:cs="Arial"/>
          <w:szCs w:val="24"/>
        </w:rPr>
        <w:t>ATACseq</w:t>
      </w:r>
      <w:proofErr w:type="spellEnd"/>
      <w:r w:rsidR="00DF216D" w:rsidRPr="001409D5">
        <w:rPr>
          <w:rFonts w:ascii="Arial" w:hAnsi="Arial" w:cs="Arial"/>
          <w:szCs w:val="24"/>
        </w:rPr>
        <w:t xml:space="preserve"> (Assay for Transposase-Accessible Chromatin) data sampled by the Allen Institute for Brain Sciences from the adult mouse visual cortex from the Gene Expression Omnibus repository (GSE87548) </w:t>
      </w:r>
      <w:r w:rsidR="00DF216D"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{"citationItems":[{"id":"ITEM-1","itemData":{"DOI":"10.7554/eLife.21883","ISSN":"2050084X","abstract":"Mammalian cortex is a laminar structure, with each layer composed of a characteristic set of cell types with different morphological, electrophysiological, and connectional properties. Here, we define chromatin accessibility landscapes of major, layer-specific excitatory classes of neurons, and compare them to each other and to inhibitory cortical neurons using the Assay for Transposase-Accessible Chromatin with high-throughput sequencing (ATAC-seq). We identify a large number of layer-specific accessible sites, and significant association with genes that are expressed in specific cortical layers. Integration of these data with layer-specific transcriptomic profiles and transcription factor binding motifs enabled us to construct a regulatory network revealing potential key layer-specific regulators, including Cux1/2, Foxp2, Nfia, Pou3f2, and Rorb. This dataset is a valuable resource for identifying candidate layer-specific cis-regulatory elements in adult mouse cortex.","author":[{"dropping-particle":"","family":"Gray","given":"Lucas T.","non-dropping-particle":"","parse-names":false,"suffix":""},{"dropping-particle":"","family":"Yao","given":"Zizhen","non-dropping-particle":"","parse-names":false,"suffix":""},{"dropping-particle":"","family":"Nguyen","given":"Thuc Nghi","non-dropping-particle":"","parse-names":false,"suffix":""},{"dropping-particle":"","family":"Kim","given":"Tae Kyung","non-dropping-particle":"","parse-names":false,"suffix":""},{"dropping-particle":"","family":"Zeng","given":"Hongkui","non-dropping-particle":"","parse-names":false,"suffix":""},{"dropping-particle":"","family":"Tasic","given":"Bosiljka","non-dropping-particle":"","parse-names":false,"suffix":""}],"container-title":"eLife","id":"ITEM-1","issued":{"date-parts":[["2017","1","23"]]},"publisher":"eLife Sciences Publications Ltd","title":"Layer-specific chromatin accessibility landscapes reveal regulatory networks in adult mouse visual cortex","type":"article-journal","volume":"6"},"uris":["http://www.mendeley.com/documents/?uuid=e578c8cd-eae6-36d9-8804-db178607fa53"]}],"mendeley":{"formattedCitation":"[14]","plainTextFormattedCitation":"[14]","previouslyFormattedCitation":"(Gray et al., 2017)"},"properties":{"noteIndex":0},"schema":"https://github.com/citation-style-language/schema/raw/master/csl-citation.json"}</w:instrText>
      </w:r>
      <w:r w:rsidR="00DF216D" w:rsidRPr="001409D5">
        <w:rPr>
          <w:rFonts w:ascii="Arial" w:hAnsi="Arial" w:cs="Arial"/>
          <w:szCs w:val="24"/>
        </w:rPr>
        <w:fldChar w:fldCharType="separate"/>
      </w:r>
      <w:r w:rsidR="001409D5" w:rsidRPr="001409D5">
        <w:rPr>
          <w:rFonts w:ascii="Arial" w:hAnsi="Arial" w:cs="Arial"/>
          <w:noProof/>
          <w:szCs w:val="24"/>
        </w:rPr>
        <w:t>[14]</w:t>
      </w:r>
      <w:r w:rsidR="00DF216D" w:rsidRPr="001409D5">
        <w:rPr>
          <w:rFonts w:ascii="Arial" w:hAnsi="Arial" w:cs="Arial"/>
          <w:szCs w:val="24"/>
        </w:rPr>
        <w:fldChar w:fldCharType="end"/>
      </w:r>
      <w:r w:rsidR="00DF216D" w:rsidRPr="001409D5">
        <w:rPr>
          <w:rFonts w:ascii="Arial" w:hAnsi="Arial" w:cs="Arial"/>
          <w:szCs w:val="24"/>
        </w:rPr>
        <w:t xml:space="preserve">. </w:t>
      </w:r>
    </w:p>
    <w:p w14:paraId="79927295" w14:textId="6DFAD057" w:rsidR="0018341B" w:rsidRPr="001409D5" w:rsidRDefault="00DF216D" w:rsidP="001409D5">
      <w:pPr>
        <w:spacing w:line="360" w:lineRule="auto"/>
        <w:outlineLvl w:val="0"/>
        <w:rPr>
          <w:rFonts w:ascii="Arial" w:hAnsi="Arial" w:cs="Arial"/>
          <w:szCs w:val="24"/>
        </w:rPr>
      </w:pPr>
      <w:r w:rsidRPr="001409D5">
        <w:rPr>
          <w:rFonts w:ascii="Arial" w:hAnsi="Arial" w:cs="Arial"/>
          <w:szCs w:val="24"/>
        </w:rPr>
        <w:t xml:space="preserve">For the first dataset, we utilized expression counts for reads mapping to exons and summarized gene expression per cell using counts per million reads sequenced (CPM). In the </w:t>
      </w:r>
      <w:r w:rsidRPr="001409D5">
        <w:rPr>
          <w:rFonts w:ascii="Arial" w:hAnsi="Arial" w:cs="Arial"/>
          <w:szCs w:val="24"/>
        </w:rPr>
        <w:lastRenderedPageBreak/>
        <w:t xml:space="preserve">second dataset, ATAC-seq data was retrieved using the SRA toolkit (http://ncbi.github.io/sra-tools/) and aligned to the </w:t>
      </w:r>
      <w:proofErr w:type="spellStart"/>
      <w:r w:rsidRPr="001409D5">
        <w:rPr>
          <w:rFonts w:ascii="Arial" w:hAnsi="Arial" w:cs="Arial"/>
          <w:szCs w:val="24"/>
        </w:rPr>
        <w:t>Ensembl</w:t>
      </w:r>
      <w:proofErr w:type="spellEnd"/>
      <w:r w:rsidRPr="001409D5">
        <w:rPr>
          <w:rFonts w:ascii="Arial" w:hAnsi="Arial" w:cs="Arial"/>
          <w:szCs w:val="24"/>
        </w:rPr>
        <w:t xml:space="preserve"> GRCm38 mouse genome using STAR using default parameters to generate coordinated-sorted bam files</w:t>
      </w:r>
      <w:r w:rsidR="0018341B" w:rsidRPr="001409D5">
        <w:rPr>
          <w:rFonts w:ascii="Arial" w:hAnsi="Arial" w:cs="Arial"/>
          <w:szCs w:val="24"/>
        </w:rPr>
        <w:t xml:space="preserve"> </w:t>
      </w:r>
      <w:r w:rsidR="0018341B"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{"citationItems":[{"id":"ITEM-1","itemData":{"DOI":"10.1002/0471250953.bi1114s51","ISSN":"1934340X","abstract":"Mapping of large sets of high-throughput sequencing reads to a reference genome is one of the foundational steps in RNA-seq data analysis. The STAR software package performs this task with high levels of accuracy and speed. In addition to detecting annotated and novel splice junctions, STAR is capable of discovering more complex RNA sequence arrangements, such as chimeric and circular RNA. STAR can align spliced sequences of any length with moderate error rates, providing scalability for emerging sequencing technologies. STAR generates output files that can be used for many downstream analyses such as transcript/gene expression quantification, differential gene expression, novel isoform reconstruction, and signal visualization. In this unit, we describe computational protocols that produce various output files, use different RNA-seq datatypes, and utilize different mapping strategies. STAR is open source software that can be run on Unix, Linux, or Mac OS X systems. © 2015 by John Wiley &amp; Sons, Inc.","author":[{"dropping-particle":"","family":"Dobin","given":"Alexander","non-dropping-particle":"","parse-names":false,"suffix":""},{"dropping-particle":"","family":"Gingeras","given":"Thomas R.","non-dropping-particle":"","parse-names":false,"suffix":""}],"container-title":"Current Protocols in Bioinformatics","id":"ITEM-1","issue":"1","issued":{"date-parts":[["2015","9","1"]]},"page":"11.14.1-11.14.19","publisher":"John Wiley and Sons Inc.","title":"Mapping RNA-seq Reads with STAR","type":"article-journal","volume":"51"},"uris":["http://www.mendeley.com/documents/?uuid=e8327707-d8fd-369e-8f33-e6b93db22338"]}],"mendeley":{"formattedCitation":"[15]","plainTextFormattedCitation":"[15]","previouslyFormattedCitation":"(Dobin &amp; Gingeras, 2015)"},"properties":{"noteIndex":0},"schema":"https://github.com/citation-style-language/schema/raw/master/csl-citation.json"}</w:instrText>
      </w:r>
      <w:r w:rsidR="0018341B" w:rsidRPr="001409D5">
        <w:rPr>
          <w:rFonts w:ascii="Arial" w:hAnsi="Arial" w:cs="Arial"/>
          <w:szCs w:val="24"/>
        </w:rPr>
        <w:fldChar w:fldCharType="separate"/>
      </w:r>
      <w:r w:rsidR="001409D5" w:rsidRPr="001409D5">
        <w:rPr>
          <w:rFonts w:ascii="Arial" w:hAnsi="Arial" w:cs="Arial"/>
          <w:noProof/>
          <w:szCs w:val="24"/>
        </w:rPr>
        <w:t>[15]</w:t>
      </w:r>
      <w:r w:rsidR="0018341B" w:rsidRPr="001409D5">
        <w:rPr>
          <w:rFonts w:ascii="Arial" w:hAnsi="Arial" w:cs="Arial"/>
          <w:szCs w:val="24"/>
        </w:rPr>
        <w:fldChar w:fldCharType="end"/>
      </w:r>
      <w:r w:rsidRPr="001409D5">
        <w:rPr>
          <w:rFonts w:ascii="Arial" w:hAnsi="Arial" w:cs="Arial"/>
          <w:szCs w:val="24"/>
        </w:rPr>
        <w:t xml:space="preserve">. Grin1 locus coverage, in the region spanning the first to terminal exon based on the </w:t>
      </w:r>
      <w:proofErr w:type="spellStart"/>
      <w:r w:rsidRPr="001409D5">
        <w:rPr>
          <w:rFonts w:ascii="Arial" w:hAnsi="Arial" w:cs="Arial"/>
          <w:szCs w:val="24"/>
        </w:rPr>
        <w:t>Ensembl</w:t>
      </w:r>
      <w:proofErr w:type="spellEnd"/>
      <w:r w:rsidRPr="001409D5">
        <w:rPr>
          <w:rFonts w:ascii="Arial" w:hAnsi="Arial" w:cs="Arial"/>
          <w:szCs w:val="24"/>
        </w:rPr>
        <w:t xml:space="preserve"> GRCm38 reference annotation, was computed using the </w:t>
      </w:r>
      <w:proofErr w:type="spellStart"/>
      <w:r w:rsidRPr="001409D5">
        <w:rPr>
          <w:rFonts w:ascii="Arial" w:hAnsi="Arial" w:cs="Arial"/>
          <w:szCs w:val="24"/>
        </w:rPr>
        <w:t>GenomicAlignments</w:t>
      </w:r>
      <w:proofErr w:type="spellEnd"/>
      <w:r w:rsidRPr="001409D5">
        <w:rPr>
          <w:rFonts w:ascii="Arial" w:hAnsi="Arial" w:cs="Arial"/>
          <w:szCs w:val="24"/>
        </w:rPr>
        <w:t xml:space="preserve"> package in R</w:t>
      </w:r>
      <w:r w:rsidR="0018341B" w:rsidRPr="001409D5">
        <w:rPr>
          <w:rFonts w:ascii="Arial" w:hAnsi="Arial" w:cs="Arial"/>
          <w:szCs w:val="24"/>
        </w:rPr>
        <w:t xml:space="preserve"> </w:t>
      </w:r>
      <w:r w:rsidR="0018341B" w:rsidRPr="001409D5">
        <w:rPr>
          <w:rFonts w:ascii="Arial" w:hAnsi="Arial" w:cs="Arial"/>
          <w:szCs w:val="24"/>
        </w:rPr>
        <w:fldChar w:fldCharType="begin" w:fldLock="1"/>
      </w:r>
      <w:r w:rsidR="001409D5" w:rsidRPr="001409D5">
        <w:rPr>
          <w:rFonts w:ascii="Arial" w:hAnsi="Arial" w:cs="Arial"/>
          <w:szCs w:val="24"/>
        </w:rPr>
        <w:instrText>ADDIN CSL_CITATION {"citationItems":[{"id":"ITEM-1","itemData":{"DOI":"10.1371/journal.pcbi.1003118","ISSN":"1553734X","PMID":"23950696","abstract":"We describe Bioconductor infrastructure for representing and computing on annotated genomic ranges and integrating genomic data with the statistical computing features of R and its extensions. At the core of the infrastructure are three packages: IRanges, GenomicRanges, and GenomicFeatures. These packages provide scalable data structures for representing annotated ranges on the genome, with special support for transcript structures, read alignments and coverage vectors. Computational facilities include efficient algorithms for overlap and nearest neighbor detection, coverage calculation and other range operations. This infrastructure directly supports more than 80 other Bioconductor packages, including those for sequence analysis, differential expression analysis and visualization. © 2013 Lawrence et al.","author":[{"dropping-particle":"","family":"Lawrence","given":"Michael","non-dropping-particle":"","parse-names":false,"suffix":""},{"dropping-particle":"","family":"Huber","given":"Wolfgang","non-dropping-particle":"","parse-names":false,"suffix":""},{"dropping-particle":"","family":"Pagès","given":"Hervé","non-dropping-particle":"","parse-names":false,"suffix":""},{"dropping-particle":"","family":"Aboyoun","given":"Patrick","non-dropping-particle":"","parse-names":false,"suffix":""},{"dropping-particle":"","family":"Carlson","given":"Marc","non-dropping-particle":"","parse-names":false,"suffix":""},{"dropping-particle":"","family":"Gentleman","given":"Robert","non-dropping-particle":"","parse-names":false,"suffix":""},{"dropping-particle":"","family":"Morgan","given":"Martin T.","non-dropping-particle":"","parse-names":false,"suffix":""},{"dropping-particle":"","family":"Carey","given":"Vincent J.","non-dropping-particle":"","parse-names":false,"suffix":""}],"container-title":"PLoS Computational Biology","editor":[{"dropping-particle":"","family":"Prlic","given":"Andreas","non-dropping-particle":"","parse-names":false,"suffix":""}],"id":"ITEM-1","issue":"8","issued":{"date-parts":[["2013","8","8"]]},"page":"e1003118","publisher":"Public Library of Science","title":"Software for Computing and Annotating Genomic Ranges","type":"article-journal","volume":"9"},"uris":["http://www.mendeley.com/documents/?uuid=a80b3d32-d0df-390f-8958-0d711824bff7"]}],"mendeley":{"formattedCitation":"[16]","plainTextFormattedCitation":"[16]","previouslyFormattedCitation":"(Lawrence et al., 2013)"},"properties":{"noteIndex":0},"schema":"https://github.com/citation-style-language/schema/raw/master/csl-citation.json"}</w:instrText>
      </w:r>
      <w:r w:rsidR="0018341B" w:rsidRPr="001409D5">
        <w:rPr>
          <w:rFonts w:ascii="Arial" w:hAnsi="Arial" w:cs="Arial"/>
          <w:szCs w:val="24"/>
        </w:rPr>
        <w:fldChar w:fldCharType="separate"/>
      </w:r>
      <w:r w:rsidR="001409D5" w:rsidRPr="001409D5">
        <w:rPr>
          <w:rFonts w:ascii="Arial" w:hAnsi="Arial" w:cs="Arial"/>
          <w:noProof/>
          <w:szCs w:val="24"/>
        </w:rPr>
        <w:t>[16]</w:t>
      </w:r>
      <w:r w:rsidR="0018341B" w:rsidRPr="001409D5">
        <w:rPr>
          <w:rFonts w:ascii="Arial" w:hAnsi="Arial" w:cs="Arial"/>
          <w:szCs w:val="24"/>
        </w:rPr>
        <w:fldChar w:fldCharType="end"/>
      </w:r>
      <w:r w:rsidRPr="001409D5">
        <w:rPr>
          <w:rFonts w:ascii="Arial" w:hAnsi="Arial" w:cs="Arial"/>
          <w:szCs w:val="24"/>
        </w:rPr>
        <w:t>. Coverage values were normalized to total library size after removal of reads aligning to genes on the mitochondrial chromosome, summed for the entire Grin1 locus, and presented as nucleotide Counts Per Million (</w:t>
      </w:r>
      <w:proofErr w:type="spellStart"/>
      <w:r w:rsidRPr="001409D5">
        <w:rPr>
          <w:rFonts w:ascii="Arial" w:hAnsi="Arial" w:cs="Arial"/>
          <w:szCs w:val="24"/>
        </w:rPr>
        <w:t>nCPMs</w:t>
      </w:r>
      <w:proofErr w:type="spellEnd"/>
      <w:r w:rsidRPr="001409D5">
        <w:rPr>
          <w:rFonts w:ascii="Arial" w:hAnsi="Arial" w:cs="Arial"/>
          <w:szCs w:val="24"/>
        </w:rPr>
        <w:t>).</w:t>
      </w:r>
    </w:p>
    <w:p w14:paraId="58B812B3" w14:textId="77777777" w:rsidR="005F6C23" w:rsidRDefault="005F6C23" w:rsidP="001409D5">
      <w:pPr>
        <w:spacing w:line="360" w:lineRule="auto"/>
        <w:outlineLvl w:val="0"/>
        <w:rPr>
          <w:rFonts w:ascii="Arial" w:hAnsi="Arial" w:cs="Arial"/>
          <w:b/>
          <w:szCs w:val="24"/>
        </w:rPr>
      </w:pPr>
    </w:p>
    <w:p w14:paraId="53BD1D6D" w14:textId="2FA3A69B" w:rsidR="00432B64" w:rsidRPr="001409D5" w:rsidRDefault="00A33898" w:rsidP="001409D5">
      <w:pPr>
        <w:spacing w:line="360" w:lineRule="auto"/>
        <w:outlineLvl w:val="0"/>
        <w:rPr>
          <w:rFonts w:ascii="Arial" w:hAnsi="Arial" w:cs="Arial"/>
          <w:szCs w:val="24"/>
        </w:rPr>
      </w:pPr>
      <w:r w:rsidRPr="001409D5">
        <w:rPr>
          <w:rFonts w:ascii="Arial" w:hAnsi="Arial" w:cs="Arial"/>
          <w:b/>
          <w:szCs w:val="24"/>
        </w:rPr>
        <w:t>Quantification and Statistical Analysis</w:t>
      </w:r>
      <w:r w:rsidRPr="001409D5">
        <w:rPr>
          <w:rFonts w:ascii="Arial" w:hAnsi="Arial" w:cs="Arial"/>
          <w:b/>
          <w:szCs w:val="24"/>
        </w:rPr>
        <w:br/>
      </w:r>
      <w:r w:rsidRPr="001409D5">
        <w:rPr>
          <w:rFonts w:ascii="Arial" w:hAnsi="Arial" w:cs="Arial"/>
          <w:szCs w:val="24"/>
        </w:rPr>
        <w:t>Statistical parameters, the definition of measures and statistical significance are reported in the figures and the figure legends. Data are represented as mean ± SEM, as indicated in figure legends. Sample number (</w:t>
      </w:r>
      <w:r w:rsidRPr="001409D5">
        <w:rPr>
          <w:rFonts w:ascii="Arial" w:hAnsi="Arial" w:cs="Arial"/>
          <w:i/>
          <w:szCs w:val="24"/>
        </w:rPr>
        <w:t>n</w:t>
      </w:r>
      <w:r w:rsidRPr="001409D5">
        <w:rPr>
          <w:rFonts w:ascii="Arial" w:hAnsi="Arial" w:cs="Arial"/>
          <w:szCs w:val="24"/>
        </w:rPr>
        <w:t xml:space="preserve">), indicating independent biological samples (balanced for sex), are indicated in each figure and/or figure legend. </w:t>
      </w:r>
      <w:r w:rsidR="00127AE0" w:rsidRPr="00127AE0">
        <w:rPr>
          <w:rFonts w:ascii="Arial" w:hAnsi="Arial" w:cs="Arial"/>
          <w:szCs w:val="24"/>
        </w:rPr>
        <w:t xml:space="preserve">Due to the difference in variability that is inherent to different </w:t>
      </w:r>
      <w:proofErr w:type="spellStart"/>
      <w:r w:rsidR="00127AE0" w:rsidRPr="00127AE0">
        <w:rPr>
          <w:rFonts w:ascii="Arial" w:hAnsi="Arial" w:cs="Arial"/>
          <w:szCs w:val="24"/>
        </w:rPr>
        <w:t>behavioural</w:t>
      </w:r>
      <w:proofErr w:type="spellEnd"/>
      <w:r w:rsidR="00127AE0" w:rsidRPr="00127AE0">
        <w:rPr>
          <w:rFonts w:ascii="Arial" w:hAnsi="Arial" w:cs="Arial"/>
          <w:szCs w:val="24"/>
        </w:rPr>
        <w:t xml:space="preserve"> paradigms,</w:t>
      </w:r>
      <w:r w:rsidR="00127AE0">
        <w:rPr>
          <w:rFonts w:ascii="Arial" w:hAnsi="Arial" w:cs="Arial"/>
          <w:szCs w:val="24"/>
        </w:rPr>
        <w:t xml:space="preserve"> to ensure a power of 0.80 is met, and to test for alpha = 0.05,</w:t>
      </w:r>
      <w:r w:rsidR="00127AE0" w:rsidRPr="00127AE0">
        <w:rPr>
          <w:rFonts w:ascii="Arial" w:hAnsi="Arial" w:cs="Arial"/>
          <w:szCs w:val="24"/>
        </w:rPr>
        <w:t xml:space="preserve"> the samples sizes for these </w:t>
      </w:r>
      <w:proofErr w:type="spellStart"/>
      <w:r w:rsidR="00127AE0">
        <w:rPr>
          <w:rFonts w:ascii="Arial" w:hAnsi="Arial" w:cs="Arial"/>
          <w:szCs w:val="24"/>
        </w:rPr>
        <w:t>behavioural</w:t>
      </w:r>
      <w:proofErr w:type="spellEnd"/>
      <w:r w:rsidR="00127AE0">
        <w:rPr>
          <w:rFonts w:ascii="Arial" w:hAnsi="Arial" w:cs="Arial"/>
          <w:szCs w:val="24"/>
        </w:rPr>
        <w:t xml:space="preserve"> </w:t>
      </w:r>
      <w:r w:rsidR="00127AE0" w:rsidRPr="00127AE0">
        <w:rPr>
          <w:rFonts w:ascii="Arial" w:hAnsi="Arial" w:cs="Arial"/>
          <w:szCs w:val="24"/>
        </w:rPr>
        <w:t>studies will fall within a range of 15-20 mice</w:t>
      </w:r>
      <w:r w:rsidR="0067721E">
        <w:rPr>
          <w:rFonts w:ascii="Arial" w:hAnsi="Arial" w:cs="Arial"/>
          <w:szCs w:val="24"/>
        </w:rPr>
        <w:t>, while biochemical studies will fall within a range of 5-10 mice.</w:t>
      </w:r>
      <w:r w:rsidR="00127AE0">
        <w:rPr>
          <w:rFonts w:ascii="Arial" w:hAnsi="Arial" w:cs="Arial"/>
          <w:szCs w:val="24"/>
        </w:rPr>
        <w:t xml:space="preserve"> </w:t>
      </w:r>
      <w:r w:rsidRPr="001409D5">
        <w:rPr>
          <w:rFonts w:ascii="Arial" w:hAnsi="Arial" w:cs="Arial"/>
          <w:szCs w:val="24"/>
        </w:rPr>
        <w:t>Statistically significant outliers were calculated and excluded, using the Grubb’s Test. Data were analyzed either using a one- or two-way ANOVA (repeated measures)</w:t>
      </w:r>
      <w:r w:rsidR="0086049F">
        <w:rPr>
          <w:rFonts w:ascii="Arial" w:hAnsi="Arial" w:cs="Arial"/>
          <w:szCs w:val="24"/>
        </w:rPr>
        <w:t xml:space="preserve">, </w:t>
      </w:r>
      <w:r w:rsidR="0086049F">
        <w:rPr>
          <w:rFonts w:ascii="Arial" w:hAnsi="Arial" w:cs="Arial"/>
        </w:rPr>
        <w:t>or one-way ANCOVA</w:t>
      </w:r>
      <w:r w:rsidR="0086049F" w:rsidRPr="009C4BD4">
        <w:rPr>
          <w:rFonts w:ascii="Arial" w:hAnsi="Arial" w:cs="Arial"/>
        </w:rPr>
        <w:t xml:space="preserve"> where indicated, </w:t>
      </w:r>
      <w:r w:rsidRPr="001409D5">
        <w:rPr>
          <w:rFonts w:ascii="Arial" w:hAnsi="Arial" w:cs="Arial"/>
          <w:szCs w:val="24"/>
        </w:rPr>
        <w:t>where indicated, with multiple comparisons and post-hoc Bonferroni’s test, as indicated in figure legends. For electrophysiological recordings, paired t-tests were used to compare neuronal responses to NMDA before and after APV. Data analysis was not blinded</w:t>
      </w:r>
      <w:r w:rsidR="001615CB">
        <w:rPr>
          <w:rFonts w:ascii="Arial" w:hAnsi="Arial" w:cs="Arial"/>
          <w:szCs w:val="24"/>
        </w:rPr>
        <w:t>, and animals were not randomized</w:t>
      </w:r>
      <w:r w:rsidRPr="001409D5">
        <w:rPr>
          <w:rFonts w:ascii="Arial" w:hAnsi="Arial" w:cs="Arial"/>
          <w:szCs w:val="24"/>
        </w:rPr>
        <w:t>.</w:t>
      </w:r>
      <w:r w:rsidR="00E8066F">
        <w:rPr>
          <w:rFonts w:ascii="Arial" w:hAnsi="Arial" w:cs="Arial"/>
          <w:szCs w:val="24"/>
        </w:rPr>
        <w:t xml:space="preserve"> Variance was similar between groups tested unless otherwise stated.</w:t>
      </w:r>
      <w:r w:rsidRPr="001409D5">
        <w:rPr>
          <w:rFonts w:ascii="Arial" w:hAnsi="Arial" w:cs="Arial"/>
          <w:szCs w:val="24"/>
        </w:rPr>
        <w:t xml:space="preserve"> </w:t>
      </w:r>
      <w:r w:rsidR="0086049F" w:rsidRPr="00317EB2">
        <w:rPr>
          <w:rFonts w:ascii="Arial" w:hAnsi="Arial" w:cs="Arial"/>
        </w:rPr>
        <w:t xml:space="preserve">For single-cell </w:t>
      </w:r>
      <w:proofErr w:type="spellStart"/>
      <w:r w:rsidR="0086049F" w:rsidRPr="00317EB2">
        <w:rPr>
          <w:rFonts w:ascii="Arial" w:hAnsi="Arial" w:cs="Arial"/>
        </w:rPr>
        <w:t>RNAseq</w:t>
      </w:r>
      <w:proofErr w:type="spellEnd"/>
      <w:r w:rsidR="0086049F">
        <w:rPr>
          <w:rFonts w:ascii="Arial" w:hAnsi="Arial" w:cs="Arial"/>
        </w:rPr>
        <w:t xml:space="preserve"> and cell-type specific </w:t>
      </w:r>
      <w:proofErr w:type="spellStart"/>
      <w:r w:rsidR="0086049F">
        <w:rPr>
          <w:rFonts w:ascii="Arial" w:hAnsi="Arial" w:cs="Arial"/>
        </w:rPr>
        <w:t>ATACseq</w:t>
      </w:r>
      <w:proofErr w:type="spellEnd"/>
      <w:r w:rsidR="0086049F" w:rsidRPr="00317EB2">
        <w:rPr>
          <w:rFonts w:ascii="Arial" w:hAnsi="Arial" w:cs="Arial"/>
        </w:rPr>
        <w:t xml:space="preserve"> results</w:t>
      </w:r>
      <w:r w:rsidR="0018341B" w:rsidRPr="001409D5">
        <w:rPr>
          <w:rFonts w:ascii="Arial" w:hAnsi="Arial" w:cs="Arial"/>
          <w:szCs w:val="24"/>
        </w:rPr>
        <w:t xml:space="preserve">, data was compared using Wilcoxon rank-sum tests. </w:t>
      </w:r>
      <w:r w:rsidRPr="001409D5">
        <w:rPr>
          <w:rFonts w:ascii="Arial" w:hAnsi="Arial" w:cs="Arial"/>
          <w:szCs w:val="24"/>
        </w:rPr>
        <w:t xml:space="preserve">Differences in means were considered statistically significant at p&lt;0.05.  Significance levels are as follows; *p&lt;0.05, **p&lt;0.01, ***p&lt;0.001, ****p&lt;0.0001, ns – not significant. All data analyses were performed using the </w:t>
      </w:r>
      <w:proofErr w:type="spellStart"/>
      <w:r w:rsidRPr="001409D5">
        <w:rPr>
          <w:rFonts w:ascii="Arial" w:hAnsi="Arial" w:cs="Arial"/>
          <w:szCs w:val="24"/>
        </w:rPr>
        <w:t>Graphpad</w:t>
      </w:r>
      <w:proofErr w:type="spellEnd"/>
      <w:r w:rsidRPr="001409D5">
        <w:rPr>
          <w:rFonts w:ascii="Arial" w:hAnsi="Arial" w:cs="Arial"/>
          <w:szCs w:val="24"/>
        </w:rPr>
        <w:t xml:space="preserve"> Prism 6.0 software and/or IBM SPSS 23.0 Software</w:t>
      </w:r>
      <w:r w:rsidR="0018341B" w:rsidRPr="001409D5">
        <w:rPr>
          <w:rFonts w:ascii="Arial" w:hAnsi="Arial" w:cs="Arial"/>
          <w:szCs w:val="24"/>
        </w:rPr>
        <w:t xml:space="preserve"> and using custom analysis scripts written in R.</w:t>
      </w:r>
      <w:r w:rsidR="00432B64" w:rsidRPr="001409D5">
        <w:rPr>
          <w:rFonts w:ascii="Arial" w:hAnsi="Arial" w:cs="Arial"/>
          <w:b/>
          <w:szCs w:val="24"/>
          <w:u w:val="single"/>
        </w:rPr>
        <w:br w:type="page"/>
      </w:r>
    </w:p>
    <w:p w14:paraId="281536B1" w14:textId="55BAD84A" w:rsidR="00432B64" w:rsidRPr="00432B64" w:rsidRDefault="00432B64" w:rsidP="00A33898">
      <w:pPr>
        <w:rPr>
          <w:rFonts w:ascii="Arial" w:hAnsi="Arial" w:cs="Arial"/>
          <w:b/>
        </w:rPr>
      </w:pPr>
      <w:r w:rsidRPr="00432B64">
        <w:rPr>
          <w:rFonts w:ascii="Arial" w:hAnsi="Arial" w:cs="Arial"/>
          <w:b/>
        </w:rPr>
        <w:lastRenderedPageBreak/>
        <w:t>REFERENCES:</w:t>
      </w:r>
    </w:p>
    <w:p w14:paraId="7C085FF4" w14:textId="4697F5FF" w:rsidR="00432B64" w:rsidRDefault="00432B64" w:rsidP="00A33898">
      <w:pPr>
        <w:rPr>
          <w:rFonts w:ascii="Arial" w:hAnsi="Arial" w:cs="Arial"/>
          <w:b/>
          <w:u w:val="single"/>
        </w:rPr>
      </w:pPr>
    </w:p>
    <w:p w14:paraId="3E7C2E91" w14:textId="78908B03" w:rsidR="001409D5" w:rsidRPr="001409D5" w:rsidRDefault="00432B64" w:rsidP="001409D5">
      <w:pPr>
        <w:widowControl w:val="0"/>
        <w:autoSpaceDE w:val="0"/>
        <w:autoSpaceDN w:val="0"/>
        <w:adjustRightInd w:val="0"/>
        <w:ind w:left="640" w:hanging="640"/>
        <w:rPr>
          <w:rFonts w:ascii="Arial" w:hAnsi="Arial" w:cs="Arial"/>
          <w:noProof/>
        </w:rPr>
      </w:pPr>
      <w:r>
        <w:rPr>
          <w:rFonts w:ascii="Arial" w:hAnsi="Arial" w:cs="Arial"/>
          <w:b/>
          <w:u w:val="single"/>
        </w:rPr>
        <w:fldChar w:fldCharType="begin" w:fldLock="1"/>
      </w:r>
      <w:r>
        <w:rPr>
          <w:rFonts w:ascii="Arial" w:hAnsi="Arial" w:cs="Arial"/>
          <w:b/>
          <w:u w:val="single"/>
        </w:rPr>
        <w:instrText xml:space="preserve">ADDIN Mendeley Bibliography CSL_BIBLIOGRAPHY </w:instrText>
      </w:r>
      <w:r>
        <w:rPr>
          <w:rFonts w:ascii="Arial" w:hAnsi="Arial" w:cs="Arial"/>
          <w:b/>
          <w:u w:val="single"/>
        </w:rPr>
        <w:fldChar w:fldCharType="separate"/>
      </w:r>
      <w:r w:rsidR="001409D5" w:rsidRPr="001409D5">
        <w:rPr>
          <w:rFonts w:ascii="Arial" w:hAnsi="Arial" w:cs="Arial"/>
          <w:noProof/>
        </w:rPr>
        <w:t xml:space="preserve">1. </w:t>
      </w:r>
      <w:r w:rsidR="001409D5" w:rsidRPr="001409D5">
        <w:rPr>
          <w:rFonts w:ascii="Arial" w:hAnsi="Arial" w:cs="Arial"/>
          <w:noProof/>
        </w:rPr>
        <w:tab/>
        <w:t>Ventura A, Kirsch DG, McLaughlin ME, Tuveson DA, Grimm J, Lintault L, et al. Restoration of p53 function leads to tumour regression in vivo. Nature. 2007;445:661–665.</w:t>
      </w:r>
    </w:p>
    <w:p w14:paraId="3D1343D9"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2. </w:t>
      </w:r>
      <w:r w:rsidRPr="001409D5">
        <w:rPr>
          <w:rFonts w:ascii="Arial" w:hAnsi="Arial" w:cs="Arial"/>
          <w:noProof/>
        </w:rPr>
        <w:tab/>
        <w:t>Madisen L, Zwingman TA, Sunkin SM, Oh SW, Zariwala HA, Gu H, et al. A robust and high-throughput Cre reporting and characterization system for the whole mouse brain. Nat Neurosci. 2010;13:133–140.</w:t>
      </w:r>
    </w:p>
    <w:p w14:paraId="271EA723"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3. </w:t>
      </w:r>
      <w:r w:rsidRPr="001409D5">
        <w:rPr>
          <w:rFonts w:ascii="Arial" w:hAnsi="Arial" w:cs="Arial"/>
          <w:noProof/>
        </w:rPr>
        <w:tab/>
        <w:t>Mohn AR, Gainetdinov RR, Caron MG, Koller BH. Mice with reduced NMDA receptor expression display behaviors related to schizophrenia. Cell. 1999;98:427–436.</w:t>
      </w:r>
    </w:p>
    <w:p w14:paraId="5DFEB23E"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4. </w:t>
      </w:r>
      <w:r w:rsidRPr="001409D5">
        <w:rPr>
          <w:rFonts w:ascii="Arial" w:hAnsi="Arial" w:cs="Arial"/>
          <w:noProof/>
        </w:rPr>
        <w:tab/>
        <w:t>Silva AJ, Simpson EM, Takahashi JS, Lipp HP, Nakanishi S, Wehner JM, et al. Mutant mice and neuroscience: Recommendations concerning genetic background. Neuron. 1997;19:755–759.</w:t>
      </w:r>
    </w:p>
    <w:p w14:paraId="0F08EE23"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5. </w:t>
      </w:r>
      <w:r w:rsidRPr="001409D5">
        <w:rPr>
          <w:rFonts w:ascii="Arial" w:hAnsi="Arial" w:cs="Arial"/>
          <w:noProof/>
        </w:rPr>
        <w:tab/>
        <w:t>Islam R, Trépanier M-O, Milenkovic M, Horsfall W, Salahpour A, Bazinet RP, et al. Vulnerability to omega-3 deprivation in a mouse model of NMDA receptor. Npj Schizophr. 2017;3:12.</w:t>
      </w:r>
    </w:p>
    <w:p w14:paraId="64A4609F"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6. </w:t>
      </w:r>
      <w:r w:rsidRPr="001409D5">
        <w:rPr>
          <w:rFonts w:ascii="Arial" w:hAnsi="Arial" w:cs="Arial"/>
          <w:noProof/>
        </w:rPr>
        <w:tab/>
        <w:t>Milenkovic M, Mielnik CAA, Ramsey AJJ. NMDA receptor-deficient mice display sexual dimorphism in the onset and severity of behavioural abnormalities. Genes, Brain Behav. 2014;13:850–862.</w:t>
      </w:r>
    </w:p>
    <w:p w14:paraId="111B9E8A"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7. </w:t>
      </w:r>
      <w:r w:rsidRPr="001409D5">
        <w:rPr>
          <w:rFonts w:ascii="Arial" w:hAnsi="Arial" w:cs="Arial"/>
          <w:noProof/>
        </w:rPr>
        <w:tab/>
        <w:t>Ben Abdallah NM-B, Fuss J, Trusel M, Galsworthy MJ, Bobsin K, Colacicco G, et al. The puzzle box as a simple and efficient behavioral test for exploring impairments of general cognition and executive functions in mouse models of schizophrenia. Exp Neurol. 2011;227:42–52.</w:t>
      </w:r>
    </w:p>
    <w:p w14:paraId="6B9DC163"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8. </w:t>
      </w:r>
      <w:r w:rsidRPr="001409D5">
        <w:rPr>
          <w:rFonts w:ascii="Arial" w:hAnsi="Arial" w:cs="Arial"/>
          <w:noProof/>
        </w:rPr>
        <w:tab/>
        <w:t>Moy SS, Nadler JJ, Young NB, Perez A, Holloway LP, Barbaro RP, et al. Mouse behavioral tasks relevant to autism: Phenotypes of 10 inbred strains. Behav Brain Res. 2007;176:4–20.</w:t>
      </w:r>
    </w:p>
    <w:p w14:paraId="1E10E815"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9. </w:t>
      </w:r>
      <w:r w:rsidRPr="001409D5">
        <w:rPr>
          <w:rFonts w:ascii="Arial" w:hAnsi="Arial" w:cs="Arial"/>
          <w:noProof/>
        </w:rPr>
        <w:tab/>
        <w:t>Mielnik CAA, Horsfall W, Ramsey AJJ. Diazepam improves aspects of social behaviour and neuron activation in NMDA receptor-deficient mice. Genes, Brain Behav. 2014;13:592–602.</w:t>
      </w:r>
    </w:p>
    <w:p w14:paraId="09A41D83"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10. </w:t>
      </w:r>
      <w:r w:rsidRPr="001409D5">
        <w:rPr>
          <w:rFonts w:ascii="Arial" w:hAnsi="Arial" w:cs="Arial"/>
          <w:noProof/>
        </w:rPr>
        <w:tab/>
        <w:t>DeBlasi A, O’Reilly K, Motulsky HJ. Calculating receptor number from binding experiments using same compound as radioligand and competitor. Trends Pharmacol Sci. 1989;10:227–229.</w:t>
      </w:r>
    </w:p>
    <w:p w14:paraId="780CE0AF"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11. </w:t>
      </w:r>
      <w:r w:rsidRPr="001409D5">
        <w:rPr>
          <w:rFonts w:ascii="Arial" w:hAnsi="Arial" w:cs="Arial"/>
          <w:noProof/>
        </w:rPr>
        <w:tab/>
        <w:t>Sullivan CRCR, Mielnik CACA, O’Donovan SMSM, Funk AJAJ, Bentea E, DePasquale EAEA, et al. Connectivity Analyses of Bioenergetic Changes in Schizophrenia: Identification of Novel Treatments. Mol Neurobiol. 2018;56.</w:t>
      </w:r>
    </w:p>
    <w:p w14:paraId="21149F53"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12. </w:t>
      </w:r>
      <w:r w:rsidRPr="001409D5">
        <w:rPr>
          <w:rFonts w:ascii="Arial" w:hAnsi="Arial" w:cs="Arial"/>
          <w:noProof/>
        </w:rPr>
        <w:tab/>
        <w:t>Paxinos G, Franklin KBJ. Paxinos and Franklin’s the Mouse Brain in Stereotaxic Coordinates. vol. 2nd Editio. 2001.</w:t>
      </w:r>
    </w:p>
    <w:p w14:paraId="2F30EF79"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13. </w:t>
      </w:r>
      <w:r w:rsidRPr="001409D5">
        <w:rPr>
          <w:rFonts w:ascii="Arial" w:hAnsi="Arial" w:cs="Arial"/>
          <w:noProof/>
        </w:rPr>
        <w:tab/>
        <w:t>Tasic B, Yao Z, Graybuck LT, Smith KA, Nguyen TN, Bertagnolli D, et al. Shared and distinct transcriptomic cell types across neocortical areas. Nature. 2018;563:72–78.</w:t>
      </w:r>
    </w:p>
    <w:p w14:paraId="035FB0E7"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14. </w:t>
      </w:r>
      <w:r w:rsidRPr="001409D5">
        <w:rPr>
          <w:rFonts w:ascii="Arial" w:hAnsi="Arial" w:cs="Arial"/>
          <w:noProof/>
        </w:rPr>
        <w:tab/>
        <w:t>Gray LT, Yao Z, Nguyen TN, Kim TK, Zeng H, Tasic B. Layer-specific chromatin accessibility landscapes reveal regulatory networks in adult mouse visual cortex. Elife. 2017;6.</w:t>
      </w:r>
    </w:p>
    <w:p w14:paraId="09124D63"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15. </w:t>
      </w:r>
      <w:r w:rsidRPr="001409D5">
        <w:rPr>
          <w:rFonts w:ascii="Arial" w:hAnsi="Arial" w:cs="Arial"/>
          <w:noProof/>
        </w:rPr>
        <w:tab/>
        <w:t>Dobin A, Gingeras TR. Mapping RNA-seq Reads with STAR. Curr Protoc Bioinforma. 2015;51:11.14.1-11.14.19.</w:t>
      </w:r>
    </w:p>
    <w:p w14:paraId="1E2F7CAC" w14:textId="77777777" w:rsidR="001409D5" w:rsidRPr="001409D5" w:rsidRDefault="001409D5" w:rsidP="001409D5">
      <w:pPr>
        <w:widowControl w:val="0"/>
        <w:autoSpaceDE w:val="0"/>
        <w:autoSpaceDN w:val="0"/>
        <w:adjustRightInd w:val="0"/>
        <w:ind w:left="640" w:hanging="640"/>
        <w:rPr>
          <w:rFonts w:ascii="Arial" w:hAnsi="Arial" w:cs="Arial"/>
          <w:noProof/>
        </w:rPr>
      </w:pPr>
      <w:r w:rsidRPr="001409D5">
        <w:rPr>
          <w:rFonts w:ascii="Arial" w:hAnsi="Arial" w:cs="Arial"/>
          <w:noProof/>
        </w:rPr>
        <w:t xml:space="preserve">16. </w:t>
      </w:r>
      <w:r w:rsidRPr="001409D5">
        <w:rPr>
          <w:rFonts w:ascii="Arial" w:hAnsi="Arial" w:cs="Arial"/>
          <w:noProof/>
        </w:rPr>
        <w:tab/>
        <w:t>Lawrence M, Huber W, Pagès H, Aboyoun P, Carlson M, Gentleman R, et al. Software for Computing and Annotating Genomic Ranges. PLoS Comput Biol. 2013;9:e1003118.</w:t>
      </w:r>
    </w:p>
    <w:p w14:paraId="5277BB02" w14:textId="77777777" w:rsidR="001409D5" w:rsidRPr="003E178D" w:rsidRDefault="00432B64" w:rsidP="001409D5">
      <w:pPr>
        <w:spacing w:afterLines="120" w:after="288"/>
        <w:rPr>
          <w:rFonts w:ascii="Arial" w:hAnsi="Arial" w:cs="Arial"/>
          <w:sz w:val="22"/>
          <w:szCs w:val="22"/>
        </w:rPr>
      </w:pPr>
      <w:r>
        <w:rPr>
          <w:rFonts w:ascii="Arial" w:hAnsi="Arial" w:cs="Arial"/>
          <w:b/>
          <w:u w:val="single"/>
        </w:rPr>
        <w:lastRenderedPageBreak/>
        <w:fldChar w:fldCharType="end"/>
      </w:r>
      <w:r w:rsidR="001409D5" w:rsidRPr="000C03BE">
        <w:rPr>
          <w:rFonts w:ascii="Arial" w:hAnsi="Arial"/>
          <w:noProof/>
          <w:sz w:val="22"/>
        </w:rPr>
        <w:drawing>
          <wp:inline distT="0" distB="0" distL="0" distR="0" wp14:anchorId="7D01E9B9" wp14:editId="4D70654D">
            <wp:extent cx="6400800" cy="3514090"/>
            <wp:effectExtent l="0" t="0" r="0" b="3810"/>
            <wp:docPr id="8" name="Picture 8" descr="A picture containing photo, red, sitting, o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elniketal2019_SuppFig1_T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00800" cy="3514090"/>
                    </a:xfrm>
                    <a:prstGeom prst="rect">
                      <a:avLst/>
                    </a:prstGeom>
                  </pic:spPr>
                </pic:pic>
              </a:graphicData>
            </a:graphic>
          </wp:inline>
        </w:drawing>
      </w:r>
    </w:p>
    <w:p w14:paraId="0D7003E9" w14:textId="63F7067B" w:rsidR="001409D5" w:rsidRDefault="001409D5" w:rsidP="001409D5">
      <w:pPr>
        <w:rPr>
          <w:rFonts w:ascii="Arial" w:hAnsi="Arial" w:cs="Arial"/>
        </w:rPr>
      </w:pPr>
      <w:r>
        <w:rPr>
          <w:rFonts w:ascii="Arial" w:hAnsi="Arial" w:cs="Arial"/>
          <w:b/>
        </w:rPr>
        <w:t>Supplementary Figure 1</w:t>
      </w:r>
      <w:r w:rsidRPr="001257A4">
        <w:rPr>
          <w:rFonts w:ascii="Arial" w:hAnsi="Arial" w:cs="Arial"/>
          <w:b/>
        </w:rPr>
        <w:t xml:space="preserve">. </w:t>
      </w:r>
      <w:r>
        <w:rPr>
          <w:rFonts w:ascii="Arial" w:hAnsi="Arial" w:cs="Arial"/>
          <w:b/>
        </w:rPr>
        <w:t>T</w:t>
      </w:r>
      <w:r w:rsidRPr="001257A4">
        <w:rPr>
          <w:rFonts w:ascii="Arial" w:hAnsi="Arial" w:cs="Arial"/>
          <w:b/>
        </w:rPr>
        <w:t xml:space="preserve">amoxifen-induced </w:t>
      </w:r>
      <w:proofErr w:type="spellStart"/>
      <w:r w:rsidRPr="001257A4">
        <w:rPr>
          <w:rFonts w:ascii="Arial" w:hAnsi="Arial" w:cs="Arial"/>
          <w:b/>
        </w:rPr>
        <w:t>Cre</w:t>
      </w:r>
      <w:proofErr w:type="spellEnd"/>
      <w:r w:rsidRPr="001257A4">
        <w:rPr>
          <w:rFonts w:ascii="Arial" w:hAnsi="Arial" w:cs="Arial"/>
          <w:b/>
        </w:rPr>
        <w:t xml:space="preserve"> recombinase </w:t>
      </w:r>
      <w:r>
        <w:rPr>
          <w:rFonts w:ascii="Arial" w:hAnsi="Arial" w:cs="Arial"/>
          <w:b/>
        </w:rPr>
        <w:t>activity is uniform throughout the brain</w:t>
      </w:r>
      <w:r w:rsidRPr="001257A4">
        <w:rPr>
          <w:rFonts w:ascii="Arial" w:hAnsi="Arial" w:cs="Arial"/>
          <w:b/>
        </w:rPr>
        <w:t xml:space="preserve">. </w:t>
      </w:r>
      <w:r w:rsidRPr="008506AB">
        <w:rPr>
          <w:rFonts w:ascii="Arial" w:hAnsi="Arial" w:cs="Arial"/>
        </w:rPr>
        <w:t xml:space="preserve">Mice heterozygous for </w:t>
      </w:r>
      <w:r w:rsidRPr="008506AB">
        <w:rPr>
          <w:rFonts w:ascii="Arial" w:hAnsi="Arial" w:cs="Arial"/>
          <w:i/>
        </w:rPr>
        <w:t>ROSA26</w:t>
      </w:r>
      <w:r w:rsidRPr="008506AB">
        <w:rPr>
          <w:rFonts w:ascii="Arial" w:hAnsi="Arial" w:cs="Arial"/>
          <w:i/>
          <w:vertAlign w:val="superscript"/>
        </w:rPr>
        <w:t>CreERT2</w:t>
      </w:r>
      <w:r w:rsidRPr="00980412" w:rsidDel="0074342A">
        <w:rPr>
          <w:rFonts w:ascii="Arial" w:hAnsi="Arial" w:cs="Arial"/>
        </w:rPr>
        <w:t xml:space="preserve"> </w:t>
      </w:r>
      <w:r w:rsidRPr="00980412">
        <w:rPr>
          <w:rFonts w:ascii="Arial" w:hAnsi="Arial" w:cs="Arial"/>
        </w:rPr>
        <w:t>and for</w:t>
      </w:r>
      <w:r>
        <w:rPr>
          <w:rFonts w:ascii="Arial" w:hAnsi="Arial" w:cs="Arial"/>
        </w:rPr>
        <w:t xml:space="preserve"> the </w:t>
      </w:r>
      <w:proofErr w:type="spellStart"/>
      <w:r>
        <w:rPr>
          <w:rFonts w:ascii="Arial" w:hAnsi="Arial" w:cs="Arial"/>
        </w:rPr>
        <w:t>Cre</w:t>
      </w:r>
      <w:proofErr w:type="spellEnd"/>
      <w:r>
        <w:rPr>
          <w:rFonts w:ascii="Arial" w:hAnsi="Arial" w:cs="Arial"/>
        </w:rPr>
        <w:t xml:space="preserve"> reporter</w:t>
      </w:r>
      <w:r w:rsidRPr="00980412">
        <w:rPr>
          <w:rFonts w:ascii="Arial" w:hAnsi="Arial" w:cs="Arial"/>
        </w:rPr>
        <w:t xml:space="preserve"> </w:t>
      </w:r>
      <w:r w:rsidRPr="008506AB">
        <w:rPr>
          <w:rFonts w:ascii="Arial" w:hAnsi="Arial" w:cs="Arial"/>
          <w:i/>
        </w:rPr>
        <w:t>ROSA26</w:t>
      </w:r>
      <w:r w:rsidRPr="008506AB">
        <w:rPr>
          <w:rFonts w:ascii="Arial" w:hAnsi="Arial" w:cs="Arial"/>
          <w:i/>
          <w:vertAlign w:val="superscript"/>
        </w:rPr>
        <w:t>tdTomato</w:t>
      </w:r>
      <w:r w:rsidRPr="00980412" w:rsidDel="0074342A">
        <w:rPr>
          <w:rFonts w:ascii="Arial" w:hAnsi="Arial" w:cs="Arial"/>
        </w:rPr>
        <w:t xml:space="preserve"> </w:t>
      </w:r>
      <w:r w:rsidRPr="00980412">
        <w:rPr>
          <w:rFonts w:ascii="Arial" w:hAnsi="Arial" w:cs="Arial"/>
        </w:rPr>
        <w:t xml:space="preserve">were used to </w:t>
      </w:r>
      <w:r>
        <w:rPr>
          <w:rFonts w:ascii="Arial" w:hAnsi="Arial" w:cs="Arial"/>
        </w:rPr>
        <w:t>determine levels of tamoxifen-induced</w:t>
      </w:r>
      <w:r w:rsidRPr="00980412">
        <w:rPr>
          <w:rFonts w:ascii="Arial" w:hAnsi="Arial" w:cs="Arial"/>
        </w:rPr>
        <w:t xml:space="preserve"> </w:t>
      </w:r>
      <w:proofErr w:type="spellStart"/>
      <w:r w:rsidRPr="00980412">
        <w:rPr>
          <w:rFonts w:ascii="Arial" w:hAnsi="Arial" w:cs="Arial"/>
        </w:rPr>
        <w:t>Cre</w:t>
      </w:r>
      <w:proofErr w:type="spellEnd"/>
      <w:r w:rsidRPr="00980412">
        <w:rPr>
          <w:rFonts w:ascii="Arial" w:hAnsi="Arial" w:cs="Arial"/>
        </w:rPr>
        <w:t xml:space="preserve"> recombinase activity. Mice were treated with vehicle and normal chow (-Tamoxifen) or were treated with tamoxifen and tamoxifen chow (+Tamoxifen). </w:t>
      </w:r>
      <w:r>
        <w:rPr>
          <w:rFonts w:ascii="Arial" w:hAnsi="Arial" w:cs="Arial"/>
        </w:rPr>
        <w:t xml:space="preserve">Three days following completion of tamoxifen treatment, animals were euthanized by perfusion fixation and </w:t>
      </w:r>
      <w:r w:rsidRPr="00980412">
        <w:rPr>
          <w:rFonts w:ascii="Arial" w:hAnsi="Arial" w:cs="Arial"/>
        </w:rPr>
        <w:t xml:space="preserve">frozen sections were </w:t>
      </w:r>
      <w:r>
        <w:rPr>
          <w:rFonts w:ascii="Arial" w:hAnsi="Arial" w:cs="Arial"/>
        </w:rPr>
        <w:t>collected</w:t>
      </w:r>
      <w:r w:rsidRPr="00980412">
        <w:rPr>
          <w:rFonts w:ascii="Arial" w:hAnsi="Arial" w:cs="Arial"/>
        </w:rPr>
        <w:t xml:space="preserve"> to visualize </w:t>
      </w:r>
      <w:proofErr w:type="spellStart"/>
      <w:r w:rsidRPr="00980412">
        <w:rPr>
          <w:rFonts w:ascii="Arial" w:hAnsi="Arial" w:cs="Arial"/>
        </w:rPr>
        <w:t>tdTomato</w:t>
      </w:r>
      <w:proofErr w:type="spellEnd"/>
      <w:r>
        <w:rPr>
          <w:rFonts w:ascii="Arial" w:hAnsi="Arial" w:cs="Arial"/>
        </w:rPr>
        <w:t xml:space="preserve">. </w:t>
      </w:r>
      <w:r w:rsidRPr="008506AB">
        <w:rPr>
          <w:rFonts w:ascii="Arial" w:hAnsi="Arial" w:cs="Arial"/>
        </w:rPr>
        <w:t xml:space="preserve">Coronal sections (40µm) including mouse cortex, striatum, hippocampus and cerebellum visualizing </w:t>
      </w:r>
      <w:proofErr w:type="spellStart"/>
      <w:r w:rsidRPr="008506AB">
        <w:rPr>
          <w:rFonts w:ascii="Arial" w:hAnsi="Arial" w:cs="Arial"/>
        </w:rPr>
        <w:t>tdTomato</w:t>
      </w:r>
      <w:proofErr w:type="spellEnd"/>
      <w:r w:rsidRPr="008506AB">
        <w:rPr>
          <w:rFonts w:ascii="Arial" w:hAnsi="Arial" w:cs="Arial"/>
        </w:rPr>
        <w:t xml:space="preserve"> expression following </w:t>
      </w:r>
      <w:proofErr w:type="spellStart"/>
      <w:r w:rsidRPr="008506AB">
        <w:rPr>
          <w:rFonts w:ascii="Arial" w:hAnsi="Arial" w:cs="Arial"/>
        </w:rPr>
        <w:t>Cre</w:t>
      </w:r>
      <w:proofErr w:type="spellEnd"/>
      <w:r w:rsidRPr="008506AB">
        <w:rPr>
          <w:rFonts w:ascii="Arial" w:hAnsi="Arial" w:cs="Arial"/>
        </w:rPr>
        <w:t xml:space="preserve">-mediated recombination in </w:t>
      </w:r>
      <w:r w:rsidRPr="008506AB">
        <w:rPr>
          <w:rFonts w:ascii="Arial" w:hAnsi="Arial" w:cs="Arial"/>
          <w:i/>
        </w:rPr>
        <w:t>ROSA26</w:t>
      </w:r>
      <w:r w:rsidRPr="008506AB">
        <w:rPr>
          <w:rFonts w:ascii="Arial" w:hAnsi="Arial" w:cs="Arial"/>
          <w:i/>
          <w:vertAlign w:val="superscript"/>
        </w:rPr>
        <w:t>CreERT2</w:t>
      </w:r>
      <w:r w:rsidRPr="008506AB">
        <w:rPr>
          <w:rFonts w:ascii="Arial" w:hAnsi="Arial" w:cs="Arial"/>
          <w:vertAlign w:val="superscript"/>
        </w:rPr>
        <w:t>/</w:t>
      </w:r>
      <w:proofErr w:type="spellStart"/>
      <w:r w:rsidRPr="008506AB">
        <w:rPr>
          <w:rFonts w:ascii="Arial" w:hAnsi="Arial" w:cs="Arial"/>
          <w:i/>
          <w:vertAlign w:val="superscript"/>
        </w:rPr>
        <w:t>tdTomato</w:t>
      </w:r>
      <w:proofErr w:type="spellEnd"/>
      <w:r w:rsidRPr="008506AB">
        <w:rPr>
          <w:rFonts w:ascii="Arial" w:hAnsi="Arial" w:cs="Arial"/>
        </w:rPr>
        <w:t xml:space="preserve"> mice treated with TAM or vehicle</w:t>
      </w:r>
      <w:r>
        <w:rPr>
          <w:rFonts w:ascii="Arial" w:hAnsi="Arial" w:cs="Arial"/>
        </w:rPr>
        <w:t xml:space="preserve"> were visualized</w:t>
      </w:r>
      <w:r w:rsidRPr="008506AB">
        <w:rPr>
          <w:rFonts w:ascii="Arial" w:hAnsi="Arial" w:cs="Arial"/>
        </w:rPr>
        <w:t>.</w:t>
      </w:r>
      <w:r>
        <w:rPr>
          <w:rFonts w:ascii="Arial" w:hAnsi="Arial" w:cs="Arial"/>
        </w:rPr>
        <w:t xml:space="preserve"> Vehicle-treated mice did not express </w:t>
      </w:r>
      <w:proofErr w:type="spellStart"/>
      <w:r>
        <w:rPr>
          <w:rFonts w:ascii="Arial" w:hAnsi="Arial" w:cs="Arial"/>
        </w:rPr>
        <w:t>tdTomato</w:t>
      </w:r>
      <w:proofErr w:type="spellEnd"/>
      <w:r>
        <w:rPr>
          <w:rFonts w:ascii="Arial" w:hAnsi="Arial" w:cs="Arial"/>
        </w:rPr>
        <w:t xml:space="preserve">, indicating that the </w:t>
      </w:r>
      <w:r w:rsidRPr="008506AB">
        <w:rPr>
          <w:rFonts w:ascii="Arial" w:hAnsi="Arial" w:cs="Arial"/>
          <w:i/>
        </w:rPr>
        <w:t>ROSA26</w:t>
      </w:r>
      <w:r w:rsidRPr="008506AB">
        <w:rPr>
          <w:rFonts w:ascii="Arial" w:hAnsi="Arial" w:cs="Arial"/>
          <w:i/>
          <w:vertAlign w:val="superscript"/>
        </w:rPr>
        <w:t>CreERT2</w:t>
      </w:r>
      <w:r>
        <w:rPr>
          <w:rFonts w:ascii="Arial" w:hAnsi="Arial" w:cs="Arial"/>
          <w:vertAlign w:val="superscript"/>
        </w:rPr>
        <w:t xml:space="preserve"> </w:t>
      </w:r>
      <w:r w:rsidRPr="00980412">
        <w:rPr>
          <w:rFonts w:ascii="Arial" w:hAnsi="Arial" w:cs="Arial"/>
        </w:rPr>
        <w:t>transgene was tightly regulated by tamoxifen</w:t>
      </w:r>
      <w:r>
        <w:rPr>
          <w:rFonts w:ascii="Arial" w:hAnsi="Arial" w:cs="Arial"/>
          <w:i/>
        </w:rPr>
        <w:t>.</w:t>
      </w:r>
      <w:r>
        <w:rPr>
          <w:rFonts w:ascii="Arial" w:hAnsi="Arial" w:cs="Arial"/>
        </w:rPr>
        <w:t xml:space="preserve"> Tamoxifen-treated mice expressed </w:t>
      </w:r>
      <w:proofErr w:type="spellStart"/>
      <w:r>
        <w:rPr>
          <w:rFonts w:ascii="Arial" w:hAnsi="Arial" w:cs="Arial"/>
        </w:rPr>
        <w:t>tdTomato</w:t>
      </w:r>
      <w:proofErr w:type="spellEnd"/>
      <w:r>
        <w:rPr>
          <w:rFonts w:ascii="Arial" w:hAnsi="Arial" w:cs="Arial"/>
        </w:rPr>
        <w:t xml:space="preserve"> throughout the brain and periphery, indicating that the regimen of tamoxifen was sufficient to induce </w:t>
      </w:r>
      <w:proofErr w:type="spellStart"/>
      <w:r>
        <w:rPr>
          <w:rFonts w:ascii="Arial" w:hAnsi="Arial" w:cs="Arial"/>
        </w:rPr>
        <w:t>Cre</w:t>
      </w:r>
      <w:proofErr w:type="spellEnd"/>
      <w:r>
        <w:rPr>
          <w:rFonts w:ascii="Arial" w:hAnsi="Arial" w:cs="Arial"/>
        </w:rPr>
        <w:t xml:space="preserve"> in a uniform and global manner.</w:t>
      </w:r>
      <w:r>
        <w:rPr>
          <w:rFonts w:ascii="Arial" w:hAnsi="Arial" w:cs="Arial"/>
        </w:rPr>
        <w:br w:type="page"/>
      </w:r>
    </w:p>
    <w:p w14:paraId="1D52BABE" w14:textId="77777777" w:rsidR="001409D5" w:rsidRPr="00D4549B" w:rsidRDefault="001409D5" w:rsidP="001409D5">
      <w:pPr>
        <w:rPr>
          <w:rFonts w:ascii="Arial" w:hAnsi="Arial" w:cs="Arial"/>
          <w:b/>
        </w:rPr>
      </w:pPr>
    </w:p>
    <w:p w14:paraId="09D2CE3D" w14:textId="77777777" w:rsidR="001409D5" w:rsidRDefault="001409D5" w:rsidP="001409D5">
      <w:pPr>
        <w:rPr>
          <w:rFonts w:ascii="Arial" w:hAnsi="Arial" w:cs="Arial"/>
          <w:b/>
          <w:sz w:val="20"/>
        </w:rPr>
      </w:pPr>
      <w:r>
        <w:rPr>
          <w:rFonts w:ascii="Arial" w:hAnsi="Arial" w:cs="Arial"/>
          <w:b/>
          <w:noProof/>
          <w:sz w:val="20"/>
        </w:rPr>
        <w:drawing>
          <wp:inline distT="0" distB="0" distL="0" distR="0" wp14:anchorId="6BEB27FE" wp14:editId="376A2021">
            <wp:extent cx="5943600" cy="6486525"/>
            <wp:effectExtent l="0" t="0" r="0" b="0"/>
            <wp:docPr id="10" name="Picture 10" descr="A close up of a pia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ielniketal2019_SuppFig2_WTvsWTCr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486525"/>
                    </a:xfrm>
                    <a:prstGeom prst="rect">
                      <a:avLst/>
                    </a:prstGeom>
                  </pic:spPr>
                </pic:pic>
              </a:graphicData>
            </a:graphic>
          </wp:inline>
        </w:drawing>
      </w:r>
    </w:p>
    <w:p w14:paraId="773EAB03" w14:textId="77777777" w:rsidR="001409D5" w:rsidRDefault="001409D5" w:rsidP="001409D5">
      <w:pPr>
        <w:rPr>
          <w:rFonts w:ascii="Arial" w:hAnsi="Arial" w:cs="Arial"/>
          <w:b/>
        </w:rPr>
      </w:pPr>
    </w:p>
    <w:p w14:paraId="06859DC0" w14:textId="4FEDF2D5" w:rsidR="001409D5" w:rsidRPr="00B57A0F" w:rsidRDefault="001409D5" w:rsidP="00B57A0F">
      <w:pPr>
        <w:rPr>
          <w:rFonts w:ascii="Arial" w:hAnsi="Arial" w:cs="Arial"/>
        </w:rPr>
      </w:pPr>
      <w:r>
        <w:rPr>
          <w:rFonts w:ascii="Arial" w:hAnsi="Arial" w:cs="Arial"/>
          <w:b/>
        </w:rPr>
        <w:t xml:space="preserve">Supplementary </w:t>
      </w:r>
      <w:r w:rsidRPr="001257A4">
        <w:rPr>
          <w:rFonts w:ascii="Arial" w:hAnsi="Arial" w:cs="Arial"/>
          <w:b/>
        </w:rPr>
        <w:t xml:space="preserve">Figure </w:t>
      </w:r>
      <w:r>
        <w:rPr>
          <w:rFonts w:ascii="Arial" w:hAnsi="Arial" w:cs="Arial"/>
          <w:b/>
        </w:rPr>
        <w:t>2</w:t>
      </w:r>
      <w:r w:rsidRPr="001257A4">
        <w:rPr>
          <w:rFonts w:ascii="Arial" w:hAnsi="Arial" w:cs="Arial"/>
          <w:b/>
        </w:rPr>
        <w:t xml:space="preserve">. Absence of behavioral differences between WT and </w:t>
      </w:r>
      <w:proofErr w:type="spellStart"/>
      <w:r w:rsidRPr="001257A4">
        <w:rPr>
          <w:rFonts w:ascii="Arial" w:hAnsi="Arial" w:cs="Arial"/>
          <w:b/>
        </w:rPr>
        <w:t>WTCre</w:t>
      </w:r>
      <w:proofErr w:type="spellEnd"/>
      <w:r w:rsidRPr="001257A4">
        <w:rPr>
          <w:rFonts w:ascii="Arial" w:hAnsi="Arial" w:cs="Arial"/>
          <w:b/>
        </w:rPr>
        <w:t xml:space="preserve"> mice. (A) </w:t>
      </w:r>
      <w:r w:rsidRPr="001257A4">
        <w:rPr>
          <w:rFonts w:ascii="Arial" w:hAnsi="Arial" w:cs="Arial"/>
        </w:rPr>
        <w:t xml:space="preserve">Time-course, total distance traveled (cm), and time to reach half maximal activity in open field (OF) test over 120min. (5min. intervals) in WT and </w:t>
      </w:r>
      <w:proofErr w:type="spellStart"/>
      <w:r w:rsidRPr="001257A4">
        <w:rPr>
          <w:rFonts w:ascii="Arial" w:hAnsi="Arial" w:cs="Arial"/>
        </w:rPr>
        <w:t>WTCre</w:t>
      </w:r>
      <w:proofErr w:type="spellEnd"/>
      <w:r w:rsidRPr="001257A4">
        <w:rPr>
          <w:rFonts w:ascii="Arial" w:hAnsi="Arial" w:cs="Arial"/>
        </w:rPr>
        <w:t xml:space="preserve"> mice.</w:t>
      </w:r>
      <w:r>
        <w:rPr>
          <w:rFonts w:ascii="Arial" w:hAnsi="Arial" w:cs="Arial"/>
        </w:rPr>
        <w:t xml:space="preserve"> T</w:t>
      </w:r>
      <w:r w:rsidRPr="001257A4">
        <w:rPr>
          <w:rFonts w:ascii="Arial" w:hAnsi="Arial" w:cs="Arial"/>
        </w:rPr>
        <w:t>wo-way ANOVA (all genotypes; time-course, multiple comparisons), one-way ANOVA (all genotypes; total, time to half max), Bonferroni post</w:t>
      </w:r>
      <w:r w:rsidR="00A52506">
        <w:rPr>
          <w:rFonts w:ascii="Arial" w:hAnsi="Arial" w:cs="Arial"/>
        </w:rPr>
        <w:t xml:space="preserve"> </w:t>
      </w:r>
      <w:r w:rsidRPr="001257A4">
        <w:rPr>
          <w:rFonts w:ascii="Arial" w:hAnsi="Arial" w:cs="Arial"/>
        </w:rPr>
        <w:t xml:space="preserve">hoc. Total distance traveled: p&gt;0.99, power=1.00; time to half max activity: p&gt;0.99; power=0.99. </w:t>
      </w:r>
      <w:r w:rsidRPr="001257A4">
        <w:rPr>
          <w:rFonts w:ascii="Arial" w:hAnsi="Arial" w:cs="Arial"/>
          <w:b/>
        </w:rPr>
        <w:t xml:space="preserve">(B) </w:t>
      </w:r>
      <w:r w:rsidRPr="001257A4">
        <w:rPr>
          <w:rFonts w:ascii="Arial" w:hAnsi="Arial" w:cs="Arial"/>
        </w:rPr>
        <w:t xml:space="preserve">Percent inhibition of startle response (PPI) in WT and </w:t>
      </w:r>
      <w:proofErr w:type="spellStart"/>
      <w:r w:rsidRPr="001257A4">
        <w:rPr>
          <w:rFonts w:ascii="Arial" w:hAnsi="Arial" w:cs="Arial"/>
        </w:rPr>
        <w:t>WTCre</w:t>
      </w:r>
      <w:proofErr w:type="spellEnd"/>
      <w:r w:rsidRPr="001257A4">
        <w:rPr>
          <w:rFonts w:ascii="Arial" w:hAnsi="Arial" w:cs="Arial"/>
        </w:rPr>
        <w:t xml:space="preserve"> mice. </w:t>
      </w:r>
      <w:r>
        <w:rPr>
          <w:rFonts w:ascii="Arial" w:hAnsi="Arial" w:cs="Arial"/>
        </w:rPr>
        <w:t>O</w:t>
      </w:r>
      <w:r w:rsidRPr="001257A4">
        <w:rPr>
          <w:rFonts w:ascii="Arial" w:hAnsi="Arial" w:cs="Arial"/>
        </w:rPr>
        <w:t xml:space="preserve">ne-way ANOVA (each pre-pulse dB; all genotypes), multiple comparisons, </w:t>
      </w:r>
      <w:r w:rsidRPr="001257A4">
        <w:rPr>
          <w:rFonts w:ascii="Arial" w:hAnsi="Arial" w:cs="Arial"/>
        </w:rPr>
        <w:lastRenderedPageBreak/>
        <w:t>Bonferroni post</w:t>
      </w:r>
      <w:r w:rsidR="00A52506">
        <w:rPr>
          <w:rFonts w:ascii="Arial" w:hAnsi="Arial" w:cs="Arial"/>
        </w:rPr>
        <w:t xml:space="preserve"> </w:t>
      </w:r>
      <w:r w:rsidRPr="001257A4">
        <w:rPr>
          <w:rFonts w:ascii="Arial" w:hAnsi="Arial" w:cs="Arial"/>
        </w:rPr>
        <w:t>hoc. All decibels: p&gt;0.99; power&gt;0.99.</w:t>
      </w:r>
      <w:r w:rsidRPr="001257A4">
        <w:rPr>
          <w:rFonts w:ascii="Arial" w:hAnsi="Arial" w:cs="Arial"/>
          <w:b/>
        </w:rPr>
        <w:t xml:space="preserve"> (C) </w:t>
      </w:r>
      <w:r w:rsidRPr="001257A4">
        <w:rPr>
          <w:rFonts w:ascii="Arial" w:hAnsi="Arial" w:cs="Arial"/>
        </w:rPr>
        <w:t xml:space="preserve">Time to reach goal zone (sec; max 300sec) measured in puzzle box paradigm in WT and </w:t>
      </w:r>
      <w:proofErr w:type="spellStart"/>
      <w:r w:rsidRPr="001257A4">
        <w:rPr>
          <w:rFonts w:ascii="Arial" w:hAnsi="Arial" w:cs="Arial"/>
        </w:rPr>
        <w:t>WTCre</w:t>
      </w:r>
      <w:proofErr w:type="spellEnd"/>
      <w:r w:rsidRPr="001257A4">
        <w:rPr>
          <w:rFonts w:ascii="Arial" w:hAnsi="Arial" w:cs="Arial"/>
        </w:rPr>
        <w:t xml:space="preserve"> mice. </w:t>
      </w:r>
      <w:r>
        <w:rPr>
          <w:rFonts w:ascii="Arial" w:hAnsi="Arial" w:cs="Arial"/>
        </w:rPr>
        <w:t>Two</w:t>
      </w:r>
      <w:r w:rsidRPr="001257A4">
        <w:rPr>
          <w:rFonts w:ascii="Arial" w:hAnsi="Arial" w:cs="Arial"/>
        </w:rPr>
        <w:t>-way ANOVA (all genotypes), multiple comparisons, Bonferroni post</w:t>
      </w:r>
      <w:r w:rsidR="00A52506">
        <w:rPr>
          <w:rFonts w:ascii="Arial" w:hAnsi="Arial" w:cs="Arial"/>
        </w:rPr>
        <w:t xml:space="preserve"> </w:t>
      </w:r>
      <w:r w:rsidRPr="001257A4">
        <w:rPr>
          <w:rFonts w:ascii="Arial" w:hAnsi="Arial" w:cs="Arial"/>
        </w:rPr>
        <w:t>hoc. All trials: p&gt;0.99, power=1.00.</w:t>
      </w:r>
      <w:r w:rsidRPr="001257A4">
        <w:rPr>
          <w:rFonts w:ascii="Arial" w:hAnsi="Arial" w:cs="Arial"/>
          <w:b/>
        </w:rPr>
        <w:t xml:space="preserve"> (D) </w:t>
      </w:r>
      <w:r w:rsidRPr="001257A4">
        <w:rPr>
          <w:rFonts w:ascii="Arial" w:hAnsi="Arial" w:cs="Arial"/>
        </w:rPr>
        <w:t xml:space="preserve">Total time spent in zone and time per visit in social zone in modified three-chamber sociability assay over 10min. in WT and </w:t>
      </w:r>
      <w:proofErr w:type="spellStart"/>
      <w:r w:rsidRPr="001257A4">
        <w:rPr>
          <w:rFonts w:ascii="Arial" w:hAnsi="Arial" w:cs="Arial"/>
        </w:rPr>
        <w:t>WTCre</w:t>
      </w:r>
      <w:proofErr w:type="spellEnd"/>
      <w:r w:rsidRPr="001257A4">
        <w:rPr>
          <w:rFonts w:ascii="Arial" w:hAnsi="Arial" w:cs="Arial"/>
        </w:rPr>
        <w:t xml:space="preserve"> mice.</w:t>
      </w:r>
      <w:r>
        <w:rPr>
          <w:rFonts w:ascii="Arial" w:hAnsi="Arial" w:cs="Arial"/>
        </w:rPr>
        <w:t xml:space="preserve"> O</w:t>
      </w:r>
      <w:r w:rsidRPr="001257A4">
        <w:rPr>
          <w:rFonts w:ascii="Arial" w:hAnsi="Arial" w:cs="Arial"/>
        </w:rPr>
        <w:t>ne-way ANOVA, Bonferroni post</w:t>
      </w:r>
      <w:r w:rsidR="00A52506">
        <w:rPr>
          <w:rFonts w:ascii="Arial" w:hAnsi="Arial" w:cs="Arial"/>
        </w:rPr>
        <w:t xml:space="preserve"> </w:t>
      </w:r>
      <w:r w:rsidRPr="001257A4">
        <w:rPr>
          <w:rFonts w:ascii="Arial" w:hAnsi="Arial" w:cs="Arial"/>
        </w:rPr>
        <w:t>hoc. Time spent in social zone: p&gt;0.99, power=0.98; time per visit in social zone: p=0.049, power=1.00.</w:t>
      </w:r>
      <w:r>
        <w:rPr>
          <w:rFonts w:ascii="Arial" w:hAnsi="Arial" w:cs="Arial"/>
        </w:rPr>
        <w:t xml:space="preserve"> </w:t>
      </w:r>
      <w:r>
        <w:rPr>
          <w:rFonts w:ascii="Arial" w:hAnsi="Arial" w:cs="Arial"/>
          <w:b/>
          <w:bCs/>
        </w:rPr>
        <w:t xml:space="preserve">(E) </w:t>
      </w:r>
      <w:r w:rsidRPr="00FA51AA">
        <w:rPr>
          <w:rFonts w:ascii="Arial" w:hAnsi="Arial" w:cs="Arial"/>
        </w:rPr>
        <w:t>% time spent in open arms in the elevated plus maze (EPM).</w:t>
      </w:r>
      <w:r>
        <w:rPr>
          <w:rFonts w:ascii="Arial" w:hAnsi="Arial" w:cs="Arial"/>
          <w:b/>
          <w:bCs/>
        </w:rPr>
        <w:t xml:space="preserve"> </w:t>
      </w:r>
      <w:r>
        <w:rPr>
          <w:rFonts w:ascii="Arial" w:hAnsi="Arial" w:cs="Arial"/>
        </w:rPr>
        <w:t>One-way ANOVA, Bonferroni post</w:t>
      </w:r>
      <w:r w:rsidR="00A52506">
        <w:rPr>
          <w:rFonts w:ascii="Arial" w:hAnsi="Arial" w:cs="Arial"/>
        </w:rPr>
        <w:t xml:space="preserve"> </w:t>
      </w:r>
      <w:r>
        <w:rPr>
          <w:rFonts w:ascii="Arial" w:hAnsi="Arial" w:cs="Arial"/>
        </w:rPr>
        <w:t xml:space="preserve">hoc: p.0.99, power=1.00. </w:t>
      </w:r>
      <w:r w:rsidRPr="00E846AF">
        <w:rPr>
          <w:rFonts w:ascii="Arial" w:hAnsi="Arial" w:cs="Arial"/>
        </w:rPr>
        <w:t>All data shown as mean ± SEM, *p&lt;0.05, **p&lt;0.01, ***p&lt;0.001, ****p&lt;0.0001, ns = not significant.</w:t>
      </w:r>
      <w:r>
        <w:rPr>
          <w:rFonts w:ascii="Arial" w:hAnsi="Arial" w:cs="Arial"/>
        </w:rPr>
        <w:br w:type="page"/>
      </w:r>
    </w:p>
    <w:p w14:paraId="4F019375" w14:textId="77777777" w:rsidR="001409D5" w:rsidRDefault="001409D5" w:rsidP="001409D5">
      <w:pPr>
        <w:rPr>
          <w:rFonts w:ascii="Arial" w:hAnsi="Arial" w:cs="Arial"/>
          <w:sz w:val="22"/>
          <w:szCs w:val="22"/>
        </w:rPr>
      </w:pPr>
      <w:r>
        <w:rPr>
          <w:rFonts w:ascii="Arial" w:hAnsi="Arial" w:cs="Arial"/>
          <w:noProof/>
          <w:sz w:val="22"/>
          <w:szCs w:val="22"/>
        </w:rPr>
        <w:lastRenderedPageBreak/>
        <w:drawing>
          <wp:inline distT="0" distB="0" distL="0" distR="0" wp14:anchorId="7D5F5858" wp14:editId="4DCD1750">
            <wp:extent cx="5600700" cy="2628900"/>
            <wp:effectExtent l="0" t="0" r="0" b="0"/>
            <wp:docPr id="12" name="Picture 12" descr="A picture containing sitting, dark, laptop,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ielniketal2020_SuppFigX_Radioliga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00700" cy="2628900"/>
                    </a:xfrm>
                    <a:prstGeom prst="rect">
                      <a:avLst/>
                    </a:prstGeom>
                  </pic:spPr>
                </pic:pic>
              </a:graphicData>
            </a:graphic>
          </wp:inline>
        </w:drawing>
      </w:r>
    </w:p>
    <w:p w14:paraId="0A82DF00" w14:textId="77777777" w:rsidR="001409D5" w:rsidRDefault="001409D5" w:rsidP="001409D5">
      <w:pPr>
        <w:rPr>
          <w:rFonts w:ascii="Arial" w:hAnsi="Arial" w:cs="Arial"/>
          <w:sz w:val="22"/>
          <w:szCs w:val="22"/>
        </w:rPr>
      </w:pPr>
    </w:p>
    <w:p w14:paraId="59B1C144" w14:textId="77777777" w:rsidR="001409D5" w:rsidRDefault="001409D5" w:rsidP="001409D5">
      <w:pPr>
        <w:rPr>
          <w:rFonts w:ascii="Arial" w:hAnsi="Arial" w:cs="Arial"/>
          <w:sz w:val="22"/>
          <w:szCs w:val="22"/>
        </w:rPr>
      </w:pPr>
    </w:p>
    <w:p w14:paraId="66B0392E" w14:textId="68126B13" w:rsidR="001409D5" w:rsidRDefault="001409D5" w:rsidP="001409D5">
      <w:pPr>
        <w:rPr>
          <w:rFonts w:ascii="Arial" w:hAnsi="Arial" w:cs="Arial"/>
        </w:rPr>
      </w:pPr>
      <w:r>
        <w:rPr>
          <w:rFonts w:ascii="Arial" w:hAnsi="Arial" w:cs="Arial"/>
          <w:b/>
        </w:rPr>
        <w:t>Supplementary Figure 3</w:t>
      </w:r>
      <w:r w:rsidRPr="001257A4">
        <w:rPr>
          <w:rFonts w:ascii="Arial" w:hAnsi="Arial" w:cs="Arial"/>
          <w:b/>
        </w:rPr>
        <w:t xml:space="preserve">. NMDA receptor binding densities in mouse brain tissue. </w:t>
      </w:r>
      <w:r w:rsidRPr="001257A4">
        <w:rPr>
          <w:rFonts w:ascii="Arial" w:hAnsi="Arial" w:cs="Arial"/>
        </w:rPr>
        <w:t>[</w:t>
      </w:r>
      <w:r w:rsidRPr="001257A4">
        <w:rPr>
          <w:rFonts w:ascii="Arial" w:hAnsi="Arial" w:cs="Arial"/>
          <w:vertAlign w:val="superscript"/>
        </w:rPr>
        <w:t>3</w:t>
      </w:r>
      <w:r w:rsidRPr="001257A4">
        <w:rPr>
          <w:rFonts w:ascii="Arial" w:hAnsi="Arial" w:cs="Arial"/>
        </w:rPr>
        <w:t>H]MK-801 (</w:t>
      </w:r>
      <w:proofErr w:type="spellStart"/>
      <w:r w:rsidRPr="001257A4">
        <w:rPr>
          <w:rFonts w:ascii="Arial" w:hAnsi="Arial" w:cs="Arial"/>
        </w:rPr>
        <w:t>fmol</w:t>
      </w:r>
      <w:proofErr w:type="spellEnd"/>
      <w:r w:rsidRPr="001257A4">
        <w:rPr>
          <w:rFonts w:ascii="Arial" w:hAnsi="Arial" w:cs="Arial"/>
        </w:rPr>
        <w:t xml:space="preserve">/mg) in </w:t>
      </w:r>
      <w:r>
        <w:rPr>
          <w:rFonts w:ascii="Arial" w:hAnsi="Arial" w:cs="Arial"/>
        </w:rPr>
        <w:t xml:space="preserve">membrane preparations from </w:t>
      </w:r>
      <w:r w:rsidRPr="001257A4">
        <w:rPr>
          <w:rFonts w:ascii="Arial" w:hAnsi="Arial" w:cs="Arial"/>
        </w:rPr>
        <w:t xml:space="preserve">brain tissue of WT, </w:t>
      </w:r>
      <w:proofErr w:type="spellStart"/>
      <w:r w:rsidRPr="001257A4">
        <w:rPr>
          <w:rFonts w:ascii="Arial" w:hAnsi="Arial" w:cs="Arial"/>
        </w:rPr>
        <w:t>WTCre</w:t>
      </w:r>
      <w:proofErr w:type="spellEnd"/>
      <w:r w:rsidRPr="001257A4">
        <w:rPr>
          <w:rFonts w:ascii="Arial" w:hAnsi="Arial" w:cs="Arial"/>
        </w:rPr>
        <w:t xml:space="preserve">, </w:t>
      </w:r>
      <w:r w:rsidRPr="001257A4">
        <w:rPr>
          <w:rFonts w:ascii="Arial" w:hAnsi="Arial" w:cs="Arial"/>
          <w:i/>
        </w:rPr>
        <w:t>Grin1</w:t>
      </w:r>
      <w:r w:rsidRPr="00172B17">
        <w:rPr>
          <w:rFonts w:ascii="Arial" w:hAnsi="Arial" w:cs="Arial"/>
          <w:iCs/>
          <w:vertAlign w:val="superscript"/>
        </w:rPr>
        <w:t>KD</w:t>
      </w:r>
      <w:r w:rsidRPr="001257A4">
        <w:rPr>
          <w:rFonts w:ascii="Arial" w:hAnsi="Arial" w:cs="Arial"/>
        </w:rPr>
        <w:t xml:space="preserve"> and </w:t>
      </w:r>
      <w:r w:rsidRPr="001257A4">
        <w:rPr>
          <w:rFonts w:ascii="Arial" w:hAnsi="Arial" w:cs="Arial"/>
          <w:i/>
        </w:rPr>
        <w:t>Grin1</w:t>
      </w:r>
      <w:r w:rsidRPr="00172B17">
        <w:rPr>
          <w:rFonts w:ascii="Arial" w:hAnsi="Arial" w:cs="Arial"/>
          <w:iCs/>
          <w:vertAlign w:val="superscript"/>
        </w:rPr>
        <w:t>RESCUE</w:t>
      </w:r>
      <w:r w:rsidRPr="00172B17">
        <w:rPr>
          <w:rFonts w:ascii="Arial" w:hAnsi="Arial" w:cs="Arial"/>
          <w:iCs/>
        </w:rPr>
        <w:t xml:space="preserve"> </w:t>
      </w:r>
      <w:r w:rsidRPr="001257A4">
        <w:rPr>
          <w:rFonts w:ascii="Arial" w:hAnsi="Arial" w:cs="Arial"/>
        </w:rPr>
        <w:t xml:space="preserve">mice in </w:t>
      </w:r>
      <w:r w:rsidRPr="001257A4">
        <w:rPr>
          <w:rFonts w:ascii="Arial" w:hAnsi="Arial" w:cs="Arial"/>
          <w:b/>
        </w:rPr>
        <w:t>(A)</w:t>
      </w:r>
      <w:r w:rsidRPr="001257A4">
        <w:rPr>
          <w:rFonts w:ascii="Arial" w:hAnsi="Arial" w:cs="Arial"/>
        </w:rPr>
        <w:t xml:space="preserve"> cortex and </w:t>
      </w:r>
      <w:r w:rsidRPr="001257A4">
        <w:rPr>
          <w:rFonts w:ascii="Arial" w:hAnsi="Arial" w:cs="Arial"/>
          <w:b/>
        </w:rPr>
        <w:t>(B)</w:t>
      </w:r>
      <w:r>
        <w:rPr>
          <w:rFonts w:ascii="Arial" w:hAnsi="Arial" w:cs="Arial"/>
          <w:b/>
        </w:rPr>
        <w:t xml:space="preserve"> </w:t>
      </w:r>
      <w:r>
        <w:rPr>
          <w:rFonts w:ascii="Arial" w:hAnsi="Arial" w:cs="Arial"/>
        </w:rPr>
        <w:t>striatum</w:t>
      </w:r>
      <w:r w:rsidRPr="001257A4">
        <w:rPr>
          <w:rFonts w:ascii="Arial" w:hAnsi="Arial" w:cs="Arial"/>
        </w:rPr>
        <w:t xml:space="preserve">. </w:t>
      </w:r>
      <w:r>
        <w:rPr>
          <w:rFonts w:ascii="Arial" w:hAnsi="Arial" w:cs="Arial"/>
        </w:rPr>
        <w:t>Saturation b</w:t>
      </w:r>
      <w:r w:rsidRPr="001257A4">
        <w:rPr>
          <w:rFonts w:ascii="Arial" w:hAnsi="Arial" w:cs="Arial"/>
        </w:rPr>
        <w:t>inding assays were performed with the NMDAR antagonist MK-801 (hot and/or cold), mouse brain membranes (80µg) and binding buffer (total binding vs. non-specific binding), with a total assay volume of 150µl.</w:t>
      </w:r>
      <w:r>
        <w:rPr>
          <w:rFonts w:ascii="Arial" w:hAnsi="Arial" w:cs="Arial"/>
        </w:rPr>
        <w:t xml:space="preserve"> O</w:t>
      </w:r>
      <w:r w:rsidRPr="001257A4">
        <w:rPr>
          <w:rFonts w:ascii="Arial" w:hAnsi="Arial" w:cs="Arial"/>
        </w:rPr>
        <w:t>ne-way ANOVA, effect of genotype, F</w:t>
      </w:r>
      <w:r w:rsidRPr="001257A4">
        <w:rPr>
          <w:rFonts w:ascii="Arial" w:hAnsi="Arial" w:cs="Arial"/>
          <w:vertAlign w:val="subscript"/>
        </w:rPr>
        <w:t>3,20</w:t>
      </w:r>
      <w:r w:rsidRPr="001257A4">
        <w:rPr>
          <w:rFonts w:ascii="Arial" w:hAnsi="Arial" w:cs="Arial"/>
        </w:rPr>
        <w:t xml:space="preserve">= (cortex) </w:t>
      </w:r>
      <w:r>
        <w:rPr>
          <w:rFonts w:ascii="Arial" w:hAnsi="Arial" w:cs="Arial"/>
        </w:rPr>
        <w:t>62.61</w:t>
      </w:r>
      <w:r w:rsidRPr="001257A4">
        <w:rPr>
          <w:rFonts w:ascii="Arial" w:hAnsi="Arial" w:cs="Arial"/>
        </w:rPr>
        <w:t>, p&lt;0.0001, and (</w:t>
      </w:r>
      <w:r>
        <w:rPr>
          <w:rFonts w:ascii="Arial" w:hAnsi="Arial" w:cs="Arial"/>
        </w:rPr>
        <w:t>striatum</w:t>
      </w:r>
      <w:r w:rsidRPr="001257A4">
        <w:rPr>
          <w:rFonts w:ascii="Arial" w:hAnsi="Arial" w:cs="Arial"/>
        </w:rPr>
        <w:t xml:space="preserve">) </w:t>
      </w:r>
      <w:r>
        <w:rPr>
          <w:rFonts w:ascii="Arial" w:hAnsi="Arial" w:cs="Arial"/>
        </w:rPr>
        <w:t>68.26</w:t>
      </w:r>
      <w:r w:rsidRPr="001257A4">
        <w:rPr>
          <w:rFonts w:ascii="Arial" w:hAnsi="Arial" w:cs="Arial"/>
        </w:rPr>
        <w:t>, p&lt;0.0001, Bonferroni post</w:t>
      </w:r>
      <w:r w:rsidR="00A52506">
        <w:rPr>
          <w:rFonts w:ascii="Arial" w:hAnsi="Arial" w:cs="Arial"/>
        </w:rPr>
        <w:t xml:space="preserve"> </w:t>
      </w:r>
      <w:r w:rsidRPr="001257A4">
        <w:rPr>
          <w:rFonts w:ascii="Arial" w:hAnsi="Arial" w:cs="Arial"/>
        </w:rPr>
        <w:t>hoc.</w:t>
      </w:r>
      <w:r w:rsidRPr="00CE7F10">
        <w:rPr>
          <w:rFonts w:ascii="Arial" w:hAnsi="Arial" w:cs="Arial"/>
        </w:rPr>
        <w:t xml:space="preserve"> </w:t>
      </w:r>
      <w:r w:rsidRPr="00E846AF">
        <w:rPr>
          <w:rFonts w:ascii="Arial" w:hAnsi="Arial" w:cs="Arial"/>
        </w:rPr>
        <w:t>All data shown as mean ± SEM, *p&lt;0.05, **p&lt;0.01, ***p&lt;0.001, ****p&lt;0.0001, ns = not significant.</w:t>
      </w:r>
      <w:r>
        <w:rPr>
          <w:rFonts w:ascii="Arial" w:hAnsi="Arial" w:cs="Arial"/>
        </w:rPr>
        <w:br w:type="page"/>
      </w:r>
    </w:p>
    <w:p w14:paraId="118E8370" w14:textId="77777777" w:rsidR="001409D5" w:rsidRDefault="001409D5" w:rsidP="001409D5">
      <w:pPr>
        <w:rPr>
          <w:rFonts w:ascii="Arial" w:hAnsi="Arial" w:cs="Arial"/>
          <w:b/>
          <w:bCs/>
        </w:rPr>
      </w:pPr>
      <w:r>
        <w:rPr>
          <w:rFonts w:ascii="Arial" w:hAnsi="Arial" w:cs="Arial"/>
          <w:b/>
          <w:bCs/>
          <w:noProof/>
        </w:rPr>
        <w:lastRenderedPageBreak/>
        <w:drawing>
          <wp:inline distT="0" distB="0" distL="0" distR="0" wp14:anchorId="50042EE7" wp14:editId="4B8841C3">
            <wp:extent cx="5943600" cy="2447925"/>
            <wp:effectExtent l="0" t="0" r="0" b="0"/>
            <wp:docPr id="6" name="Picture 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ielniketal2020_SuppFigX_AMPA-K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447925"/>
                    </a:xfrm>
                    <a:prstGeom prst="rect">
                      <a:avLst/>
                    </a:prstGeom>
                  </pic:spPr>
                </pic:pic>
              </a:graphicData>
            </a:graphic>
          </wp:inline>
        </w:drawing>
      </w:r>
    </w:p>
    <w:p w14:paraId="23551E7B" w14:textId="77777777" w:rsidR="001409D5" w:rsidRDefault="001409D5" w:rsidP="001409D5">
      <w:pPr>
        <w:rPr>
          <w:rFonts w:ascii="Arial" w:hAnsi="Arial" w:cs="Arial"/>
          <w:b/>
          <w:bCs/>
        </w:rPr>
      </w:pPr>
    </w:p>
    <w:p w14:paraId="3370BA0A" w14:textId="630E215E" w:rsidR="001409D5" w:rsidRDefault="001409D5" w:rsidP="001409D5">
      <w:pPr>
        <w:rPr>
          <w:rFonts w:ascii="Arial" w:hAnsi="Arial" w:cs="Arial"/>
        </w:rPr>
      </w:pPr>
      <w:r>
        <w:rPr>
          <w:rFonts w:ascii="Arial" w:hAnsi="Arial" w:cs="Arial"/>
          <w:b/>
          <w:bCs/>
        </w:rPr>
        <w:t xml:space="preserve">Supplementary Figure 4. </w:t>
      </w:r>
      <w:r w:rsidR="00E8066F">
        <w:rPr>
          <w:rFonts w:ascii="Arial" w:hAnsi="Arial" w:cs="Arial"/>
          <w:b/>
          <w:bCs/>
        </w:rPr>
        <w:t xml:space="preserve">Increased frequency of synaptic currents in </w:t>
      </w:r>
      <w:r w:rsidR="00E8066F" w:rsidRPr="004A0D1E">
        <w:rPr>
          <w:rFonts w:ascii="Arial" w:hAnsi="Arial" w:cs="Arial"/>
          <w:b/>
          <w:bCs/>
          <w:i/>
          <w:iCs/>
        </w:rPr>
        <w:t>Grin1</w:t>
      </w:r>
      <w:r w:rsidR="00E8066F" w:rsidRPr="004A0D1E">
        <w:rPr>
          <w:rFonts w:ascii="Arial" w:hAnsi="Arial" w:cs="Arial"/>
          <w:b/>
          <w:bCs/>
          <w:i/>
          <w:iCs/>
          <w:vertAlign w:val="superscript"/>
        </w:rPr>
        <w:t>KD</w:t>
      </w:r>
      <w:r w:rsidR="00E8066F">
        <w:rPr>
          <w:rFonts w:ascii="Arial" w:hAnsi="Arial" w:cs="Arial"/>
          <w:b/>
          <w:bCs/>
        </w:rPr>
        <w:t xml:space="preserve"> is rescued in the </w:t>
      </w:r>
      <w:r w:rsidR="00E8066F" w:rsidRPr="004A0D1E">
        <w:rPr>
          <w:rFonts w:ascii="Arial" w:hAnsi="Arial" w:cs="Arial"/>
          <w:b/>
          <w:bCs/>
          <w:i/>
          <w:iCs/>
        </w:rPr>
        <w:t>Grin1</w:t>
      </w:r>
      <w:r w:rsidR="00E8066F" w:rsidRPr="004A0D1E">
        <w:rPr>
          <w:rFonts w:ascii="Arial" w:hAnsi="Arial" w:cs="Arial"/>
          <w:b/>
          <w:bCs/>
          <w:i/>
          <w:iCs/>
          <w:vertAlign w:val="superscript"/>
        </w:rPr>
        <w:t>RESCUE</w:t>
      </w:r>
      <w:r w:rsidR="00E8066F">
        <w:rPr>
          <w:rFonts w:ascii="Arial" w:hAnsi="Arial" w:cs="Arial"/>
          <w:b/>
          <w:bCs/>
        </w:rPr>
        <w:t xml:space="preserve">, while current amplitudes remain similar across genotypes. </w:t>
      </w:r>
      <w:r w:rsidR="00E8066F">
        <w:rPr>
          <w:rFonts w:ascii="Arial" w:hAnsi="Arial" w:cs="Arial"/>
          <w:bCs/>
        </w:rPr>
        <w:t>Spontaneous excitatory postsynaptic current (</w:t>
      </w:r>
      <w:proofErr w:type="spellStart"/>
      <w:r w:rsidR="00E8066F">
        <w:rPr>
          <w:rFonts w:ascii="Arial" w:hAnsi="Arial" w:cs="Arial"/>
        </w:rPr>
        <w:t>sEPSC</w:t>
      </w:r>
      <w:proofErr w:type="spellEnd"/>
      <w:r w:rsidR="00E8066F">
        <w:rPr>
          <w:rFonts w:ascii="Arial" w:hAnsi="Arial" w:cs="Arial"/>
        </w:rPr>
        <w:t xml:space="preserve">) frequency </w:t>
      </w:r>
      <w:r w:rsidR="00E8066F" w:rsidRPr="00845AC2">
        <w:rPr>
          <w:rFonts w:ascii="Arial" w:hAnsi="Arial" w:cs="Arial"/>
          <w:b/>
          <w:bCs/>
        </w:rPr>
        <w:t>(</w:t>
      </w:r>
      <w:r w:rsidR="00E8066F">
        <w:rPr>
          <w:rFonts w:ascii="Arial" w:hAnsi="Arial" w:cs="Arial"/>
          <w:b/>
          <w:bCs/>
        </w:rPr>
        <w:t>A</w:t>
      </w:r>
      <w:r w:rsidR="00E8066F" w:rsidRPr="00845AC2">
        <w:rPr>
          <w:rFonts w:ascii="Arial" w:hAnsi="Arial" w:cs="Arial"/>
          <w:b/>
          <w:bCs/>
        </w:rPr>
        <w:t>)</w:t>
      </w:r>
      <w:r w:rsidR="00E8066F">
        <w:rPr>
          <w:rFonts w:ascii="Arial" w:hAnsi="Arial" w:cs="Arial"/>
        </w:rPr>
        <w:t xml:space="preserve"> and amplitude </w:t>
      </w:r>
      <w:r w:rsidR="00E8066F" w:rsidRPr="00845AC2">
        <w:rPr>
          <w:rFonts w:ascii="Arial" w:hAnsi="Arial" w:cs="Arial"/>
          <w:b/>
          <w:bCs/>
        </w:rPr>
        <w:t>(</w:t>
      </w:r>
      <w:r w:rsidR="00E8066F">
        <w:rPr>
          <w:rFonts w:ascii="Arial" w:hAnsi="Arial" w:cs="Arial"/>
          <w:b/>
          <w:bCs/>
        </w:rPr>
        <w:t xml:space="preserve">B) </w:t>
      </w:r>
      <w:r w:rsidR="00E8066F" w:rsidRPr="005B0690">
        <w:rPr>
          <w:rFonts w:ascii="Arial" w:hAnsi="Arial" w:cs="Arial"/>
          <w:bCs/>
        </w:rPr>
        <w:t>in prefrontal layer V neurons under</w:t>
      </w:r>
      <w:r w:rsidR="00E8066F">
        <w:rPr>
          <w:rFonts w:ascii="Arial" w:hAnsi="Arial" w:cs="Arial"/>
          <w:b/>
          <w:bCs/>
        </w:rPr>
        <w:t xml:space="preserve"> </w:t>
      </w:r>
      <w:r w:rsidR="00E8066F">
        <w:rPr>
          <w:rFonts w:ascii="Arial" w:hAnsi="Arial" w:cs="Arial"/>
        </w:rPr>
        <w:t xml:space="preserve">conditions that detect AMPA and </w:t>
      </w:r>
      <w:proofErr w:type="spellStart"/>
      <w:r w:rsidR="00E8066F">
        <w:rPr>
          <w:rFonts w:ascii="Arial" w:hAnsi="Arial" w:cs="Arial"/>
        </w:rPr>
        <w:t>kainate</w:t>
      </w:r>
      <w:proofErr w:type="spellEnd"/>
      <w:r w:rsidR="00E8066F">
        <w:rPr>
          <w:rFonts w:ascii="Arial" w:hAnsi="Arial" w:cs="Arial"/>
        </w:rPr>
        <w:t xml:space="preserve"> glutamate receptor activity. One-way ANOVA, </w:t>
      </w:r>
      <w:r w:rsidR="00E8066F" w:rsidRPr="004A58EE">
        <w:rPr>
          <w:rFonts w:ascii="Arial" w:hAnsi="Arial" w:cs="Arial"/>
        </w:rPr>
        <w:t xml:space="preserve">effect of genotype, </w:t>
      </w:r>
      <w:r w:rsidR="00E8066F">
        <w:rPr>
          <w:rFonts w:ascii="Arial" w:hAnsi="Arial" w:cs="Arial"/>
        </w:rPr>
        <w:t xml:space="preserve">(frequency) </w:t>
      </w:r>
      <w:r w:rsidR="00E8066F" w:rsidRPr="004A58EE">
        <w:rPr>
          <w:rFonts w:ascii="Arial" w:hAnsi="Arial" w:cs="Arial"/>
        </w:rPr>
        <w:t>F</w:t>
      </w:r>
      <w:r w:rsidR="00E8066F" w:rsidRPr="004A58EE">
        <w:rPr>
          <w:rFonts w:ascii="Arial" w:hAnsi="Arial" w:cs="Arial"/>
          <w:vertAlign w:val="subscript"/>
        </w:rPr>
        <w:t>2,</w:t>
      </w:r>
      <w:r w:rsidR="00E8066F">
        <w:rPr>
          <w:rFonts w:ascii="Arial" w:hAnsi="Arial" w:cs="Arial"/>
          <w:vertAlign w:val="subscript"/>
        </w:rPr>
        <w:t>31</w:t>
      </w:r>
      <w:r w:rsidR="00E8066F" w:rsidRPr="004A58EE">
        <w:rPr>
          <w:rFonts w:ascii="Arial" w:hAnsi="Arial" w:cs="Arial"/>
          <w:vertAlign w:val="subscript"/>
        </w:rPr>
        <w:t xml:space="preserve"> </w:t>
      </w:r>
      <w:r w:rsidR="00E8066F" w:rsidRPr="004A58EE">
        <w:rPr>
          <w:rFonts w:ascii="Arial" w:hAnsi="Arial" w:cs="Arial"/>
        </w:rPr>
        <w:t>=</w:t>
      </w:r>
      <w:r w:rsidR="00E8066F">
        <w:rPr>
          <w:rFonts w:ascii="Arial" w:hAnsi="Arial" w:cs="Arial"/>
        </w:rPr>
        <w:t>11.29</w:t>
      </w:r>
      <w:r w:rsidR="00E8066F" w:rsidRPr="004A58EE">
        <w:rPr>
          <w:rFonts w:ascii="Arial" w:hAnsi="Arial" w:cs="Arial"/>
        </w:rPr>
        <w:t>,</w:t>
      </w:r>
      <w:r w:rsidR="00E8066F" w:rsidRPr="004A58EE">
        <w:rPr>
          <w:rFonts w:ascii="Arial" w:hAnsi="Arial" w:cs="Arial"/>
          <w:i/>
          <w:iCs/>
        </w:rPr>
        <w:t xml:space="preserve"> </w:t>
      </w:r>
      <w:r w:rsidR="00E8066F" w:rsidRPr="004A58EE">
        <w:rPr>
          <w:rFonts w:ascii="Arial" w:hAnsi="Arial" w:cs="Arial"/>
        </w:rPr>
        <w:t>p=0.</w:t>
      </w:r>
      <w:r w:rsidR="00E8066F">
        <w:rPr>
          <w:rFonts w:ascii="Arial" w:hAnsi="Arial" w:cs="Arial"/>
        </w:rPr>
        <w:t>0002</w:t>
      </w:r>
      <w:r w:rsidR="00E8066F" w:rsidRPr="004A58EE">
        <w:rPr>
          <w:rFonts w:ascii="Arial" w:hAnsi="Arial" w:cs="Arial"/>
        </w:rPr>
        <w:t>,</w:t>
      </w:r>
      <w:r w:rsidR="00E8066F">
        <w:rPr>
          <w:rFonts w:ascii="Arial" w:hAnsi="Arial" w:cs="Arial"/>
        </w:rPr>
        <w:t xml:space="preserve"> (amplitude)</w:t>
      </w:r>
      <w:r w:rsidR="00E8066F" w:rsidRPr="00A3722E">
        <w:rPr>
          <w:rFonts w:ascii="Arial" w:hAnsi="Arial" w:cs="Arial"/>
        </w:rPr>
        <w:t xml:space="preserve"> </w:t>
      </w:r>
      <w:r w:rsidR="00E8066F" w:rsidRPr="004A58EE">
        <w:rPr>
          <w:rFonts w:ascii="Arial" w:hAnsi="Arial" w:cs="Arial"/>
        </w:rPr>
        <w:t>F</w:t>
      </w:r>
      <w:r w:rsidR="00E8066F" w:rsidRPr="004A58EE">
        <w:rPr>
          <w:rFonts w:ascii="Arial" w:hAnsi="Arial" w:cs="Arial"/>
          <w:vertAlign w:val="subscript"/>
        </w:rPr>
        <w:t>2,</w:t>
      </w:r>
      <w:r w:rsidR="00E8066F">
        <w:rPr>
          <w:rFonts w:ascii="Arial" w:hAnsi="Arial" w:cs="Arial"/>
          <w:vertAlign w:val="subscript"/>
        </w:rPr>
        <w:t>31</w:t>
      </w:r>
      <w:r w:rsidR="00E8066F" w:rsidRPr="004A58EE">
        <w:rPr>
          <w:rFonts w:ascii="Arial" w:hAnsi="Arial" w:cs="Arial"/>
          <w:vertAlign w:val="subscript"/>
        </w:rPr>
        <w:t xml:space="preserve"> </w:t>
      </w:r>
      <w:r w:rsidR="00E8066F" w:rsidRPr="004A58EE">
        <w:rPr>
          <w:rFonts w:ascii="Arial" w:hAnsi="Arial" w:cs="Arial"/>
        </w:rPr>
        <w:t>=</w:t>
      </w:r>
      <w:r w:rsidR="00E8066F">
        <w:rPr>
          <w:rFonts w:ascii="Arial" w:hAnsi="Arial" w:cs="Arial"/>
        </w:rPr>
        <w:t>0.2896</w:t>
      </w:r>
      <w:r w:rsidR="00E8066F" w:rsidRPr="004A58EE">
        <w:rPr>
          <w:rFonts w:ascii="Arial" w:hAnsi="Arial" w:cs="Arial"/>
        </w:rPr>
        <w:t>,</w:t>
      </w:r>
      <w:r w:rsidR="00E8066F" w:rsidRPr="004A58EE">
        <w:rPr>
          <w:rFonts w:ascii="Arial" w:hAnsi="Arial" w:cs="Arial"/>
          <w:i/>
          <w:iCs/>
        </w:rPr>
        <w:t xml:space="preserve"> </w:t>
      </w:r>
      <w:r w:rsidR="00E8066F" w:rsidRPr="004A58EE">
        <w:rPr>
          <w:rFonts w:ascii="Arial" w:hAnsi="Arial" w:cs="Arial"/>
        </w:rPr>
        <w:t>p=0.</w:t>
      </w:r>
      <w:proofErr w:type="gramStart"/>
      <w:r w:rsidR="00E8066F">
        <w:rPr>
          <w:rFonts w:ascii="Arial" w:hAnsi="Arial" w:cs="Arial"/>
        </w:rPr>
        <w:t xml:space="preserve">7506 </w:t>
      </w:r>
      <w:r w:rsidR="00E8066F" w:rsidRPr="004A58EE">
        <w:rPr>
          <w:rFonts w:ascii="Arial" w:hAnsi="Arial" w:cs="Arial"/>
        </w:rPr>
        <w:t xml:space="preserve"> Bonferroni</w:t>
      </w:r>
      <w:proofErr w:type="gramEnd"/>
      <w:r w:rsidR="00E8066F" w:rsidRPr="004A58EE">
        <w:rPr>
          <w:rFonts w:ascii="Arial" w:hAnsi="Arial" w:cs="Arial"/>
        </w:rPr>
        <w:t xml:space="preserve"> pos</w:t>
      </w:r>
      <w:r w:rsidR="00E8066F">
        <w:rPr>
          <w:rFonts w:ascii="Arial" w:hAnsi="Arial" w:cs="Arial"/>
        </w:rPr>
        <w:t>t</w:t>
      </w:r>
      <w:r w:rsidR="00A52506">
        <w:rPr>
          <w:rFonts w:ascii="Arial" w:hAnsi="Arial" w:cs="Arial"/>
        </w:rPr>
        <w:t xml:space="preserve"> </w:t>
      </w:r>
      <w:r w:rsidR="00E8066F">
        <w:rPr>
          <w:rFonts w:ascii="Arial" w:hAnsi="Arial" w:cs="Arial"/>
        </w:rPr>
        <w:t xml:space="preserve">hoc. All data shown as </w:t>
      </w:r>
      <w:r w:rsidR="00E8066F" w:rsidRPr="004A58EE">
        <w:rPr>
          <w:rFonts w:ascii="Arial" w:hAnsi="Arial" w:cs="Arial"/>
        </w:rPr>
        <w:t>mean ± SEM</w:t>
      </w:r>
      <w:r w:rsidR="00E8066F">
        <w:rPr>
          <w:rFonts w:ascii="Arial" w:hAnsi="Arial" w:cs="Arial"/>
        </w:rPr>
        <w:t>,</w:t>
      </w:r>
      <w:r w:rsidR="00E8066F" w:rsidRPr="00F222F1">
        <w:rPr>
          <w:rFonts w:ascii="Arial" w:hAnsi="Arial" w:cs="Arial"/>
        </w:rPr>
        <w:t xml:space="preserve"> </w:t>
      </w:r>
      <w:r w:rsidR="00E8066F" w:rsidRPr="004A58EE">
        <w:rPr>
          <w:rFonts w:ascii="Arial" w:hAnsi="Arial" w:cs="Arial"/>
        </w:rPr>
        <w:t>*p&lt;0.05</w:t>
      </w:r>
      <w:r w:rsidR="00E8066F">
        <w:rPr>
          <w:rFonts w:ascii="Arial" w:hAnsi="Arial" w:cs="Arial"/>
        </w:rPr>
        <w:t xml:space="preserve">, </w:t>
      </w:r>
      <w:r w:rsidR="00E8066F" w:rsidRPr="004A58EE">
        <w:rPr>
          <w:rFonts w:ascii="Arial" w:hAnsi="Arial" w:cs="Arial"/>
        </w:rPr>
        <w:t>**p&lt;0.01</w:t>
      </w:r>
      <w:r w:rsidR="00E8066F">
        <w:rPr>
          <w:rFonts w:ascii="Arial" w:hAnsi="Arial" w:cs="Arial"/>
        </w:rPr>
        <w:t xml:space="preserve">, </w:t>
      </w:r>
      <w:r w:rsidR="00E8066F" w:rsidRPr="004A58EE">
        <w:rPr>
          <w:rFonts w:ascii="Arial" w:hAnsi="Arial" w:cs="Arial"/>
        </w:rPr>
        <w:t>***p&lt;0.001</w:t>
      </w:r>
      <w:r w:rsidR="00E8066F">
        <w:rPr>
          <w:rFonts w:ascii="Arial" w:hAnsi="Arial" w:cs="Arial"/>
        </w:rPr>
        <w:t xml:space="preserve">, </w:t>
      </w:r>
      <w:r w:rsidR="00E8066F" w:rsidRPr="004A58EE">
        <w:rPr>
          <w:rFonts w:ascii="Arial" w:hAnsi="Arial" w:cs="Arial"/>
        </w:rPr>
        <w:t>****p&lt;0.0001</w:t>
      </w:r>
      <w:r w:rsidR="00E8066F">
        <w:rPr>
          <w:rFonts w:ascii="Arial" w:hAnsi="Arial" w:cs="Arial"/>
        </w:rPr>
        <w:t>, ns = not significant.</w:t>
      </w:r>
      <w:r>
        <w:rPr>
          <w:rFonts w:ascii="Arial" w:hAnsi="Arial" w:cs="Arial"/>
        </w:rPr>
        <w:br w:type="page"/>
      </w:r>
    </w:p>
    <w:p w14:paraId="069DE2B6" w14:textId="77777777" w:rsidR="001409D5" w:rsidRDefault="001409D5" w:rsidP="001409D5">
      <w:pPr>
        <w:rPr>
          <w:rFonts w:ascii="Arial" w:hAnsi="Arial" w:cs="Arial"/>
          <w:sz w:val="22"/>
          <w:szCs w:val="22"/>
        </w:rPr>
      </w:pPr>
      <w:r>
        <w:rPr>
          <w:rFonts w:ascii="Arial" w:hAnsi="Arial" w:cs="Arial"/>
          <w:noProof/>
          <w:sz w:val="22"/>
          <w:szCs w:val="22"/>
        </w:rPr>
        <w:lastRenderedPageBreak/>
        <w:drawing>
          <wp:inline distT="0" distB="0" distL="0" distR="0" wp14:anchorId="454FBA9E" wp14:editId="1EB72501">
            <wp:extent cx="6400800" cy="2857500"/>
            <wp:effectExtent l="0" t="0" r="0" b="0"/>
            <wp:docPr id="9" name="Picture 9" descr="A traffic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ielniketal2019_SuppFig5_puzzle_malevsfemale.png"/>
                    <pic:cNvPicPr/>
                  </pic:nvPicPr>
                  <pic:blipFill>
                    <a:blip r:embed="rId13"/>
                    <a:stretch>
                      <a:fillRect/>
                    </a:stretch>
                  </pic:blipFill>
                  <pic:spPr>
                    <a:xfrm>
                      <a:off x="0" y="0"/>
                      <a:ext cx="6400800" cy="2857500"/>
                    </a:xfrm>
                    <a:prstGeom prst="rect">
                      <a:avLst/>
                    </a:prstGeom>
                  </pic:spPr>
                </pic:pic>
              </a:graphicData>
            </a:graphic>
          </wp:inline>
        </w:drawing>
      </w:r>
    </w:p>
    <w:p w14:paraId="720F01C2" w14:textId="77777777" w:rsidR="001409D5" w:rsidRDefault="001409D5" w:rsidP="001409D5">
      <w:pPr>
        <w:rPr>
          <w:rFonts w:ascii="Arial" w:hAnsi="Arial" w:cs="Arial"/>
          <w:sz w:val="22"/>
          <w:szCs w:val="22"/>
        </w:rPr>
      </w:pPr>
    </w:p>
    <w:p w14:paraId="0D1CCD50" w14:textId="69AE6A9E" w:rsidR="001409D5" w:rsidRPr="007B740E" w:rsidRDefault="001409D5" w:rsidP="001409D5">
      <w:r>
        <w:rPr>
          <w:rFonts w:ascii="Arial" w:hAnsi="Arial" w:cs="Arial"/>
          <w:b/>
        </w:rPr>
        <w:t>Supplementary Figure 5</w:t>
      </w:r>
      <w:r w:rsidRPr="001257A4">
        <w:rPr>
          <w:rFonts w:ascii="Arial" w:hAnsi="Arial" w:cs="Arial"/>
          <w:b/>
        </w:rPr>
        <w:t xml:space="preserve">. </w:t>
      </w:r>
      <w:r w:rsidRPr="001257A4">
        <w:rPr>
          <w:rFonts w:ascii="Arial" w:hAnsi="Arial" w:cs="Arial"/>
          <w:b/>
          <w:i/>
        </w:rPr>
        <w:t>Grin1</w:t>
      </w:r>
      <w:r w:rsidRPr="001257A4">
        <w:rPr>
          <w:rFonts w:ascii="Arial" w:hAnsi="Arial" w:cs="Arial"/>
          <w:b/>
          <w:i/>
          <w:vertAlign w:val="superscript"/>
        </w:rPr>
        <w:t>RESCUE</w:t>
      </w:r>
      <w:r w:rsidRPr="001257A4">
        <w:rPr>
          <w:rFonts w:ascii="Arial" w:hAnsi="Arial" w:cs="Arial"/>
          <w:b/>
        </w:rPr>
        <w:t xml:space="preserve"> females perform better in the puzzle box paradigm, when compared to </w:t>
      </w:r>
      <w:r w:rsidRPr="001257A4">
        <w:rPr>
          <w:rFonts w:ascii="Arial" w:hAnsi="Arial" w:cs="Arial"/>
          <w:b/>
          <w:i/>
        </w:rPr>
        <w:t>Grin1</w:t>
      </w:r>
      <w:r w:rsidRPr="001257A4">
        <w:rPr>
          <w:rFonts w:ascii="Arial" w:hAnsi="Arial" w:cs="Arial"/>
          <w:b/>
          <w:i/>
          <w:vertAlign w:val="superscript"/>
        </w:rPr>
        <w:t>RESCUE</w:t>
      </w:r>
      <w:r w:rsidRPr="001257A4">
        <w:rPr>
          <w:rFonts w:ascii="Arial" w:hAnsi="Arial" w:cs="Arial"/>
          <w:b/>
        </w:rPr>
        <w:t xml:space="preserve"> males.</w:t>
      </w:r>
      <w:r w:rsidRPr="001257A4">
        <w:rPr>
          <w:rFonts w:ascii="Arial" w:hAnsi="Arial" w:cs="Arial"/>
        </w:rPr>
        <w:t xml:space="preserve"> Time to reach goal zone (sec; max 300sec) measured in puzzle box paradigm in WT, </w:t>
      </w:r>
      <w:r w:rsidRPr="001257A4">
        <w:rPr>
          <w:rFonts w:ascii="Arial" w:hAnsi="Arial" w:cs="Arial"/>
          <w:i/>
        </w:rPr>
        <w:t>Grin1</w:t>
      </w:r>
      <w:r w:rsidRPr="00597A03">
        <w:rPr>
          <w:rFonts w:ascii="Arial" w:hAnsi="Arial" w:cs="Arial"/>
          <w:iCs/>
          <w:vertAlign w:val="superscript"/>
        </w:rPr>
        <w:t>KD</w:t>
      </w:r>
      <w:r w:rsidRPr="001257A4">
        <w:rPr>
          <w:rFonts w:ascii="Arial" w:hAnsi="Arial" w:cs="Arial"/>
        </w:rPr>
        <w:t xml:space="preserve">, </w:t>
      </w:r>
      <w:r w:rsidRPr="001257A4">
        <w:rPr>
          <w:rFonts w:ascii="Arial" w:hAnsi="Arial" w:cs="Arial"/>
          <w:i/>
        </w:rPr>
        <w:t>Grin1</w:t>
      </w:r>
      <w:r w:rsidRPr="00597A03">
        <w:rPr>
          <w:rFonts w:ascii="Arial" w:hAnsi="Arial" w:cs="Arial"/>
          <w:iCs/>
          <w:vertAlign w:val="superscript"/>
        </w:rPr>
        <w:t>RESCUE</w:t>
      </w:r>
      <w:r w:rsidRPr="00597A03">
        <w:rPr>
          <w:rFonts w:ascii="Arial" w:hAnsi="Arial" w:cs="Arial"/>
          <w:iCs/>
        </w:rPr>
        <w:t xml:space="preserve"> </w:t>
      </w:r>
      <w:r w:rsidRPr="001257A4">
        <w:rPr>
          <w:rFonts w:ascii="Arial" w:hAnsi="Arial" w:cs="Arial"/>
        </w:rPr>
        <w:t xml:space="preserve">mice. Shown on graph, #WT vs. </w:t>
      </w:r>
      <w:r w:rsidRPr="001257A4">
        <w:rPr>
          <w:rFonts w:ascii="Arial" w:hAnsi="Arial" w:cs="Arial"/>
          <w:i/>
        </w:rPr>
        <w:t>Grin1</w:t>
      </w:r>
      <w:r w:rsidRPr="00597A03">
        <w:rPr>
          <w:rFonts w:ascii="Arial" w:hAnsi="Arial" w:cs="Arial"/>
          <w:iCs/>
          <w:vertAlign w:val="superscript"/>
        </w:rPr>
        <w:t>RESCUE</w:t>
      </w:r>
      <w:r w:rsidRPr="001257A4">
        <w:rPr>
          <w:rFonts w:ascii="Arial" w:hAnsi="Arial" w:cs="Arial"/>
        </w:rPr>
        <w:t>: ##p&lt;0.01, ###p&lt;0.001;</w:t>
      </w:r>
      <w:r w:rsidRPr="001257A4">
        <w:rPr>
          <w:rFonts w:ascii="Arial" w:hAnsi="Arial" w:cs="Arial"/>
          <w:i/>
        </w:rPr>
        <w:t xml:space="preserve"> </w:t>
      </w:r>
      <w:r w:rsidRPr="001257A4">
        <w:rPr>
          <w:rFonts w:ascii="Arial" w:hAnsi="Arial" w:cs="Arial"/>
        </w:rPr>
        <w:t>*</w:t>
      </w:r>
      <w:r w:rsidRPr="001257A4">
        <w:rPr>
          <w:rFonts w:ascii="Arial" w:hAnsi="Arial" w:cs="Arial"/>
          <w:i/>
        </w:rPr>
        <w:t>Grin1</w:t>
      </w:r>
      <w:r w:rsidRPr="00597A03">
        <w:rPr>
          <w:rFonts w:ascii="Arial" w:hAnsi="Arial" w:cs="Arial"/>
          <w:iCs/>
          <w:vertAlign w:val="superscript"/>
        </w:rPr>
        <w:t>KD</w:t>
      </w:r>
      <w:r w:rsidRPr="00597A03">
        <w:rPr>
          <w:rFonts w:ascii="Arial" w:hAnsi="Arial" w:cs="Arial"/>
          <w:iCs/>
        </w:rPr>
        <w:t xml:space="preserve"> </w:t>
      </w:r>
      <w:r w:rsidRPr="001257A4">
        <w:rPr>
          <w:rFonts w:ascii="Arial" w:hAnsi="Arial" w:cs="Arial"/>
        </w:rPr>
        <w:t xml:space="preserve">vs. </w:t>
      </w:r>
      <w:r w:rsidRPr="001257A4">
        <w:rPr>
          <w:rFonts w:ascii="Arial" w:hAnsi="Arial" w:cs="Arial"/>
          <w:i/>
        </w:rPr>
        <w:t>Grin1</w:t>
      </w:r>
      <w:r w:rsidRPr="00597A03">
        <w:rPr>
          <w:rFonts w:ascii="Arial" w:hAnsi="Arial" w:cs="Arial"/>
          <w:iCs/>
          <w:vertAlign w:val="superscript"/>
        </w:rPr>
        <w:t>RESCUE</w:t>
      </w:r>
      <w:r w:rsidRPr="00597A03">
        <w:rPr>
          <w:rFonts w:ascii="Arial" w:hAnsi="Arial" w:cs="Arial"/>
          <w:iCs/>
        </w:rPr>
        <w:t xml:space="preserve">: </w:t>
      </w:r>
      <w:r w:rsidRPr="001257A4">
        <w:rPr>
          <w:rFonts w:ascii="Arial" w:hAnsi="Arial" w:cs="Arial"/>
        </w:rPr>
        <w:t>**p&lt;0.01, ***p&lt;0.001, ****p&lt;0.0001. Data shown as mean ± SEM, two-way ANOVA, interaction of sex and genotype: F</w:t>
      </w:r>
      <w:r w:rsidRPr="001257A4">
        <w:rPr>
          <w:rFonts w:ascii="Arial" w:hAnsi="Arial" w:cs="Arial"/>
          <w:vertAlign w:val="subscript"/>
        </w:rPr>
        <w:t>3,82</w:t>
      </w:r>
      <w:r w:rsidRPr="001257A4">
        <w:rPr>
          <w:rFonts w:ascii="Arial" w:hAnsi="Arial" w:cs="Arial"/>
        </w:rPr>
        <w:t>=2.941, p=0.038, Bonferroni post</w:t>
      </w:r>
      <w:r w:rsidR="00A52506">
        <w:rPr>
          <w:rFonts w:ascii="Arial" w:hAnsi="Arial" w:cs="Arial"/>
        </w:rPr>
        <w:t xml:space="preserve"> </w:t>
      </w:r>
      <w:r w:rsidRPr="001257A4">
        <w:rPr>
          <w:rFonts w:ascii="Arial" w:hAnsi="Arial" w:cs="Arial"/>
        </w:rPr>
        <w:t>hoc.</w:t>
      </w:r>
      <w:r w:rsidRPr="001257A4">
        <w:t xml:space="preserve"> </w:t>
      </w:r>
      <w:r>
        <w:rPr>
          <w:rFonts w:ascii="Arial" w:hAnsi="Arial" w:cs="Arial"/>
        </w:rPr>
        <w:br w:type="page"/>
      </w:r>
    </w:p>
    <w:p w14:paraId="24FD3BF9" w14:textId="77777777" w:rsidR="001409D5" w:rsidRDefault="001409D5" w:rsidP="001409D5">
      <w:pPr>
        <w:spacing w:afterLines="120" w:after="288"/>
        <w:rPr>
          <w:rFonts w:ascii="Arial" w:hAnsi="Arial" w:cs="Arial"/>
          <w:b/>
          <w:highlight w:val="green"/>
        </w:rPr>
      </w:pPr>
      <w:r>
        <w:rPr>
          <w:rFonts w:ascii="Arial" w:hAnsi="Arial" w:cs="Arial"/>
          <w:b/>
          <w:noProof/>
        </w:rPr>
        <w:lastRenderedPageBreak/>
        <w:drawing>
          <wp:inline distT="0" distB="0" distL="0" distR="0" wp14:anchorId="73135686" wp14:editId="47EB579A">
            <wp:extent cx="5943600" cy="2874010"/>
            <wp:effectExtent l="0" t="0" r="0" b="0"/>
            <wp:docPr id="2"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niketal2020_SuppFigX_MASS_PD70.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874010"/>
                    </a:xfrm>
                    <a:prstGeom prst="rect">
                      <a:avLst/>
                    </a:prstGeom>
                  </pic:spPr>
                </pic:pic>
              </a:graphicData>
            </a:graphic>
          </wp:inline>
        </w:drawing>
      </w:r>
    </w:p>
    <w:p w14:paraId="456F303A" w14:textId="5A945E92" w:rsidR="001409D5" w:rsidRPr="00C836C6" w:rsidRDefault="001409D5" w:rsidP="007B740E">
      <w:pPr>
        <w:spacing w:afterLines="120" w:after="288"/>
        <w:rPr>
          <w:rFonts w:ascii="Arial" w:hAnsi="Arial" w:cs="Arial"/>
        </w:rPr>
      </w:pPr>
      <w:r>
        <w:rPr>
          <w:rFonts w:ascii="Arial" w:hAnsi="Arial" w:cs="Arial"/>
          <w:b/>
        </w:rPr>
        <w:t xml:space="preserve">Supplementary Figure 6. Reversal of body mass phenotype is observed in male </w:t>
      </w:r>
      <w:r w:rsidRPr="00653725">
        <w:rPr>
          <w:rFonts w:ascii="Arial" w:hAnsi="Arial" w:cs="Arial"/>
          <w:b/>
          <w:i/>
          <w:iCs/>
        </w:rPr>
        <w:t>Grin1</w:t>
      </w:r>
      <w:r w:rsidRPr="00653725">
        <w:rPr>
          <w:rFonts w:ascii="Arial" w:hAnsi="Arial" w:cs="Arial"/>
          <w:b/>
          <w:i/>
          <w:iCs/>
          <w:vertAlign w:val="superscript"/>
        </w:rPr>
        <w:t>RESCUE</w:t>
      </w:r>
      <w:r>
        <w:rPr>
          <w:rFonts w:ascii="Arial" w:hAnsi="Arial" w:cs="Arial"/>
          <w:b/>
        </w:rPr>
        <w:t xml:space="preserve"> mice only with longer recovery period. </w:t>
      </w:r>
      <w:r w:rsidRPr="00D25B09">
        <w:rPr>
          <w:rFonts w:ascii="Arial" w:hAnsi="Arial" w:cs="Arial"/>
          <w:bCs/>
        </w:rPr>
        <w:t xml:space="preserve">All </w:t>
      </w:r>
      <w:r>
        <w:rPr>
          <w:rFonts w:ascii="Arial" w:hAnsi="Arial" w:cs="Arial"/>
          <w:bCs/>
        </w:rPr>
        <w:t>body weights</w:t>
      </w:r>
      <w:r w:rsidRPr="00D25B09">
        <w:rPr>
          <w:rFonts w:ascii="Arial" w:hAnsi="Arial" w:cs="Arial"/>
          <w:bCs/>
        </w:rPr>
        <w:t xml:space="preserve"> were measured in WT, </w:t>
      </w:r>
      <w:r w:rsidRPr="00D25B09">
        <w:rPr>
          <w:rFonts w:ascii="Arial" w:hAnsi="Arial" w:cs="Arial"/>
          <w:bCs/>
          <w:i/>
          <w:iCs/>
        </w:rPr>
        <w:t>Grin1</w:t>
      </w:r>
      <w:r w:rsidRPr="00D25B09">
        <w:rPr>
          <w:rFonts w:ascii="Arial" w:hAnsi="Arial" w:cs="Arial"/>
          <w:bCs/>
          <w:i/>
          <w:iCs/>
          <w:vertAlign w:val="superscript"/>
        </w:rPr>
        <w:t>KD</w:t>
      </w:r>
      <w:r w:rsidRPr="00D25B09">
        <w:rPr>
          <w:rFonts w:ascii="Arial" w:hAnsi="Arial" w:cs="Arial"/>
          <w:bCs/>
        </w:rPr>
        <w:t xml:space="preserve">, and </w:t>
      </w:r>
      <w:r w:rsidRPr="00D25B09">
        <w:rPr>
          <w:rFonts w:ascii="Arial" w:hAnsi="Arial" w:cs="Arial"/>
          <w:bCs/>
          <w:i/>
          <w:iCs/>
        </w:rPr>
        <w:t>Grin1</w:t>
      </w:r>
      <w:r w:rsidRPr="00D25B09">
        <w:rPr>
          <w:rFonts w:ascii="Arial" w:hAnsi="Arial" w:cs="Arial"/>
          <w:bCs/>
          <w:i/>
          <w:iCs/>
          <w:vertAlign w:val="superscript"/>
        </w:rPr>
        <w:t>RESCUE</w:t>
      </w:r>
      <w:r w:rsidRPr="00D25B09">
        <w:rPr>
          <w:rFonts w:ascii="Arial" w:hAnsi="Arial" w:cs="Arial"/>
          <w:bCs/>
        </w:rPr>
        <w:t xml:space="preserve"> mice</w:t>
      </w:r>
      <w:r>
        <w:rPr>
          <w:rFonts w:ascii="Arial" w:hAnsi="Arial" w:cs="Arial"/>
          <w:bCs/>
        </w:rPr>
        <w:t xml:space="preserve"> at either PD105 (left) or PD133 (right), following intervention at PD70</w:t>
      </w:r>
      <w:r w:rsidRPr="00D25B09">
        <w:rPr>
          <w:rFonts w:ascii="Arial" w:hAnsi="Arial" w:cs="Arial"/>
          <w:bCs/>
        </w:rPr>
        <w:t>.</w:t>
      </w:r>
      <w:r>
        <w:rPr>
          <w:rFonts w:ascii="Arial" w:hAnsi="Arial" w:cs="Arial"/>
          <w:bCs/>
        </w:rPr>
        <w:t xml:space="preserve"> </w:t>
      </w:r>
      <w:r w:rsidRPr="004A58EE">
        <w:rPr>
          <w:rFonts w:ascii="Arial" w:hAnsi="Arial" w:cs="Arial"/>
          <w:b/>
        </w:rPr>
        <w:t>(A</w:t>
      </w:r>
      <w:r>
        <w:rPr>
          <w:rFonts w:ascii="Arial" w:hAnsi="Arial" w:cs="Arial"/>
          <w:b/>
        </w:rPr>
        <w:t>,C</w:t>
      </w:r>
      <w:r w:rsidRPr="004A58EE">
        <w:rPr>
          <w:rFonts w:ascii="Arial" w:hAnsi="Arial" w:cs="Arial"/>
          <w:b/>
        </w:rPr>
        <w:t xml:space="preserve">) </w:t>
      </w:r>
      <w:r>
        <w:rPr>
          <w:rFonts w:ascii="Arial" w:hAnsi="Arial" w:cs="Arial"/>
        </w:rPr>
        <w:t>Male</w:t>
      </w:r>
      <w:r w:rsidRPr="004A58EE">
        <w:rPr>
          <w:rFonts w:ascii="Arial" w:hAnsi="Arial" w:cs="Arial"/>
        </w:rPr>
        <w:t xml:space="preserve"> and </w:t>
      </w:r>
      <w:r w:rsidRPr="00981256">
        <w:rPr>
          <w:rFonts w:ascii="Arial" w:hAnsi="Arial" w:cs="Arial"/>
          <w:b/>
          <w:bCs/>
        </w:rPr>
        <w:t>(B</w:t>
      </w:r>
      <w:r>
        <w:rPr>
          <w:rFonts w:ascii="Arial" w:hAnsi="Arial" w:cs="Arial"/>
          <w:b/>
          <w:bCs/>
        </w:rPr>
        <w:t>,D</w:t>
      </w:r>
      <w:r w:rsidRPr="00981256">
        <w:rPr>
          <w:rFonts w:ascii="Arial" w:hAnsi="Arial" w:cs="Arial"/>
          <w:b/>
          <w:bCs/>
        </w:rPr>
        <w:t>)</w:t>
      </w:r>
      <w:r>
        <w:rPr>
          <w:rFonts w:ascii="Arial" w:hAnsi="Arial" w:cs="Arial"/>
        </w:rPr>
        <w:t xml:space="preserve"> female body weights (g)</w:t>
      </w:r>
      <w:r w:rsidRPr="004A58EE">
        <w:rPr>
          <w:rFonts w:ascii="Arial" w:hAnsi="Arial" w:cs="Arial"/>
        </w:rPr>
        <w:t xml:space="preserve">. </w:t>
      </w:r>
      <w:r>
        <w:rPr>
          <w:rFonts w:ascii="Arial" w:hAnsi="Arial" w:cs="Arial"/>
        </w:rPr>
        <w:t>O</w:t>
      </w:r>
      <w:r w:rsidRPr="004A58EE">
        <w:rPr>
          <w:rFonts w:ascii="Arial" w:hAnsi="Arial" w:cs="Arial"/>
        </w:rPr>
        <w:t>ne-way ANOVA</w:t>
      </w:r>
      <w:r>
        <w:rPr>
          <w:rFonts w:ascii="Arial" w:hAnsi="Arial" w:cs="Arial"/>
        </w:rPr>
        <w:t>, body weight, effect of genotype: (A) F</w:t>
      </w:r>
      <w:r w:rsidRPr="00981256">
        <w:rPr>
          <w:rFonts w:ascii="Arial" w:hAnsi="Arial" w:cs="Arial"/>
          <w:vertAlign w:val="subscript"/>
        </w:rPr>
        <w:t>2,</w:t>
      </w:r>
      <w:r>
        <w:rPr>
          <w:rFonts w:ascii="Arial" w:hAnsi="Arial" w:cs="Arial"/>
          <w:vertAlign w:val="subscript"/>
        </w:rPr>
        <w:t>15</w:t>
      </w:r>
      <w:r>
        <w:rPr>
          <w:rFonts w:ascii="Arial" w:hAnsi="Arial" w:cs="Arial"/>
        </w:rPr>
        <w:t>=10.00, p=0.0017</w:t>
      </w:r>
      <w:r w:rsidRPr="004A58EE">
        <w:rPr>
          <w:rFonts w:ascii="Arial" w:hAnsi="Arial" w:cs="Arial"/>
        </w:rPr>
        <w:t>,</w:t>
      </w:r>
      <w:r>
        <w:rPr>
          <w:rFonts w:ascii="Arial" w:hAnsi="Arial" w:cs="Arial"/>
        </w:rPr>
        <w:t xml:space="preserve"> (B) F</w:t>
      </w:r>
      <w:r w:rsidRPr="00981256">
        <w:rPr>
          <w:rFonts w:ascii="Arial" w:hAnsi="Arial" w:cs="Arial"/>
          <w:vertAlign w:val="subscript"/>
        </w:rPr>
        <w:t>2,</w:t>
      </w:r>
      <w:r>
        <w:rPr>
          <w:rFonts w:ascii="Arial" w:hAnsi="Arial" w:cs="Arial"/>
          <w:vertAlign w:val="subscript"/>
        </w:rPr>
        <w:t>20</w:t>
      </w:r>
      <w:r>
        <w:rPr>
          <w:rFonts w:ascii="Arial" w:hAnsi="Arial" w:cs="Arial"/>
        </w:rPr>
        <w:t>=3.229, p=0.0609,</w:t>
      </w:r>
      <w:r w:rsidRPr="00C805F5">
        <w:rPr>
          <w:rFonts w:ascii="Arial" w:hAnsi="Arial" w:cs="Arial"/>
        </w:rPr>
        <w:t xml:space="preserve"> </w:t>
      </w:r>
      <w:r>
        <w:rPr>
          <w:rFonts w:ascii="Arial" w:hAnsi="Arial" w:cs="Arial"/>
        </w:rPr>
        <w:t>(C) F</w:t>
      </w:r>
      <w:r w:rsidRPr="00981256">
        <w:rPr>
          <w:rFonts w:ascii="Arial" w:hAnsi="Arial" w:cs="Arial"/>
          <w:vertAlign w:val="subscript"/>
        </w:rPr>
        <w:t>2,</w:t>
      </w:r>
      <w:r>
        <w:rPr>
          <w:rFonts w:ascii="Arial" w:hAnsi="Arial" w:cs="Arial"/>
          <w:vertAlign w:val="subscript"/>
        </w:rPr>
        <w:t>32</w:t>
      </w:r>
      <w:r>
        <w:rPr>
          <w:rFonts w:ascii="Arial" w:hAnsi="Arial" w:cs="Arial"/>
        </w:rPr>
        <w:t>=6.633, p=0.0039</w:t>
      </w:r>
      <w:r w:rsidRPr="004A58EE">
        <w:rPr>
          <w:rFonts w:ascii="Arial" w:hAnsi="Arial" w:cs="Arial"/>
        </w:rPr>
        <w:t>,</w:t>
      </w:r>
      <w:r>
        <w:rPr>
          <w:rFonts w:ascii="Arial" w:hAnsi="Arial" w:cs="Arial"/>
        </w:rPr>
        <w:t xml:space="preserve"> (D) F</w:t>
      </w:r>
      <w:r w:rsidRPr="00981256">
        <w:rPr>
          <w:rFonts w:ascii="Arial" w:hAnsi="Arial" w:cs="Arial"/>
          <w:vertAlign w:val="subscript"/>
        </w:rPr>
        <w:t>2,</w:t>
      </w:r>
      <w:r>
        <w:rPr>
          <w:rFonts w:ascii="Arial" w:hAnsi="Arial" w:cs="Arial"/>
          <w:vertAlign w:val="subscript"/>
        </w:rPr>
        <w:t>34</w:t>
      </w:r>
      <w:r>
        <w:rPr>
          <w:rFonts w:ascii="Arial" w:hAnsi="Arial" w:cs="Arial"/>
        </w:rPr>
        <w:t xml:space="preserve">=5.507, p=0.0085, </w:t>
      </w:r>
      <w:r w:rsidRPr="004A58EE">
        <w:rPr>
          <w:rFonts w:ascii="Arial" w:hAnsi="Arial" w:cs="Arial"/>
        </w:rPr>
        <w:t xml:space="preserve">Bonferroni </w:t>
      </w:r>
      <w:r w:rsidRPr="00093D2B">
        <w:rPr>
          <w:rFonts w:ascii="Arial" w:hAnsi="Arial" w:cs="Arial"/>
        </w:rPr>
        <w:t>post</w:t>
      </w:r>
      <w:r w:rsidR="00A52506">
        <w:rPr>
          <w:rFonts w:ascii="Arial" w:hAnsi="Arial" w:cs="Arial"/>
        </w:rPr>
        <w:t xml:space="preserve"> </w:t>
      </w:r>
      <w:r w:rsidRPr="00093D2B">
        <w:rPr>
          <w:rFonts w:ascii="Arial" w:hAnsi="Arial" w:cs="Arial"/>
        </w:rPr>
        <w:t>hoc.</w:t>
      </w:r>
      <w:r w:rsidRPr="001D2C17">
        <w:rPr>
          <w:rFonts w:ascii="Arial" w:hAnsi="Arial" w:cs="Arial"/>
        </w:rPr>
        <w:t xml:space="preserve"> </w:t>
      </w:r>
      <w:r w:rsidRPr="00E846AF">
        <w:rPr>
          <w:rFonts w:ascii="Arial" w:hAnsi="Arial" w:cs="Arial"/>
        </w:rPr>
        <w:t>All data shown as mean ± SEM, *p&lt;0.05, **p&lt;0.01, ***p&lt;0.001, ****p&lt;0.0001, ns = not significant.</w:t>
      </w:r>
      <w:r>
        <w:br w:type="page"/>
      </w:r>
    </w:p>
    <w:p w14:paraId="559A08FF" w14:textId="2A020FA2" w:rsidR="001409D5" w:rsidRDefault="004867E3" w:rsidP="001409D5">
      <w:pPr>
        <w:rPr>
          <w:rFonts w:ascii="Arial" w:hAnsi="Arial" w:cs="Arial"/>
          <w:b/>
          <w:bCs/>
        </w:rPr>
      </w:pPr>
      <w:r>
        <w:rPr>
          <w:rFonts w:ascii="Arial" w:hAnsi="Arial" w:cs="Arial"/>
          <w:b/>
          <w:bCs/>
          <w:noProof/>
        </w:rPr>
        <w:lastRenderedPageBreak/>
        <w:drawing>
          <wp:inline distT="0" distB="0" distL="0" distR="0" wp14:anchorId="2C1E74BF" wp14:editId="0303D065">
            <wp:extent cx="6380217" cy="2120900"/>
            <wp:effectExtent l="0" t="0" r="0" b="0"/>
            <wp:docPr id="1" name="Picture 1" descr="A picture containing clock,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elniketal2020_SuppFigX_EphysSTR.png"/>
                    <pic:cNvPicPr/>
                  </pic:nvPicPr>
                  <pic:blipFill rotWithShape="1">
                    <a:blip r:embed="rId15" cstate="print">
                      <a:extLst>
                        <a:ext uri="{28A0092B-C50C-407E-A947-70E740481C1C}">
                          <a14:useLocalDpi xmlns:a14="http://schemas.microsoft.com/office/drawing/2010/main" val="0"/>
                        </a:ext>
                      </a:extLst>
                    </a:blip>
                    <a:srcRect l="9716"/>
                    <a:stretch/>
                  </pic:blipFill>
                  <pic:spPr bwMode="auto">
                    <a:xfrm>
                      <a:off x="0" y="0"/>
                      <a:ext cx="6390241" cy="2124232"/>
                    </a:xfrm>
                    <a:prstGeom prst="rect">
                      <a:avLst/>
                    </a:prstGeom>
                    <a:ln>
                      <a:noFill/>
                    </a:ln>
                    <a:extLst>
                      <a:ext uri="{53640926-AAD7-44D8-BBD7-CCE9431645EC}">
                        <a14:shadowObscured xmlns:a14="http://schemas.microsoft.com/office/drawing/2010/main"/>
                      </a:ext>
                    </a:extLst>
                  </pic:spPr>
                </pic:pic>
              </a:graphicData>
            </a:graphic>
          </wp:inline>
        </w:drawing>
      </w:r>
    </w:p>
    <w:p w14:paraId="1157F602" w14:textId="77777777" w:rsidR="001409D5" w:rsidRDefault="001409D5" w:rsidP="001409D5">
      <w:pPr>
        <w:rPr>
          <w:rFonts w:ascii="Arial" w:hAnsi="Arial" w:cs="Arial"/>
          <w:b/>
          <w:bCs/>
        </w:rPr>
      </w:pPr>
    </w:p>
    <w:p w14:paraId="76855642" w14:textId="77777777" w:rsidR="001409D5" w:rsidRDefault="001409D5" w:rsidP="001409D5">
      <w:pPr>
        <w:rPr>
          <w:rFonts w:ascii="Arial" w:hAnsi="Arial" w:cs="Arial"/>
          <w:b/>
          <w:bCs/>
        </w:rPr>
      </w:pPr>
    </w:p>
    <w:p w14:paraId="744B1045" w14:textId="524AD9EE" w:rsidR="001409D5" w:rsidRPr="00D4549B" w:rsidRDefault="00B3526F" w:rsidP="001409D5">
      <w:r>
        <w:rPr>
          <w:rFonts w:ascii="Arial" w:hAnsi="Arial" w:cs="Arial"/>
          <w:b/>
          <w:bCs/>
        </w:rPr>
        <w:t xml:space="preserve">Supplementary Figure </w:t>
      </w:r>
      <w:r w:rsidR="00A52506">
        <w:rPr>
          <w:rFonts w:ascii="Arial" w:hAnsi="Arial" w:cs="Arial"/>
          <w:b/>
          <w:bCs/>
        </w:rPr>
        <w:t>7</w:t>
      </w:r>
      <w:r>
        <w:rPr>
          <w:rFonts w:ascii="Arial" w:hAnsi="Arial" w:cs="Arial"/>
          <w:b/>
          <w:bCs/>
        </w:rPr>
        <w:t xml:space="preserve">. </w:t>
      </w:r>
      <w:r w:rsidRPr="004A58EE">
        <w:rPr>
          <w:rFonts w:ascii="Arial" w:hAnsi="Arial" w:cs="Arial"/>
          <w:b/>
        </w:rPr>
        <w:t xml:space="preserve">NMDAR </w:t>
      </w:r>
      <w:r>
        <w:rPr>
          <w:rFonts w:ascii="Arial" w:hAnsi="Arial" w:cs="Arial"/>
          <w:b/>
        </w:rPr>
        <w:t xml:space="preserve">currents </w:t>
      </w:r>
      <w:r w:rsidRPr="004A58EE">
        <w:rPr>
          <w:rFonts w:ascii="Arial" w:hAnsi="Arial" w:cs="Arial"/>
          <w:b/>
        </w:rPr>
        <w:t xml:space="preserve">are </w:t>
      </w:r>
      <w:r>
        <w:rPr>
          <w:rFonts w:ascii="Arial" w:hAnsi="Arial" w:cs="Arial"/>
          <w:b/>
        </w:rPr>
        <w:t xml:space="preserve">not </w:t>
      </w:r>
      <w:r w:rsidRPr="004A58EE">
        <w:rPr>
          <w:rFonts w:ascii="Arial" w:hAnsi="Arial" w:cs="Arial"/>
          <w:b/>
        </w:rPr>
        <w:t xml:space="preserve">restored in the </w:t>
      </w:r>
      <w:r>
        <w:rPr>
          <w:rFonts w:ascii="Arial" w:hAnsi="Arial" w:cs="Arial"/>
          <w:b/>
        </w:rPr>
        <w:t xml:space="preserve">dorsal striatum of </w:t>
      </w:r>
      <w:r w:rsidRPr="004A0D1E">
        <w:rPr>
          <w:rFonts w:ascii="Arial" w:hAnsi="Arial" w:cs="Arial"/>
          <w:b/>
          <w:i/>
          <w:iCs/>
        </w:rPr>
        <w:t>Grin1</w:t>
      </w:r>
      <w:r w:rsidRPr="004A0D1E">
        <w:rPr>
          <w:rFonts w:ascii="Arial" w:hAnsi="Arial" w:cs="Arial"/>
          <w:b/>
          <w:i/>
          <w:iCs/>
          <w:vertAlign w:val="superscript"/>
        </w:rPr>
        <w:t>RESCUE</w:t>
      </w:r>
      <w:r w:rsidRPr="004A0D1E">
        <w:rPr>
          <w:rFonts w:ascii="Arial" w:hAnsi="Arial" w:cs="Arial"/>
          <w:b/>
          <w:i/>
          <w:iCs/>
        </w:rPr>
        <w:t xml:space="preserve"> </w:t>
      </w:r>
      <w:r>
        <w:rPr>
          <w:rFonts w:ascii="Arial" w:hAnsi="Arial" w:cs="Arial"/>
          <w:b/>
        </w:rPr>
        <w:t>mice.</w:t>
      </w:r>
      <w:r>
        <w:rPr>
          <w:rFonts w:ascii="Arial" w:hAnsi="Arial" w:cs="Arial"/>
          <w:b/>
          <w:bCs/>
        </w:rPr>
        <w:t xml:space="preserve"> </w:t>
      </w:r>
      <w:r w:rsidRPr="004F1C84">
        <w:rPr>
          <w:rFonts w:ascii="Arial" w:hAnsi="Arial" w:cs="Arial"/>
          <w:b/>
          <w:bCs/>
        </w:rPr>
        <w:t>(</w:t>
      </w:r>
      <w:r>
        <w:rPr>
          <w:rFonts w:ascii="Arial" w:hAnsi="Arial" w:cs="Arial"/>
          <w:b/>
          <w:bCs/>
        </w:rPr>
        <w:t>A</w:t>
      </w:r>
      <w:r w:rsidRPr="004F1C84">
        <w:rPr>
          <w:rFonts w:ascii="Arial" w:hAnsi="Arial" w:cs="Arial"/>
          <w:b/>
          <w:bCs/>
        </w:rPr>
        <w:t>)</w:t>
      </w:r>
      <w:r w:rsidRPr="004F1C84">
        <w:rPr>
          <w:rFonts w:ascii="Arial" w:hAnsi="Arial" w:cs="Arial"/>
        </w:rPr>
        <w:t xml:space="preserve"> Schematic of dorsal striatum </w:t>
      </w:r>
      <w:r>
        <w:rPr>
          <w:rFonts w:ascii="Arial" w:hAnsi="Arial" w:cs="Arial"/>
        </w:rPr>
        <w:t xml:space="preserve">[adapted from 12] </w:t>
      </w:r>
      <w:r w:rsidRPr="004F1C84">
        <w:rPr>
          <w:rFonts w:ascii="Arial" w:hAnsi="Arial" w:cs="Arial"/>
        </w:rPr>
        <w:t xml:space="preserve">with whole cell patch clamp recording. Inset: </w:t>
      </w:r>
      <w:r w:rsidRPr="004A58EE">
        <w:rPr>
          <w:rFonts w:ascii="Arial" w:hAnsi="Arial" w:cs="Arial"/>
        </w:rPr>
        <w:t xml:space="preserve">electrophysiological signature of </w:t>
      </w:r>
      <w:r w:rsidRPr="004A58EE">
        <w:rPr>
          <w:rFonts w:ascii="Arial" w:hAnsi="Arial" w:cs="Arial"/>
          <w:i/>
        </w:rPr>
        <w:t>Grin1</w:t>
      </w:r>
      <w:r w:rsidRPr="004A58EE">
        <w:rPr>
          <w:rFonts w:ascii="Arial" w:hAnsi="Arial" w:cs="Arial"/>
          <w:i/>
          <w:vertAlign w:val="superscript"/>
        </w:rPr>
        <w:t>RESCUE</w:t>
      </w:r>
      <w:r w:rsidRPr="004A58EE">
        <w:rPr>
          <w:rFonts w:ascii="Arial" w:hAnsi="Arial" w:cs="Arial"/>
        </w:rPr>
        <w:t xml:space="preserve"> </w:t>
      </w:r>
      <w:r>
        <w:rPr>
          <w:rFonts w:ascii="Arial" w:hAnsi="Arial" w:cs="Arial"/>
        </w:rPr>
        <w:t>medium spiny</w:t>
      </w:r>
      <w:r w:rsidRPr="004A58EE">
        <w:rPr>
          <w:rFonts w:ascii="Arial" w:hAnsi="Arial" w:cs="Arial"/>
        </w:rPr>
        <w:t xml:space="preserve"> neuron</w:t>
      </w:r>
      <w:r>
        <w:rPr>
          <w:rFonts w:ascii="Arial" w:hAnsi="Arial" w:cs="Arial"/>
        </w:rPr>
        <w:t>.</w:t>
      </w:r>
      <w:r w:rsidRPr="004F1C84">
        <w:rPr>
          <w:rFonts w:ascii="Arial" w:hAnsi="Arial" w:cs="Arial"/>
        </w:rPr>
        <w:t xml:space="preserve"> </w:t>
      </w:r>
      <w:r w:rsidRPr="004F1C84">
        <w:rPr>
          <w:rFonts w:ascii="Arial" w:hAnsi="Arial" w:cs="Arial"/>
          <w:b/>
          <w:bCs/>
        </w:rPr>
        <w:t>(</w:t>
      </w:r>
      <w:r>
        <w:rPr>
          <w:rFonts w:ascii="Arial" w:hAnsi="Arial" w:cs="Arial"/>
          <w:b/>
          <w:bCs/>
        </w:rPr>
        <w:t>B</w:t>
      </w:r>
      <w:r w:rsidRPr="004F1C84">
        <w:rPr>
          <w:rFonts w:ascii="Arial" w:hAnsi="Arial" w:cs="Arial"/>
          <w:b/>
          <w:bCs/>
        </w:rPr>
        <w:t>)</w:t>
      </w:r>
      <w:r w:rsidRPr="004F1C84">
        <w:rPr>
          <w:rFonts w:ascii="Arial" w:hAnsi="Arial" w:cs="Arial"/>
        </w:rPr>
        <w:t xml:space="preserve"> Representative traces in voltage-clamp (-75 mV) showing striatal response to NMDA across the three genotypes (number of medium spiny neurons shown, 4-5 mice per genotype). </w:t>
      </w:r>
      <w:r w:rsidRPr="004F1C84">
        <w:rPr>
          <w:rFonts w:ascii="Arial" w:hAnsi="Arial" w:cs="Arial"/>
          <w:b/>
          <w:bCs/>
        </w:rPr>
        <w:t>(</w:t>
      </w:r>
      <w:r>
        <w:rPr>
          <w:rFonts w:ascii="Arial" w:hAnsi="Arial" w:cs="Arial"/>
          <w:b/>
          <w:bCs/>
        </w:rPr>
        <w:t>C</w:t>
      </w:r>
      <w:r w:rsidRPr="004F1C84">
        <w:rPr>
          <w:rFonts w:ascii="Arial" w:hAnsi="Arial" w:cs="Arial"/>
          <w:b/>
          <w:bCs/>
        </w:rPr>
        <w:t>)</w:t>
      </w:r>
      <w:r w:rsidRPr="004F1C84">
        <w:rPr>
          <w:rFonts w:ascii="Arial" w:hAnsi="Arial" w:cs="Arial"/>
        </w:rPr>
        <w:t xml:space="preserve"> Quantification of peak amplitude of NMDAR currents in medium spiny neurons. </w:t>
      </w:r>
      <w:r>
        <w:rPr>
          <w:rFonts w:ascii="Arial" w:hAnsi="Arial" w:cs="Arial"/>
        </w:rPr>
        <w:t>O</w:t>
      </w:r>
      <w:r w:rsidRPr="004F1C84">
        <w:rPr>
          <w:rFonts w:ascii="Arial" w:hAnsi="Arial" w:cs="Arial"/>
        </w:rPr>
        <w:t>ne-way ANOVA, effect of genotype, F</w:t>
      </w:r>
      <w:r w:rsidRPr="004F1C84">
        <w:rPr>
          <w:rFonts w:ascii="Arial" w:hAnsi="Arial" w:cs="Arial"/>
          <w:vertAlign w:val="subscript"/>
        </w:rPr>
        <w:t>2,72</w:t>
      </w:r>
      <w:r w:rsidRPr="004F1C84">
        <w:rPr>
          <w:rFonts w:ascii="Arial" w:hAnsi="Arial" w:cs="Arial"/>
        </w:rPr>
        <w:t xml:space="preserve"> =13, p&lt;0.0001, Bonferroni post</w:t>
      </w:r>
      <w:r w:rsidR="00A52506">
        <w:rPr>
          <w:rFonts w:ascii="Arial" w:hAnsi="Arial" w:cs="Arial"/>
        </w:rPr>
        <w:t xml:space="preserve"> </w:t>
      </w:r>
      <w:r w:rsidRPr="004F1C84">
        <w:rPr>
          <w:rFonts w:ascii="Arial" w:hAnsi="Arial" w:cs="Arial"/>
        </w:rPr>
        <w:t>hoc</w:t>
      </w:r>
      <w:r>
        <w:rPr>
          <w:rFonts w:ascii="Arial" w:hAnsi="Arial" w:cs="Arial"/>
        </w:rPr>
        <w:t xml:space="preserve">. All data shown as </w:t>
      </w:r>
      <w:r w:rsidRPr="004A58EE">
        <w:rPr>
          <w:rFonts w:ascii="Arial" w:hAnsi="Arial" w:cs="Arial"/>
        </w:rPr>
        <w:t>mean ± SEM</w:t>
      </w:r>
      <w:r>
        <w:rPr>
          <w:rFonts w:ascii="Arial" w:hAnsi="Arial" w:cs="Arial"/>
        </w:rPr>
        <w:t>,</w:t>
      </w:r>
      <w:r w:rsidRPr="00F222F1">
        <w:rPr>
          <w:rFonts w:ascii="Arial" w:hAnsi="Arial" w:cs="Arial"/>
        </w:rPr>
        <w:t xml:space="preserve"> </w:t>
      </w:r>
      <w:r w:rsidRPr="004A58EE">
        <w:rPr>
          <w:rFonts w:ascii="Arial" w:hAnsi="Arial" w:cs="Arial"/>
        </w:rPr>
        <w:t>*p&lt;0.05</w:t>
      </w:r>
      <w:r>
        <w:rPr>
          <w:rFonts w:ascii="Arial" w:hAnsi="Arial" w:cs="Arial"/>
        </w:rPr>
        <w:t xml:space="preserve">, </w:t>
      </w:r>
      <w:r w:rsidRPr="004A58EE">
        <w:rPr>
          <w:rFonts w:ascii="Arial" w:hAnsi="Arial" w:cs="Arial"/>
        </w:rPr>
        <w:t>**p&lt;0.01</w:t>
      </w:r>
      <w:r>
        <w:rPr>
          <w:rFonts w:ascii="Arial" w:hAnsi="Arial" w:cs="Arial"/>
        </w:rPr>
        <w:t xml:space="preserve">, </w:t>
      </w:r>
      <w:r w:rsidRPr="004A58EE">
        <w:rPr>
          <w:rFonts w:ascii="Arial" w:hAnsi="Arial" w:cs="Arial"/>
        </w:rPr>
        <w:t>***p&lt;0.001</w:t>
      </w:r>
      <w:r>
        <w:rPr>
          <w:rFonts w:ascii="Arial" w:hAnsi="Arial" w:cs="Arial"/>
        </w:rPr>
        <w:t xml:space="preserve">, </w:t>
      </w:r>
      <w:r w:rsidRPr="004A58EE">
        <w:rPr>
          <w:rFonts w:ascii="Arial" w:hAnsi="Arial" w:cs="Arial"/>
        </w:rPr>
        <w:t>****p&lt;0.0001</w:t>
      </w:r>
      <w:r>
        <w:rPr>
          <w:rFonts w:ascii="Arial" w:hAnsi="Arial" w:cs="Arial"/>
        </w:rPr>
        <w:t>, ns = not significant.</w:t>
      </w:r>
      <w:r w:rsidR="001409D5">
        <w:rPr>
          <w:rFonts w:ascii="Arial" w:hAnsi="Arial" w:cs="Arial"/>
          <w:sz w:val="22"/>
          <w:szCs w:val="22"/>
        </w:rPr>
        <w:br w:type="page"/>
      </w:r>
    </w:p>
    <w:p w14:paraId="0FA37D33" w14:textId="37E3CCEC" w:rsidR="001409D5" w:rsidRDefault="001409D5" w:rsidP="001409D5">
      <w:pPr>
        <w:rPr>
          <w:rFonts w:ascii="Arial" w:hAnsi="Arial" w:cs="Arial"/>
          <w:b/>
        </w:rPr>
      </w:pPr>
      <w:r>
        <w:rPr>
          <w:rFonts w:ascii="Arial" w:hAnsi="Arial" w:cs="Arial"/>
        </w:rPr>
        <w:lastRenderedPageBreak/>
        <w:t xml:space="preserve">Supplementary Table I. </w:t>
      </w:r>
      <w:r>
        <w:rPr>
          <w:rFonts w:ascii="Arial" w:hAnsi="Arial" w:cs="Arial"/>
          <w:b/>
        </w:rPr>
        <w:t>Intrinsic membrane properties of layer 5 pyramidal neurons in medial prefrontal cortex, related to Figure 3.</w:t>
      </w:r>
    </w:p>
    <w:tbl>
      <w:tblPr>
        <w:tblStyle w:val="TableGrid"/>
        <w:tblpPr w:leftFromText="180" w:rightFromText="180" w:vertAnchor="page" w:horzAnchor="margin" w:tblpY="2162"/>
        <w:tblW w:w="0" w:type="auto"/>
        <w:tblLook w:val="04A0" w:firstRow="1" w:lastRow="0" w:firstColumn="1" w:lastColumn="0" w:noHBand="0" w:noVBand="1"/>
      </w:tblPr>
      <w:tblGrid>
        <w:gridCol w:w="2547"/>
        <w:gridCol w:w="1480"/>
        <w:gridCol w:w="1480"/>
        <w:gridCol w:w="1510"/>
        <w:gridCol w:w="1480"/>
      </w:tblGrid>
      <w:tr w:rsidR="007B740E" w:rsidRPr="00B50D8C" w14:paraId="0D7A6DB9" w14:textId="77777777" w:rsidTr="007B740E">
        <w:tc>
          <w:tcPr>
            <w:tcW w:w="2547" w:type="dxa"/>
            <w:tcBorders>
              <w:top w:val="nil"/>
              <w:left w:val="nil"/>
              <w:bottom w:val="single" w:sz="4" w:space="0" w:color="auto"/>
              <w:right w:val="nil"/>
            </w:tcBorders>
          </w:tcPr>
          <w:p w14:paraId="03A50259" w14:textId="77777777" w:rsidR="007B740E" w:rsidRPr="00B50D8C" w:rsidRDefault="007B740E" w:rsidP="007B740E">
            <w:pPr>
              <w:rPr>
                <w:rFonts w:ascii="Arial" w:hAnsi="Arial" w:cs="Arial"/>
              </w:rPr>
            </w:pPr>
          </w:p>
        </w:tc>
        <w:tc>
          <w:tcPr>
            <w:tcW w:w="5950" w:type="dxa"/>
            <w:gridSpan w:val="4"/>
            <w:tcBorders>
              <w:top w:val="nil"/>
              <w:left w:val="nil"/>
              <w:bottom w:val="single" w:sz="4" w:space="0" w:color="auto"/>
              <w:right w:val="nil"/>
            </w:tcBorders>
          </w:tcPr>
          <w:p w14:paraId="6C57D2B7" w14:textId="77777777" w:rsidR="007B740E" w:rsidRPr="001F0C6F" w:rsidRDefault="007B740E" w:rsidP="007B740E">
            <w:pPr>
              <w:rPr>
                <w:rFonts w:ascii="Arial" w:hAnsi="Arial"/>
                <w:lang w:val="fr-CA"/>
              </w:rPr>
            </w:pPr>
            <w:proofErr w:type="spellStart"/>
            <w:r w:rsidRPr="001F0C6F">
              <w:rPr>
                <w:rFonts w:ascii="Arial" w:hAnsi="Arial"/>
                <w:lang w:val="fr-CA"/>
              </w:rPr>
              <w:t>Prefrontal</w:t>
            </w:r>
            <w:proofErr w:type="spellEnd"/>
            <w:r w:rsidRPr="001F0C6F">
              <w:rPr>
                <w:rFonts w:ascii="Arial" w:hAnsi="Arial"/>
                <w:lang w:val="fr-CA"/>
              </w:rPr>
              <w:t xml:space="preserve"> Cortex</w:t>
            </w:r>
          </w:p>
          <w:p w14:paraId="003BB424" w14:textId="77777777" w:rsidR="007B740E" w:rsidRPr="001F0C6F" w:rsidRDefault="007B740E" w:rsidP="007B740E">
            <w:pPr>
              <w:rPr>
                <w:rFonts w:ascii="Arial" w:hAnsi="Arial"/>
              </w:rPr>
            </w:pPr>
            <w:r w:rsidRPr="001F0C6F">
              <w:rPr>
                <w:rFonts w:ascii="Arial" w:hAnsi="Arial"/>
                <w:lang w:val="fr-CA"/>
              </w:rPr>
              <w:t xml:space="preserve">Layer 5 Pyramidal </w:t>
            </w:r>
            <w:proofErr w:type="spellStart"/>
            <w:r w:rsidRPr="001F0C6F">
              <w:rPr>
                <w:rFonts w:ascii="Arial" w:hAnsi="Arial"/>
                <w:lang w:val="fr-CA"/>
              </w:rPr>
              <w:t>Neurons</w:t>
            </w:r>
            <w:proofErr w:type="spellEnd"/>
          </w:p>
        </w:tc>
      </w:tr>
      <w:tr w:rsidR="007B740E" w:rsidRPr="00B50D8C" w14:paraId="05825897" w14:textId="77777777" w:rsidTr="007B740E">
        <w:trPr>
          <w:trHeight w:val="413"/>
        </w:trPr>
        <w:tc>
          <w:tcPr>
            <w:tcW w:w="2547" w:type="dxa"/>
            <w:tcBorders>
              <w:top w:val="single" w:sz="4" w:space="0" w:color="auto"/>
              <w:left w:val="nil"/>
              <w:bottom w:val="single" w:sz="24" w:space="0" w:color="auto"/>
              <w:right w:val="nil"/>
            </w:tcBorders>
            <w:vAlign w:val="bottom"/>
          </w:tcPr>
          <w:p w14:paraId="2CCFFEDE" w14:textId="77777777" w:rsidR="007B740E" w:rsidRPr="00B50D8C" w:rsidRDefault="007B740E" w:rsidP="007B740E">
            <w:pPr>
              <w:jc w:val="center"/>
              <w:rPr>
                <w:rFonts w:ascii="Arial" w:hAnsi="Arial" w:cs="Arial"/>
              </w:rPr>
            </w:pPr>
            <w:r>
              <w:rPr>
                <w:rFonts w:ascii="Arial" w:hAnsi="Arial" w:cs="Arial"/>
              </w:rPr>
              <w:t>Membrane Properties</w:t>
            </w:r>
          </w:p>
        </w:tc>
        <w:tc>
          <w:tcPr>
            <w:tcW w:w="1480" w:type="dxa"/>
            <w:tcBorders>
              <w:top w:val="single" w:sz="4" w:space="0" w:color="auto"/>
              <w:left w:val="nil"/>
              <w:bottom w:val="single" w:sz="24" w:space="0" w:color="auto"/>
              <w:right w:val="nil"/>
            </w:tcBorders>
            <w:vAlign w:val="bottom"/>
          </w:tcPr>
          <w:p w14:paraId="42715662" w14:textId="77777777" w:rsidR="007B740E" w:rsidRPr="009A7705" w:rsidRDefault="007B740E" w:rsidP="007B740E">
            <w:pPr>
              <w:jc w:val="center"/>
              <w:rPr>
                <w:rFonts w:ascii="Arial" w:hAnsi="Arial" w:cs="Arial"/>
                <w:b/>
              </w:rPr>
            </w:pPr>
            <w:r w:rsidRPr="009A7705">
              <w:rPr>
                <w:rFonts w:ascii="Arial" w:hAnsi="Arial" w:cs="Arial"/>
                <w:b/>
              </w:rPr>
              <w:t>WT</w:t>
            </w:r>
          </w:p>
        </w:tc>
        <w:tc>
          <w:tcPr>
            <w:tcW w:w="1480" w:type="dxa"/>
            <w:tcBorders>
              <w:top w:val="single" w:sz="4" w:space="0" w:color="auto"/>
              <w:left w:val="nil"/>
              <w:bottom w:val="single" w:sz="24" w:space="0" w:color="auto"/>
              <w:right w:val="nil"/>
            </w:tcBorders>
            <w:vAlign w:val="bottom"/>
          </w:tcPr>
          <w:p w14:paraId="110BC173" w14:textId="77777777" w:rsidR="007B740E" w:rsidRPr="00DC01C8" w:rsidRDefault="007B740E" w:rsidP="007B740E">
            <w:pPr>
              <w:jc w:val="center"/>
              <w:rPr>
                <w:rFonts w:ascii="Arial" w:hAnsi="Arial" w:cs="Arial"/>
                <w:b/>
                <w:i/>
              </w:rPr>
            </w:pPr>
            <w:r w:rsidRPr="00DC01C8">
              <w:rPr>
                <w:rFonts w:ascii="Arial" w:hAnsi="Arial" w:cs="Arial"/>
                <w:b/>
                <w:i/>
              </w:rPr>
              <w:t>Grin1</w:t>
            </w:r>
            <w:r w:rsidRPr="00684EC9">
              <w:rPr>
                <w:rFonts w:ascii="Arial" w:hAnsi="Arial" w:cs="Arial"/>
                <w:b/>
                <w:iCs/>
                <w:vertAlign w:val="superscript"/>
              </w:rPr>
              <w:t>KD</w:t>
            </w:r>
          </w:p>
        </w:tc>
        <w:tc>
          <w:tcPr>
            <w:tcW w:w="1510" w:type="dxa"/>
            <w:tcBorders>
              <w:top w:val="single" w:sz="4" w:space="0" w:color="auto"/>
              <w:left w:val="nil"/>
              <w:bottom w:val="single" w:sz="24" w:space="0" w:color="auto"/>
              <w:right w:val="nil"/>
            </w:tcBorders>
            <w:vAlign w:val="bottom"/>
          </w:tcPr>
          <w:p w14:paraId="0B091612" w14:textId="77777777" w:rsidR="007B740E" w:rsidRPr="00DC01C8" w:rsidRDefault="007B740E" w:rsidP="007B740E">
            <w:pPr>
              <w:jc w:val="center"/>
              <w:rPr>
                <w:rFonts w:ascii="Arial" w:hAnsi="Arial" w:cs="Arial"/>
                <w:b/>
                <w:i/>
              </w:rPr>
            </w:pPr>
            <w:r w:rsidRPr="00DC01C8">
              <w:rPr>
                <w:rFonts w:ascii="Arial" w:hAnsi="Arial" w:cs="Arial"/>
                <w:b/>
                <w:i/>
              </w:rPr>
              <w:t>Grin1</w:t>
            </w:r>
            <w:r w:rsidRPr="00684EC9">
              <w:rPr>
                <w:rFonts w:ascii="Arial" w:hAnsi="Arial" w:cs="Arial"/>
                <w:b/>
                <w:iCs/>
                <w:vertAlign w:val="superscript"/>
              </w:rPr>
              <w:t>RESCUE</w:t>
            </w:r>
          </w:p>
        </w:tc>
        <w:tc>
          <w:tcPr>
            <w:tcW w:w="1480" w:type="dxa"/>
            <w:tcBorders>
              <w:top w:val="single" w:sz="4" w:space="0" w:color="auto"/>
              <w:left w:val="nil"/>
              <w:bottom w:val="single" w:sz="24" w:space="0" w:color="auto"/>
              <w:right w:val="nil"/>
            </w:tcBorders>
            <w:vAlign w:val="bottom"/>
          </w:tcPr>
          <w:p w14:paraId="76A07A57" w14:textId="77777777" w:rsidR="007B740E" w:rsidRPr="009A7705" w:rsidRDefault="007B740E" w:rsidP="007B740E">
            <w:pPr>
              <w:jc w:val="center"/>
              <w:rPr>
                <w:rFonts w:ascii="Arial" w:hAnsi="Arial" w:cs="Arial"/>
                <w:i/>
              </w:rPr>
            </w:pPr>
            <w:r w:rsidRPr="009A7705">
              <w:rPr>
                <w:rFonts w:ascii="Arial" w:hAnsi="Arial" w:cs="Arial"/>
                <w:i/>
              </w:rPr>
              <w:t>P</w:t>
            </w:r>
          </w:p>
        </w:tc>
      </w:tr>
      <w:tr w:rsidR="007B740E" w:rsidRPr="00B50D8C" w14:paraId="0F13F31E" w14:textId="77777777" w:rsidTr="007B740E">
        <w:tc>
          <w:tcPr>
            <w:tcW w:w="2547" w:type="dxa"/>
            <w:tcBorders>
              <w:top w:val="single" w:sz="24" w:space="0" w:color="auto"/>
              <w:left w:val="nil"/>
              <w:bottom w:val="nil"/>
              <w:right w:val="nil"/>
            </w:tcBorders>
          </w:tcPr>
          <w:p w14:paraId="748D4B6E" w14:textId="77777777" w:rsidR="007B740E" w:rsidRPr="00B50D8C" w:rsidRDefault="007B740E" w:rsidP="007B740E">
            <w:pPr>
              <w:rPr>
                <w:rFonts w:ascii="Arial" w:hAnsi="Arial" w:cs="Arial"/>
              </w:rPr>
            </w:pPr>
            <w:r w:rsidRPr="00B50D8C">
              <w:rPr>
                <w:rFonts w:ascii="Arial" w:hAnsi="Arial" w:cs="Arial"/>
              </w:rPr>
              <w:t>RMP (mV)</w:t>
            </w:r>
          </w:p>
        </w:tc>
        <w:tc>
          <w:tcPr>
            <w:tcW w:w="1480" w:type="dxa"/>
            <w:tcBorders>
              <w:top w:val="single" w:sz="24" w:space="0" w:color="auto"/>
              <w:left w:val="nil"/>
              <w:bottom w:val="nil"/>
              <w:right w:val="nil"/>
            </w:tcBorders>
            <w:vAlign w:val="bottom"/>
          </w:tcPr>
          <w:p w14:paraId="6B93AC1A" w14:textId="77777777" w:rsidR="007B740E" w:rsidRPr="00B50D8C" w:rsidRDefault="007B740E" w:rsidP="007B740E">
            <w:pPr>
              <w:jc w:val="center"/>
              <w:rPr>
                <w:rFonts w:ascii="Arial" w:hAnsi="Arial" w:cs="Arial"/>
              </w:rPr>
            </w:pPr>
            <w:r>
              <w:rPr>
                <w:rFonts w:ascii="Arial" w:hAnsi="Arial" w:cs="Arial"/>
              </w:rPr>
              <w:t xml:space="preserve">-76 </w:t>
            </w:r>
            <w:r>
              <w:rPr>
                <w:rFonts w:ascii="Arial" w:hAnsi="Arial" w:cs="Arial"/>
              </w:rPr>
              <w:sym w:font="Symbol" w:char="F0B1"/>
            </w:r>
            <w:r>
              <w:rPr>
                <w:rFonts w:ascii="Arial" w:hAnsi="Arial" w:cs="Arial"/>
              </w:rPr>
              <w:t xml:space="preserve"> 1</w:t>
            </w:r>
          </w:p>
        </w:tc>
        <w:tc>
          <w:tcPr>
            <w:tcW w:w="1480" w:type="dxa"/>
            <w:tcBorders>
              <w:top w:val="single" w:sz="24" w:space="0" w:color="auto"/>
              <w:left w:val="nil"/>
              <w:bottom w:val="nil"/>
              <w:right w:val="nil"/>
            </w:tcBorders>
            <w:vAlign w:val="bottom"/>
          </w:tcPr>
          <w:p w14:paraId="1B3E4614" w14:textId="77777777" w:rsidR="007B740E" w:rsidRPr="00B50D8C" w:rsidRDefault="007B740E" w:rsidP="007B740E">
            <w:pPr>
              <w:jc w:val="center"/>
              <w:rPr>
                <w:rFonts w:ascii="Arial" w:hAnsi="Arial" w:cs="Arial"/>
              </w:rPr>
            </w:pPr>
            <w:r>
              <w:rPr>
                <w:rFonts w:ascii="Arial" w:hAnsi="Arial" w:cs="Arial"/>
              </w:rPr>
              <w:t xml:space="preserve">-76 </w:t>
            </w:r>
            <w:r>
              <w:rPr>
                <w:rFonts w:ascii="Arial" w:hAnsi="Arial" w:cs="Arial"/>
              </w:rPr>
              <w:sym w:font="Symbol" w:char="F0B1"/>
            </w:r>
            <w:r>
              <w:rPr>
                <w:rFonts w:ascii="Arial" w:hAnsi="Arial" w:cs="Arial"/>
              </w:rPr>
              <w:t xml:space="preserve"> 1</w:t>
            </w:r>
          </w:p>
        </w:tc>
        <w:tc>
          <w:tcPr>
            <w:tcW w:w="1510" w:type="dxa"/>
            <w:tcBorders>
              <w:top w:val="single" w:sz="24" w:space="0" w:color="auto"/>
              <w:left w:val="nil"/>
              <w:bottom w:val="nil"/>
              <w:right w:val="nil"/>
            </w:tcBorders>
            <w:vAlign w:val="bottom"/>
          </w:tcPr>
          <w:p w14:paraId="3F131EA5" w14:textId="77777777" w:rsidR="007B740E" w:rsidRPr="00B50D8C" w:rsidRDefault="007B740E" w:rsidP="007B740E">
            <w:pPr>
              <w:jc w:val="center"/>
              <w:rPr>
                <w:rFonts w:ascii="Arial" w:hAnsi="Arial" w:cs="Arial"/>
              </w:rPr>
            </w:pPr>
            <w:r>
              <w:rPr>
                <w:rFonts w:ascii="Arial" w:hAnsi="Arial" w:cs="Arial"/>
              </w:rPr>
              <w:t xml:space="preserve">-77 </w:t>
            </w:r>
            <w:r>
              <w:rPr>
                <w:rFonts w:ascii="Arial" w:hAnsi="Arial" w:cs="Arial"/>
              </w:rPr>
              <w:sym w:font="Symbol" w:char="F0B1"/>
            </w:r>
            <w:r>
              <w:rPr>
                <w:rFonts w:ascii="Arial" w:hAnsi="Arial" w:cs="Arial"/>
              </w:rPr>
              <w:t xml:space="preserve"> 1</w:t>
            </w:r>
          </w:p>
        </w:tc>
        <w:tc>
          <w:tcPr>
            <w:tcW w:w="1480" w:type="dxa"/>
            <w:tcBorders>
              <w:top w:val="single" w:sz="24" w:space="0" w:color="auto"/>
              <w:left w:val="nil"/>
              <w:bottom w:val="nil"/>
              <w:right w:val="nil"/>
            </w:tcBorders>
            <w:vAlign w:val="bottom"/>
          </w:tcPr>
          <w:p w14:paraId="5B8B6E51" w14:textId="77777777" w:rsidR="007B740E" w:rsidRPr="00B50D8C" w:rsidRDefault="007B740E" w:rsidP="007B740E">
            <w:pPr>
              <w:jc w:val="center"/>
              <w:rPr>
                <w:rFonts w:ascii="Arial" w:hAnsi="Arial" w:cs="Arial"/>
              </w:rPr>
            </w:pPr>
            <w:r>
              <w:rPr>
                <w:rFonts w:ascii="Arial" w:hAnsi="Arial" w:cs="Arial"/>
              </w:rPr>
              <w:t>0.50</w:t>
            </w:r>
          </w:p>
        </w:tc>
      </w:tr>
      <w:tr w:rsidR="007B740E" w:rsidRPr="00B50D8C" w14:paraId="76978993" w14:textId="77777777" w:rsidTr="007B740E">
        <w:tc>
          <w:tcPr>
            <w:tcW w:w="2547" w:type="dxa"/>
            <w:tcBorders>
              <w:top w:val="nil"/>
              <w:left w:val="nil"/>
              <w:bottom w:val="nil"/>
              <w:right w:val="nil"/>
            </w:tcBorders>
          </w:tcPr>
          <w:p w14:paraId="0B6289A3" w14:textId="77777777" w:rsidR="007B740E" w:rsidRPr="00B50D8C" w:rsidRDefault="007B740E" w:rsidP="007B740E">
            <w:pPr>
              <w:rPr>
                <w:rFonts w:ascii="Arial" w:hAnsi="Arial" w:cs="Arial"/>
              </w:rPr>
            </w:pPr>
            <w:r w:rsidRPr="00B50D8C">
              <w:rPr>
                <w:rFonts w:ascii="Arial" w:hAnsi="Arial" w:cs="Arial"/>
              </w:rPr>
              <w:t>Capacitance (pF)</w:t>
            </w:r>
          </w:p>
        </w:tc>
        <w:tc>
          <w:tcPr>
            <w:tcW w:w="1480" w:type="dxa"/>
            <w:tcBorders>
              <w:top w:val="nil"/>
              <w:left w:val="nil"/>
              <w:bottom w:val="nil"/>
              <w:right w:val="nil"/>
            </w:tcBorders>
            <w:vAlign w:val="bottom"/>
          </w:tcPr>
          <w:p w14:paraId="5E46ED7B" w14:textId="77777777" w:rsidR="007B740E" w:rsidRPr="00B50D8C" w:rsidRDefault="007B740E" w:rsidP="007B740E">
            <w:pPr>
              <w:jc w:val="center"/>
              <w:rPr>
                <w:rFonts w:ascii="Arial" w:hAnsi="Arial" w:cs="Arial"/>
              </w:rPr>
            </w:pPr>
            <w:r>
              <w:rPr>
                <w:rFonts w:ascii="Arial" w:hAnsi="Arial" w:cs="Arial"/>
              </w:rPr>
              <w:t xml:space="preserve">136 </w:t>
            </w:r>
            <w:r>
              <w:rPr>
                <w:rFonts w:ascii="Arial" w:hAnsi="Arial" w:cs="Arial"/>
              </w:rPr>
              <w:sym w:font="Symbol" w:char="F0B1"/>
            </w:r>
            <w:r>
              <w:rPr>
                <w:rFonts w:ascii="Arial" w:hAnsi="Arial" w:cs="Arial"/>
              </w:rPr>
              <w:t xml:space="preserve"> 4</w:t>
            </w:r>
          </w:p>
        </w:tc>
        <w:tc>
          <w:tcPr>
            <w:tcW w:w="1480" w:type="dxa"/>
            <w:tcBorders>
              <w:top w:val="nil"/>
              <w:left w:val="nil"/>
              <w:bottom w:val="nil"/>
              <w:right w:val="nil"/>
            </w:tcBorders>
            <w:vAlign w:val="bottom"/>
          </w:tcPr>
          <w:p w14:paraId="62117B85" w14:textId="77777777" w:rsidR="007B740E" w:rsidRPr="00B50D8C" w:rsidRDefault="007B740E" w:rsidP="007B740E">
            <w:pPr>
              <w:jc w:val="center"/>
              <w:rPr>
                <w:rFonts w:ascii="Arial" w:hAnsi="Arial" w:cs="Arial"/>
              </w:rPr>
            </w:pPr>
            <w:r>
              <w:rPr>
                <w:rFonts w:ascii="Arial" w:hAnsi="Arial" w:cs="Arial"/>
              </w:rPr>
              <w:t xml:space="preserve">148 </w:t>
            </w:r>
            <w:r>
              <w:rPr>
                <w:rFonts w:ascii="Arial" w:hAnsi="Arial" w:cs="Arial"/>
              </w:rPr>
              <w:sym w:font="Symbol" w:char="F0B1"/>
            </w:r>
            <w:r>
              <w:rPr>
                <w:rFonts w:ascii="Arial" w:hAnsi="Arial" w:cs="Arial"/>
              </w:rPr>
              <w:t xml:space="preserve"> 6</w:t>
            </w:r>
          </w:p>
        </w:tc>
        <w:tc>
          <w:tcPr>
            <w:tcW w:w="1510" w:type="dxa"/>
            <w:tcBorders>
              <w:top w:val="nil"/>
              <w:left w:val="nil"/>
              <w:bottom w:val="nil"/>
              <w:right w:val="nil"/>
            </w:tcBorders>
            <w:vAlign w:val="bottom"/>
          </w:tcPr>
          <w:p w14:paraId="53BC9679" w14:textId="77777777" w:rsidR="007B740E" w:rsidRPr="00B50D8C" w:rsidRDefault="007B740E" w:rsidP="007B740E">
            <w:pPr>
              <w:jc w:val="center"/>
              <w:rPr>
                <w:rFonts w:ascii="Arial" w:hAnsi="Arial" w:cs="Arial"/>
              </w:rPr>
            </w:pPr>
            <w:r>
              <w:rPr>
                <w:rFonts w:ascii="Arial" w:hAnsi="Arial" w:cs="Arial"/>
              </w:rPr>
              <w:t xml:space="preserve">152 </w:t>
            </w:r>
            <w:r>
              <w:rPr>
                <w:rFonts w:ascii="Arial" w:hAnsi="Arial" w:cs="Arial"/>
              </w:rPr>
              <w:sym w:font="Symbol" w:char="F0B1"/>
            </w:r>
            <w:r>
              <w:rPr>
                <w:rFonts w:ascii="Arial" w:hAnsi="Arial" w:cs="Arial"/>
              </w:rPr>
              <w:t xml:space="preserve"> 4</w:t>
            </w:r>
            <w:r w:rsidRPr="00B50D8C">
              <w:rPr>
                <w:rFonts w:ascii="Arial" w:hAnsi="Arial" w:cs="Arial"/>
              </w:rPr>
              <w:t>*</w:t>
            </w:r>
          </w:p>
        </w:tc>
        <w:tc>
          <w:tcPr>
            <w:tcW w:w="1480" w:type="dxa"/>
            <w:tcBorders>
              <w:top w:val="nil"/>
              <w:left w:val="nil"/>
              <w:bottom w:val="nil"/>
              <w:right w:val="nil"/>
            </w:tcBorders>
            <w:vAlign w:val="bottom"/>
          </w:tcPr>
          <w:p w14:paraId="04E59526" w14:textId="77777777" w:rsidR="007B740E" w:rsidRPr="009A7705" w:rsidRDefault="007B740E" w:rsidP="007B740E">
            <w:pPr>
              <w:jc w:val="center"/>
              <w:rPr>
                <w:rFonts w:ascii="Arial" w:hAnsi="Arial" w:cs="Arial"/>
                <w:b/>
              </w:rPr>
            </w:pPr>
            <w:r w:rsidRPr="009A7705">
              <w:rPr>
                <w:rFonts w:ascii="Arial" w:hAnsi="Arial" w:cs="Arial"/>
                <w:b/>
              </w:rPr>
              <w:t>0.03</w:t>
            </w:r>
          </w:p>
        </w:tc>
      </w:tr>
      <w:tr w:rsidR="007B740E" w:rsidRPr="00B50D8C" w14:paraId="35F45AD0" w14:textId="77777777" w:rsidTr="007B740E">
        <w:tc>
          <w:tcPr>
            <w:tcW w:w="2547" w:type="dxa"/>
            <w:tcBorders>
              <w:top w:val="nil"/>
              <w:left w:val="nil"/>
              <w:bottom w:val="nil"/>
              <w:right w:val="nil"/>
            </w:tcBorders>
          </w:tcPr>
          <w:p w14:paraId="2E85C424" w14:textId="77777777" w:rsidR="007B740E" w:rsidRPr="00B50D8C" w:rsidRDefault="007B740E" w:rsidP="007B740E">
            <w:pPr>
              <w:rPr>
                <w:rFonts w:ascii="Arial" w:hAnsi="Arial" w:cs="Arial"/>
              </w:rPr>
            </w:pPr>
            <w:r w:rsidRPr="00B50D8C">
              <w:rPr>
                <w:rFonts w:ascii="Arial" w:hAnsi="Arial" w:cs="Arial"/>
              </w:rPr>
              <w:t>Input Resistance (M</w:t>
            </w:r>
            <w:r w:rsidRPr="00B50D8C">
              <w:rPr>
                <w:rFonts w:ascii="Arial" w:hAnsi="Arial" w:cs="Arial"/>
              </w:rPr>
              <w:sym w:font="Symbol" w:char="F057"/>
            </w:r>
            <w:r w:rsidRPr="00B50D8C">
              <w:rPr>
                <w:rFonts w:ascii="Arial" w:hAnsi="Arial" w:cs="Arial"/>
              </w:rPr>
              <w:t>)</w:t>
            </w:r>
          </w:p>
        </w:tc>
        <w:tc>
          <w:tcPr>
            <w:tcW w:w="1480" w:type="dxa"/>
            <w:tcBorders>
              <w:top w:val="nil"/>
              <w:left w:val="nil"/>
              <w:bottom w:val="nil"/>
              <w:right w:val="nil"/>
            </w:tcBorders>
            <w:vAlign w:val="bottom"/>
          </w:tcPr>
          <w:p w14:paraId="5CC256BE" w14:textId="77777777" w:rsidR="007B740E" w:rsidRPr="00B50D8C" w:rsidRDefault="007B740E" w:rsidP="007B740E">
            <w:pPr>
              <w:jc w:val="center"/>
              <w:rPr>
                <w:rFonts w:ascii="Arial" w:hAnsi="Arial" w:cs="Arial"/>
              </w:rPr>
            </w:pPr>
            <w:r>
              <w:rPr>
                <w:rFonts w:ascii="Arial" w:hAnsi="Arial" w:cs="Arial"/>
              </w:rPr>
              <w:t xml:space="preserve">101 </w:t>
            </w:r>
            <w:r>
              <w:rPr>
                <w:rFonts w:ascii="Arial" w:hAnsi="Arial" w:cs="Arial"/>
              </w:rPr>
              <w:sym w:font="Symbol" w:char="F0B1"/>
            </w:r>
            <w:r>
              <w:rPr>
                <w:rFonts w:ascii="Arial" w:hAnsi="Arial" w:cs="Arial"/>
              </w:rPr>
              <w:t xml:space="preserve"> 6</w:t>
            </w:r>
          </w:p>
        </w:tc>
        <w:tc>
          <w:tcPr>
            <w:tcW w:w="1480" w:type="dxa"/>
            <w:tcBorders>
              <w:top w:val="nil"/>
              <w:left w:val="nil"/>
              <w:bottom w:val="nil"/>
              <w:right w:val="nil"/>
            </w:tcBorders>
            <w:vAlign w:val="bottom"/>
          </w:tcPr>
          <w:p w14:paraId="2686A3AC" w14:textId="77777777" w:rsidR="007B740E" w:rsidRPr="00B50D8C" w:rsidRDefault="007B740E" w:rsidP="007B740E">
            <w:pPr>
              <w:jc w:val="center"/>
              <w:rPr>
                <w:rFonts w:ascii="Arial" w:hAnsi="Arial" w:cs="Arial"/>
              </w:rPr>
            </w:pPr>
            <w:r>
              <w:rPr>
                <w:rFonts w:ascii="Arial" w:hAnsi="Arial" w:cs="Arial"/>
              </w:rPr>
              <w:t xml:space="preserve">100 </w:t>
            </w:r>
            <w:r>
              <w:rPr>
                <w:rFonts w:ascii="Arial" w:hAnsi="Arial" w:cs="Arial"/>
              </w:rPr>
              <w:sym w:font="Symbol" w:char="F0B1"/>
            </w:r>
            <w:r>
              <w:rPr>
                <w:rFonts w:ascii="Arial" w:hAnsi="Arial" w:cs="Arial"/>
              </w:rPr>
              <w:t xml:space="preserve"> 12</w:t>
            </w:r>
          </w:p>
        </w:tc>
        <w:tc>
          <w:tcPr>
            <w:tcW w:w="1510" w:type="dxa"/>
            <w:tcBorders>
              <w:top w:val="nil"/>
              <w:left w:val="nil"/>
              <w:bottom w:val="nil"/>
              <w:right w:val="nil"/>
            </w:tcBorders>
            <w:vAlign w:val="bottom"/>
          </w:tcPr>
          <w:p w14:paraId="1641BF80" w14:textId="77777777" w:rsidR="007B740E" w:rsidRPr="00B50D8C" w:rsidRDefault="007B740E" w:rsidP="007B740E">
            <w:pPr>
              <w:jc w:val="center"/>
              <w:rPr>
                <w:rFonts w:ascii="Arial" w:hAnsi="Arial" w:cs="Arial"/>
              </w:rPr>
            </w:pPr>
            <w:r>
              <w:rPr>
                <w:rFonts w:ascii="Arial" w:hAnsi="Arial" w:cs="Arial"/>
              </w:rPr>
              <w:t xml:space="preserve">92 </w:t>
            </w:r>
            <w:r>
              <w:rPr>
                <w:rFonts w:ascii="Arial" w:hAnsi="Arial" w:cs="Arial"/>
              </w:rPr>
              <w:sym w:font="Symbol" w:char="F0B1"/>
            </w:r>
            <w:r>
              <w:rPr>
                <w:rFonts w:ascii="Arial" w:hAnsi="Arial" w:cs="Arial"/>
              </w:rPr>
              <w:t xml:space="preserve"> 5</w:t>
            </w:r>
          </w:p>
        </w:tc>
        <w:tc>
          <w:tcPr>
            <w:tcW w:w="1480" w:type="dxa"/>
            <w:tcBorders>
              <w:top w:val="nil"/>
              <w:left w:val="nil"/>
              <w:bottom w:val="nil"/>
              <w:right w:val="nil"/>
            </w:tcBorders>
            <w:vAlign w:val="bottom"/>
          </w:tcPr>
          <w:p w14:paraId="735C45F2" w14:textId="77777777" w:rsidR="007B740E" w:rsidRPr="00B50D8C" w:rsidRDefault="007B740E" w:rsidP="007B740E">
            <w:pPr>
              <w:jc w:val="center"/>
              <w:rPr>
                <w:rFonts w:ascii="Arial" w:hAnsi="Arial" w:cs="Arial"/>
              </w:rPr>
            </w:pPr>
            <w:r>
              <w:rPr>
                <w:rFonts w:ascii="Arial" w:hAnsi="Arial" w:cs="Arial"/>
              </w:rPr>
              <w:t>0.50</w:t>
            </w:r>
          </w:p>
        </w:tc>
      </w:tr>
      <w:tr w:rsidR="007B740E" w:rsidRPr="00B50D8C" w14:paraId="6F95A74C" w14:textId="77777777" w:rsidTr="007B740E">
        <w:tc>
          <w:tcPr>
            <w:tcW w:w="2547" w:type="dxa"/>
            <w:tcBorders>
              <w:top w:val="nil"/>
              <w:left w:val="nil"/>
              <w:bottom w:val="nil"/>
              <w:right w:val="nil"/>
            </w:tcBorders>
          </w:tcPr>
          <w:p w14:paraId="7A4CA7D0" w14:textId="77777777" w:rsidR="007B740E" w:rsidRPr="00B50D8C" w:rsidRDefault="007B740E" w:rsidP="007B740E">
            <w:pPr>
              <w:rPr>
                <w:rFonts w:ascii="Arial" w:hAnsi="Arial" w:cs="Arial"/>
              </w:rPr>
            </w:pPr>
            <w:r>
              <w:rPr>
                <w:rFonts w:ascii="Arial" w:hAnsi="Arial" w:cs="Arial"/>
              </w:rPr>
              <w:t>Spike Amplitude</w:t>
            </w:r>
          </w:p>
        </w:tc>
        <w:tc>
          <w:tcPr>
            <w:tcW w:w="1480" w:type="dxa"/>
            <w:tcBorders>
              <w:top w:val="nil"/>
              <w:left w:val="nil"/>
              <w:bottom w:val="nil"/>
              <w:right w:val="nil"/>
            </w:tcBorders>
            <w:vAlign w:val="bottom"/>
          </w:tcPr>
          <w:p w14:paraId="69CED6FD" w14:textId="77777777" w:rsidR="007B740E" w:rsidRPr="00B50D8C" w:rsidRDefault="007B740E" w:rsidP="007B740E">
            <w:pPr>
              <w:jc w:val="center"/>
              <w:rPr>
                <w:rFonts w:ascii="Arial" w:hAnsi="Arial" w:cs="Arial"/>
              </w:rPr>
            </w:pPr>
            <w:r>
              <w:rPr>
                <w:rFonts w:ascii="Arial" w:hAnsi="Arial" w:cs="Arial"/>
              </w:rPr>
              <w:t xml:space="preserve">89 </w:t>
            </w:r>
            <w:r>
              <w:rPr>
                <w:rFonts w:ascii="Arial" w:hAnsi="Arial" w:cs="Arial"/>
              </w:rPr>
              <w:sym w:font="Symbol" w:char="F0B1"/>
            </w:r>
            <w:r>
              <w:rPr>
                <w:rFonts w:ascii="Arial" w:hAnsi="Arial" w:cs="Arial"/>
              </w:rPr>
              <w:t xml:space="preserve"> 1</w:t>
            </w:r>
          </w:p>
        </w:tc>
        <w:tc>
          <w:tcPr>
            <w:tcW w:w="1480" w:type="dxa"/>
            <w:tcBorders>
              <w:top w:val="nil"/>
              <w:left w:val="nil"/>
              <w:bottom w:val="nil"/>
              <w:right w:val="nil"/>
            </w:tcBorders>
            <w:vAlign w:val="bottom"/>
          </w:tcPr>
          <w:p w14:paraId="3F1A8EA3" w14:textId="77777777" w:rsidR="007B740E" w:rsidRPr="00B50D8C" w:rsidRDefault="007B740E" w:rsidP="007B740E">
            <w:pPr>
              <w:jc w:val="center"/>
              <w:rPr>
                <w:rFonts w:ascii="Arial" w:hAnsi="Arial" w:cs="Arial"/>
              </w:rPr>
            </w:pPr>
            <w:r>
              <w:rPr>
                <w:rFonts w:ascii="Arial" w:hAnsi="Arial" w:cs="Arial"/>
              </w:rPr>
              <w:t xml:space="preserve">93 </w:t>
            </w:r>
            <w:r>
              <w:rPr>
                <w:rFonts w:ascii="Arial" w:hAnsi="Arial" w:cs="Arial"/>
              </w:rPr>
              <w:sym w:font="Symbol" w:char="F0B1"/>
            </w:r>
            <w:r>
              <w:rPr>
                <w:rFonts w:ascii="Arial" w:hAnsi="Arial" w:cs="Arial"/>
              </w:rPr>
              <w:t xml:space="preserve"> 1</w:t>
            </w:r>
          </w:p>
        </w:tc>
        <w:tc>
          <w:tcPr>
            <w:tcW w:w="1510" w:type="dxa"/>
            <w:tcBorders>
              <w:top w:val="nil"/>
              <w:left w:val="nil"/>
              <w:bottom w:val="nil"/>
              <w:right w:val="nil"/>
            </w:tcBorders>
            <w:vAlign w:val="bottom"/>
          </w:tcPr>
          <w:p w14:paraId="78DEDE2D" w14:textId="77777777" w:rsidR="007B740E" w:rsidRPr="00B50D8C" w:rsidRDefault="007B740E" w:rsidP="007B740E">
            <w:pPr>
              <w:jc w:val="center"/>
              <w:rPr>
                <w:rFonts w:ascii="Arial" w:hAnsi="Arial" w:cs="Arial"/>
              </w:rPr>
            </w:pPr>
            <w:r>
              <w:rPr>
                <w:rFonts w:ascii="Arial" w:hAnsi="Arial" w:cs="Arial"/>
              </w:rPr>
              <w:t xml:space="preserve">88 </w:t>
            </w:r>
            <w:r>
              <w:rPr>
                <w:rFonts w:ascii="Arial" w:hAnsi="Arial" w:cs="Arial"/>
              </w:rPr>
              <w:sym w:font="Symbol" w:char="F0B1"/>
            </w:r>
            <w:r>
              <w:rPr>
                <w:rFonts w:ascii="Arial" w:hAnsi="Arial" w:cs="Arial"/>
              </w:rPr>
              <w:t xml:space="preserve"> 1</w:t>
            </w:r>
          </w:p>
        </w:tc>
        <w:tc>
          <w:tcPr>
            <w:tcW w:w="1480" w:type="dxa"/>
            <w:tcBorders>
              <w:top w:val="nil"/>
              <w:left w:val="nil"/>
              <w:bottom w:val="nil"/>
              <w:right w:val="nil"/>
            </w:tcBorders>
            <w:vAlign w:val="bottom"/>
          </w:tcPr>
          <w:p w14:paraId="18FE51D2" w14:textId="77777777" w:rsidR="007B740E" w:rsidRPr="001F0C6F" w:rsidRDefault="007B740E" w:rsidP="007B740E">
            <w:pPr>
              <w:jc w:val="center"/>
              <w:rPr>
                <w:rFonts w:ascii="Arial" w:hAnsi="Arial"/>
              </w:rPr>
            </w:pPr>
            <w:r w:rsidRPr="001F0C6F">
              <w:rPr>
                <w:rFonts w:ascii="Arial" w:hAnsi="Arial"/>
              </w:rPr>
              <w:t>0.06</w:t>
            </w:r>
          </w:p>
        </w:tc>
      </w:tr>
    </w:tbl>
    <w:p w14:paraId="0E06D5FD" w14:textId="77777777" w:rsidR="001409D5" w:rsidRDefault="001409D5" w:rsidP="001409D5">
      <w:pPr>
        <w:rPr>
          <w:rFonts w:ascii="Arial" w:hAnsi="Arial" w:cs="Arial"/>
        </w:rPr>
      </w:pPr>
    </w:p>
    <w:p w14:paraId="500EA9A1" w14:textId="77777777" w:rsidR="001409D5" w:rsidRDefault="001409D5" w:rsidP="001409D5">
      <w:pPr>
        <w:rPr>
          <w:rFonts w:ascii="Arial" w:hAnsi="Arial" w:cs="Arial"/>
        </w:rPr>
      </w:pPr>
    </w:p>
    <w:p w14:paraId="5D8E676B" w14:textId="77777777" w:rsidR="001409D5" w:rsidRDefault="001409D5" w:rsidP="001409D5">
      <w:pPr>
        <w:rPr>
          <w:rFonts w:ascii="Arial" w:hAnsi="Arial" w:cs="Arial"/>
        </w:rPr>
      </w:pPr>
    </w:p>
    <w:p w14:paraId="3B225D39" w14:textId="77777777" w:rsidR="001409D5" w:rsidRDefault="001409D5" w:rsidP="001409D5">
      <w:pPr>
        <w:rPr>
          <w:rFonts w:ascii="Arial" w:hAnsi="Arial" w:cs="Arial"/>
        </w:rPr>
      </w:pPr>
    </w:p>
    <w:p w14:paraId="305F1605" w14:textId="77777777" w:rsidR="001409D5" w:rsidRDefault="001409D5" w:rsidP="001409D5">
      <w:pPr>
        <w:rPr>
          <w:rFonts w:ascii="Arial" w:hAnsi="Arial" w:cs="Arial"/>
        </w:rPr>
      </w:pPr>
    </w:p>
    <w:p w14:paraId="4ADC8E24" w14:textId="77777777" w:rsidR="001409D5" w:rsidRDefault="001409D5" w:rsidP="001409D5">
      <w:pPr>
        <w:rPr>
          <w:rFonts w:ascii="Arial" w:hAnsi="Arial" w:cs="Arial"/>
        </w:rPr>
      </w:pPr>
    </w:p>
    <w:p w14:paraId="0A45CA22" w14:textId="77777777" w:rsidR="001409D5" w:rsidRDefault="001409D5" w:rsidP="001409D5">
      <w:pPr>
        <w:rPr>
          <w:rFonts w:ascii="Arial" w:hAnsi="Arial" w:cs="Arial"/>
        </w:rPr>
      </w:pPr>
    </w:p>
    <w:p w14:paraId="32681FAB" w14:textId="77777777" w:rsidR="001409D5" w:rsidRDefault="001409D5" w:rsidP="001409D5">
      <w:pPr>
        <w:rPr>
          <w:rFonts w:ascii="Arial" w:hAnsi="Arial" w:cs="Arial"/>
        </w:rPr>
      </w:pPr>
    </w:p>
    <w:p w14:paraId="5F93A821" w14:textId="77777777" w:rsidR="001409D5" w:rsidRDefault="001409D5" w:rsidP="001409D5">
      <w:pPr>
        <w:rPr>
          <w:rFonts w:ascii="Arial" w:hAnsi="Arial" w:cs="Arial"/>
        </w:rPr>
      </w:pPr>
    </w:p>
    <w:p w14:paraId="3EA5DEFE" w14:textId="77777777" w:rsidR="001409D5" w:rsidRDefault="001409D5" w:rsidP="001409D5">
      <w:pPr>
        <w:rPr>
          <w:rFonts w:ascii="Arial" w:hAnsi="Arial" w:cs="Arial"/>
        </w:rPr>
      </w:pPr>
    </w:p>
    <w:p w14:paraId="30433307" w14:textId="77777777" w:rsidR="007B740E" w:rsidRDefault="007B740E" w:rsidP="001409D5">
      <w:pPr>
        <w:rPr>
          <w:rFonts w:ascii="Arial" w:hAnsi="Arial" w:cs="Arial"/>
        </w:rPr>
      </w:pPr>
    </w:p>
    <w:p w14:paraId="51930409" w14:textId="1BA551E3" w:rsidR="001409D5" w:rsidRDefault="001409D5" w:rsidP="001409D5">
      <w:pPr>
        <w:rPr>
          <w:rFonts w:ascii="Arial" w:hAnsi="Arial" w:cs="Arial"/>
        </w:rPr>
      </w:pPr>
      <w:r>
        <w:rPr>
          <w:rFonts w:ascii="Arial" w:hAnsi="Arial" w:cs="Arial"/>
        </w:rPr>
        <w:t xml:space="preserve">Properties were assessed rapidly after obtaining whole cell configuration. The data is expressed as mean </w:t>
      </w:r>
      <w:r>
        <w:rPr>
          <w:rFonts w:ascii="Arial" w:hAnsi="Arial" w:cs="Arial"/>
        </w:rPr>
        <w:sym w:font="Symbol" w:char="F0B1"/>
      </w:r>
      <w:r>
        <w:rPr>
          <w:rFonts w:ascii="Arial" w:hAnsi="Arial" w:cs="Arial"/>
        </w:rPr>
        <w:t xml:space="preserve"> SEM. Multiple comparisons one-way ANOVA with Bonferroni’s post-hoc (*p </w:t>
      </w:r>
      <w:r>
        <w:rPr>
          <w:rFonts w:ascii="Arial" w:hAnsi="Arial" w:cs="Arial"/>
        </w:rPr>
        <w:sym w:font="Symbol" w:char="F0A3"/>
      </w:r>
      <w:r>
        <w:rPr>
          <w:rFonts w:ascii="Arial" w:hAnsi="Arial" w:cs="Arial"/>
        </w:rPr>
        <w:t xml:space="preserve"> 0.05 compared to WT).</w:t>
      </w:r>
    </w:p>
    <w:p w14:paraId="100EAD1B" w14:textId="77777777" w:rsidR="001409D5" w:rsidRPr="009A4888" w:rsidRDefault="001409D5" w:rsidP="001409D5">
      <w:pPr>
        <w:outlineLvl w:val="0"/>
        <w:rPr>
          <w:rFonts w:ascii="Arial" w:hAnsi="Arial" w:cs="Arial"/>
          <w:b/>
        </w:rPr>
      </w:pPr>
      <w:r>
        <w:rPr>
          <w:rFonts w:ascii="Arial" w:hAnsi="Arial" w:cs="Arial"/>
        </w:rPr>
        <w:br w:type="page"/>
      </w:r>
      <w:r>
        <w:rPr>
          <w:rFonts w:ascii="Arial" w:hAnsi="Arial" w:cs="Arial"/>
        </w:rPr>
        <w:lastRenderedPageBreak/>
        <w:t>Supplementary Table II</w:t>
      </w:r>
      <w:r w:rsidRPr="009A4888">
        <w:rPr>
          <w:rFonts w:ascii="Arial" w:hAnsi="Arial" w:cs="Arial"/>
        </w:rPr>
        <w:t xml:space="preserve">. </w:t>
      </w:r>
      <w:r w:rsidRPr="009A4888">
        <w:rPr>
          <w:rFonts w:ascii="Arial" w:hAnsi="Arial" w:cs="Arial"/>
          <w:b/>
        </w:rPr>
        <w:t>NMDA receptor binding densities of [</w:t>
      </w:r>
      <w:r w:rsidRPr="009A4888">
        <w:rPr>
          <w:rFonts w:ascii="Arial" w:hAnsi="Arial" w:cs="Arial"/>
          <w:b/>
          <w:vertAlign w:val="superscript"/>
        </w:rPr>
        <w:t>3</w:t>
      </w:r>
      <w:r w:rsidRPr="009A4888">
        <w:rPr>
          <w:rFonts w:ascii="Arial" w:hAnsi="Arial" w:cs="Arial"/>
          <w:b/>
        </w:rPr>
        <w:t>H]MK-801 (</w:t>
      </w:r>
      <w:proofErr w:type="spellStart"/>
      <w:r w:rsidRPr="009A4888">
        <w:rPr>
          <w:rFonts w:ascii="Arial" w:hAnsi="Arial" w:cs="Arial"/>
          <w:b/>
        </w:rPr>
        <w:t>fmol</w:t>
      </w:r>
      <w:proofErr w:type="spellEnd"/>
      <w:r w:rsidRPr="009A4888">
        <w:rPr>
          <w:rFonts w:ascii="Arial" w:hAnsi="Arial" w:cs="Arial"/>
          <w:b/>
        </w:rPr>
        <w:t xml:space="preserve">/mg) in brain tissue of WT, </w:t>
      </w:r>
      <w:r w:rsidRPr="009A4888">
        <w:rPr>
          <w:rFonts w:ascii="Arial" w:hAnsi="Arial" w:cs="Arial"/>
          <w:b/>
          <w:i/>
        </w:rPr>
        <w:t>Grin1</w:t>
      </w:r>
      <w:r w:rsidRPr="009A4888">
        <w:rPr>
          <w:rFonts w:ascii="Arial" w:hAnsi="Arial" w:cs="Arial"/>
          <w:b/>
          <w:i/>
          <w:vertAlign w:val="superscript"/>
        </w:rPr>
        <w:t>KD</w:t>
      </w:r>
      <w:r w:rsidRPr="009A4888">
        <w:rPr>
          <w:rFonts w:ascii="Arial" w:hAnsi="Arial" w:cs="Arial"/>
          <w:b/>
        </w:rPr>
        <w:t xml:space="preserve"> and </w:t>
      </w:r>
      <w:r w:rsidRPr="009A4888">
        <w:rPr>
          <w:rFonts w:ascii="Arial" w:hAnsi="Arial" w:cs="Arial"/>
          <w:b/>
          <w:i/>
        </w:rPr>
        <w:t>Grin1</w:t>
      </w:r>
      <w:r w:rsidRPr="009A4888">
        <w:rPr>
          <w:rFonts w:ascii="Arial" w:hAnsi="Arial" w:cs="Arial"/>
          <w:b/>
          <w:i/>
          <w:vertAlign w:val="superscript"/>
        </w:rPr>
        <w:t>RESCUE</w:t>
      </w:r>
      <w:r w:rsidRPr="009A4888">
        <w:rPr>
          <w:rFonts w:ascii="Arial" w:hAnsi="Arial" w:cs="Arial"/>
          <w:b/>
        </w:rPr>
        <w:t xml:space="preserve"> mice</w:t>
      </w:r>
      <w:r>
        <w:rPr>
          <w:rFonts w:ascii="Arial" w:hAnsi="Arial" w:cs="Arial"/>
          <w:b/>
        </w:rPr>
        <w:t>, related to Supplementary Figure 3</w:t>
      </w:r>
      <w:r w:rsidRPr="009A4888">
        <w:rPr>
          <w:rFonts w:ascii="Arial" w:hAnsi="Arial" w:cs="Arial"/>
          <w:b/>
        </w:rPr>
        <w:t>.</w:t>
      </w:r>
    </w:p>
    <w:tbl>
      <w:tblPr>
        <w:tblStyle w:val="TableGrid"/>
        <w:tblpPr w:leftFromText="180" w:rightFromText="180" w:vertAnchor="text" w:horzAnchor="margin" w:tblpXSpec="center" w:tblpY="234"/>
        <w:tblW w:w="10851" w:type="dxa"/>
        <w:tblLook w:val="04A0" w:firstRow="1" w:lastRow="0" w:firstColumn="1" w:lastColumn="0" w:noHBand="0" w:noVBand="1"/>
      </w:tblPr>
      <w:tblGrid>
        <w:gridCol w:w="1446"/>
        <w:gridCol w:w="923"/>
        <w:gridCol w:w="1083"/>
        <w:gridCol w:w="893"/>
        <w:gridCol w:w="923"/>
        <w:gridCol w:w="905"/>
        <w:gridCol w:w="934"/>
        <w:gridCol w:w="986"/>
        <w:gridCol w:w="772"/>
        <w:gridCol w:w="1039"/>
        <w:gridCol w:w="947"/>
      </w:tblGrid>
      <w:tr w:rsidR="001409D5" w14:paraId="2F9B908D" w14:textId="77777777" w:rsidTr="0098070C">
        <w:trPr>
          <w:trHeight w:val="359"/>
        </w:trPr>
        <w:tc>
          <w:tcPr>
            <w:tcW w:w="1446" w:type="dxa"/>
            <w:tcBorders>
              <w:top w:val="nil"/>
              <w:left w:val="nil"/>
              <w:bottom w:val="single" w:sz="4" w:space="0" w:color="auto"/>
              <w:right w:val="nil"/>
            </w:tcBorders>
            <w:vAlign w:val="bottom"/>
          </w:tcPr>
          <w:p w14:paraId="1E13A480" w14:textId="77777777" w:rsidR="001409D5" w:rsidRPr="00917BE8" w:rsidRDefault="001409D5" w:rsidP="0098070C">
            <w:pPr>
              <w:rPr>
                <w:rFonts w:ascii="Arial" w:hAnsi="Arial" w:cs="Arial"/>
                <w:sz w:val="16"/>
                <w:szCs w:val="16"/>
              </w:rPr>
            </w:pPr>
          </w:p>
        </w:tc>
        <w:tc>
          <w:tcPr>
            <w:tcW w:w="2006" w:type="dxa"/>
            <w:gridSpan w:val="2"/>
            <w:tcBorders>
              <w:top w:val="nil"/>
              <w:left w:val="nil"/>
              <w:bottom w:val="single" w:sz="4" w:space="0" w:color="auto"/>
              <w:right w:val="nil"/>
            </w:tcBorders>
            <w:vAlign w:val="bottom"/>
          </w:tcPr>
          <w:p w14:paraId="729A851C" w14:textId="77777777" w:rsidR="001409D5" w:rsidRPr="006B3584" w:rsidRDefault="001409D5" w:rsidP="0098070C">
            <w:pPr>
              <w:jc w:val="center"/>
              <w:rPr>
                <w:rFonts w:ascii="Arial" w:hAnsi="Arial" w:cs="Arial"/>
                <w:b/>
                <w:bCs/>
                <w:sz w:val="20"/>
                <w:szCs w:val="20"/>
              </w:rPr>
            </w:pPr>
            <w:r w:rsidRPr="006B3584">
              <w:rPr>
                <w:rFonts w:ascii="Arial" w:hAnsi="Arial" w:cs="Arial"/>
                <w:b/>
                <w:bCs/>
                <w:sz w:val="20"/>
                <w:szCs w:val="20"/>
              </w:rPr>
              <w:t>Wildtype</w:t>
            </w:r>
          </w:p>
        </w:tc>
        <w:tc>
          <w:tcPr>
            <w:tcW w:w="1816" w:type="dxa"/>
            <w:gridSpan w:val="2"/>
            <w:tcBorders>
              <w:top w:val="nil"/>
              <w:left w:val="nil"/>
              <w:bottom w:val="single" w:sz="4" w:space="0" w:color="auto"/>
              <w:right w:val="nil"/>
            </w:tcBorders>
            <w:vAlign w:val="bottom"/>
          </w:tcPr>
          <w:p w14:paraId="2CF16F5F" w14:textId="77777777" w:rsidR="001409D5" w:rsidRPr="006B3584" w:rsidRDefault="001409D5" w:rsidP="0098070C">
            <w:pPr>
              <w:jc w:val="center"/>
              <w:rPr>
                <w:rFonts w:ascii="Arial" w:hAnsi="Arial" w:cs="Arial"/>
                <w:b/>
                <w:bCs/>
                <w:sz w:val="20"/>
                <w:szCs w:val="20"/>
              </w:rPr>
            </w:pPr>
            <w:r w:rsidRPr="006B3584">
              <w:rPr>
                <w:rFonts w:ascii="Arial" w:hAnsi="Arial" w:cs="Arial"/>
                <w:b/>
                <w:bCs/>
                <w:i/>
                <w:iCs/>
                <w:sz w:val="20"/>
                <w:szCs w:val="20"/>
              </w:rPr>
              <w:t>Grin1</w:t>
            </w:r>
            <w:r w:rsidRPr="006B3584">
              <w:rPr>
                <w:rFonts w:ascii="Arial" w:hAnsi="Arial" w:cs="Arial"/>
                <w:b/>
                <w:bCs/>
                <w:sz w:val="20"/>
                <w:szCs w:val="20"/>
                <w:vertAlign w:val="superscript"/>
              </w:rPr>
              <w:t>KD</w:t>
            </w:r>
          </w:p>
        </w:tc>
        <w:tc>
          <w:tcPr>
            <w:tcW w:w="1839" w:type="dxa"/>
            <w:gridSpan w:val="2"/>
            <w:tcBorders>
              <w:top w:val="nil"/>
              <w:left w:val="nil"/>
              <w:bottom w:val="single" w:sz="4" w:space="0" w:color="auto"/>
              <w:right w:val="nil"/>
            </w:tcBorders>
            <w:vAlign w:val="bottom"/>
          </w:tcPr>
          <w:p w14:paraId="454A4E14" w14:textId="77777777" w:rsidR="001409D5" w:rsidRPr="006B3584" w:rsidRDefault="001409D5" w:rsidP="0098070C">
            <w:pPr>
              <w:jc w:val="center"/>
              <w:rPr>
                <w:rFonts w:ascii="Arial" w:hAnsi="Arial" w:cs="Arial"/>
                <w:b/>
                <w:bCs/>
                <w:sz w:val="20"/>
                <w:szCs w:val="20"/>
              </w:rPr>
            </w:pPr>
            <w:r w:rsidRPr="006B3584">
              <w:rPr>
                <w:rFonts w:ascii="Arial" w:hAnsi="Arial" w:cs="Arial"/>
                <w:b/>
                <w:bCs/>
                <w:i/>
                <w:iCs/>
                <w:sz w:val="20"/>
                <w:szCs w:val="20"/>
              </w:rPr>
              <w:t>Grin1</w:t>
            </w:r>
            <w:r w:rsidRPr="006B3584">
              <w:rPr>
                <w:rFonts w:ascii="Arial" w:hAnsi="Arial" w:cs="Arial"/>
                <w:b/>
                <w:bCs/>
                <w:sz w:val="20"/>
                <w:szCs w:val="20"/>
                <w:vertAlign w:val="superscript"/>
              </w:rPr>
              <w:t>RESCUE</w:t>
            </w:r>
          </w:p>
        </w:tc>
        <w:tc>
          <w:tcPr>
            <w:tcW w:w="1758" w:type="dxa"/>
            <w:gridSpan w:val="2"/>
            <w:tcBorders>
              <w:top w:val="nil"/>
              <w:left w:val="nil"/>
              <w:bottom w:val="single" w:sz="4" w:space="0" w:color="auto"/>
              <w:right w:val="nil"/>
            </w:tcBorders>
            <w:vAlign w:val="bottom"/>
          </w:tcPr>
          <w:p w14:paraId="4EA22271" w14:textId="77777777" w:rsidR="001409D5" w:rsidRPr="00F11BB2" w:rsidRDefault="001409D5" w:rsidP="0098070C">
            <w:pPr>
              <w:rPr>
                <w:rFonts w:ascii="Arial" w:hAnsi="Arial" w:cs="Arial"/>
                <w:sz w:val="16"/>
                <w:szCs w:val="16"/>
              </w:rPr>
            </w:pPr>
            <w:r>
              <w:rPr>
                <w:rFonts w:ascii="Arial" w:hAnsi="Arial" w:cs="Arial"/>
                <w:sz w:val="16"/>
                <w:szCs w:val="16"/>
              </w:rPr>
              <w:t>Genotype</w:t>
            </w:r>
          </w:p>
        </w:tc>
        <w:tc>
          <w:tcPr>
            <w:tcW w:w="1986" w:type="dxa"/>
            <w:gridSpan w:val="2"/>
            <w:tcBorders>
              <w:top w:val="nil"/>
              <w:left w:val="nil"/>
              <w:bottom w:val="single" w:sz="4" w:space="0" w:color="auto"/>
              <w:right w:val="nil"/>
            </w:tcBorders>
            <w:vAlign w:val="bottom"/>
          </w:tcPr>
          <w:p w14:paraId="3D102656" w14:textId="77777777" w:rsidR="001409D5" w:rsidRPr="00F11BB2" w:rsidRDefault="001409D5" w:rsidP="0098070C">
            <w:pPr>
              <w:rPr>
                <w:rFonts w:ascii="Arial" w:hAnsi="Arial" w:cs="Arial"/>
                <w:sz w:val="16"/>
                <w:szCs w:val="16"/>
              </w:rPr>
            </w:pPr>
            <w:r>
              <w:rPr>
                <w:rFonts w:ascii="Arial" w:hAnsi="Arial" w:cs="Arial"/>
                <w:sz w:val="16"/>
                <w:szCs w:val="16"/>
              </w:rPr>
              <w:t>Genotype*Intervention</w:t>
            </w:r>
          </w:p>
        </w:tc>
      </w:tr>
      <w:tr w:rsidR="001409D5" w14:paraId="53BD153A" w14:textId="77777777" w:rsidTr="0098070C">
        <w:trPr>
          <w:trHeight w:val="295"/>
        </w:trPr>
        <w:tc>
          <w:tcPr>
            <w:tcW w:w="1446" w:type="dxa"/>
            <w:tcBorders>
              <w:top w:val="single" w:sz="4" w:space="0" w:color="auto"/>
              <w:left w:val="nil"/>
              <w:bottom w:val="single" w:sz="24" w:space="0" w:color="auto"/>
              <w:right w:val="nil"/>
            </w:tcBorders>
            <w:vAlign w:val="center"/>
          </w:tcPr>
          <w:p w14:paraId="7E054CDB" w14:textId="77777777" w:rsidR="001409D5" w:rsidRPr="001017E1" w:rsidRDefault="001409D5" w:rsidP="0098070C">
            <w:pPr>
              <w:jc w:val="center"/>
              <w:rPr>
                <w:rFonts w:ascii="Arial" w:hAnsi="Arial" w:cs="Arial"/>
                <w:b/>
                <w:sz w:val="16"/>
                <w:szCs w:val="16"/>
              </w:rPr>
            </w:pPr>
            <w:r w:rsidRPr="001017E1">
              <w:rPr>
                <w:rFonts w:ascii="Arial" w:hAnsi="Arial" w:cs="Arial"/>
                <w:b/>
                <w:sz w:val="16"/>
                <w:szCs w:val="16"/>
              </w:rPr>
              <w:t>Intervention</w:t>
            </w:r>
          </w:p>
        </w:tc>
        <w:tc>
          <w:tcPr>
            <w:tcW w:w="923" w:type="dxa"/>
            <w:tcBorders>
              <w:top w:val="single" w:sz="4" w:space="0" w:color="auto"/>
              <w:left w:val="nil"/>
              <w:bottom w:val="single" w:sz="24" w:space="0" w:color="auto"/>
              <w:right w:val="nil"/>
            </w:tcBorders>
            <w:vAlign w:val="center"/>
          </w:tcPr>
          <w:p w14:paraId="2C627362" w14:textId="77777777" w:rsidR="001409D5" w:rsidRPr="001017E1" w:rsidRDefault="001409D5" w:rsidP="0098070C">
            <w:pPr>
              <w:jc w:val="center"/>
              <w:rPr>
                <w:rFonts w:ascii="Arial" w:hAnsi="Arial" w:cs="Arial"/>
                <w:b/>
                <w:sz w:val="16"/>
                <w:szCs w:val="16"/>
              </w:rPr>
            </w:pPr>
            <w:r w:rsidRPr="001017E1">
              <w:rPr>
                <w:rFonts w:ascii="Arial" w:hAnsi="Arial" w:cs="Arial"/>
                <w:b/>
                <w:sz w:val="16"/>
                <w:szCs w:val="16"/>
              </w:rPr>
              <w:t>PD70</w:t>
            </w:r>
          </w:p>
        </w:tc>
        <w:tc>
          <w:tcPr>
            <w:tcW w:w="1083" w:type="dxa"/>
            <w:tcBorders>
              <w:top w:val="single" w:sz="4" w:space="0" w:color="auto"/>
              <w:left w:val="nil"/>
              <w:bottom w:val="single" w:sz="24" w:space="0" w:color="auto"/>
              <w:right w:val="nil"/>
            </w:tcBorders>
            <w:vAlign w:val="center"/>
          </w:tcPr>
          <w:p w14:paraId="57F139F6" w14:textId="77777777" w:rsidR="001409D5" w:rsidRPr="001017E1" w:rsidRDefault="001409D5" w:rsidP="0098070C">
            <w:pPr>
              <w:jc w:val="center"/>
              <w:rPr>
                <w:rFonts w:ascii="Arial" w:hAnsi="Arial" w:cs="Arial"/>
                <w:b/>
                <w:sz w:val="16"/>
                <w:szCs w:val="16"/>
              </w:rPr>
            </w:pPr>
            <w:r w:rsidRPr="001017E1">
              <w:rPr>
                <w:rFonts w:ascii="Arial" w:hAnsi="Arial" w:cs="Arial"/>
                <w:b/>
                <w:sz w:val="16"/>
                <w:szCs w:val="16"/>
              </w:rPr>
              <w:t>PD70+8</w:t>
            </w:r>
          </w:p>
        </w:tc>
        <w:tc>
          <w:tcPr>
            <w:tcW w:w="893" w:type="dxa"/>
            <w:tcBorders>
              <w:top w:val="single" w:sz="4" w:space="0" w:color="auto"/>
              <w:left w:val="nil"/>
              <w:bottom w:val="single" w:sz="24" w:space="0" w:color="auto"/>
              <w:right w:val="nil"/>
            </w:tcBorders>
            <w:vAlign w:val="center"/>
          </w:tcPr>
          <w:p w14:paraId="5C497785" w14:textId="77777777" w:rsidR="001409D5" w:rsidRPr="001017E1" w:rsidRDefault="001409D5" w:rsidP="0098070C">
            <w:pPr>
              <w:jc w:val="center"/>
              <w:rPr>
                <w:rFonts w:ascii="Arial" w:hAnsi="Arial" w:cs="Arial"/>
                <w:b/>
                <w:sz w:val="16"/>
                <w:szCs w:val="16"/>
              </w:rPr>
            </w:pPr>
            <w:r w:rsidRPr="001017E1">
              <w:rPr>
                <w:rFonts w:ascii="Arial" w:hAnsi="Arial" w:cs="Arial"/>
                <w:b/>
                <w:sz w:val="16"/>
                <w:szCs w:val="16"/>
              </w:rPr>
              <w:t>PD70</w:t>
            </w:r>
          </w:p>
        </w:tc>
        <w:tc>
          <w:tcPr>
            <w:tcW w:w="923" w:type="dxa"/>
            <w:tcBorders>
              <w:top w:val="single" w:sz="4" w:space="0" w:color="auto"/>
              <w:left w:val="nil"/>
              <w:bottom w:val="single" w:sz="24" w:space="0" w:color="auto"/>
              <w:right w:val="nil"/>
            </w:tcBorders>
            <w:vAlign w:val="center"/>
          </w:tcPr>
          <w:p w14:paraId="097B0B67" w14:textId="77777777" w:rsidR="001409D5" w:rsidRPr="001017E1" w:rsidRDefault="001409D5" w:rsidP="0098070C">
            <w:pPr>
              <w:jc w:val="center"/>
              <w:rPr>
                <w:rFonts w:ascii="Arial" w:hAnsi="Arial" w:cs="Arial"/>
                <w:b/>
                <w:sz w:val="16"/>
                <w:szCs w:val="16"/>
              </w:rPr>
            </w:pPr>
            <w:r w:rsidRPr="001017E1">
              <w:rPr>
                <w:rFonts w:ascii="Arial" w:hAnsi="Arial" w:cs="Arial"/>
                <w:b/>
                <w:sz w:val="16"/>
                <w:szCs w:val="16"/>
              </w:rPr>
              <w:t>PD70+8</w:t>
            </w:r>
          </w:p>
        </w:tc>
        <w:tc>
          <w:tcPr>
            <w:tcW w:w="905" w:type="dxa"/>
            <w:tcBorders>
              <w:top w:val="single" w:sz="4" w:space="0" w:color="auto"/>
              <w:left w:val="nil"/>
              <w:bottom w:val="single" w:sz="24" w:space="0" w:color="auto"/>
              <w:right w:val="nil"/>
            </w:tcBorders>
            <w:vAlign w:val="center"/>
          </w:tcPr>
          <w:p w14:paraId="507118FA" w14:textId="77777777" w:rsidR="001409D5" w:rsidRPr="001017E1" w:rsidRDefault="001409D5" w:rsidP="0098070C">
            <w:pPr>
              <w:jc w:val="center"/>
              <w:rPr>
                <w:rFonts w:ascii="Arial" w:hAnsi="Arial" w:cs="Arial"/>
                <w:b/>
                <w:sz w:val="16"/>
                <w:szCs w:val="16"/>
              </w:rPr>
            </w:pPr>
            <w:r w:rsidRPr="001017E1">
              <w:rPr>
                <w:rFonts w:ascii="Arial" w:hAnsi="Arial" w:cs="Arial"/>
                <w:b/>
                <w:sz w:val="16"/>
                <w:szCs w:val="16"/>
              </w:rPr>
              <w:t>PD70</w:t>
            </w:r>
          </w:p>
        </w:tc>
        <w:tc>
          <w:tcPr>
            <w:tcW w:w="934" w:type="dxa"/>
            <w:tcBorders>
              <w:top w:val="single" w:sz="4" w:space="0" w:color="auto"/>
              <w:left w:val="nil"/>
              <w:bottom w:val="single" w:sz="24" w:space="0" w:color="auto"/>
              <w:right w:val="nil"/>
            </w:tcBorders>
            <w:vAlign w:val="center"/>
          </w:tcPr>
          <w:p w14:paraId="1DD80F41" w14:textId="77777777" w:rsidR="001409D5" w:rsidRPr="001017E1" w:rsidRDefault="001409D5" w:rsidP="0098070C">
            <w:pPr>
              <w:jc w:val="center"/>
              <w:rPr>
                <w:rFonts w:ascii="Arial" w:hAnsi="Arial" w:cs="Arial"/>
                <w:b/>
                <w:sz w:val="16"/>
                <w:szCs w:val="16"/>
              </w:rPr>
            </w:pPr>
            <w:r w:rsidRPr="001017E1">
              <w:rPr>
                <w:rFonts w:ascii="Arial" w:hAnsi="Arial" w:cs="Arial"/>
                <w:b/>
                <w:sz w:val="16"/>
                <w:szCs w:val="16"/>
              </w:rPr>
              <w:t>PD70+8</w:t>
            </w:r>
          </w:p>
        </w:tc>
        <w:tc>
          <w:tcPr>
            <w:tcW w:w="986" w:type="dxa"/>
            <w:tcBorders>
              <w:top w:val="single" w:sz="4" w:space="0" w:color="auto"/>
              <w:left w:val="nil"/>
              <w:bottom w:val="single" w:sz="24" w:space="0" w:color="auto"/>
              <w:right w:val="nil"/>
            </w:tcBorders>
            <w:vAlign w:val="center"/>
          </w:tcPr>
          <w:p w14:paraId="04CE01B1" w14:textId="77777777" w:rsidR="001409D5" w:rsidRPr="00F74999" w:rsidRDefault="001409D5" w:rsidP="0098070C">
            <w:pPr>
              <w:jc w:val="center"/>
              <w:rPr>
                <w:rFonts w:ascii="Arial" w:hAnsi="Arial" w:cs="Arial"/>
                <w:sz w:val="16"/>
                <w:szCs w:val="16"/>
              </w:rPr>
            </w:pPr>
            <w:proofErr w:type="gramStart"/>
            <w:r>
              <w:rPr>
                <w:rFonts w:ascii="Arial" w:hAnsi="Arial" w:cs="Arial"/>
                <w:i/>
                <w:sz w:val="16"/>
                <w:szCs w:val="16"/>
              </w:rPr>
              <w:t>F</w:t>
            </w:r>
            <w:r>
              <w:rPr>
                <w:rFonts w:ascii="Arial" w:hAnsi="Arial" w:cs="Arial"/>
                <w:sz w:val="16"/>
                <w:szCs w:val="16"/>
              </w:rPr>
              <w:t>(</w:t>
            </w:r>
            <w:proofErr w:type="gramEnd"/>
            <w:r>
              <w:rPr>
                <w:rFonts w:ascii="Arial" w:hAnsi="Arial" w:cs="Arial"/>
                <w:sz w:val="16"/>
                <w:szCs w:val="16"/>
              </w:rPr>
              <w:t>3,46)</w:t>
            </w:r>
          </w:p>
        </w:tc>
        <w:tc>
          <w:tcPr>
            <w:tcW w:w="772" w:type="dxa"/>
            <w:tcBorders>
              <w:top w:val="single" w:sz="4" w:space="0" w:color="auto"/>
              <w:left w:val="nil"/>
              <w:bottom w:val="single" w:sz="24" w:space="0" w:color="auto"/>
              <w:right w:val="nil"/>
            </w:tcBorders>
            <w:vAlign w:val="center"/>
          </w:tcPr>
          <w:p w14:paraId="6E2384F1" w14:textId="77777777" w:rsidR="001409D5" w:rsidRPr="00FE7C65" w:rsidRDefault="001409D5" w:rsidP="0098070C">
            <w:pPr>
              <w:jc w:val="center"/>
              <w:rPr>
                <w:rFonts w:ascii="Arial" w:hAnsi="Arial" w:cs="Arial"/>
                <w:i/>
                <w:sz w:val="16"/>
                <w:szCs w:val="16"/>
              </w:rPr>
            </w:pPr>
            <w:r>
              <w:rPr>
                <w:rFonts w:ascii="Arial" w:hAnsi="Arial" w:cs="Arial"/>
                <w:i/>
                <w:sz w:val="16"/>
                <w:szCs w:val="16"/>
              </w:rPr>
              <w:t>P</w:t>
            </w:r>
          </w:p>
        </w:tc>
        <w:tc>
          <w:tcPr>
            <w:tcW w:w="1039" w:type="dxa"/>
            <w:tcBorders>
              <w:top w:val="single" w:sz="4" w:space="0" w:color="auto"/>
              <w:left w:val="nil"/>
              <w:bottom w:val="single" w:sz="24" w:space="0" w:color="auto"/>
              <w:right w:val="nil"/>
            </w:tcBorders>
            <w:vAlign w:val="center"/>
          </w:tcPr>
          <w:p w14:paraId="63B000BE" w14:textId="77777777" w:rsidR="001409D5" w:rsidRPr="00F11BB2" w:rsidRDefault="001409D5" w:rsidP="0098070C">
            <w:pPr>
              <w:jc w:val="center"/>
              <w:rPr>
                <w:rFonts w:ascii="Arial" w:hAnsi="Arial" w:cs="Arial"/>
                <w:sz w:val="16"/>
                <w:szCs w:val="16"/>
              </w:rPr>
            </w:pPr>
            <w:proofErr w:type="gramStart"/>
            <w:r>
              <w:rPr>
                <w:rFonts w:ascii="Arial" w:hAnsi="Arial" w:cs="Arial"/>
                <w:i/>
                <w:sz w:val="16"/>
                <w:szCs w:val="16"/>
              </w:rPr>
              <w:t>F</w:t>
            </w:r>
            <w:r>
              <w:rPr>
                <w:rFonts w:ascii="Arial" w:hAnsi="Arial" w:cs="Arial"/>
                <w:sz w:val="16"/>
                <w:szCs w:val="16"/>
              </w:rPr>
              <w:t>(</w:t>
            </w:r>
            <w:proofErr w:type="gramEnd"/>
            <w:r>
              <w:rPr>
                <w:rFonts w:ascii="Arial" w:hAnsi="Arial" w:cs="Arial"/>
                <w:sz w:val="16"/>
                <w:szCs w:val="16"/>
              </w:rPr>
              <w:t>3,46)</w:t>
            </w:r>
          </w:p>
        </w:tc>
        <w:tc>
          <w:tcPr>
            <w:tcW w:w="947" w:type="dxa"/>
            <w:tcBorders>
              <w:top w:val="single" w:sz="4" w:space="0" w:color="auto"/>
              <w:left w:val="nil"/>
              <w:bottom w:val="single" w:sz="24" w:space="0" w:color="auto"/>
              <w:right w:val="nil"/>
            </w:tcBorders>
            <w:vAlign w:val="center"/>
          </w:tcPr>
          <w:p w14:paraId="72196824" w14:textId="77777777" w:rsidR="001409D5" w:rsidRPr="00F11BB2" w:rsidRDefault="001409D5" w:rsidP="0098070C">
            <w:pPr>
              <w:jc w:val="center"/>
              <w:rPr>
                <w:rFonts w:ascii="Arial" w:hAnsi="Arial" w:cs="Arial"/>
                <w:sz w:val="16"/>
                <w:szCs w:val="16"/>
              </w:rPr>
            </w:pPr>
            <w:r>
              <w:rPr>
                <w:rFonts w:ascii="Arial" w:hAnsi="Arial" w:cs="Arial"/>
                <w:i/>
                <w:sz w:val="16"/>
                <w:szCs w:val="16"/>
              </w:rPr>
              <w:t>P</w:t>
            </w:r>
          </w:p>
        </w:tc>
      </w:tr>
      <w:tr w:rsidR="001409D5" w14:paraId="2CD7E613" w14:textId="77777777" w:rsidTr="0098070C">
        <w:trPr>
          <w:trHeight w:val="232"/>
        </w:trPr>
        <w:tc>
          <w:tcPr>
            <w:tcW w:w="1446" w:type="dxa"/>
            <w:vMerge w:val="restart"/>
            <w:tcBorders>
              <w:top w:val="single" w:sz="24" w:space="0" w:color="auto"/>
              <w:left w:val="nil"/>
              <w:bottom w:val="nil"/>
              <w:right w:val="nil"/>
            </w:tcBorders>
          </w:tcPr>
          <w:p w14:paraId="17E43E7F" w14:textId="77777777" w:rsidR="001409D5" w:rsidRDefault="001409D5" w:rsidP="0098070C">
            <w:pPr>
              <w:spacing w:before="60"/>
              <w:rPr>
                <w:rFonts w:ascii="Arial" w:hAnsi="Arial" w:cs="Arial"/>
                <w:sz w:val="18"/>
                <w:szCs w:val="18"/>
              </w:rPr>
            </w:pPr>
            <w:r w:rsidRPr="006B1F84">
              <w:rPr>
                <w:rFonts w:ascii="Arial" w:hAnsi="Arial" w:cs="Arial"/>
                <w:sz w:val="18"/>
                <w:szCs w:val="18"/>
              </w:rPr>
              <w:t>Cortex</w:t>
            </w:r>
          </w:p>
          <w:p w14:paraId="2A3E3B3F" w14:textId="77777777" w:rsidR="001409D5" w:rsidRPr="006B1F84" w:rsidRDefault="001409D5" w:rsidP="0098070C">
            <w:pPr>
              <w:spacing w:before="60"/>
              <w:rPr>
                <w:rFonts w:ascii="Arial" w:hAnsi="Arial" w:cs="Arial"/>
                <w:sz w:val="18"/>
                <w:szCs w:val="18"/>
              </w:rPr>
            </w:pPr>
          </w:p>
        </w:tc>
        <w:tc>
          <w:tcPr>
            <w:tcW w:w="923" w:type="dxa"/>
            <w:tcBorders>
              <w:top w:val="single" w:sz="24" w:space="0" w:color="auto"/>
              <w:left w:val="nil"/>
              <w:bottom w:val="nil"/>
              <w:right w:val="nil"/>
            </w:tcBorders>
            <w:vAlign w:val="center"/>
          </w:tcPr>
          <w:p w14:paraId="3073A0B3" w14:textId="77777777" w:rsidR="001409D5" w:rsidRPr="006B1F84" w:rsidRDefault="001409D5" w:rsidP="0098070C">
            <w:pPr>
              <w:spacing w:before="60"/>
              <w:jc w:val="center"/>
              <w:rPr>
                <w:rFonts w:ascii="Arial" w:hAnsi="Arial" w:cs="Arial"/>
                <w:sz w:val="18"/>
                <w:szCs w:val="18"/>
              </w:rPr>
            </w:pPr>
            <w:r w:rsidRPr="006B1F84">
              <w:rPr>
                <w:rFonts w:ascii="Arial" w:hAnsi="Arial" w:cs="Arial"/>
                <w:sz w:val="18"/>
                <w:szCs w:val="18"/>
              </w:rPr>
              <w:t>1531.0</w:t>
            </w:r>
          </w:p>
        </w:tc>
        <w:tc>
          <w:tcPr>
            <w:tcW w:w="1083" w:type="dxa"/>
            <w:tcBorders>
              <w:top w:val="single" w:sz="24" w:space="0" w:color="auto"/>
              <w:left w:val="nil"/>
              <w:bottom w:val="nil"/>
              <w:right w:val="nil"/>
            </w:tcBorders>
            <w:vAlign w:val="center"/>
          </w:tcPr>
          <w:p w14:paraId="5EE8D16F" w14:textId="77777777" w:rsidR="001409D5" w:rsidRPr="006B1F84" w:rsidRDefault="001409D5" w:rsidP="0098070C">
            <w:pPr>
              <w:spacing w:before="60"/>
              <w:jc w:val="center"/>
              <w:rPr>
                <w:rFonts w:ascii="Arial" w:hAnsi="Arial" w:cs="Arial"/>
                <w:sz w:val="18"/>
                <w:szCs w:val="18"/>
              </w:rPr>
            </w:pPr>
            <w:r w:rsidRPr="006B1F84">
              <w:rPr>
                <w:rFonts w:ascii="Arial" w:hAnsi="Arial" w:cs="Arial"/>
                <w:sz w:val="18"/>
                <w:szCs w:val="18"/>
              </w:rPr>
              <w:t>1679.0</w:t>
            </w:r>
          </w:p>
        </w:tc>
        <w:tc>
          <w:tcPr>
            <w:tcW w:w="893" w:type="dxa"/>
            <w:tcBorders>
              <w:top w:val="single" w:sz="24" w:space="0" w:color="auto"/>
              <w:left w:val="nil"/>
              <w:bottom w:val="nil"/>
              <w:right w:val="nil"/>
            </w:tcBorders>
            <w:shd w:val="clear" w:color="auto" w:fill="F2F2F2" w:themeFill="background1" w:themeFillShade="F2"/>
            <w:vAlign w:val="center"/>
          </w:tcPr>
          <w:p w14:paraId="24B78A6F" w14:textId="77777777" w:rsidR="001409D5" w:rsidRPr="006B1F84" w:rsidRDefault="001409D5" w:rsidP="0098070C">
            <w:pPr>
              <w:spacing w:before="60"/>
              <w:jc w:val="center"/>
              <w:rPr>
                <w:rFonts w:ascii="Arial" w:hAnsi="Arial" w:cs="Arial"/>
                <w:sz w:val="18"/>
                <w:szCs w:val="18"/>
              </w:rPr>
            </w:pPr>
            <w:r w:rsidRPr="006B1F84">
              <w:rPr>
                <w:rFonts w:ascii="Arial" w:hAnsi="Arial" w:cs="Arial"/>
                <w:sz w:val="18"/>
                <w:szCs w:val="18"/>
              </w:rPr>
              <w:t>352.2</w:t>
            </w:r>
          </w:p>
        </w:tc>
        <w:tc>
          <w:tcPr>
            <w:tcW w:w="923" w:type="dxa"/>
            <w:tcBorders>
              <w:top w:val="single" w:sz="24" w:space="0" w:color="auto"/>
              <w:left w:val="nil"/>
              <w:bottom w:val="nil"/>
              <w:right w:val="nil"/>
            </w:tcBorders>
            <w:shd w:val="clear" w:color="auto" w:fill="F2F2F2" w:themeFill="background1" w:themeFillShade="F2"/>
            <w:vAlign w:val="center"/>
          </w:tcPr>
          <w:p w14:paraId="30468883" w14:textId="77777777" w:rsidR="001409D5" w:rsidRPr="006B1F84" w:rsidRDefault="001409D5" w:rsidP="0098070C">
            <w:pPr>
              <w:spacing w:before="60"/>
              <w:jc w:val="center"/>
              <w:rPr>
                <w:rFonts w:ascii="Arial" w:hAnsi="Arial" w:cs="Arial"/>
                <w:sz w:val="18"/>
                <w:szCs w:val="18"/>
              </w:rPr>
            </w:pPr>
            <w:r w:rsidRPr="006B1F84">
              <w:rPr>
                <w:rFonts w:ascii="Arial" w:hAnsi="Arial" w:cs="Arial"/>
                <w:sz w:val="18"/>
                <w:szCs w:val="18"/>
              </w:rPr>
              <w:t>385.2</w:t>
            </w:r>
          </w:p>
        </w:tc>
        <w:tc>
          <w:tcPr>
            <w:tcW w:w="905" w:type="dxa"/>
            <w:tcBorders>
              <w:top w:val="single" w:sz="24" w:space="0" w:color="auto"/>
              <w:left w:val="nil"/>
              <w:bottom w:val="nil"/>
              <w:right w:val="nil"/>
            </w:tcBorders>
            <w:vAlign w:val="center"/>
          </w:tcPr>
          <w:p w14:paraId="1CEFC84F" w14:textId="77777777" w:rsidR="001409D5" w:rsidRPr="006B1F84" w:rsidRDefault="001409D5" w:rsidP="0098070C">
            <w:pPr>
              <w:spacing w:before="60"/>
              <w:jc w:val="center"/>
              <w:rPr>
                <w:rFonts w:ascii="Arial" w:hAnsi="Arial" w:cs="Arial"/>
                <w:sz w:val="18"/>
                <w:szCs w:val="18"/>
              </w:rPr>
            </w:pPr>
            <w:r w:rsidRPr="006B1F84">
              <w:rPr>
                <w:rFonts w:ascii="Arial" w:hAnsi="Arial" w:cs="Arial"/>
                <w:sz w:val="18"/>
                <w:szCs w:val="18"/>
              </w:rPr>
              <w:t>972.8</w:t>
            </w:r>
          </w:p>
        </w:tc>
        <w:tc>
          <w:tcPr>
            <w:tcW w:w="934" w:type="dxa"/>
            <w:tcBorders>
              <w:top w:val="single" w:sz="24" w:space="0" w:color="auto"/>
              <w:left w:val="nil"/>
              <w:bottom w:val="nil"/>
              <w:right w:val="nil"/>
            </w:tcBorders>
            <w:vAlign w:val="center"/>
          </w:tcPr>
          <w:p w14:paraId="35E43373" w14:textId="77777777" w:rsidR="001409D5" w:rsidRPr="006B1F84" w:rsidRDefault="001409D5" w:rsidP="0098070C">
            <w:pPr>
              <w:spacing w:before="60"/>
              <w:jc w:val="center"/>
              <w:rPr>
                <w:rFonts w:ascii="Arial" w:hAnsi="Arial" w:cs="Arial"/>
                <w:sz w:val="18"/>
                <w:szCs w:val="18"/>
              </w:rPr>
            </w:pPr>
            <w:r w:rsidRPr="006B1F84">
              <w:rPr>
                <w:rFonts w:ascii="Arial" w:hAnsi="Arial" w:cs="Arial"/>
                <w:sz w:val="18"/>
                <w:szCs w:val="18"/>
              </w:rPr>
              <w:t>956.1</w:t>
            </w:r>
          </w:p>
        </w:tc>
        <w:tc>
          <w:tcPr>
            <w:tcW w:w="986" w:type="dxa"/>
            <w:vMerge w:val="restart"/>
            <w:tcBorders>
              <w:top w:val="single" w:sz="24" w:space="0" w:color="auto"/>
              <w:left w:val="nil"/>
              <w:bottom w:val="nil"/>
              <w:right w:val="nil"/>
            </w:tcBorders>
          </w:tcPr>
          <w:p w14:paraId="0E9697D3" w14:textId="77777777" w:rsidR="001409D5" w:rsidRPr="00D1725B" w:rsidRDefault="001409D5" w:rsidP="0098070C">
            <w:pPr>
              <w:spacing w:before="60"/>
              <w:jc w:val="center"/>
              <w:rPr>
                <w:rFonts w:ascii="Arial" w:hAnsi="Arial" w:cs="Arial"/>
                <w:sz w:val="18"/>
                <w:szCs w:val="18"/>
              </w:rPr>
            </w:pPr>
            <w:r w:rsidRPr="00D1725B">
              <w:rPr>
                <w:rFonts w:ascii="Arial" w:hAnsi="Arial" w:cs="Arial"/>
                <w:sz w:val="18"/>
                <w:szCs w:val="18"/>
              </w:rPr>
              <w:t>111.967</w:t>
            </w:r>
          </w:p>
        </w:tc>
        <w:tc>
          <w:tcPr>
            <w:tcW w:w="772" w:type="dxa"/>
            <w:vMerge w:val="restart"/>
            <w:tcBorders>
              <w:top w:val="single" w:sz="24" w:space="0" w:color="auto"/>
              <w:left w:val="nil"/>
              <w:bottom w:val="nil"/>
              <w:right w:val="nil"/>
            </w:tcBorders>
          </w:tcPr>
          <w:p w14:paraId="424B3359" w14:textId="77777777" w:rsidR="001409D5" w:rsidRPr="00D1725B" w:rsidRDefault="001409D5" w:rsidP="0098070C">
            <w:pPr>
              <w:spacing w:before="60"/>
              <w:jc w:val="center"/>
              <w:rPr>
                <w:rFonts w:ascii="Arial" w:hAnsi="Arial" w:cs="Arial"/>
                <w:b/>
                <w:sz w:val="18"/>
                <w:szCs w:val="18"/>
              </w:rPr>
            </w:pPr>
            <w:r w:rsidRPr="00D1725B">
              <w:rPr>
                <w:rFonts w:ascii="Arial" w:hAnsi="Arial" w:cs="Arial"/>
                <w:b/>
                <w:sz w:val="18"/>
                <w:szCs w:val="18"/>
              </w:rPr>
              <w:t>&lt;0.001</w:t>
            </w:r>
          </w:p>
        </w:tc>
        <w:tc>
          <w:tcPr>
            <w:tcW w:w="1039" w:type="dxa"/>
            <w:vMerge w:val="restart"/>
            <w:tcBorders>
              <w:top w:val="single" w:sz="24" w:space="0" w:color="auto"/>
              <w:left w:val="nil"/>
              <w:bottom w:val="nil"/>
              <w:right w:val="nil"/>
            </w:tcBorders>
          </w:tcPr>
          <w:p w14:paraId="59FDB1ED" w14:textId="77777777" w:rsidR="001409D5" w:rsidRPr="00D1725B" w:rsidRDefault="001409D5" w:rsidP="0098070C">
            <w:pPr>
              <w:spacing w:before="60"/>
              <w:jc w:val="center"/>
              <w:rPr>
                <w:rFonts w:ascii="Arial" w:hAnsi="Arial" w:cs="Arial"/>
                <w:sz w:val="18"/>
                <w:szCs w:val="18"/>
              </w:rPr>
            </w:pPr>
            <w:r w:rsidRPr="00D1725B">
              <w:rPr>
                <w:rFonts w:ascii="Arial" w:hAnsi="Arial" w:cs="Arial"/>
                <w:sz w:val="18"/>
                <w:szCs w:val="18"/>
              </w:rPr>
              <w:t>0.456</w:t>
            </w:r>
          </w:p>
        </w:tc>
        <w:tc>
          <w:tcPr>
            <w:tcW w:w="947" w:type="dxa"/>
            <w:vMerge w:val="restart"/>
            <w:tcBorders>
              <w:top w:val="single" w:sz="24" w:space="0" w:color="auto"/>
              <w:left w:val="nil"/>
              <w:bottom w:val="nil"/>
              <w:right w:val="nil"/>
            </w:tcBorders>
          </w:tcPr>
          <w:p w14:paraId="749FADB5" w14:textId="77777777" w:rsidR="001409D5" w:rsidRPr="00D1725B" w:rsidRDefault="001409D5" w:rsidP="0098070C">
            <w:pPr>
              <w:spacing w:before="60"/>
              <w:jc w:val="center"/>
              <w:rPr>
                <w:rFonts w:ascii="Arial" w:hAnsi="Arial" w:cs="Arial"/>
                <w:sz w:val="18"/>
                <w:szCs w:val="18"/>
              </w:rPr>
            </w:pPr>
            <w:r w:rsidRPr="00D1725B">
              <w:rPr>
                <w:rFonts w:ascii="Arial" w:hAnsi="Arial" w:cs="Arial"/>
                <w:sz w:val="18"/>
                <w:szCs w:val="18"/>
              </w:rPr>
              <w:t>0.715</w:t>
            </w:r>
          </w:p>
        </w:tc>
      </w:tr>
      <w:tr w:rsidR="001409D5" w14:paraId="14CAE7BB" w14:textId="77777777" w:rsidTr="0098070C">
        <w:trPr>
          <w:trHeight w:val="578"/>
        </w:trPr>
        <w:tc>
          <w:tcPr>
            <w:tcW w:w="1446" w:type="dxa"/>
            <w:vMerge/>
            <w:tcBorders>
              <w:top w:val="nil"/>
              <w:left w:val="nil"/>
              <w:bottom w:val="nil"/>
              <w:right w:val="nil"/>
            </w:tcBorders>
          </w:tcPr>
          <w:p w14:paraId="71A24157" w14:textId="77777777" w:rsidR="001409D5" w:rsidRPr="006B1F84" w:rsidRDefault="001409D5" w:rsidP="0098070C">
            <w:pPr>
              <w:spacing w:before="60"/>
              <w:rPr>
                <w:rFonts w:ascii="Arial" w:hAnsi="Arial" w:cs="Arial"/>
                <w:sz w:val="18"/>
                <w:szCs w:val="18"/>
              </w:rPr>
            </w:pPr>
          </w:p>
        </w:tc>
        <w:tc>
          <w:tcPr>
            <w:tcW w:w="923" w:type="dxa"/>
            <w:tcBorders>
              <w:top w:val="nil"/>
              <w:left w:val="nil"/>
              <w:bottom w:val="nil"/>
              <w:right w:val="nil"/>
            </w:tcBorders>
            <w:vAlign w:val="center"/>
          </w:tcPr>
          <w:p w14:paraId="78B189A8"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92.6</w:t>
            </w:r>
          </w:p>
          <w:p w14:paraId="4DFAF754" w14:textId="77777777" w:rsidR="001409D5" w:rsidRDefault="001409D5" w:rsidP="0098070C">
            <w:pPr>
              <w:jc w:val="center"/>
              <w:rPr>
                <w:rFonts w:ascii="Arial" w:hAnsi="Arial" w:cs="Arial"/>
                <w:sz w:val="16"/>
                <w:szCs w:val="16"/>
              </w:rPr>
            </w:pPr>
          </w:p>
        </w:tc>
        <w:tc>
          <w:tcPr>
            <w:tcW w:w="1083" w:type="dxa"/>
            <w:tcBorders>
              <w:top w:val="nil"/>
              <w:left w:val="nil"/>
              <w:bottom w:val="nil"/>
              <w:right w:val="nil"/>
            </w:tcBorders>
            <w:vAlign w:val="center"/>
          </w:tcPr>
          <w:p w14:paraId="2FEF30C0"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137.2</w:t>
            </w:r>
          </w:p>
          <w:p w14:paraId="062E0A6C" w14:textId="77777777" w:rsidR="001409D5" w:rsidRDefault="001409D5" w:rsidP="0098070C">
            <w:pPr>
              <w:jc w:val="center"/>
              <w:rPr>
                <w:rFonts w:ascii="Arial" w:hAnsi="Arial" w:cs="Arial"/>
                <w:sz w:val="16"/>
                <w:szCs w:val="16"/>
              </w:rPr>
            </w:pPr>
          </w:p>
        </w:tc>
        <w:tc>
          <w:tcPr>
            <w:tcW w:w="893" w:type="dxa"/>
            <w:tcBorders>
              <w:top w:val="nil"/>
              <w:left w:val="nil"/>
              <w:bottom w:val="nil"/>
              <w:right w:val="nil"/>
            </w:tcBorders>
            <w:shd w:val="clear" w:color="auto" w:fill="F2F2F2" w:themeFill="background1" w:themeFillShade="F2"/>
            <w:vAlign w:val="center"/>
          </w:tcPr>
          <w:p w14:paraId="2F528E74"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20.9</w:t>
            </w:r>
          </w:p>
          <w:p w14:paraId="0D2FBAFB" w14:textId="77777777" w:rsidR="001409D5" w:rsidRPr="00F11BB2" w:rsidRDefault="001409D5" w:rsidP="0098070C">
            <w:pPr>
              <w:jc w:val="center"/>
              <w:rPr>
                <w:rFonts w:ascii="Arial" w:hAnsi="Arial" w:cs="Arial"/>
                <w:sz w:val="16"/>
                <w:szCs w:val="16"/>
              </w:rPr>
            </w:pPr>
            <w:r>
              <w:rPr>
                <w:rFonts w:ascii="Arial" w:hAnsi="Arial" w:cs="Arial"/>
                <w:sz w:val="16"/>
                <w:szCs w:val="16"/>
              </w:rPr>
              <w:t>23% WT</w:t>
            </w:r>
          </w:p>
        </w:tc>
        <w:tc>
          <w:tcPr>
            <w:tcW w:w="923" w:type="dxa"/>
            <w:tcBorders>
              <w:top w:val="nil"/>
              <w:left w:val="nil"/>
              <w:bottom w:val="nil"/>
              <w:right w:val="nil"/>
            </w:tcBorders>
            <w:shd w:val="clear" w:color="auto" w:fill="F2F2F2" w:themeFill="background1" w:themeFillShade="F2"/>
            <w:vAlign w:val="center"/>
          </w:tcPr>
          <w:p w14:paraId="7B24E38E"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34.0</w:t>
            </w:r>
          </w:p>
          <w:p w14:paraId="513ABD84" w14:textId="77777777" w:rsidR="001409D5" w:rsidRPr="00F11BB2" w:rsidRDefault="001409D5" w:rsidP="0098070C">
            <w:pPr>
              <w:jc w:val="center"/>
              <w:rPr>
                <w:rFonts w:ascii="Arial" w:hAnsi="Arial" w:cs="Arial"/>
                <w:sz w:val="16"/>
                <w:szCs w:val="16"/>
              </w:rPr>
            </w:pPr>
            <w:r>
              <w:rPr>
                <w:rFonts w:ascii="Arial" w:hAnsi="Arial" w:cs="Arial"/>
                <w:sz w:val="16"/>
                <w:szCs w:val="16"/>
              </w:rPr>
              <w:t>23% WT</w:t>
            </w:r>
          </w:p>
        </w:tc>
        <w:tc>
          <w:tcPr>
            <w:tcW w:w="905" w:type="dxa"/>
            <w:tcBorders>
              <w:top w:val="nil"/>
              <w:left w:val="nil"/>
              <w:bottom w:val="nil"/>
              <w:right w:val="nil"/>
            </w:tcBorders>
            <w:vAlign w:val="center"/>
          </w:tcPr>
          <w:p w14:paraId="55853F67"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60.6</w:t>
            </w:r>
          </w:p>
          <w:p w14:paraId="73DE3313" w14:textId="77777777" w:rsidR="001409D5" w:rsidRPr="00F11BB2" w:rsidRDefault="001409D5" w:rsidP="0098070C">
            <w:pPr>
              <w:jc w:val="center"/>
              <w:rPr>
                <w:rFonts w:ascii="Arial" w:hAnsi="Arial" w:cs="Arial"/>
                <w:sz w:val="16"/>
                <w:szCs w:val="16"/>
              </w:rPr>
            </w:pPr>
            <w:r>
              <w:rPr>
                <w:rFonts w:ascii="Arial" w:hAnsi="Arial" w:cs="Arial"/>
                <w:sz w:val="16"/>
                <w:szCs w:val="16"/>
              </w:rPr>
              <w:t>63% WT</w:t>
            </w:r>
          </w:p>
        </w:tc>
        <w:tc>
          <w:tcPr>
            <w:tcW w:w="934" w:type="dxa"/>
            <w:tcBorders>
              <w:top w:val="nil"/>
              <w:left w:val="nil"/>
              <w:bottom w:val="nil"/>
              <w:right w:val="nil"/>
            </w:tcBorders>
            <w:vAlign w:val="center"/>
          </w:tcPr>
          <w:p w14:paraId="2E5A45E2"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75.4</w:t>
            </w:r>
          </w:p>
          <w:p w14:paraId="5837AAD1" w14:textId="77777777" w:rsidR="001409D5" w:rsidRPr="00F11BB2" w:rsidRDefault="001409D5" w:rsidP="0098070C">
            <w:pPr>
              <w:jc w:val="center"/>
              <w:rPr>
                <w:rFonts w:ascii="Arial" w:hAnsi="Arial" w:cs="Arial"/>
                <w:sz w:val="16"/>
                <w:szCs w:val="16"/>
              </w:rPr>
            </w:pPr>
            <w:r>
              <w:rPr>
                <w:rFonts w:ascii="Arial" w:hAnsi="Arial" w:cs="Arial"/>
                <w:sz w:val="16"/>
                <w:szCs w:val="16"/>
              </w:rPr>
              <w:t>57% WT</w:t>
            </w:r>
          </w:p>
        </w:tc>
        <w:tc>
          <w:tcPr>
            <w:tcW w:w="986" w:type="dxa"/>
            <w:vMerge/>
            <w:tcBorders>
              <w:top w:val="nil"/>
              <w:left w:val="nil"/>
              <w:bottom w:val="nil"/>
              <w:right w:val="nil"/>
            </w:tcBorders>
          </w:tcPr>
          <w:p w14:paraId="6AA10B36" w14:textId="77777777" w:rsidR="001409D5" w:rsidRPr="00D1725B" w:rsidRDefault="001409D5" w:rsidP="0098070C">
            <w:pPr>
              <w:spacing w:before="60"/>
              <w:jc w:val="center"/>
              <w:rPr>
                <w:rFonts w:ascii="Arial" w:hAnsi="Arial" w:cs="Arial"/>
                <w:sz w:val="18"/>
                <w:szCs w:val="18"/>
              </w:rPr>
            </w:pPr>
          </w:p>
        </w:tc>
        <w:tc>
          <w:tcPr>
            <w:tcW w:w="772" w:type="dxa"/>
            <w:vMerge/>
            <w:tcBorders>
              <w:top w:val="nil"/>
              <w:left w:val="nil"/>
              <w:bottom w:val="nil"/>
              <w:right w:val="nil"/>
            </w:tcBorders>
          </w:tcPr>
          <w:p w14:paraId="3F37F70D" w14:textId="77777777" w:rsidR="001409D5" w:rsidRPr="00D1725B" w:rsidRDefault="001409D5" w:rsidP="0098070C">
            <w:pPr>
              <w:spacing w:before="60"/>
              <w:jc w:val="center"/>
              <w:rPr>
                <w:rFonts w:ascii="Arial" w:hAnsi="Arial" w:cs="Arial"/>
                <w:b/>
                <w:sz w:val="18"/>
                <w:szCs w:val="18"/>
              </w:rPr>
            </w:pPr>
          </w:p>
        </w:tc>
        <w:tc>
          <w:tcPr>
            <w:tcW w:w="1039" w:type="dxa"/>
            <w:vMerge/>
            <w:tcBorders>
              <w:top w:val="nil"/>
              <w:left w:val="nil"/>
              <w:bottom w:val="nil"/>
              <w:right w:val="nil"/>
            </w:tcBorders>
          </w:tcPr>
          <w:p w14:paraId="610D7ECB" w14:textId="77777777" w:rsidR="001409D5" w:rsidRPr="00D1725B" w:rsidRDefault="001409D5" w:rsidP="0098070C">
            <w:pPr>
              <w:spacing w:before="60"/>
              <w:jc w:val="center"/>
              <w:rPr>
                <w:rFonts w:ascii="Arial" w:hAnsi="Arial" w:cs="Arial"/>
                <w:sz w:val="18"/>
                <w:szCs w:val="18"/>
              </w:rPr>
            </w:pPr>
          </w:p>
        </w:tc>
        <w:tc>
          <w:tcPr>
            <w:tcW w:w="947" w:type="dxa"/>
            <w:vMerge/>
            <w:tcBorders>
              <w:top w:val="nil"/>
              <w:left w:val="nil"/>
              <w:bottom w:val="nil"/>
              <w:right w:val="nil"/>
            </w:tcBorders>
          </w:tcPr>
          <w:p w14:paraId="5DC6201D" w14:textId="77777777" w:rsidR="001409D5" w:rsidRPr="00D1725B" w:rsidRDefault="001409D5" w:rsidP="0098070C">
            <w:pPr>
              <w:spacing w:before="60"/>
              <w:jc w:val="center"/>
              <w:rPr>
                <w:rFonts w:ascii="Arial" w:hAnsi="Arial" w:cs="Arial"/>
                <w:sz w:val="18"/>
                <w:szCs w:val="18"/>
              </w:rPr>
            </w:pPr>
          </w:p>
        </w:tc>
      </w:tr>
      <w:tr w:rsidR="001409D5" w14:paraId="2A854019" w14:textId="77777777" w:rsidTr="0098070C">
        <w:trPr>
          <w:trHeight w:val="232"/>
        </w:trPr>
        <w:tc>
          <w:tcPr>
            <w:tcW w:w="1446" w:type="dxa"/>
            <w:vMerge w:val="restart"/>
            <w:tcBorders>
              <w:top w:val="nil"/>
              <w:left w:val="nil"/>
              <w:bottom w:val="nil"/>
              <w:right w:val="nil"/>
            </w:tcBorders>
          </w:tcPr>
          <w:p w14:paraId="4728B9B0" w14:textId="77777777" w:rsidR="001409D5" w:rsidRDefault="001409D5" w:rsidP="0098070C">
            <w:pPr>
              <w:spacing w:before="60"/>
              <w:rPr>
                <w:rFonts w:ascii="Arial" w:hAnsi="Arial" w:cs="Arial"/>
                <w:sz w:val="18"/>
                <w:szCs w:val="18"/>
              </w:rPr>
            </w:pPr>
            <w:r>
              <w:rPr>
                <w:rFonts w:ascii="Arial" w:hAnsi="Arial" w:cs="Arial"/>
                <w:sz w:val="18"/>
                <w:szCs w:val="18"/>
              </w:rPr>
              <w:t>Striatum</w:t>
            </w:r>
          </w:p>
          <w:p w14:paraId="00687D18" w14:textId="77777777" w:rsidR="001409D5" w:rsidRPr="006B1F84" w:rsidRDefault="001409D5" w:rsidP="0098070C">
            <w:pPr>
              <w:spacing w:before="60"/>
              <w:rPr>
                <w:rFonts w:ascii="Arial" w:hAnsi="Arial" w:cs="Arial"/>
                <w:sz w:val="18"/>
                <w:szCs w:val="18"/>
              </w:rPr>
            </w:pPr>
          </w:p>
        </w:tc>
        <w:tc>
          <w:tcPr>
            <w:tcW w:w="923" w:type="dxa"/>
            <w:tcBorders>
              <w:top w:val="nil"/>
              <w:left w:val="nil"/>
              <w:bottom w:val="nil"/>
              <w:right w:val="nil"/>
            </w:tcBorders>
            <w:vAlign w:val="center"/>
          </w:tcPr>
          <w:p w14:paraId="4393A144" w14:textId="77777777" w:rsidR="001409D5" w:rsidRPr="006B1F84" w:rsidRDefault="001409D5" w:rsidP="0098070C">
            <w:pPr>
              <w:spacing w:before="60"/>
              <w:jc w:val="center"/>
              <w:rPr>
                <w:rFonts w:ascii="Arial" w:hAnsi="Arial" w:cs="Arial"/>
                <w:sz w:val="18"/>
                <w:szCs w:val="18"/>
              </w:rPr>
            </w:pPr>
            <w:r>
              <w:rPr>
                <w:rFonts w:ascii="Arial" w:hAnsi="Arial" w:cs="Arial"/>
                <w:sz w:val="18"/>
                <w:szCs w:val="18"/>
              </w:rPr>
              <w:t>995.3</w:t>
            </w:r>
          </w:p>
        </w:tc>
        <w:tc>
          <w:tcPr>
            <w:tcW w:w="1083" w:type="dxa"/>
            <w:tcBorders>
              <w:top w:val="nil"/>
              <w:left w:val="nil"/>
              <w:bottom w:val="nil"/>
              <w:right w:val="nil"/>
            </w:tcBorders>
            <w:vAlign w:val="center"/>
          </w:tcPr>
          <w:p w14:paraId="119E733E" w14:textId="77777777" w:rsidR="001409D5" w:rsidRPr="006B1F84" w:rsidRDefault="001409D5" w:rsidP="0098070C">
            <w:pPr>
              <w:spacing w:before="60"/>
              <w:jc w:val="center"/>
              <w:rPr>
                <w:rFonts w:ascii="Arial" w:hAnsi="Arial" w:cs="Arial"/>
                <w:sz w:val="18"/>
                <w:szCs w:val="18"/>
              </w:rPr>
            </w:pPr>
            <w:r>
              <w:rPr>
                <w:rFonts w:ascii="Arial" w:hAnsi="Arial" w:cs="Arial"/>
                <w:sz w:val="18"/>
                <w:szCs w:val="18"/>
              </w:rPr>
              <w:t>904.4</w:t>
            </w:r>
          </w:p>
        </w:tc>
        <w:tc>
          <w:tcPr>
            <w:tcW w:w="893" w:type="dxa"/>
            <w:tcBorders>
              <w:top w:val="nil"/>
              <w:left w:val="nil"/>
              <w:bottom w:val="nil"/>
              <w:right w:val="nil"/>
            </w:tcBorders>
            <w:shd w:val="clear" w:color="auto" w:fill="F2F2F2" w:themeFill="background1" w:themeFillShade="F2"/>
            <w:vAlign w:val="center"/>
          </w:tcPr>
          <w:p w14:paraId="06B7C29B" w14:textId="77777777" w:rsidR="001409D5" w:rsidRPr="006B1F84" w:rsidRDefault="001409D5" w:rsidP="0098070C">
            <w:pPr>
              <w:spacing w:before="60"/>
              <w:jc w:val="center"/>
              <w:rPr>
                <w:rFonts w:ascii="Arial" w:hAnsi="Arial" w:cs="Arial"/>
                <w:sz w:val="18"/>
                <w:szCs w:val="18"/>
              </w:rPr>
            </w:pPr>
            <w:r>
              <w:rPr>
                <w:rFonts w:ascii="Arial" w:hAnsi="Arial" w:cs="Arial"/>
                <w:sz w:val="18"/>
                <w:szCs w:val="18"/>
              </w:rPr>
              <w:t>308.5</w:t>
            </w:r>
          </w:p>
        </w:tc>
        <w:tc>
          <w:tcPr>
            <w:tcW w:w="923" w:type="dxa"/>
            <w:tcBorders>
              <w:top w:val="nil"/>
              <w:left w:val="nil"/>
              <w:bottom w:val="nil"/>
              <w:right w:val="nil"/>
            </w:tcBorders>
            <w:shd w:val="clear" w:color="auto" w:fill="F2F2F2" w:themeFill="background1" w:themeFillShade="F2"/>
            <w:vAlign w:val="center"/>
          </w:tcPr>
          <w:p w14:paraId="52B166CF" w14:textId="77777777" w:rsidR="001409D5" w:rsidRPr="006B1F84" w:rsidRDefault="001409D5" w:rsidP="0098070C">
            <w:pPr>
              <w:spacing w:before="60"/>
              <w:jc w:val="center"/>
              <w:rPr>
                <w:rFonts w:ascii="Arial" w:hAnsi="Arial" w:cs="Arial"/>
                <w:sz w:val="18"/>
                <w:szCs w:val="18"/>
              </w:rPr>
            </w:pPr>
            <w:r>
              <w:rPr>
                <w:rFonts w:ascii="Arial" w:hAnsi="Arial" w:cs="Arial"/>
                <w:sz w:val="18"/>
                <w:szCs w:val="18"/>
              </w:rPr>
              <w:t>269.7</w:t>
            </w:r>
          </w:p>
        </w:tc>
        <w:tc>
          <w:tcPr>
            <w:tcW w:w="905" w:type="dxa"/>
            <w:tcBorders>
              <w:top w:val="nil"/>
              <w:left w:val="nil"/>
              <w:bottom w:val="nil"/>
              <w:right w:val="nil"/>
            </w:tcBorders>
            <w:vAlign w:val="center"/>
          </w:tcPr>
          <w:p w14:paraId="7AC1FD5F" w14:textId="77777777" w:rsidR="001409D5" w:rsidRPr="006B1F84" w:rsidRDefault="001409D5" w:rsidP="0098070C">
            <w:pPr>
              <w:spacing w:before="60"/>
              <w:jc w:val="center"/>
              <w:rPr>
                <w:rFonts w:ascii="Arial" w:hAnsi="Arial" w:cs="Arial"/>
                <w:sz w:val="18"/>
                <w:szCs w:val="18"/>
              </w:rPr>
            </w:pPr>
            <w:r>
              <w:rPr>
                <w:rFonts w:ascii="Arial" w:hAnsi="Arial" w:cs="Arial"/>
                <w:sz w:val="18"/>
                <w:szCs w:val="18"/>
              </w:rPr>
              <w:t>502.4</w:t>
            </w:r>
          </w:p>
        </w:tc>
        <w:tc>
          <w:tcPr>
            <w:tcW w:w="934" w:type="dxa"/>
            <w:tcBorders>
              <w:top w:val="nil"/>
              <w:left w:val="nil"/>
              <w:bottom w:val="nil"/>
              <w:right w:val="nil"/>
            </w:tcBorders>
            <w:vAlign w:val="center"/>
          </w:tcPr>
          <w:p w14:paraId="7F220E1C" w14:textId="77777777" w:rsidR="001409D5" w:rsidRPr="006B1F84" w:rsidRDefault="001409D5" w:rsidP="0098070C">
            <w:pPr>
              <w:spacing w:before="60"/>
              <w:jc w:val="center"/>
              <w:rPr>
                <w:rFonts w:ascii="Arial" w:hAnsi="Arial" w:cs="Arial"/>
                <w:sz w:val="18"/>
                <w:szCs w:val="18"/>
              </w:rPr>
            </w:pPr>
            <w:r>
              <w:rPr>
                <w:rFonts w:ascii="Arial" w:hAnsi="Arial" w:cs="Arial"/>
                <w:sz w:val="18"/>
                <w:szCs w:val="18"/>
              </w:rPr>
              <w:t>452.7</w:t>
            </w:r>
          </w:p>
        </w:tc>
        <w:tc>
          <w:tcPr>
            <w:tcW w:w="986" w:type="dxa"/>
            <w:vMerge w:val="restart"/>
            <w:tcBorders>
              <w:top w:val="nil"/>
              <w:left w:val="nil"/>
              <w:bottom w:val="nil"/>
              <w:right w:val="nil"/>
            </w:tcBorders>
          </w:tcPr>
          <w:p w14:paraId="588437E4" w14:textId="77777777" w:rsidR="001409D5" w:rsidRPr="00D1725B" w:rsidRDefault="001409D5" w:rsidP="0098070C">
            <w:pPr>
              <w:spacing w:before="60"/>
              <w:jc w:val="center"/>
              <w:rPr>
                <w:rFonts w:ascii="Arial" w:hAnsi="Arial" w:cs="Arial"/>
                <w:sz w:val="18"/>
                <w:szCs w:val="18"/>
              </w:rPr>
            </w:pPr>
            <w:r>
              <w:rPr>
                <w:rFonts w:ascii="Arial" w:hAnsi="Arial" w:cs="Arial"/>
                <w:sz w:val="18"/>
                <w:szCs w:val="18"/>
              </w:rPr>
              <w:t>124.513</w:t>
            </w:r>
          </w:p>
        </w:tc>
        <w:tc>
          <w:tcPr>
            <w:tcW w:w="772" w:type="dxa"/>
            <w:vMerge w:val="restart"/>
            <w:tcBorders>
              <w:top w:val="nil"/>
              <w:left w:val="nil"/>
              <w:bottom w:val="nil"/>
              <w:right w:val="nil"/>
            </w:tcBorders>
          </w:tcPr>
          <w:p w14:paraId="6360F912" w14:textId="77777777" w:rsidR="001409D5" w:rsidRPr="00D1725B" w:rsidRDefault="001409D5" w:rsidP="0098070C">
            <w:pPr>
              <w:spacing w:before="60"/>
              <w:jc w:val="center"/>
              <w:rPr>
                <w:rFonts w:ascii="Arial" w:hAnsi="Arial" w:cs="Arial"/>
                <w:b/>
                <w:sz w:val="18"/>
                <w:szCs w:val="18"/>
              </w:rPr>
            </w:pPr>
            <w:r w:rsidRPr="00D1725B">
              <w:rPr>
                <w:rFonts w:ascii="Arial" w:hAnsi="Arial" w:cs="Arial"/>
                <w:b/>
                <w:sz w:val="18"/>
                <w:szCs w:val="18"/>
              </w:rPr>
              <w:t>&lt;0.001</w:t>
            </w:r>
          </w:p>
        </w:tc>
        <w:tc>
          <w:tcPr>
            <w:tcW w:w="1039" w:type="dxa"/>
            <w:vMerge w:val="restart"/>
            <w:tcBorders>
              <w:top w:val="nil"/>
              <w:left w:val="nil"/>
              <w:bottom w:val="nil"/>
              <w:right w:val="nil"/>
            </w:tcBorders>
          </w:tcPr>
          <w:p w14:paraId="1A40202D" w14:textId="77777777" w:rsidR="001409D5" w:rsidRPr="00D1725B" w:rsidRDefault="001409D5" w:rsidP="0098070C">
            <w:pPr>
              <w:spacing w:before="60"/>
              <w:jc w:val="center"/>
              <w:rPr>
                <w:rFonts w:ascii="Arial" w:hAnsi="Arial" w:cs="Arial"/>
                <w:sz w:val="18"/>
                <w:szCs w:val="18"/>
              </w:rPr>
            </w:pPr>
            <w:r>
              <w:rPr>
                <w:rFonts w:ascii="Arial" w:hAnsi="Arial" w:cs="Arial"/>
                <w:sz w:val="18"/>
                <w:szCs w:val="18"/>
              </w:rPr>
              <w:t>0.337</w:t>
            </w:r>
          </w:p>
        </w:tc>
        <w:tc>
          <w:tcPr>
            <w:tcW w:w="947" w:type="dxa"/>
            <w:vMerge w:val="restart"/>
            <w:tcBorders>
              <w:top w:val="nil"/>
              <w:left w:val="nil"/>
              <w:bottom w:val="nil"/>
              <w:right w:val="nil"/>
            </w:tcBorders>
          </w:tcPr>
          <w:p w14:paraId="291F22C2" w14:textId="77777777" w:rsidR="001409D5" w:rsidRPr="00F00E7A" w:rsidRDefault="001409D5" w:rsidP="0098070C">
            <w:pPr>
              <w:spacing w:before="60"/>
              <w:jc w:val="center"/>
              <w:rPr>
                <w:rFonts w:ascii="Arial" w:hAnsi="Arial" w:cs="Arial"/>
                <w:bCs/>
                <w:sz w:val="18"/>
                <w:szCs w:val="18"/>
              </w:rPr>
            </w:pPr>
            <w:r w:rsidRPr="00F00E7A">
              <w:rPr>
                <w:rFonts w:ascii="Arial" w:hAnsi="Arial" w:cs="Arial"/>
                <w:bCs/>
                <w:sz w:val="18"/>
                <w:szCs w:val="18"/>
              </w:rPr>
              <w:t>0.798</w:t>
            </w:r>
          </w:p>
        </w:tc>
      </w:tr>
      <w:tr w:rsidR="001409D5" w14:paraId="0C582AB6" w14:textId="77777777" w:rsidTr="0098070C">
        <w:trPr>
          <w:trHeight w:val="499"/>
        </w:trPr>
        <w:tc>
          <w:tcPr>
            <w:tcW w:w="1446" w:type="dxa"/>
            <w:vMerge/>
            <w:tcBorders>
              <w:top w:val="nil"/>
              <w:left w:val="nil"/>
              <w:bottom w:val="nil"/>
              <w:right w:val="nil"/>
            </w:tcBorders>
          </w:tcPr>
          <w:p w14:paraId="54F8CDD5" w14:textId="77777777" w:rsidR="001409D5" w:rsidRPr="006B1F84" w:rsidRDefault="001409D5" w:rsidP="0098070C">
            <w:pPr>
              <w:spacing w:before="60"/>
              <w:rPr>
                <w:rFonts w:ascii="Arial" w:hAnsi="Arial" w:cs="Arial"/>
                <w:sz w:val="18"/>
                <w:szCs w:val="18"/>
              </w:rPr>
            </w:pPr>
          </w:p>
        </w:tc>
        <w:tc>
          <w:tcPr>
            <w:tcW w:w="923" w:type="dxa"/>
            <w:tcBorders>
              <w:top w:val="nil"/>
              <w:left w:val="nil"/>
              <w:bottom w:val="nil"/>
              <w:right w:val="nil"/>
            </w:tcBorders>
            <w:vAlign w:val="center"/>
          </w:tcPr>
          <w:p w14:paraId="67FD3A8B"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55.5</w:t>
            </w:r>
          </w:p>
          <w:p w14:paraId="78BBE259" w14:textId="77777777" w:rsidR="001409D5" w:rsidRDefault="001409D5" w:rsidP="0098070C">
            <w:pPr>
              <w:rPr>
                <w:rFonts w:ascii="Arial" w:hAnsi="Arial" w:cs="Arial"/>
                <w:sz w:val="16"/>
                <w:szCs w:val="16"/>
              </w:rPr>
            </w:pPr>
          </w:p>
        </w:tc>
        <w:tc>
          <w:tcPr>
            <w:tcW w:w="1083" w:type="dxa"/>
            <w:tcBorders>
              <w:top w:val="nil"/>
              <w:left w:val="nil"/>
              <w:bottom w:val="nil"/>
              <w:right w:val="nil"/>
            </w:tcBorders>
            <w:vAlign w:val="center"/>
          </w:tcPr>
          <w:p w14:paraId="5AE77A33"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25.3</w:t>
            </w:r>
          </w:p>
          <w:p w14:paraId="7D47D8C1" w14:textId="77777777" w:rsidR="001409D5" w:rsidRDefault="001409D5" w:rsidP="0098070C">
            <w:pPr>
              <w:jc w:val="center"/>
              <w:rPr>
                <w:rFonts w:ascii="Arial" w:hAnsi="Arial" w:cs="Arial"/>
                <w:sz w:val="16"/>
                <w:szCs w:val="16"/>
              </w:rPr>
            </w:pPr>
          </w:p>
        </w:tc>
        <w:tc>
          <w:tcPr>
            <w:tcW w:w="893" w:type="dxa"/>
            <w:tcBorders>
              <w:top w:val="nil"/>
              <w:left w:val="nil"/>
              <w:bottom w:val="nil"/>
              <w:right w:val="nil"/>
            </w:tcBorders>
            <w:shd w:val="clear" w:color="auto" w:fill="F2F2F2" w:themeFill="background1" w:themeFillShade="F2"/>
            <w:vAlign w:val="center"/>
          </w:tcPr>
          <w:p w14:paraId="48536956"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14.6</w:t>
            </w:r>
          </w:p>
          <w:p w14:paraId="42FCE095" w14:textId="77777777" w:rsidR="001409D5" w:rsidRPr="00F11BB2" w:rsidRDefault="001409D5" w:rsidP="0098070C">
            <w:pPr>
              <w:jc w:val="center"/>
              <w:rPr>
                <w:rFonts w:ascii="Arial" w:hAnsi="Arial" w:cs="Arial"/>
                <w:sz w:val="16"/>
                <w:szCs w:val="16"/>
              </w:rPr>
            </w:pPr>
            <w:r>
              <w:rPr>
                <w:rFonts w:ascii="Arial" w:hAnsi="Arial" w:cs="Arial"/>
                <w:sz w:val="16"/>
                <w:szCs w:val="16"/>
              </w:rPr>
              <w:t>31% WT</w:t>
            </w:r>
          </w:p>
        </w:tc>
        <w:tc>
          <w:tcPr>
            <w:tcW w:w="923" w:type="dxa"/>
            <w:tcBorders>
              <w:top w:val="nil"/>
              <w:left w:val="nil"/>
              <w:bottom w:val="nil"/>
              <w:right w:val="nil"/>
            </w:tcBorders>
            <w:shd w:val="clear" w:color="auto" w:fill="F2F2F2" w:themeFill="background1" w:themeFillShade="F2"/>
            <w:vAlign w:val="center"/>
          </w:tcPr>
          <w:p w14:paraId="7A4093E2"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18.9</w:t>
            </w:r>
          </w:p>
          <w:p w14:paraId="1A764A8D" w14:textId="77777777" w:rsidR="001409D5" w:rsidRPr="00F11BB2" w:rsidRDefault="001409D5" w:rsidP="0098070C">
            <w:pPr>
              <w:jc w:val="center"/>
              <w:rPr>
                <w:rFonts w:ascii="Arial" w:hAnsi="Arial" w:cs="Arial"/>
                <w:sz w:val="16"/>
                <w:szCs w:val="16"/>
              </w:rPr>
            </w:pPr>
            <w:r>
              <w:rPr>
                <w:rFonts w:ascii="Arial" w:hAnsi="Arial" w:cs="Arial"/>
                <w:sz w:val="16"/>
                <w:szCs w:val="16"/>
              </w:rPr>
              <w:t>30% WT</w:t>
            </w:r>
          </w:p>
        </w:tc>
        <w:tc>
          <w:tcPr>
            <w:tcW w:w="905" w:type="dxa"/>
            <w:tcBorders>
              <w:top w:val="nil"/>
              <w:left w:val="nil"/>
              <w:bottom w:val="nil"/>
              <w:right w:val="nil"/>
            </w:tcBorders>
            <w:vAlign w:val="center"/>
          </w:tcPr>
          <w:p w14:paraId="4716CA08"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40.5</w:t>
            </w:r>
          </w:p>
          <w:p w14:paraId="50516155" w14:textId="77777777" w:rsidR="001409D5" w:rsidRPr="00F11BB2" w:rsidRDefault="001409D5" w:rsidP="0098070C">
            <w:pPr>
              <w:jc w:val="center"/>
              <w:rPr>
                <w:rFonts w:ascii="Arial" w:hAnsi="Arial" w:cs="Arial"/>
                <w:sz w:val="16"/>
                <w:szCs w:val="16"/>
              </w:rPr>
            </w:pPr>
            <w:r>
              <w:rPr>
                <w:rFonts w:ascii="Arial" w:hAnsi="Arial" w:cs="Arial"/>
                <w:sz w:val="16"/>
                <w:szCs w:val="16"/>
              </w:rPr>
              <w:t>50% WT</w:t>
            </w:r>
          </w:p>
        </w:tc>
        <w:tc>
          <w:tcPr>
            <w:tcW w:w="934" w:type="dxa"/>
            <w:tcBorders>
              <w:top w:val="nil"/>
              <w:left w:val="nil"/>
              <w:bottom w:val="nil"/>
              <w:right w:val="nil"/>
            </w:tcBorders>
            <w:vAlign w:val="center"/>
          </w:tcPr>
          <w:p w14:paraId="5D0FDE35" w14:textId="77777777" w:rsidR="001409D5" w:rsidRDefault="001409D5" w:rsidP="0098070C">
            <w:pPr>
              <w:jc w:val="center"/>
              <w:rPr>
                <w:rFonts w:ascii="Arial" w:hAnsi="Arial" w:cs="Arial"/>
                <w:sz w:val="16"/>
                <w:szCs w:val="16"/>
              </w:rPr>
            </w:pPr>
            <w:r>
              <w:rPr>
                <w:rFonts w:ascii="Arial" w:hAnsi="Arial" w:cs="Arial"/>
                <w:sz w:val="16"/>
                <w:szCs w:val="16"/>
              </w:rPr>
              <w:sym w:font="Symbol" w:char="F0B1"/>
            </w:r>
            <w:r>
              <w:rPr>
                <w:rFonts w:ascii="Arial" w:hAnsi="Arial" w:cs="Arial"/>
                <w:sz w:val="16"/>
                <w:szCs w:val="16"/>
              </w:rPr>
              <w:t xml:space="preserve"> 44.4</w:t>
            </w:r>
          </w:p>
          <w:p w14:paraId="44CC7969" w14:textId="77777777" w:rsidR="001409D5" w:rsidRPr="00F11BB2" w:rsidRDefault="001409D5" w:rsidP="0098070C">
            <w:pPr>
              <w:jc w:val="center"/>
              <w:rPr>
                <w:rFonts w:ascii="Arial" w:hAnsi="Arial" w:cs="Arial"/>
                <w:sz w:val="16"/>
                <w:szCs w:val="16"/>
              </w:rPr>
            </w:pPr>
            <w:r>
              <w:rPr>
                <w:rFonts w:ascii="Arial" w:hAnsi="Arial" w:cs="Arial"/>
                <w:sz w:val="16"/>
                <w:szCs w:val="16"/>
              </w:rPr>
              <w:t>50% WT</w:t>
            </w:r>
          </w:p>
        </w:tc>
        <w:tc>
          <w:tcPr>
            <w:tcW w:w="986" w:type="dxa"/>
            <w:vMerge/>
            <w:tcBorders>
              <w:top w:val="nil"/>
              <w:left w:val="nil"/>
              <w:bottom w:val="nil"/>
              <w:right w:val="nil"/>
            </w:tcBorders>
          </w:tcPr>
          <w:p w14:paraId="735A8908" w14:textId="77777777" w:rsidR="001409D5" w:rsidRPr="00F11BB2" w:rsidRDefault="001409D5" w:rsidP="0098070C">
            <w:pPr>
              <w:spacing w:before="60"/>
              <w:jc w:val="center"/>
              <w:rPr>
                <w:rFonts w:ascii="Arial" w:hAnsi="Arial" w:cs="Arial"/>
                <w:sz w:val="16"/>
                <w:szCs w:val="16"/>
              </w:rPr>
            </w:pPr>
          </w:p>
        </w:tc>
        <w:tc>
          <w:tcPr>
            <w:tcW w:w="772" w:type="dxa"/>
            <w:vMerge/>
            <w:tcBorders>
              <w:top w:val="nil"/>
              <w:left w:val="nil"/>
              <w:bottom w:val="nil"/>
              <w:right w:val="nil"/>
            </w:tcBorders>
          </w:tcPr>
          <w:p w14:paraId="7347FA94" w14:textId="77777777" w:rsidR="001409D5" w:rsidRPr="00C75FCF" w:rsidRDefault="001409D5" w:rsidP="0098070C">
            <w:pPr>
              <w:spacing w:before="60"/>
              <w:jc w:val="center"/>
              <w:rPr>
                <w:rFonts w:ascii="Arial" w:hAnsi="Arial" w:cs="Arial"/>
                <w:b/>
                <w:sz w:val="16"/>
                <w:szCs w:val="16"/>
              </w:rPr>
            </w:pPr>
          </w:p>
        </w:tc>
        <w:tc>
          <w:tcPr>
            <w:tcW w:w="1039" w:type="dxa"/>
            <w:vMerge/>
            <w:tcBorders>
              <w:top w:val="nil"/>
              <w:left w:val="nil"/>
              <w:bottom w:val="nil"/>
              <w:right w:val="nil"/>
            </w:tcBorders>
          </w:tcPr>
          <w:p w14:paraId="2B64F794" w14:textId="77777777" w:rsidR="001409D5" w:rsidRPr="00F11BB2" w:rsidRDefault="001409D5" w:rsidP="0098070C">
            <w:pPr>
              <w:spacing w:before="60"/>
              <w:jc w:val="center"/>
              <w:rPr>
                <w:rFonts w:ascii="Arial" w:hAnsi="Arial" w:cs="Arial"/>
                <w:sz w:val="16"/>
                <w:szCs w:val="16"/>
              </w:rPr>
            </w:pPr>
          </w:p>
        </w:tc>
        <w:tc>
          <w:tcPr>
            <w:tcW w:w="947" w:type="dxa"/>
            <w:vMerge/>
            <w:tcBorders>
              <w:top w:val="nil"/>
              <w:left w:val="nil"/>
              <w:bottom w:val="nil"/>
              <w:right w:val="nil"/>
            </w:tcBorders>
          </w:tcPr>
          <w:p w14:paraId="5B7AAD53" w14:textId="77777777" w:rsidR="001409D5" w:rsidRPr="00F11BB2" w:rsidRDefault="001409D5" w:rsidP="0098070C">
            <w:pPr>
              <w:spacing w:before="60"/>
              <w:jc w:val="center"/>
              <w:rPr>
                <w:rFonts w:ascii="Arial" w:hAnsi="Arial" w:cs="Arial"/>
                <w:sz w:val="16"/>
                <w:szCs w:val="16"/>
              </w:rPr>
            </w:pPr>
          </w:p>
        </w:tc>
      </w:tr>
    </w:tbl>
    <w:p w14:paraId="2D6B4EA0" w14:textId="77777777" w:rsidR="001409D5" w:rsidRDefault="001409D5" w:rsidP="001409D5">
      <w:pPr>
        <w:outlineLvl w:val="0"/>
        <w:rPr>
          <w:rFonts w:ascii="Arial" w:hAnsi="Arial" w:cs="Arial"/>
          <w:b/>
          <w:sz w:val="20"/>
        </w:rPr>
      </w:pPr>
    </w:p>
    <w:p w14:paraId="08B4270C" w14:textId="77777777" w:rsidR="001409D5" w:rsidRPr="00A43C07" w:rsidRDefault="001409D5" w:rsidP="001409D5">
      <w:pPr>
        <w:outlineLvl w:val="0"/>
        <w:rPr>
          <w:rFonts w:ascii="Arial" w:hAnsi="Arial" w:cs="Arial"/>
          <w:b/>
          <w:sz w:val="20"/>
        </w:rPr>
      </w:pPr>
    </w:p>
    <w:p w14:paraId="6C6FCD84" w14:textId="2F64ADB4" w:rsidR="001409D5" w:rsidRPr="007B740E" w:rsidRDefault="001409D5" w:rsidP="001409D5">
      <w:pPr>
        <w:rPr>
          <w:rFonts w:ascii="Arial" w:hAnsi="Arial" w:cs="Arial"/>
          <w:b/>
        </w:rPr>
      </w:pPr>
      <w:r>
        <w:rPr>
          <w:rFonts w:ascii="Arial" w:hAnsi="Arial" w:cs="Arial"/>
        </w:rPr>
        <w:t xml:space="preserve">For Intervention PD 70 group, radioligand binding was performed on PD105. For Intervention PD70+8 group, radioligand binding was performed on PD133. </w:t>
      </w:r>
      <w:r w:rsidRPr="009A4888">
        <w:rPr>
          <w:rFonts w:ascii="Arial" w:hAnsi="Arial" w:cs="Arial"/>
        </w:rPr>
        <w:t xml:space="preserve">Data expressed as mean </w:t>
      </w:r>
      <w:r w:rsidRPr="009A4888">
        <w:rPr>
          <w:rFonts w:ascii="Arial" w:hAnsi="Arial" w:cs="Arial"/>
        </w:rPr>
        <w:sym w:font="Symbol" w:char="F0B1"/>
      </w:r>
      <w:r w:rsidRPr="009A4888">
        <w:rPr>
          <w:rFonts w:ascii="Arial" w:hAnsi="Arial" w:cs="Arial"/>
        </w:rPr>
        <w:t xml:space="preserve"> SEM in </w:t>
      </w:r>
      <w:proofErr w:type="spellStart"/>
      <w:r w:rsidRPr="009A4888">
        <w:rPr>
          <w:rFonts w:ascii="Arial" w:hAnsi="Arial" w:cs="Arial"/>
        </w:rPr>
        <w:t>fmol</w:t>
      </w:r>
      <w:proofErr w:type="spellEnd"/>
      <w:r w:rsidRPr="009A4888">
        <w:rPr>
          <w:rFonts w:ascii="Arial" w:hAnsi="Arial" w:cs="Arial"/>
        </w:rPr>
        <w:t>/mg of protein. N=5-6/group, combined and equally balanced for sex. Multiple comparisons two-way ANOVA with Bonferroni’s post-ho</w:t>
      </w:r>
      <w:r>
        <w:rPr>
          <w:rFonts w:ascii="Arial" w:hAnsi="Arial" w:cs="Arial"/>
        </w:rPr>
        <w:t>c.</w:t>
      </w:r>
      <w:r>
        <w:rPr>
          <w:rFonts w:ascii="Arial" w:hAnsi="Arial" w:cs="Arial"/>
        </w:rPr>
        <w:br w:type="page"/>
      </w:r>
    </w:p>
    <w:p w14:paraId="73B81DAE" w14:textId="51B6DCA8" w:rsidR="001409D5" w:rsidRPr="004C1AB7" w:rsidRDefault="001409D5" w:rsidP="001409D5">
      <w:pPr>
        <w:rPr>
          <w:rFonts w:ascii="Arial" w:hAnsi="Arial" w:cs="Arial"/>
          <w:b/>
        </w:rPr>
      </w:pPr>
      <w:r>
        <w:rPr>
          <w:rFonts w:ascii="Arial" w:hAnsi="Arial" w:cs="Arial"/>
        </w:rPr>
        <w:lastRenderedPageBreak/>
        <w:t xml:space="preserve">Supplementary Table III. </w:t>
      </w:r>
      <w:r>
        <w:rPr>
          <w:rFonts w:ascii="Arial" w:hAnsi="Arial" w:cs="Arial"/>
          <w:b/>
        </w:rPr>
        <w:t xml:space="preserve">Intrinsic membrane properties of medium spiny neurons in dorsal striatum, related to Supplementary Figure </w:t>
      </w:r>
      <w:r w:rsidR="007B740E">
        <w:rPr>
          <w:rFonts w:ascii="Arial" w:hAnsi="Arial" w:cs="Arial"/>
          <w:b/>
        </w:rPr>
        <w:t>7</w:t>
      </w:r>
      <w:r>
        <w:rPr>
          <w:rFonts w:ascii="Arial" w:hAnsi="Arial" w:cs="Arial"/>
          <w:b/>
        </w:rPr>
        <w:t>.</w:t>
      </w:r>
    </w:p>
    <w:p w14:paraId="79578675" w14:textId="77777777" w:rsidR="001409D5" w:rsidRDefault="001409D5" w:rsidP="001409D5">
      <w:pPr>
        <w:rPr>
          <w:rFonts w:ascii="Arial" w:hAnsi="Arial" w:cs="Arial"/>
        </w:rPr>
      </w:pPr>
    </w:p>
    <w:tbl>
      <w:tblPr>
        <w:tblStyle w:val="TableGrid"/>
        <w:tblpPr w:leftFromText="180" w:rightFromText="180" w:vertAnchor="page" w:horzAnchor="margin" w:tblpY="2356"/>
        <w:tblW w:w="0" w:type="auto"/>
        <w:tblLook w:val="04A0" w:firstRow="1" w:lastRow="0" w:firstColumn="1" w:lastColumn="0" w:noHBand="0" w:noVBand="1"/>
      </w:tblPr>
      <w:tblGrid>
        <w:gridCol w:w="2547"/>
        <w:gridCol w:w="1480"/>
        <w:gridCol w:w="1480"/>
        <w:gridCol w:w="1510"/>
        <w:gridCol w:w="1480"/>
      </w:tblGrid>
      <w:tr w:rsidR="001409D5" w:rsidRPr="00B50D8C" w14:paraId="01D2326C" w14:textId="77777777" w:rsidTr="0098070C">
        <w:tc>
          <w:tcPr>
            <w:tcW w:w="2547" w:type="dxa"/>
            <w:tcBorders>
              <w:top w:val="nil"/>
              <w:left w:val="nil"/>
              <w:bottom w:val="single" w:sz="4" w:space="0" w:color="auto"/>
              <w:right w:val="nil"/>
            </w:tcBorders>
          </w:tcPr>
          <w:p w14:paraId="2DCE2639" w14:textId="77777777" w:rsidR="001409D5" w:rsidRPr="00B50D8C" w:rsidRDefault="001409D5" w:rsidP="0098070C">
            <w:pPr>
              <w:rPr>
                <w:rFonts w:ascii="Arial" w:hAnsi="Arial" w:cs="Arial"/>
              </w:rPr>
            </w:pPr>
          </w:p>
        </w:tc>
        <w:tc>
          <w:tcPr>
            <w:tcW w:w="5921" w:type="dxa"/>
            <w:gridSpan w:val="4"/>
            <w:tcBorders>
              <w:top w:val="nil"/>
              <w:left w:val="nil"/>
              <w:bottom w:val="single" w:sz="4" w:space="0" w:color="auto"/>
              <w:right w:val="nil"/>
            </w:tcBorders>
          </w:tcPr>
          <w:p w14:paraId="589D2BF4" w14:textId="77777777" w:rsidR="001409D5" w:rsidRPr="001F0C6F" w:rsidRDefault="001409D5" w:rsidP="0098070C">
            <w:pPr>
              <w:rPr>
                <w:rFonts w:ascii="Arial" w:hAnsi="Arial"/>
                <w:lang w:val="fr-CA"/>
              </w:rPr>
            </w:pPr>
            <w:r>
              <w:rPr>
                <w:rFonts w:ascii="Arial" w:hAnsi="Arial"/>
                <w:lang w:val="fr-CA"/>
              </w:rPr>
              <w:t>Dorsal Striatum</w:t>
            </w:r>
          </w:p>
          <w:p w14:paraId="20AC01EA" w14:textId="77777777" w:rsidR="001409D5" w:rsidRPr="001F0C6F" w:rsidRDefault="001409D5" w:rsidP="0098070C">
            <w:pPr>
              <w:rPr>
                <w:rFonts w:ascii="Arial" w:hAnsi="Arial"/>
              </w:rPr>
            </w:pPr>
            <w:r>
              <w:rPr>
                <w:rFonts w:ascii="Arial" w:hAnsi="Arial"/>
                <w:lang w:val="fr-CA"/>
              </w:rPr>
              <w:t xml:space="preserve">Medium </w:t>
            </w:r>
            <w:proofErr w:type="spellStart"/>
            <w:r>
              <w:rPr>
                <w:rFonts w:ascii="Arial" w:hAnsi="Arial"/>
                <w:lang w:val="fr-CA"/>
              </w:rPr>
              <w:t>Spiny</w:t>
            </w:r>
            <w:proofErr w:type="spellEnd"/>
            <w:r w:rsidRPr="001F0C6F">
              <w:rPr>
                <w:rFonts w:ascii="Arial" w:hAnsi="Arial"/>
                <w:lang w:val="fr-CA"/>
              </w:rPr>
              <w:t xml:space="preserve"> </w:t>
            </w:r>
            <w:proofErr w:type="spellStart"/>
            <w:r w:rsidRPr="001F0C6F">
              <w:rPr>
                <w:rFonts w:ascii="Arial" w:hAnsi="Arial"/>
                <w:lang w:val="fr-CA"/>
              </w:rPr>
              <w:t>Neurons</w:t>
            </w:r>
            <w:proofErr w:type="spellEnd"/>
          </w:p>
        </w:tc>
      </w:tr>
      <w:tr w:rsidR="001409D5" w:rsidRPr="00B50D8C" w14:paraId="66CEDE82" w14:textId="77777777" w:rsidTr="0098070C">
        <w:trPr>
          <w:trHeight w:val="413"/>
        </w:trPr>
        <w:tc>
          <w:tcPr>
            <w:tcW w:w="2547" w:type="dxa"/>
            <w:tcBorders>
              <w:top w:val="single" w:sz="4" w:space="0" w:color="auto"/>
              <w:left w:val="nil"/>
              <w:bottom w:val="single" w:sz="24" w:space="0" w:color="auto"/>
              <w:right w:val="nil"/>
            </w:tcBorders>
            <w:vAlign w:val="bottom"/>
          </w:tcPr>
          <w:p w14:paraId="77E5067D" w14:textId="77777777" w:rsidR="001409D5" w:rsidRPr="00B50D8C" w:rsidRDefault="001409D5" w:rsidP="0098070C">
            <w:pPr>
              <w:jc w:val="center"/>
              <w:rPr>
                <w:rFonts w:ascii="Arial" w:hAnsi="Arial" w:cs="Arial"/>
              </w:rPr>
            </w:pPr>
            <w:r>
              <w:rPr>
                <w:rFonts w:ascii="Arial" w:hAnsi="Arial" w:cs="Arial"/>
              </w:rPr>
              <w:t>Membrane Properties</w:t>
            </w:r>
          </w:p>
        </w:tc>
        <w:tc>
          <w:tcPr>
            <w:tcW w:w="1480" w:type="dxa"/>
            <w:tcBorders>
              <w:top w:val="single" w:sz="4" w:space="0" w:color="auto"/>
              <w:left w:val="nil"/>
              <w:bottom w:val="single" w:sz="24" w:space="0" w:color="auto"/>
              <w:right w:val="nil"/>
            </w:tcBorders>
            <w:vAlign w:val="bottom"/>
          </w:tcPr>
          <w:p w14:paraId="2836DE87" w14:textId="77777777" w:rsidR="001409D5" w:rsidRPr="009A7705" w:rsidRDefault="001409D5" w:rsidP="0098070C">
            <w:pPr>
              <w:jc w:val="center"/>
              <w:rPr>
                <w:rFonts w:ascii="Arial" w:hAnsi="Arial" w:cs="Arial"/>
                <w:b/>
              </w:rPr>
            </w:pPr>
            <w:r w:rsidRPr="009A7705">
              <w:rPr>
                <w:rFonts w:ascii="Arial" w:hAnsi="Arial" w:cs="Arial"/>
                <w:b/>
              </w:rPr>
              <w:t>WT</w:t>
            </w:r>
          </w:p>
        </w:tc>
        <w:tc>
          <w:tcPr>
            <w:tcW w:w="1480" w:type="dxa"/>
            <w:tcBorders>
              <w:top w:val="single" w:sz="4" w:space="0" w:color="auto"/>
              <w:left w:val="nil"/>
              <w:bottom w:val="single" w:sz="24" w:space="0" w:color="auto"/>
              <w:right w:val="nil"/>
            </w:tcBorders>
            <w:vAlign w:val="bottom"/>
          </w:tcPr>
          <w:p w14:paraId="5C03A7D9" w14:textId="77777777" w:rsidR="001409D5" w:rsidRPr="00DC01C8" w:rsidRDefault="001409D5" w:rsidP="0098070C">
            <w:pPr>
              <w:jc w:val="center"/>
              <w:rPr>
                <w:rFonts w:ascii="Arial" w:hAnsi="Arial" w:cs="Arial"/>
                <w:b/>
                <w:i/>
              </w:rPr>
            </w:pPr>
            <w:r w:rsidRPr="00DC01C8">
              <w:rPr>
                <w:rFonts w:ascii="Arial" w:hAnsi="Arial" w:cs="Arial"/>
                <w:b/>
                <w:i/>
              </w:rPr>
              <w:t>Grin1</w:t>
            </w:r>
            <w:r w:rsidRPr="00684EC9">
              <w:rPr>
                <w:rFonts w:ascii="Arial" w:hAnsi="Arial" w:cs="Arial"/>
                <w:b/>
                <w:iCs/>
                <w:vertAlign w:val="superscript"/>
              </w:rPr>
              <w:t>KD</w:t>
            </w:r>
          </w:p>
        </w:tc>
        <w:tc>
          <w:tcPr>
            <w:tcW w:w="1481" w:type="dxa"/>
            <w:tcBorders>
              <w:top w:val="single" w:sz="4" w:space="0" w:color="auto"/>
              <w:left w:val="nil"/>
              <w:bottom w:val="single" w:sz="24" w:space="0" w:color="auto"/>
              <w:right w:val="nil"/>
            </w:tcBorders>
            <w:vAlign w:val="bottom"/>
          </w:tcPr>
          <w:p w14:paraId="134B22A0" w14:textId="77777777" w:rsidR="001409D5" w:rsidRPr="00DC01C8" w:rsidRDefault="001409D5" w:rsidP="0098070C">
            <w:pPr>
              <w:jc w:val="center"/>
              <w:rPr>
                <w:rFonts w:ascii="Arial" w:hAnsi="Arial" w:cs="Arial"/>
                <w:b/>
                <w:i/>
              </w:rPr>
            </w:pPr>
            <w:r w:rsidRPr="00DC01C8">
              <w:rPr>
                <w:rFonts w:ascii="Arial" w:hAnsi="Arial" w:cs="Arial"/>
                <w:b/>
                <w:i/>
              </w:rPr>
              <w:t>Grin1</w:t>
            </w:r>
            <w:r w:rsidRPr="00684EC9">
              <w:rPr>
                <w:rFonts w:ascii="Arial" w:hAnsi="Arial" w:cs="Arial"/>
                <w:b/>
                <w:iCs/>
                <w:vertAlign w:val="superscript"/>
              </w:rPr>
              <w:t>RESCUE</w:t>
            </w:r>
          </w:p>
        </w:tc>
        <w:tc>
          <w:tcPr>
            <w:tcW w:w="1480" w:type="dxa"/>
            <w:tcBorders>
              <w:top w:val="single" w:sz="4" w:space="0" w:color="auto"/>
              <w:left w:val="nil"/>
              <w:bottom w:val="single" w:sz="24" w:space="0" w:color="auto"/>
              <w:right w:val="nil"/>
            </w:tcBorders>
            <w:vAlign w:val="bottom"/>
          </w:tcPr>
          <w:p w14:paraId="447C1217" w14:textId="77777777" w:rsidR="001409D5" w:rsidRPr="009A7705" w:rsidRDefault="001409D5" w:rsidP="0098070C">
            <w:pPr>
              <w:jc w:val="center"/>
              <w:rPr>
                <w:rFonts w:ascii="Arial" w:hAnsi="Arial" w:cs="Arial"/>
                <w:i/>
              </w:rPr>
            </w:pPr>
            <w:r w:rsidRPr="009A7705">
              <w:rPr>
                <w:rFonts w:ascii="Arial" w:hAnsi="Arial" w:cs="Arial"/>
                <w:i/>
              </w:rPr>
              <w:t>P</w:t>
            </w:r>
          </w:p>
        </w:tc>
      </w:tr>
      <w:tr w:rsidR="001409D5" w:rsidRPr="00B50D8C" w14:paraId="4207E446" w14:textId="77777777" w:rsidTr="0098070C">
        <w:tc>
          <w:tcPr>
            <w:tcW w:w="2547" w:type="dxa"/>
            <w:tcBorders>
              <w:top w:val="single" w:sz="24" w:space="0" w:color="auto"/>
              <w:left w:val="nil"/>
              <w:bottom w:val="nil"/>
              <w:right w:val="nil"/>
            </w:tcBorders>
          </w:tcPr>
          <w:p w14:paraId="293B1F7C" w14:textId="77777777" w:rsidR="001409D5" w:rsidRPr="00B50D8C" w:rsidRDefault="001409D5" w:rsidP="0098070C">
            <w:pPr>
              <w:rPr>
                <w:rFonts w:ascii="Arial" w:hAnsi="Arial" w:cs="Arial"/>
              </w:rPr>
            </w:pPr>
            <w:r w:rsidRPr="00B50D8C">
              <w:rPr>
                <w:rFonts w:ascii="Arial" w:hAnsi="Arial" w:cs="Arial"/>
              </w:rPr>
              <w:t>RMP (mV)</w:t>
            </w:r>
          </w:p>
        </w:tc>
        <w:tc>
          <w:tcPr>
            <w:tcW w:w="1480" w:type="dxa"/>
            <w:tcBorders>
              <w:top w:val="single" w:sz="24" w:space="0" w:color="auto"/>
              <w:left w:val="nil"/>
              <w:bottom w:val="nil"/>
              <w:right w:val="nil"/>
            </w:tcBorders>
            <w:vAlign w:val="bottom"/>
          </w:tcPr>
          <w:p w14:paraId="5C338DFE" w14:textId="77777777" w:rsidR="001409D5" w:rsidRPr="00B50D8C" w:rsidRDefault="001409D5" w:rsidP="0098070C">
            <w:pPr>
              <w:jc w:val="center"/>
              <w:rPr>
                <w:rFonts w:ascii="Arial" w:hAnsi="Arial" w:cs="Arial"/>
              </w:rPr>
            </w:pPr>
            <w:r>
              <w:rPr>
                <w:rFonts w:ascii="Arial" w:hAnsi="Arial" w:cs="Arial"/>
              </w:rPr>
              <w:t xml:space="preserve">-81 </w:t>
            </w:r>
            <w:r>
              <w:rPr>
                <w:rFonts w:ascii="Arial" w:hAnsi="Arial" w:cs="Arial"/>
              </w:rPr>
              <w:sym w:font="Symbol" w:char="F0B1"/>
            </w:r>
            <w:r>
              <w:rPr>
                <w:rFonts w:ascii="Arial" w:hAnsi="Arial" w:cs="Arial"/>
              </w:rPr>
              <w:t xml:space="preserve"> 0</w:t>
            </w:r>
          </w:p>
        </w:tc>
        <w:tc>
          <w:tcPr>
            <w:tcW w:w="1480" w:type="dxa"/>
            <w:tcBorders>
              <w:top w:val="single" w:sz="24" w:space="0" w:color="auto"/>
              <w:left w:val="nil"/>
              <w:bottom w:val="nil"/>
              <w:right w:val="nil"/>
            </w:tcBorders>
            <w:vAlign w:val="bottom"/>
          </w:tcPr>
          <w:p w14:paraId="40DB4116" w14:textId="77777777" w:rsidR="001409D5" w:rsidRPr="00B50D8C" w:rsidRDefault="001409D5" w:rsidP="0098070C">
            <w:pPr>
              <w:jc w:val="center"/>
              <w:rPr>
                <w:rFonts w:ascii="Arial" w:hAnsi="Arial" w:cs="Arial"/>
              </w:rPr>
            </w:pPr>
            <w:r>
              <w:rPr>
                <w:rFonts w:ascii="Arial" w:hAnsi="Arial" w:cs="Arial"/>
              </w:rPr>
              <w:t xml:space="preserve">-81 </w:t>
            </w:r>
            <w:r>
              <w:rPr>
                <w:rFonts w:ascii="Arial" w:hAnsi="Arial" w:cs="Arial"/>
              </w:rPr>
              <w:sym w:font="Symbol" w:char="F0B1"/>
            </w:r>
            <w:r>
              <w:rPr>
                <w:rFonts w:ascii="Arial" w:hAnsi="Arial" w:cs="Arial"/>
              </w:rPr>
              <w:t xml:space="preserve"> 0</w:t>
            </w:r>
          </w:p>
        </w:tc>
        <w:tc>
          <w:tcPr>
            <w:tcW w:w="1481" w:type="dxa"/>
            <w:tcBorders>
              <w:top w:val="single" w:sz="24" w:space="0" w:color="auto"/>
              <w:left w:val="nil"/>
              <w:bottom w:val="nil"/>
              <w:right w:val="nil"/>
            </w:tcBorders>
            <w:vAlign w:val="bottom"/>
          </w:tcPr>
          <w:p w14:paraId="365CAD7A" w14:textId="77777777" w:rsidR="001409D5" w:rsidRPr="00B50D8C" w:rsidRDefault="001409D5" w:rsidP="0098070C">
            <w:pPr>
              <w:jc w:val="center"/>
              <w:rPr>
                <w:rFonts w:ascii="Arial" w:hAnsi="Arial" w:cs="Arial"/>
              </w:rPr>
            </w:pPr>
            <w:r>
              <w:rPr>
                <w:rFonts w:ascii="Arial" w:hAnsi="Arial" w:cs="Arial"/>
              </w:rPr>
              <w:t xml:space="preserve">-79 </w:t>
            </w:r>
            <w:r>
              <w:rPr>
                <w:rFonts w:ascii="Arial" w:hAnsi="Arial" w:cs="Arial"/>
              </w:rPr>
              <w:sym w:font="Symbol" w:char="F0B1"/>
            </w:r>
            <w:r>
              <w:rPr>
                <w:rFonts w:ascii="Arial" w:hAnsi="Arial" w:cs="Arial"/>
              </w:rPr>
              <w:t xml:space="preserve"> 1*</w:t>
            </w:r>
          </w:p>
        </w:tc>
        <w:tc>
          <w:tcPr>
            <w:tcW w:w="1480" w:type="dxa"/>
            <w:tcBorders>
              <w:top w:val="single" w:sz="24" w:space="0" w:color="auto"/>
              <w:left w:val="nil"/>
              <w:bottom w:val="nil"/>
              <w:right w:val="nil"/>
            </w:tcBorders>
            <w:vAlign w:val="bottom"/>
          </w:tcPr>
          <w:p w14:paraId="1C77FBE9" w14:textId="77777777" w:rsidR="001409D5" w:rsidRPr="004C1AB7" w:rsidRDefault="001409D5" w:rsidP="0098070C">
            <w:pPr>
              <w:jc w:val="center"/>
              <w:rPr>
                <w:rFonts w:ascii="Arial" w:hAnsi="Arial" w:cs="Arial"/>
                <w:b/>
                <w:bCs/>
              </w:rPr>
            </w:pPr>
            <w:r w:rsidRPr="004C1AB7">
              <w:rPr>
                <w:rFonts w:ascii="Arial" w:hAnsi="Arial" w:cs="Arial"/>
                <w:b/>
                <w:bCs/>
              </w:rPr>
              <w:t>0.02</w:t>
            </w:r>
          </w:p>
        </w:tc>
      </w:tr>
      <w:tr w:rsidR="001409D5" w:rsidRPr="00B50D8C" w14:paraId="4A663000" w14:textId="77777777" w:rsidTr="0098070C">
        <w:tc>
          <w:tcPr>
            <w:tcW w:w="2547" w:type="dxa"/>
            <w:tcBorders>
              <w:top w:val="nil"/>
              <w:left w:val="nil"/>
              <w:bottom w:val="nil"/>
              <w:right w:val="nil"/>
            </w:tcBorders>
          </w:tcPr>
          <w:p w14:paraId="43CD27F9" w14:textId="77777777" w:rsidR="001409D5" w:rsidRPr="00B50D8C" w:rsidRDefault="001409D5" w:rsidP="0098070C">
            <w:pPr>
              <w:rPr>
                <w:rFonts w:ascii="Arial" w:hAnsi="Arial" w:cs="Arial"/>
              </w:rPr>
            </w:pPr>
            <w:r w:rsidRPr="00B50D8C">
              <w:rPr>
                <w:rFonts w:ascii="Arial" w:hAnsi="Arial" w:cs="Arial"/>
              </w:rPr>
              <w:t>Capacitance (pF)</w:t>
            </w:r>
          </w:p>
        </w:tc>
        <w:tc>
          <w:tcPr>
            <w:tcW w:w="1480" w:type="dxa"/>
            <w:tcBorders>
              <w:top w:val="nil"/>
              <w:left w:val="nil"/>
              <w:bottom w:val="nil"/>
              <w:right w:val="nil"/>
            </w:tcBorders>
            <w:vAlign w:val="bottom"/>
          </w:tcPr>
          <w:p w14:paraId="30834D6E" w14:textId="77777777" w:rsidR="001409D5" w:rsidRPr="00B50D8C" w:rsidRDefault="001409D5" w:rsidP="0098070C">
            <w:pPr>
              <w:jc w:val="center"/>
              <w:rPr>
                <w:rFonts w:ascii="Arial" w:hAnsi="Arial" w:cs="Arial"/>
              </w:rPr>
            </w:pPr>
            <w:r>
              <w:rPr>
                <w:rFonts w:ascii="Arial" w:hAnsi="Arial" w:cs="Arial"/>
              </w:rPr>
              <w:t xml:space="preserve">68 </w:t>
            </w:r>
            <w:r>
              <w:rPr>
                <w:rFonts w:ascii="Arial" w:hAnsi="Arial" w:cs="Arial"/>
              </w:rPr>
              <w:sym w:font="Symbol" w:char="F0B1"/>
            </w:r>
            <w:r>
              <w:rPr>
                <w:rFonts w:ascii="Arial" w:hAnsi="Arial" w:cs="Arial"/>
              </w:rPr>
              <w:t xml:space="preserve"> 3</w:t>
            </w:r>
          </w:p>
        </w:tc>
        <w:tc>
          <w:tcPr>
            <w:tcW w:w="1480" w:type="dxa"/>
            <w:tcBorders>
              <w:top w:val="nil"/>
              <w:left w:val="nil"/>
              <w:bottom w:val="nil"/>
              <w:right w:val="nil"/>
            </w:tcBorders>
            <w:vAlign w:val="bottom"/>
          </w:tcPr>
          <w:p w14:paraId="383E43DC" w14:textId="77777777" w:rsidR="001409D5" w:rsidRPr="00B50D8C" w:rsidRDefault="001409D5" w:rsidP="0098070C">
            <w:pPr>
              <w:jc w:val="center"/>
              <w:rPr>
                <w:rFonts w:ascii="Arial" w:hAnsi="Arial" w:cs="Arial"/>
              </w:rPr>
            </w:pPr>
            <w:r>
              <w:rPr>
                <w:rFonts w:ascii="Arial" w:hAnsi="Arial" w:cs="Arial"/>
              </w:rPr>
              <w:t xml:space="preserve">73 </w:t>
            </w:r>
            <w:r>
              <w:rPr>
                <w:rFonts w:ascii="Arial" w:hAnsi="Arial" w:cs="Arial"/>
              </w:rPr>
              <w:sym w:font="Symbol" w:char="F0B1"/>
            </w:r>
            <w:r>
              <w:rPr>
                <w:rFonts w:ascii="Arial" w:hAnsi="Arial" w:cs="Arial"/>
              </w:rPr>
              <w:t xml:space="preserve"> 2</w:t>
            </w:r>
          </w:p>
        </w:tc>
        <w:tc>
          <w:tcPr>
            <w:tcW w:w="1481" w:type="dxa"/>
            <w:tcBorders>
              <w:top w:val="nil"/>
              <w:left w:val="nil"/>
              <w:bottom w:val="nil"/>
              <w:right w:val="nil"/>
            </w:tcBorders>
            <w:vAlign w:val="bottom"/>
          </w:tcPr>
          <w:p w14:paraId="47BE3307" w14:textId="77777777" w:rsidR="001409D5" w:rsidRPr="00B50D8C" w:rsidRDefault="001409D5" w:rsidP="0098070C">
            <w:pPr>
              <w:jc w:val="center"/>
              <w:rPr>
                <w:rFonts w:ascii="Arial" w:hAnsi="Arial" w:cs="Arial"/>
              </w:rPr>
            </w:pPr>
            <w:r>
              <w:rPr>
                <w:rFonts w:ascii="Arial" w:hAnsi="Arial" w:cs="Arial"/>
              </w:rPr>
              <w:t xml:space="preserve">66 </w:t>
            </w:r>
            <w:r>
              <w:rPr>
                <w:rFonts w:ascii="Arial" w:hAnsi="Arial" w:cs="Arial"/>
              </w:rPr>
              <w:sym w:font="Symbol" w:char="F0B1"/>
            </w:r>
            <w:r>
              <w:rPr>
                <w:rFonts w:ascii="Arial" w:hAnsi="Arial" w:cs="Arial"/>
              </w:rPr>
              <w:t xml:space="preserve"> 4</w:t>
            </w:r>
          </w:p>
        </w:tc>
        <w:tc>
          <w:tcPr>
            <w:tcW w:w="1480" w:type="dxa"/>
            <w:tcBorders>
              <w:top w:val="nil"/>
              <w:left w:val="nil"/>
              <w:bottom w:val="nil"/>
              <w:right w:val="nil"/>
            </w:tcBorders>
            <w:vAlign w:val="bottom"/>
          </w:tcPr>
          <w:p w14:paraId="66B860CB" w14:textId="77777777" w:rsidR="001409D5" w:rsidRPr="00F826CE" w:rsidRDefault="001409D5" w:rsidP="0098070C">
            <w:pPr>
              <w:jc w:val="center"/>
              <w:rPr>
                <w:rFonts w:ascii="Arial" w:hAnsi="Arial" w:cs="Arial"/>
                <w:bCs/>
              </w:rPr>
            </w:pPr>
            <w:r w:rsidRPr="00F826CE">
              <w:rPr>
                <w:rFonts w:ascii="Arial" w:hAnsi="Arial" w:cs="Arial"/>
                <w:bCs/>
              </w:rPr>
              <w:t>0.30</w:t>
            </w:r>
          </w:p>
        </w:tc>
      </w:tr>
      <w:tr w:rsidR="001409D5" w:rsidRPr="00B50D8C" w14:paraId="54FB61A9" w14:textId="77777777" w:rsidTr="0098070C">
        <w:tc>
          <w:tcPr>
            <w:tcW w:w="2547" w:type="dxa"/>
            <w:tcBorders>
              <w:top w:val="nil"/>
              <w:left w:val="nil"/>
              <w:bottom w:val="nil"/>
              <w:right w:val="nil"/>
            </w:tcBorders>
          </w:tcPr>
          <w:p w14:paraId="4D4C4B30" w14:textId="77777777" w:rsidR="001409D5" w:rsidRPr="00B50D8C" w:rsidRDefault="001409D5" w:rsidP="0098070C">
            <w:pPr>
              <w:rPr>
                <w:rFonts w:ascii="Arial" w:hAnsi="Arial" w:cs="Arial"/>
              </w:rPr>
            </w:pPr>
            <w:r w:rsidRPr="00B50D8C">
              <w:rPr>
                <w:rFonts w:ascii="Arial" w:hAnsi="Arial" w:cs="Arial"/>
              </w:rPr>
              <w:t>Input Resistance (M</w:t>
            </w:r>
            <w:r w:rsidRPr="00B50D8C">
              <w:rPr>
                <w:rFonts w:ascii="Arial" w:hAnsi="Arial" w:cs="Arial"/>
              </w:rPr>
              <w:sym w:font="Symbol" w:char="F057"/>
            </w:r>
            <w:r w:rsidRPr="00B50D8C">
              <w:rPr>
                <w:rFonts w:ascii="Arial" w:hAnsi="Arial" w:cs="Arial"/>
              </w:rPr>
              <w:t>)</w:t>
            </w:r>
          </w:p>
        </w:tc>
        <w:tc>
          <w:tcPr>
            <w:tcW w:w="1480" w:type="dxa"/>
            <w:tcBorders>
              <w:top w:val="nil"/>
              <w:left w:val="nil"/>
              <w:bottom w:val="nil"/>
              <w:right w:val="nil"/>
            </w:tcBorders>
            <w:vAlign w:val="bottom"/>
          </w:tcPr>
          <w:p w14:paraId="02ED4C74" w14:textId="77777777" w:rsidR="001409D5" w:rsidRPr="00B50D8C" w:rsidRDefault="001409D5" w:rsidP="0098070C">
            <w:pPr>
              <w:jc w:val="center"/>
              <w:rPr>
                <w:rFonts w:ascii="Arial" w:hAnsi="Arial" w:cs="Arial"/>
              </w:rPr>
            </w:pPr>
            <w:r>
              <w:rPr>
                <w:rFonts w:ascii="Arial" w:hAnsi="Arial" w:cs="Arial"/>
              </w:rPr>
              <w:t xml:space="preserve">47 </w:t>
            </w:r>
            <w:r>
              <w:rPr>
                <w:rFonts w:ascii="Arial" w:hAnsi="Arial" w:cs="Arial"/>
              </w:rPr>
              <w:sym w:font="Symbol" w:char="F0B1"/>
            </w:r>
            <w:r>
              <w:rPr>
                <w:rFonts w:ascii="Arial" w:hAnsi="Arial" w:cs="Arial"/>
              </w:rPr>
              <w:t xml:space="preserve"> 6</w:t>
            </w:r>
          </w:p>
        </w:tc>
        <w:tc>
          <w:tcPr>
            <w:tcW w:w="1480" w:type="dxa"/>
            <w:tcBorders>
              <w:top w:val="nil"/>
              <w:left w:val="nil"/>
              <w:bottom w:val="nil"/>
              <w:right w:val="nil"/>
            </w:tcBorders>
            <w:vAlign w:val="bottom"/>
          </w:tcPr>
          <w:p w14:paraId="649AB3B6" w14:textId="77777777" w:rsidR="001409D5" w:rsidRPr="00B50D8C" w:rsidRDefault="001409D5" w:rsidP="0098070C">
            <w:pPr>
              <w:jc w:val="center"/>
              <w:rPr>
                <w:rFonts w:ascii="Arial" w:hAnsi="Arial" w:cs="Arial"/>
              </w:rPr>
            </w:pPr>
            <w:r>
              <w:rPr>
                <w:rFonts w:ascii="Arial" w:hAnsi="Arial" w:cs="Arial"/>
              </w:rPr>
              <w:t xml:space="preserve">44 </w:t>
            </w:r>
            <w:r>
              <w:rPr>
                <w:rFonts w:ascii="Arial" w:hAnsi="Arial" w:cs="Arial"/>
              </w:rPr>
              <w:sym w:font="Symbol" w:char="F0B1"/>
            </w:r>
            <w:r>
              <w:rPr>
                <w:rFonts w:ascii="Arial" w:hAnsi="Arial" w:cs="Arial"/>
              </w:rPr>
              <w:t xml:space="preserve"> 2</w:t>
            </w:r>
          </w:p>
        </w:tc>
        <w:tc>
          <w:tcPr>
            <w:tcW w:w="1481" w:type="dxa"/>
            <w:tcBorders>
              <w:top w:val="nil"/>
              <w:left w:val="nil"/>
              <w:bottom w:val="nil"/>
              <w:right w:val="nil"/>
            </w:tcBorders>
            <w:vAlign w:val="bottom"/>
          </w:tcPr>
          <w:p w14:paraId="1DED4874" w14:textId="77777777" w:rsidR="001409D5" w:rsidRPr="00B50D8C" w:rsidRDefault="001409D5" w:rsidP="0098070C">
            <w:pPr>
              <w:jc w:val="center"/>
              <w:rPr>
                <w:rFonts w:ascii="Arial" w:hAnsi="Arial" w:cs="Arial"/>
              </w:rPr>
            </w:pPr>
            <w:r>
              <w:rPr>
                <w:rFonts w:ascii="Arial" w:hAnsi="Arial" w:cs="Arial"/>
              </w:rPr>
              <w:t xml:space="preserve">47 </w:t>
            </w:r>
            <w:r>
              <w:rPr>
                <w:rFonts w:ascii="Arial" w:hAnsi="Arial" w:cs="Arial"/>
              </w:rPr>
              <w:sym w:font="Symbol" w:char="F0B1"/>
            </w:r>
            <w:r>
              <w:rPr>
                <w:rFonts w:ascii="Arial" w:hAnsi="Arial" w:cs="Arial"/>
              </w:rPr>
              <w:t xml:space="preserve"> 3</w:t>
            </w:r>
          </w:p>
        </w:tc>
        <w:tc>
          <w:tcPr>
            <w:tcW w:w="1480" w:type="dxa"/>
            <w:tcBorders>
              <w:top w:val="nil"/>
              <w:left w:val="nil"/>
              <w:bottom w:val="nil"/>
              <w:right w:val="nil"/>
            </w:tcBorders>
            <w:vAlign w:val="bottom"/>
          </w:tcPr>
          <w:p w14:paraId="330153DF" w14:textId="77777777" w:rsidR="001409D5" w:rsidRPr="00B50D8C" w:rsidRDefault="001409D5" w:rsidP="0098070C">
            <w:pPr>
              <w:jc w:val="center"/>
              <w:rPr>
                <w:rFonts w:ascii="Arial" w:hAnsi="Arial" w:cs="Arial"/>
              </w:rPr>
            </w:pPr>
            <w:r>
              <w:rPr>
                <w:rFonts w:ascii="Arial" w:hAnsi="Arial" w:cs="Arial"/>
              </w:rPr>
              <w:t>0.90</w:t>
            </w:r>
          </w:p>
        </w:tc>
      </w:tr>
      <w:tr w:rsidR="001409D5" w:rsidRPr="00B50D8C" w14:paraId="1D3D9BAE" w14:textId="77777777" w:rsidTr="0098070C">
        <w:tc>
          <w:tcPr>
            <w:tcW w:w="2547" w:type="dxa"/>
            <w:tcBorders>
              <w:top w:val="nil"/>
              <w:left w:val="nil"/>
              <w:bottom w:val="nil"/>
              <w:right w:val="nil"/>
            </w:tcBorders>
          </w:tcPr>
          <w:p w14:paraId="4ADE6D75" w14:textId="77777777" w:rsidR="001409D5" w:rsidRPr="00B50D8C" w:rsidRDefault="001409D5" w:rsidP="0098070C">
            <w:pPr>
              <w:rPr>
                <w:rFonts w:ascii="Arial" w:hAnsi="Arial" w:cs="Arial"/>
              </w:rPr>
            </w:pPr>
            <w:r>
              <w:rPr>
                <w:rFonts w:ascii="Arial" w:hAnsi="Arial" w:cs="Arial"/>
              </w:rPr>
              <w:t>Spike Amplitude</w:t>
            </w:r>
          </w:p>
        </w:tc>
        <w:tc>
          <w:tcPr>
            <w:tcW w:w="1480" w:type="dxa"/>
            <w:tcBorders>
              <w:top w:val="nil"/>
              <w:left w:val="nil"/>
              <w:bottom w:val="nil"/>
              <w:right w:val="nil"/>
            </w:tcBorders>
            <w:vAlign w:val="bottom"/>
          </w:tcPr>
          <w:p w14:paraId="5219EBE8" w14:textId="77777777" w:rsidR="001409D5" w:rsidRPr="00B50D8C" w:rsidRDefault="001409D5" w:rsidP="0098070C">
            <w:pPr>
              <w:jc w:val="center"/>
              <w:rPr>
                <w:rFonts w:ascii="Arial" w:hAnsi="Arial" w:cs="Arial"/>
              </w:rPr>
            </w:pPr>
            <w:r>
              <w:rPr>
                <w:rFonts w:ascii="Arial" w:hAnsi="Arial" w:cs="Arial"/>
              </w:rPr>
              <w:t xml:space="preserve">98 </w:t>
            </w:r>
            <w:r>
              <w:rPr>
                <w:rFonts w:ascii="Arial" w:hAnsi="Arial" w:cs="Arial"/>
              </w:rPr>
              <w:sym w:font="Symbol" w:char="F0B1"/>
            </w:r>
            <w:r>
              <w:rPr>
                <w:rFonts w:ascii="Arial" w:hAnsi="Arial" w:cs="Arial"/>
              </w:rPr>
              <w:t xml:space="preserve"> 1</w:t>
            </w:r>
          </w:p>
        </w:tc>
        <w:tc>
          <w:tcPr>
            <w:tcW w:w="1480" w:type="dxa"/>
            <w:tcBorders>
              <w:top w:val="nil"/>
              <w:left w:val="nil"/>
              <w:bottom w:val="nil"/>
              <w:right w:val="nil"/>
            </w:tcBorders>
            <w:vAlign w:val="bottom"/>
          </w:tcPr>
          <w:p w14:paraId="477C0B48" w14:textId="77777777" w:rsidR="001409D5" w:rsidRPr="00B50D8C" w:rsidRDefault="001409D5" w:rsidP="0098070C">
            <w:pPr>
              <w:jc w:val="center"/>
              <w:rPr>
                <w:rFonts w:ascii="Arial" w:hAnsi="Arial" w:cs="Arial"/>
              </w:rPr>
            </w:pPr>
            <w:r>
              <w:rPr>
                <w:rFonts w:ascii="Arial" w:hAnsi="Arial" w:cs="Arial"/>
              </w:rPr>
              <w:t xml:space="preserve">95 </w:t>
            </w:r>
            <w:r>
              <w:rPr>
                <w:rFonts w:ascii="Arial" w:hAnsi="Arial" w:cs="Arial"/>
              </w:rPr>
              <w:sym w:font="Symbol" w:char="F0B1"/>
            </w:r>
            <w:r>
              <w:rPr>
                <w:rFonts w:ascii="Arial" w:hAnsi="Arial" w:cs="Arial"/>
              </w:rPr>
              <w:t xml:space="preserve"> 1</w:t>
            </w:r>
          </w:p>
        </w:tc>
        <w:tc>
          <w:tcPr>
            <w:tcW w:w="1481" w:type="dxa"/>
            <w:tcBorders>
              <w:top w:val="nil"/>
              <w:left w:val="nil"/>
              <w:bottom w:val="nil"/>
              <w:right w:val="nil"/>
            </w:tcBorders>
            <w:vAlign w:val="bottom"/>
          </w:tcPr>
          <w:p w14:paraId="7CC9A77D" w14:textId="77777777" w:rsidR="001409D5" w:rsidRPr="00B50D8C" w:rsidRDefault="001409D5" w:rsidP="0098070C">
            <w:pPr>
              <w:jc w:val="center"/>
              <w:rPr>
                <w:rFonts w:ascii="Arial" w:hAnsi="Arial" w:cs="Arial"/>
              </w:rPr>
            </w:pPr>
            <w:r>
              <w:rPr>
                <w:rFonts w:ascii="Arial" w:hAnsi="Arial" w:cs="Arial"/>
              </w:rPr>
              <w:t xml:space="preserve">95 </w:t>
            </w:r>
            <w:r>
              <w:rPr>
                <w:rFonts w:ascii="Arial" w:hAnsi="Arial" w:cs="Arial"/>
              </w:rPr>
              <w:sym w:font="Symbol" w:char="F0B1"/>
            </w:r>
            <w:r>
              <w:rPr>
                <w:rFonts w:ascii="Arial" w:hAnsi="Arial" w:cs="Arial"/>
              </w:rPr>
              <w:t xml:space="preserve"> 1</w:t>
            </w:r>
          </w:p>
        </w:tc>
        <w:tc>
          <w:tcPr>
            <w:tcW w:w="1480" w:type="dxa"/>
            <w:tcBorders>
              <w:top w:val="nil"/>
              <w:left w:val="nil"/>
              <w:bottom w:val="nil"/>
              <w:right w:val="nil"/>
            </w:tcBorders>
            <w:vAlign w:val="bottom"/>
          </w:tcPr>
          <w:p w14:paraId="5F2B5A8C" w14:textId="77777777" w:rsidR="001409D5" w:rsidRPr="001F0C6F" w:rsidRDefault="001409D5" w:rsidP="0098070C">
            <w:pPr>
              <w:jc w:val="center"/>
              <w:rPr>
                <w:rFonts w:ascii="Arial" w:hAnsi="Arial"/>
              </w:rPr>
            </w:pPr>
            <w:r w:rsidRPr="001F0C6F">
              <w:rPr>
                <w:rFonts w:ascii="Arial" w:hAnsi="Arial"/>
              </w:rPr>
              <w:t>0.0</w:t>
            </w:r>
            <w:r>
              <w:rPr>
                <w:rFonts w:ascii="Arial" w:hAnsi="Arial"/>
              </w:rPr>
              <w:t>8</w:t>
            </w:r>
          </w:p>
        </w:tc>
      </w:tr>
    </w:tbl>
    <w:p w14:paraId="5F8A2E7D" w14:textId="77777777" w:rsidR="001409D5" w:rsidRDefault="001409D5" w:rsidP="001409D5">
      <w:pPr>
        <w:rPr>
          <w:rFonts w:ascii="Arial" w:hAnsi="Arial" w:cs="Arial"/>
        </w:rPr>
      </w:pPr>
    </w:p>
    <w:p w14:paraId="532647CD" w14:textId="77777777" w:rsidR="001409D5" w:rsidRDefault="001409D5" w:rsidP="001409D5">
      <w:pPr>
        <w:rPr>
          <w:rFonts w:ascii="Arial" w:hAnsi="Arial" w:cs="Arial"/>
        </w:rPr>
      </w:pPr>
    </w:p>
    <w:p w14:paraId="7E9D6DDE" w14:textId="77777777" w:rsidR="001409D5" w:rsidRDefault="001409D5" w:rsidP="001409D5">
      <w:pPr>
        <w:rPr>
          <w:rFonts w:ascii="Arial" w:hAnsi="Arial" w:cs="Arial"/>
        </w:rPr>
      </w:pPr>
    </w:p>
    <w:p w14:paraId="788CDB26" w14:textId="77777777" w:rsidR="001409D5" w:rsidRDefault="001409D5" w:rsidP="001409D5">
      <w:pPr>
        <w:rPr>
          <w:rFonts w:ascii="Arial" w:hAnsi="Arial" w:cs="Arial"/>
        </w:rPr>
      </w:pPr>
    </w:p>
    <w:p w14:paraId="4EC04A99" w14:textId="77777777" w:rsidR="001409D5" w:rsidRDefault="001409D5" w:rsidP="001409D5">
      <w:pPr>
        <w:rPr>
          <w:rFonts w:ascii="Arial" w:hAnsi="Arial" w:cs="Arial"/>
        </w:rPr>
      </w:pPr>
    </w:p>
    <w:p w14:paraId="41FAAAEB" w14:textId="77777777" w:rsidR="001409D5" w:rsidRDefault="001409D5" w:rsidP="001409D5">
      <w:pPr>
        <w:rPr>
          <w:rFonts w:ascii="Arial" w:hAnsi="Arial" w:cs="Arial"/>
        </w:rPr>
      </w:pPr>
    </w:p>
    <w:p w14:paraId="487BE352" w14:textId="77777777" w:rsidR="001409D5" w:rsidRDefault="001409D5" w:rsidP="001409D5">
      <w:pPr>
        <w:rPr>
          <w:rFonts w:ascii="Arial" w:hAnsi="Arial" w:cs="Arial"/>
        </w:rPr>
      </w:pPr>
    </w:p>
    <w:p w14:paraId="53CC947C" w14:textId="77777777" w:rsidR="001409D5" w:rsidRDefault="001409D5" w:rsidP="001409D5">
      <w:pPr>
        <w:rPr>
          <w:rFonts w:ascii="Arial" w:hAnsi="Arial" w:cs="Arial"/>
        </w:rPr>
      </w:pPr>
    </w:p>
    <w:p w14:paraId="6A692EC3" w14:textId="77777777" w:rsidR="001409D5" w:rsidRDefault="001409D5" w:rsidP="001409D5">
      <w:pPr>
        <w:rPr>
          <w:rFonts w:ascii="Arial" w:hAnsi="Arial" w:cs="Arial"/>
        </w:rPr>
      </w:pPr>
    </w:p>
    <w:p w14:paraId="6033E73F" w14:textId="77777777" w:rsidR="001409D5" w:rsidRDefault="001409D5" w:rsidP="001409D5">
      <w:pPr>
        <w:rPr>
          <w:rFonts w:ascii="Arial" w:hAnsi="Arial" w:cs="Arial"/>
        </w:rPr>
      </w:pPr>
    </w:p>
    <w:p w14:paraId="61199DFB" w14:textId="77777777" w:rsidR="007B740E" w:rsidRDefault="007B740E" w:rsidP="001409D5">
      <w:pPr>
        <w:rPr>
          <w:rFonts w:ascii="Arial" w:hAnsi="Arial" w:cs="Arial"/>
        </w:rPr>
      </w:pPr>
    </w:p>
    <w:p w14:paraId="4EC5075C" w14:textId="305B0F56" w:rsidR="00432B64" w:rsidRPr="007B740E" w:rsidRDefault="001409D5" w:rsidP="007B740E">
      <w:pPr>
        <w:rPr>
          <w:rFonts w:ascii="Arial" w:hAnsi="Arial" w:cs="Arial"/>
        </w:rPr>
      </w:pPr>
      <w:r>
        <w:rPr>
          <w:rFonts w:ascii="Arial" w:hAnsi="Arial" w:cs="Arial"/>
        </w:rPr>
        <w:t xml:space="preserve">Properties were assessed rapidly after obtaining whole cell configuration. The data is expressed as mean </w:t>
      </w:r>
      <w:r>
        <w:rPr>
          <w:rFonts w:ascii="Arial" w:hAnsi="Arial" w:cs="Arial"/>
        </w:rPr>
        <w:sym w:font="Symbol" w:char="F0B1"/>
      </w:r>
      <w:r>
        <w:rPr>
          <w:rFonts w:ascii="Arial" w:hAnsi="Arial" w:cs="Arial"/>
        </w:rPr>
        <w:t xml:space="preserve"> SEM. Multiple comparisons one-way ANOVA with Bonferroni’s post-hoc (*p </w:t>
      </w:r>
      <w:r>
        <w:rPr>
          <w:rFonts w:ascii="Arial" w:hAnsi="Arial" w:cs="Arial"/>
        </w:rPr>
        <w:sym w:font="Symbol" w:char="F0A3"/>
      </w:r>
      <w:r>
        <w:rPr>
          <w:rFonts w:ascii="Arial" w:hAnsi="Arial" w:cs="Arial"/>
        </w:rPr>
        <w:t xml:space="preserve"> 0.05 compared to WT).</w:t>
      </w:r>
    </w:p>
    <w:sectPr w:rsidR="00432B64" w:rsidRPr="007B740E" w:rsidSect="00D4549B">
      <w:headerReference w:type="default" r:id="rId16"/>
      <w:footerReference w:type="default" r:id="rId17"/>
      <w:pgSz w:w="12240" w:h="15840"/>
      <w:pgMar w:top="1440" w:right="1077" w:bottom="1440" w:left="1077"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E1331D" w14:textId="77777777" w:rsidR="00AA7BDF" w:rsidRDefault="00AA7BDF">
      <w:r>
        <w:separator/>
      </w:r>
    </w:p>
  </w:endnote>
  <w:endnote w:type="continuationSeparator" w:id="0">
    <w:p w14:paraId="3C0AABE0" w14:textId="77777777" w:rsidR="00AA7BDF" w:rsidRDefault="00AA7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15634654"/>
      <w:docPartObj>
        <w:docPartGallery w:val="Page Numbers (Bottom of Page)"/>
        <w:docPartUnique/>
      </w:docPartObj>
    </w:sdtPr>
    <w:sdtEndPr>
      <w:rPr>
        <w:rStyle w:val="PageNumber"/>
      </w:rPr>
    </w:sdtEndPr>
    <w:sdtContent>
      <w:p w14:paraId="62C50796" w14:textId="63448E2D" w:rsidR="00F337D9" w:rsidRDefault="00F337D9" w:rsidP="00D66C6D">
        <w:pPr>
          <w:pStyle w:val="Footer"/>
          <w:framePr w:wrap="none" w:vAnchor="text" w:hAnchor="margin" w:xAlign="right" w:y="1"/>
          <w:rPr>
            <w:rStyle w:val="PageNumber"/>
          </w:rPr>
        </w:pPr>
        <w:r w:rsidRPr="001D0D8B">
          <w:rPr>
            <w:rStyle w:val="PageNumber"/>
            <w:rFonts w:ascii="Arial" w:hAnsi="Arial" w:cs="Arial"/>
          </w:rPr>
          <w:fldChar w:fldCharType="begin"/>
        </w:r>
        <w:r w:rsidRPr="001D0D8B">
          <w:rPr>
            <w:rStyle w:val="PageNumber"/>
            <w:rFonts w:ascii="Arial" w:hAnsi="Arial" w:cs="Arial"/>
          </w:rPr>
          <w:instrText xml:space="preserve"> PAGE </w:instrText>
        </w:r>
        <w:r w:rsidRPr="001D0D8B">
          <w:rPr>
            <w:rStyle w:val="PageNumber"/>
            <w:rFonts w:ascii="Arial" w:hAnsi="Arial" w:cs="Arial"/>
          </w:rPr>
          <w:fldChar w:fldCharType="separate"/>
        </w:r>
        <w:r w:rsidRPr="001D0D8B">
          <w:rPr>
            <w:rStyle w:val="PageNumber"/>
            <w:rFonts w:ascii="Arial" w:hAnsi="Arial" w:cs="Arial"/>
            <w:noProof/>
          </w:rPr>
          <w:t>1</w:t>
        </w:r>
        <w:r w:rsidRPr="001D0D8B">
          <w:rPr>
            <w:rStyle w:val="PageNumber"/>
            <w:rFonts w:ascii="Arial" w:hAnsi="Arial" w:cs="Arial"/>
          </w:rPr>
          <w:fldChar w:fldCharType="end"/>
        </w:r>
      </w:p>
    </w:sdtContent>
  </w:sdt>
  <w:p w14:paraId="4F58EA3E" w14:textId="5826C79F" w:rsidR="00F125EE" w:rsidRDefault="00F125EE" w:rsidP="00F337D9">
    <w:pPr>
      <w:pStyle w:val="Footer"/>
      <w:ind w:right="360"/>
      <w:jc w:val="right"/>
    </w:pP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4FD745" w14:textId="77777777" w:rsidR="00AA7BDF" w:rsidRDefault="00AA7BDF">
      <w:r>
        <w:separator/>
      </w:r>
    </w:p>
  </w:footnote>
  <w:footnote w:type="continuationSeparator" w:id="0">
    <w:p w14:paraId="3AB3831B" w14:textId="77777777" w:rsidR="00AA7BDF" w:rsidRDefault="00AA7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01F95" w14:textId="246CE386" w:rsidR="003A2FD8" w:rsidRPr="001D0D8B" w:rsidRDefault="001D0D8B" w:rsidP="005001AC">
    <w:pPr>
      <w:jc w:val="right"/>
      <w:rPr>
        <w:rFonts w:ascii="Arial" w:hAnsi="Arial" w:cs="Arial"/>
        <w:sz w:val="20"/>
      </w:rPr>
    </w:pPr>
    <w:r w:rsidRPr="001D0D8B">
      <w:rPr>
        <w:rFonts w:ascii="Arial" w:hAnsi="Arial" w:cs="Arial"/>
        <w:sz w:val="20"/>
      </w:rPr>
      <w:t>Mielnik et al., 20</w:t>
    </w:r>
    <w:r w:rsidR="00F201C1">
      <w:rPr>
        <w:rFonts w:ascii="Arial" w:hAnsi="Arial" w:cs="Arial"/>
        <w:sz w:val="20"/>
      </w:rPr>
      <w:t>20</w:t>
    </w: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E1539"/>
    <w:multiLevelType w:val="hybridMultilevel"/>
    <w:tmpl w:val="B3266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DE33A8"/>
    <w:multiLevelType w:val="multilevel"/>
    <w:tmpl w:val="0932FFAC"/>
    <w:styleLink w:val="List41"/>
    <w:lvl w:ilvl="0">
      <w:start w:val="1"/>
      <w:numFmt w:val="upperLetter"/>
      <w:lvlText w:val="(%1)"/>
      <w:lvlJc w:val="left"/>
      <w:rPr>
        <w:rFonts w:ascii="Arial" w:eastAsia="Arial" w:hAnsi="Arial" w:cs="Arial"/>
        <w:position w:val="0"/>
      </w:rPr>
    </w:lvl>
    <w:lvl w:ilvl="1">
      <w:start w:val="1"/>
      <w:numFmt w:val="lowerLetter"/>
      <w:lvlText w:val="%2."/>
      <w:lvlJc w:val="left"/>
      <w:rPr>
        <w:rFonts w:ascii="Arial Bold" w:eastAsia="Arial Bold" w:hAnsi="Arial Bold" w:cs="Arial Bold"/>
        <w:position w:val="0"/>
      </w:rPr>
    </w:lvl>
    <w:lvl w:ilvl="2">
      <w:start w:val="1"/>
      <w:numFmt w:val="lowerRoman"/>
      <w:lvlText w:val="%3."/>
      <w:lvlJc w:val="left"/>
      <w:rPr>
        <w:rFonts w:ascii="Arial Bold" w:eastAsia="Arial Bold" w:hAnsi="Arial Bold" w:cs="Arial Bold"/>
        <w:position w:val="0"/>
      </w:rPr>
    </w:lvl>
    <w:lvl w:ilvl="3">
      <w:start w:val="1"/>
      <w:numFmt w:val="decimal"/>
      <w:lvlText w:val="%4."/>
      <w:lvlJc w:val="left"/>
      <w:rPr>
        <w:rFonts w:ascii="Arial Bold" w:eastAsia="Arial Bold" w:hAnsi="Arial Bold" w:cs="Arial Bold"/>
        <w:position w:val="0"/>
      </w:rPr>
    </w:lvl>
    <w:lvl w:ilvl="4">
      <w:start w:val="1"/>
      <w:numFmt w:val="lowerLetter"/>
      <w:lvlText w:val="%5."/>
      <w:lvlJc w:val="left"/>
      <w:rPr>
        <w:rFonts w:ascii="Arial Bold" w:eastAsia="Arial Bold" w:hAnsi="Arial Bold" w:cs="Arial Bold"/>
        <w:position w:val="0"/>
      </w:rPr>
    </w:lvl>
    <w:lvl w:ilvl="5">
      <w:start w:val="1"/>
      <w:numFmt w:val="lowerRoman"/>
      <w:lvlText w:val="%6."/>
      <w:lvlJc w:val="left"/>
      <w:rPr>
        <w:rFonts w:ascii="Arial Bold" w:eastAsia="Arial Bold" w:hAnsi="Arial Bold" w:cs="Arial Bold"/>
        <w:position w:val="0"/>
      </w:rPr>
    </w:lvl>
    <w:lvl w:ilvl="6">
      <w:start w:val="1"/>
      <w:numFmt w:val="decimal"/>
      <w:lvlText w:val="%7."/>
      <w:lvlJc w:val="left"/>
      <w:rPr>
        <w:rFonts w:ascii="Arial Bold" w:eastAsia="Arial Bold" w:hAnsi="Arial Bold" w:cs="Arial Bold"/>
        <w:position w:val="0"/>
      </w:rPr>
    </w:lvl>
    <w:lvl w:ilvl="7">
      <w:start w:val="1"/>
      <w:numFmt w:val="lowerLetter"/>
      <w:lvlText w:val="%8."/>
      <w:lvlJc w:val="left"/>
      <w:rPr>
        <w:rFonts w:ascii="Arial Bold" w:eastAsia="Arial Bold" w:hAnsi="Arial Bold" w:cs="Arial Bold"/>
        <w:position w:val="0"/>
      </w:rPr>
    </w:lvl>
    <w:lvl w:ilvl="8">
      <w:start w:val="1"/>
      <w:numFmt w:val="lowerRoman"/>
      <w:lvlText w:val="%9."/>
      <w:lvlJc w:val="left"/>
      <w:rPr>
        <w:rFonts w:ascii="Arial Bold" w:eastAsia="Arial Bold" w:hAnsi="Arial Bold" w:cs="Arial Bold"/>
        <w:position w:val="0"/>
      </w:rPr>
    </w:lvl>
  </w:abstractNum>
  <w:abstractNum w:abstractNumId="12" w15:restartNumberingAfterBreak="0">
    <w:nsid w:val="096633D4"/>
    <w:multiLevelType w:val="hybridMultilevel"/>
    <w:tmpl w:val="54C46462"/>
    <w:lvl w:ilvl="0" w:tplc="A99EAD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2418CE"/>
    <w:multiLevelType w:val="hybridMultilevel"/>
    <w:tmpl w:val="5AE80DE2"/>
    <w:lvl w:ilvl="0" w:tplc="A2343C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762BE6"/>
    <w:multiLevelType w:val="hybridMultilevel"/>
    <w:tmpl w:val="E214BF9A"/>
    <w:lvl w:ilvl="0" w:tplc="2D8CDD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4F1C5B"/>
    <w:multiLevelType w:val="hybridMultilevel"/>
    <w:tmpl w:val="6CA67B42"/>
    <w:lvl w:ilvl="0" w:tplc="2D8CDD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520227"/>
    <w:multiLevelType w:val="hybridMultilevel"/>
    <w:tmpl w:val="DD4ADA2E"/>
    <w:lvl w:ilvl="0" w:tplc="EB4C6A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3A6ADA"/>
    <w:multiLevelType w:val="hybridMultilevel"/>
    <w:tmpl w:val="DDE07A92"/>
    <w:lvl w:ilvl="0" w:tplc="A53C97A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474BCB"/>
    <w:multiLevelType w:val="hybridMultilevel"/>
    <w:tmpl w:val="5E74EBAC"/>
    <w:lvl w:ilvl="0" w:tplc="CFC09E18">
      <w:start w:val="1"/>
      <w:numFmt w:val="upp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A55852"/>
    <w:multiLevelType w:val="hybridMultilevel"/>
    <w:tmpl w:val="8FCC186C"/>
    <w:lvl w:ilvl="0" w:tplc="12A4A5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E2373C"/>
    <w:multiLevelType w:val="hybridMultilevel"/>
    <w:tmpl w:val="D6807202"/>
    <w:lvl w:ilvl="0" w:tplc="9F5AE62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A604BC"/>
    <w:multiLevelType w:val="hybridMultilevel"/>
    <w:tmpl w:val="E214BF9A"/>
    <w:lvl w:ilvl="0" w:tplc="2D8CDD68">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1D0B92"/>
    <w:multiLevelType w:val="hybridMultilevel"/>
    <w:tmpl w:val="90ACAFC8"/>
    <w:lvl w:ilvl="0" w:tplc="8878C63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076298"/>
    <w:multiLevelType w:val="hybridMultilevel"/>
    <w:tmpl w:val="A3AEDF92"/>
    <w:lvl w:ilvl="0" w:tplc="4D482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5748EC"/>
    <w:multiLevelType w:val="hybridMultilevel"/>
    <w:tmpl w:val="F5706C14"/>
    <w:lvl w:ilvl="0" w:tplc="2D8CDD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BC45F4"/>
    <w:multiLevelType w:val="hybridMultilevel"/>
    <w:tmpl w:val="9238114A"/>
    <w:lvl w:ilvl="0" w:tplc="E5AA56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8C2C18"/>
    <w:multiLevelType w:val="hybridMultilevel"/>
    <w:tmpl w:val="986C1636"/>
    <w:lvl w:ilvl="0" w:tplc="4DA655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6E5E88"/>
    <w:multiLevelType w:val="hybridMultilevel"/>
    <w:tmpl w:val="C5EEC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E73F45"/>
    <w:multiLevelType w:val="hybridMultilevel"/>
    <w:tmpl w:val="6DC0EAD2"/>
    <w:lvl w:ilvl="0" w:tplc="FF9C9DF6">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9" w15:restartNumberingAfterBreak="0">
    <w:nsid w:val="7D1B51D0"/>
    <w:multiLevelType w:val="hybridMultilevel"/>
    <w:tmpl w:val="5D32BAD8"/>
    <w:lvl w:ilvl="0" w:tplc="C12A01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9"/>
  </w:num>
  <w:num w:numId="13">
    <w:abstractNumId w:val="13"/>
  </w:num>
  <w:num w:numId="14">
    <w:abstractNumId w:val="15"/>
  </w:num>
  <w:num w:numId="15">
    <w:abstractNumId w:val="28"/>
  </w:num>
  <w:num w:numId="16">
    <w:abstractNumId w:val="16"/>
  </w:num>
  <w:num w:numId="17">
    <w:abstractNumId w:val="26"/>
  </w:num>
  <w:num w:numId="18">
    <w:abstractNumId w:val="24"/>
  </w:num>
  <w:num w:numId="19">
    <w:abstractNumId w:val="14"/>
  </w:num>
  <w:num w:numId="20">
    <w:abstractNumId w:val="21"/>
  </w:num>
  <w:num w:numId="21">
    <w:abstractNumId w:val="10"/>
  </w:num>
  <w:num w:numId="22">
    <w:abstractNumId w:val="18"/>
  </w:num>
  <w:num w:numId="23">
    <w:abstractNumId w:val="29"/>
  </w:num>
  <w:num w:numId="24">
    <w:abstractNumId w:val="12"/>
  </w:num>
  <w:num w:numId="25">
    <w:abstractNumId w:val="25"/>
  </w:num>
  <w:num w:numId="26">
    <w:abstractNumId w:val="23"/>
  </w:num>
  <w:num w:numId="27">
    <w:abstractNumId w:val="11"/>
  </w:num>
  <w:num w:numId="28">
    <w:abstractNumId w:val="17"/>
  </w:num>
  <w:num w:numId="29">
    <w:abstractNumId w:val="20"/>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24205"/>
    <w:rsid w:val="00056B8C"/>
    <w:rsid w:val="00065EBD"/>
    <w:rsid w:val="00077602"/>
    <w:rsid w:val="00083B44"/>
    <w:rsid w:val="000850DC"/>
    <w:rsid w:val="000C2771"/>
    <w:rsid w:val="000D46F4"/>
    <w:rsid w:val="000E4514"/>
    <w:rsid w:val="000F0DCE"/>
    <w:rsid w:val="000F5BC5"/>
    <w:rsid w:val="000F6BE3"/>
    <w:rsid w:val="00111990"/>
    <w:rsid w:val="00112C5B"/>
    <w:rsid w:val="00114193"/>
    <w:rsid w:val="0011532B"/>
    <w:rsid w:val="00115A38"/>
    <w:rsid w:val="0011687B"/>
    <w:rsid w:val="00124F82"/>
    <w:rsid w:val="00127AE0"/>
    <w:rsid w:val="00134FF1"/>
    <w:rsid w:val="001409D5"/>
    <w:rsid w:val="001615CB"/>
    <w:rsid w:val="0016337A"/>
    <w:rsid w:val="00164269"/>
    <w:rsid w:val="00172B17"/>
    <w:rsid w:val="0018341B"/>
    <w:rsid w:val="0019469C"/>
    <w:rsid w:val="001A1BDE"/>
    <w:rsid w:val="001C156C"/>
    <w:rsid w:val="001D0D8B"/>
    <w:rsid w:val="001F0876"/>
    <w:rsid w:val="001F167C"/>
    <w:rsid w:val="001F5E91"/>
    <w:rsid w:val="00205DFF"/>
    <w:rsid w:val="002077B9"/>
    <w:rsid w:val="00262D72"/>
    <w:rsid w:val="00294FBB"/>
    <w:rsid w:val="002C030F"/>
    <w:rsid w:val="002D7E31"/>
    <w:rsid w:val="003008BE"/>
    <w:rsid w:val="00317E4E"/>
    <w:rsid w:val="00331D75"/>
    <w:rsid w:val="003372FE"/>
    <w:rsid w:val="003522EC"/>
    <w:rsid w:val="00355362"/>
    <w:rsid w:val="00360A35"/>
    <w:rsid w:val="00363E44"/>
    <w:rsid w:val="00376FF8"/>
    <w:rsid w:val="00395E86"/>
    <w:rsid w:val="003A2FD8"/>
    <w:rsid w:val="003B40E6"/>
    <w:rsid w:val="003E74FB"/>
    <w:rsid w:val="003F1093"/>
    <w:rsid w:val="003F6E14"/>
    <w:rsid w:val="00405336"/>
    <w:rsid w:val="00432B64"/>
    <w:rsid w:val="00433FFF"/>
    <w:rsid w:val="004571D5"/>
    <w:rsid w:val="00461D81"/>
    <w:rsid w:val="0046356B"/>
    <w:rsid w:val="00477182"/>
    <w:rsid w:val="004779CB"/>
    <w:rsid w:val="004867E3"/>
    <w:rsid w:val="004D02AB"/>
    <w:rsid w:val="004D0D96"/>
    <w:rsid w:val="004D6C17"/>
    <w:rsid w:val="004E42D8"/>
    <w:rsid w:val="004E7BA2"/>
    <w:rsid w:val="004F7EDF"/>
    <w:rsid w:val="005001AC"/>
    <w:rsid w:val="005054E0"/>
    <w:rsid w:val="005222B4"/>
    <w:rsid w:val="00526E30"/>
    <w:rsid w:val="00527D71"/>
    <w:rsid w:val="00535DE1"/>
    <w:rsid w:val="0053648D"/>
    <w:rsid w:val="005520A8"/>
    <w:rsid w:val="00552DE6"/>
    <w:rsid w:val="005607DD"/>
    <w:rsid w:val="005756D9"/>
    <w:rsid w:val="00597A03"/>
    <w:rsid w:val="005A558C"/>
    <w:rsid w:val="005B71CB"/>
    <w:rsid w:val="005E28F8"/>
    <w:rsid w:val="005E6513"/>
    <w:rsid w:val="005F6C23"/>
    <w:rsid w:val="00637177"/>
    <w:rsid w:val="00651114"/>
    <w:rsid w:val="00654D8B"/>
    <w:rsid w:val="00661356"/>
    <w:rsid w:val="00664560"/>
    <w:rsid w:val="00670299"/>
    <w:rsid w:val="0067721E"/>
    <w:rsid w:val="00684EC9"/>
    <w:rsid w:val="00691985"/>
    <w:rsid w:val="006A1B64"/>
    <w:rsid w:val="006B3584"/>
    <w:rsid w:val="006D56A7"/>
    <w:rsid w:val="006F5034"/>
    <w:rsid w:val="007108F5"/>
    <w:rsid w:val="00713E5B"/>
    <w:rsid w:val="007402FC"/>
    <w:rsid w:val="007411A1"/>
    <w:rsid w:val="0074342A"/>
    <w:rsid w:val="00772BBC"/>
    <w:rsid w:val="00786B93"/>
    <w:rsid w:val="00793072"/>
    <w:rsid w:val="007B740E"/>
    <w:rsid w:val="007C168A"/>
    <w:rsid w:val="007F2FAF"/>
    <w:rsid w:val="00807D35"/>
    <w:rsid w:val="008218C4"/>
    <w:rsid w:val="008230DD"/>
    <w:rsid w:val="008506AB"/>
    <w:rsid w:val="00855E93"/>
    <w:rsid w:val="0086049F"/>
    <w:rsid w:val="00867A98"/>
    <w:rsid w:val="00870867"/>
    <w:rsid w:val="00885C9B"/>
    <w:rsid w:val="00886AE9"/>
    <w:rsid w:val="008D5D2A"/>
    <w:rsid w:val="008F3767"/>
    <w:rsid w:val="00914B63"/>
    <w:rsid w:val="009354F3"/>
    <w:rsid w:val="00936CC1"/>
    <w:rsid w:val="009447DC"/>
    <w:rsid w:val="00957162"/>
    <w:rsid w:val="00961BA5"/>
    <w:rsid w:val="009743A9"/>
    <w:rsid w:val="00980412"/>
    <w:rsid w:val="009A5287"/>
    <w:rsid w:val="009A79CF"/>
    <w:rsid w:val="009B2AC5"/>
    <w:rsid w:val="009B6B95"/>
    <w:rsid w:val="009B7984"/>
    <w:rsid w:val="009F4BED"/>
    <w:rsid w:val="009F5F40"/>
    <w:rsid w:val="009F622D"/>
    <w:rsid w:val="009F7D93"/>
    <w:rsid w:val="00A055AB"/>
    <w:rsid w:val="00A15C57"/>
    <w:rsid w:val="00A171B6"/>
    <w:rsid w:val="00A17C5D"/>
    <w:rsid w:val="00A33898"/>
    <w:rsid w:val="00A3403B"/>
    <w:rsid w:val="00A51A12"/>
    <w:rsid w:val="00A52506"/>
    <w:rsid w:val="00A627D4"/>
    <w:rsid w:val="00A74DA2"/>
    <w:rsid w:val="00AA7BDF"/>
    <w:rsid w:val="00AB0256"/>
    <w:rsid w:val="00AB399E"/>
    <w:rsid w:val="00AC59D0"/>
    <w:rsid w:val="00AC62F0"/>
    <w:rsid w:val="00AD16B1"/>
    <w:rsid w:val="00AD499C"/>
    <w:rsid w:val="00B3526F"/>
    <w:rsid w:val="00B36869"/>
    <w:rsid w:val="00B43B31"/>
    <w:rsid w:val="00B47CFA"/>
    <w:rsid w:val="00B57A0F"/>
    <w:rsid w:val="00B57F00"/>
    <w:rsid w:val="00B77B2A"/>
    <w:rsid w:val="00B8189E"/>
    <w:rsid w:val="00B82C22"/>
    <w:rsid w:val="00B93DBA"/>
    <w:rsid w:val="00B9440A"/>
    <w:rsid w:val="00BB2D2A"/>
    <w:rsid w:val="00BB58FA"/>
    <w:rsid w:val="00BC3E04"/>
    <w:rsid w:val="00BD58CF"/>
    <w:rsid w:val="00BF0C92"/>
    <w:rsid w:val="00BF30CD"/>
    <w:rsid w:val="00BF6F25"/>
    <w:rsid w:val="00C04CC1"/>
    <w:rsid w:val="00C2090C"/>
    <w:rsid w:val="00C4096C"/>
    <w:rsid w:val="00C50C6D"/>
    <w:rsid w:val="00C575B9"/>
    <w:rsid w:val="00C600D9"/>
    <w:rsid w:val="00C61839"/>
    <w:rsid w:val="00C6566C"/>
    <w:rsid w:val="00C66B58"/>
    <w:rsid w:val="00C92B22"/>
    <w:rsid w:val="00CA7F5B"/>
    <w:rsid w:val="00CC1384"/>
    <w:rsid w:val="00CD3720"/>
    <w:rsid w:val="00CF1848"/>
    <w:rsid w:val="00CF5C2F"/>
    <w:rsid w:val="00D04BCF"/>
    <w:rsid w:val="00D143D9"/>
    <w:rsid w:val="00D3669E"/>
    <w:rsid w:val="00D4549B"/>
    <w:rsid w:val="00D5511B"/>
    <w:rsid w:val="00D766F1"/>
    <w:rsid w:val="00D93B86"/>
    <w:rsid w:val="00DE377A"/>
    <w:rsid w:val="00DF216D"/>
    <w:rsid w:val="00E257C8"/>
    <w:rsid w:val="00E41512"/>
    <w:rsid w:val="00E4519A"/>
    <w:rsid w:val="00E8066F"/>
    <w:rsid w:val="00E80E31"/>
    <w:rsid w:val="00E853D5"/>
    <w:rsid w:val="00E9773B"/>
    <w:rsid w:val="00EA6F42"/>
    <w:rsid w:val="00EC13A3"/>
    <w:rsid w:val="00EC7C85"/>
    <w:rsid w:val="00EF6E01"/>
    <w:rsid w:val="00F125EE"/>
    <w:rsid w:val="00F12E98"/>
    <w:rsid w:val="00F201C1"/>
    <w:rsid w:val="00F22029"/>
    <w:rsid w:val="00F2438F"/>
    <w:rsid w:val="00F337D9"/>
    <w:rsid w:val="00F515FB"/>
    <w:rsid w:val="00F630EA"/>
    <w:rsid w:val="00F7007E"/>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uiPriority w:val="99"/>
    <w:semiHidden/>
    <w:unhideWhenUsed/>
    <w:rsid w:val="00793072"/>
    <w:rPr>
      <w:sz w:val="16"/>
      <w:szCs w:val="16"/>
    </w:rPr>
  </w:style>
  <w:style w:type="character" w:styleId="UnresolvedMention">
    <w:name w:val="Unresolved Mention"/>
    <w:basedOn w:val="DefaultParagraphFont"/>
    <w:uiPriority w:val="99"/>
    <w:unhideWhenUsed/>
    <w:rsid w:val="008218C4"/>
    <w:rPr>
      <w:color w:val="808080"/>
      <w:shd w:val="clear" w:color="auto" w:fill="E6E6E6"/>
    </w:rPr>
  </w:style>
  <w:style w:type="table" w:styleId="TableGrid">
    <w:name w:val="Table Grid"/>
    <w:basedOn w:val="TableNormal"/>
    <w:uiPriority w:val="39"/>
    <w:rsid w:val="00A33898"/>
    <w:rPr>
      <w:rFonts w:asciiTheme="minorHAnsi" w:eastAsiaTheme="minorEastAsia" w:hAnsiTheme="minorHAnsi" w:cstheme="minorBidi"/>
      <w:sz w:val="22"/>
      <w:szCs w:val="22"/>
      <w:lang w:val="en-CA"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3898"/>
    <w:pPr>
      <w:autoSpaceDE w:val="0"/>
      <w:autoSpaceDN w:val="0"/>
      <w:adjustRightInd w:val="0"/>
    </w:pPr>
    <w:rPr>
      <w:rFonts w:ascii="Arial" w:eastAsiaTheme="minorEastAsia" w:hAnsi="Arial" w:cs="Arial"/>
      <w:color w:val="000000"/>
      <w:sz w:val="24"/>
      <w:szCs w:val="24"/>
      <w:lang w:val="en-CA" w:eastAsia="ja-JP"/>
    </w:rPr>
  </w:style>
  <w:style w:type="character" w:styleId="Strong">
    <w:name w:val="Strong"/>
    <w:basedOn w:val="DefaultParagraphFont"/>
    <w:uiPriority w:val="22"/>
    <w:qFormat/>
    <w:rsid w:val="00A33898"/>
    <w:rPr>
      <w:b/>
      <w:bCs/>
    </w:rPr>
  </w:style>
  <w:style w:type="character" w:customStyle="1" w:styleId="apple-converted-space">
    <w:name w:val="apple-converted-space"/>
    <w:basedOn w:val="DefaultParagraphFont"/>
    <w:rsid w:val="00A33898"/>
  </w:style>
  <w:style w:type="paragraph" w:customStyle="1" w:styleId="BodyA">
    <w:name w:val="Body A"/>
    <w:rsid w:val="00A33898"/>
    <w:pPr>
      <w:pBdr>
        <w:top w:val="nil"/>
        <w:left w:val="nil"/>
        <w:bottom w:val="nil"/>
        <w:right w:val="nil"/>
        <w:between w:val="nil"/>
        <w:bar w:val="nil"/>
      </w:pBdr>
    </w:pPr>
    <w:rPr>
      <w:rFonts w:ascii="Calibri" w:eastAsia="Calibri" w:hAnsi="Calibri" w:cs="Calibri"/>
      <w:color w:val="000000"/>
      <w:sz w:val="24"/>
      <w:szCs w:val="24"/>
      <w:u w:color="000000"/>
      <w:bdr w:val="nil"/>
    </w:rPr>
  </w:style>
  <w:style w:type="numbering" w:customStyle="1" w:styleId="List41">
    <w:name w:val="List 41"/>
    <w:basedOn w:val="NoList"/>
    <w:rsid w:val="00A33898"/>
    <w:pPr>
      <w:numPr>
        <w:numId w:val="27"/>
      </w:numPr>
    </w:pPr>
  </w:style>
  <w:style w:type="character" w:customStyle="1" w:styleId="current-selection">
    <w:name w:val="current-selection"/>
    <w:basedOn w:val="DefaultParagraphFont"/>
    <w:rsid w:val="00A33898"/>
  </w:style>
  <w:style w:type="character" w:customStyle="1" w:styleId="a">
    <w:name w:val="_"/>
    <w:basedOn w:val="DefaultParagraphFont"/>
    <w:rsid w:val="00A33898"/>
  </w:style>
  <w:style w:type="character" w:customStyle="1" w:styleId="ff7">
    <w:name w:val="ff7"/>
    <w:basedOn w:val="DefaultParagraphFont"/>
    <w:rsid w:val="00A33898"/>
  </w:style>
  <w:style w:type="character" w:customStyle="1" w:styleId="ls1d">
    <w:name w:val="ls1d"/>
    <w:basedOn w:val="DefaultParagraphFont"/>
    <w:rsid w:val="00A33898"/>
  </w:style>
  <w:style w:type="character" w:customStyle="1" w:styleId="highlight">
    <w:name w:val="highlight"/>
    <w:basedOn w:val="DefaultParagraphFont"/>
    <w:rsid w:val="00A33898"/>
  </w:style>
  <w:style w:type="character" w:styleId="LineNumber">
    <w:name w:val="line number"/>
    <w:basedOn w:val="DefaultParagraphFont"/>
    <w:uiPriority w:val="99"/>
    <w:semiHidden/>
    <w:unhideWhenUsed/>
    <w:rsid w:val="00A33898"/>
  </w:style>
  <w:style w:type="paragraph" w:styleId="Revision">
    <w:name w:val="Revision"/>
    <w:hidden/>
    <w:uiPriority w:val="99"/>
    <w:semiHidden/>
    <w:rsid w:val="00A33898"/>
    <w:rPr>
      <w:sz w:val="24"/>
      <w:szCs w:val="24"/>
      <w:lang w:val="en-CA"/>
    </w:rPr>
  </w:style>
  <w:style w:type="character" w:customStyle="1" w:styleId="UnresolvedMention1">
    <w:name w:val="Unresolved Mention1"/>
    <w:basedOn w:val="DefaultParagraphFont"/>
    <w:uiPriority w:val="99"/>
    <w:rsid w:val="00A33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elltypes.brain-map.org/"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D10FC-EA35-E44B-B69A-99DA3D5DD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15213</Words>
  <Characters>86718</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101728</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Catharine Mielnik</cp:lastModifiedBy>
  <cp:revision>3</cp:revision>
  <cp:lastPrinted>2018-01-11T19:53:00Z</cp:lastPrinted>
  <dcterms:created xsi:type="dcterms:W3CDTF">2020-07-09T17:19:00Z</dcterms:created>
  <dcterms:modified xsi:type="dcterms:W3CDTF">2020-07-09T17:23:00Z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http://www.zotero.org/styles/biological-psychiatry</vt:lpwstr>
  </property>
  <property fmtid="{D5CDD505-2E9C-101B-9397-08002B2CF9AE}" pid="5" name="Mendeley Recent Style Name 1_1">
    <vt:lpwstr>Biological Psychiatry</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http://www.zotero.org/styles/molecular-psychiatry</vt:lpwstr>
  </property>
  <property fmtid="{D5CDD505-2E9C-101B-9397-08002B2CF9AE}" pid="13" name="Mendeley Recent Style Name 5_1">
    <vt:lpwstr>Molecular Psychiatry</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http://www.zotero.org/styles/progress-in-neuropsychopharmacology-and-biological-psychiatry</vt:lpwstr>
  </property>
  <property fmtid="{D5CDD505-2E9C-101B-9397-08002B2CF9AE}" pid="17" name="Mendeley Recent Style Name 7_1">
    <vt:lpwstr>Progress in Neuropsychopharmacology &amp; Biological Psychiatry</vt:lpwstr>
  </property>
  <property fmtid="{D5CDD505-2E9C-101B-9397-08002B2CF9AE}" pid="18" name="Mendeley Recent Style Id 8_1">
    <vt:lpwstr>http://www.zotero.org/styles/science</vt:lpwstr>
  </property>
  <property fmtid="{D5CDD505-2E9C-101B-9397-08002B2CF9AE}" pid="19" name="Mendeley Recent Style Name 8_1">
    <vt:lpwstr>Science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http://www.zotero.org/styles/molecular-psychiatry</vt:lpwstr>
  </property>
  <property fmtid="{D5CDD505-2E9C-101B-9397-08002B2CF9AE}" pid="23" name="Mendeley Document_1">
    <vt:lpwstr>True</vt:lpwstr>
  </property>
  <property fmtid="{D5CDD505-2E9C-101B-9397-08002B2CF9AE}" pid="24" name="Mendeley Unique User Id_1">
    <vt:lpwstr>8f1c15cb-75f8-3947-a050-0f66f44e55d9</vt:lpwstr>
  </property>
</Properties>
</file>