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A3D" w:rsidRDefault="00D95C6B" w:rsidP="007E4290">
      <w:pPr>
        <w:spacing w:line="480" w:lineRule="auto"/>
        <w:rPr>
          <w:b/>
          <w:sz w:val="28"/>
          <w:szCs w:val="28"/>
        </w:rPr>
      </w:pPr>
      <w:r w:rsidRPr="00D95C6B">
        <w:rPr>
          <w:b/>
          <w:sz w:val="28"/>
          <w:szCs w:val="28"/>
        </w:rPr>
        <w:t>Supplementary In</w:t>
      </w:r>
      <w:r w:rsidR="00B37A3D">
        <w:rPr>
          <w:b/>
          <w:sz w:val="28"/>
          <w:szCs w:val="28"/>
        </w:rPr>
        <w:t>formation</w:t>
      </w:r>
    </w:p>
    <w:p w:rsidR="00EE6041" w:rsidRDefault="00B37A3D" w:rsidP="00357E2F">
      <w:pPr>
        <w:jc w:val="center"/>
        <w:rPr>
          <w:b/>
        </w:rPr>
      </w:pPr>
      <w:r w:rsidRPr="00EE6041">
        <w:rPr>
          <w:b/>
        </w:rPr>
        <w:t xml:space="preserve">Brain and blood biomarkers of tauopathy and neuronal injury in humans and </w:t>
      </w:r>
      <w:r w:rsidR="00EE6041" w:rsidRPr="00EE6041">
        <w:rPr>
          <w:b/>
        </w:rPr>
        <w:t>rats with neurobehavioral syndromes following blast exposure</w:t>
      </w:r>
    </w:p>
    <w:p w:rsidR="00357E2F" w:rsidRDefault="00357E2F" w:rsidP="00357E2F">
      <w:pPr>
        <w:jc w:val="center"/>
        <w:rPr>
          <w:b/>
        </w:rPr>
      </w:pPr>
    </w:p>
    <w:p w:rsidR="00357E2F" w:rsidRPr="00EE6041" w:rsidRDefault="00357E2F" w:rsidP="00357E2F">
      <w:pPr>
        <w:jc w:val="center"/>
        <w:rPr>
          <w:b/>
        </w:rPr>
      </w:pPr>
    </w:p>
    <w:p w:rsidR="00B37A3D" w:rsidRPr="00B37A3D" w:rsidRDefault="00B37A3D" w:rsidP="00B37A3D">
      <w:pPr>
        <w:rPr>
          <w:sz w:val="22"/>
          <w:szCs w:val="22"/>
        </w:rPr>
      </w:pPr>
      <w:r w:rsidRPr="00B37A3D">
        <w:rPr>
          <w:sz w:val="22"/>
          <w:szCs w:val="22"/>
        </w:rPr>
        <w:t>Dara L. Dickstein,</w:t>
      </w:r>
      <w:r w:rsidRPr="00B37A3D">
        <w:rPr>
          <w:sz w:val="22"/>
          <w:szCs w:val="22"/>
          <w:vertAlign w:val="superscript"/>
        </w:rPr>
        <w:t xml:space="preserve"> </w:t>
      </w:r>
      <w:r w:rsidRPr="00B37A3D">
        <w:rPr>
          <w:sz w:val="22"/>
          <w:szCs w:val="22"/>
        </w:rPr>
        <w:t>Rita De Gasperi,</w:t>
      </w:r>
      <w:r w:rsidRPr="00711D1C">
        <w:rPr>
          <w:sz w:val="22"/>
          <w:szCs w:val="22"/>
          <w:vertAlign w:val="superscript"/>
        </w:rPr>
        <w:t xml:space="preserve"> </w:t>
      </w:r>
      <w:r w:rsidRPr="00711D1C">
        <w:rPr>
          <w:sz w:val="22"/>
          <w:szCs w:val="22"/>
        </w:rPr>
        <w:t>Miguel A. Gama</w:t>
      </w:r>
      <w:r w:rsidR="000405DD">
        <w:rPr>
          <w:sz w:val="22"/>
          <w:szCs w:val="22"/>
        </w:rPr>
        <w:t xml:space="preserve"> </w:t>
      </w:r>
      <w:r w:rsidRPr="00711D1C">
        <w:rPr>
          <w:sz w:val="22"/>
          <w:szCs w:val="22"/>
        </w:rPr>
        <w:t>Sosa, Georgina Perez-Garcia, Jennifer A. Short, Heidi Sosa</w:t>
      </w:r>
      <w:r w:rsidRPr="00711D1C">
        <w:rPr>
          <w:rFonts w:eastAsia="Calibri"/>
          <w:sz w:val="22"/>
          <w:szCs w:val="22"/>
        </w:rPr>
        <w:t>, Gissel M. Perez</w:t>
      </w:r>
      <w:r>
        <w:rPr>
          <w:rFonts w:eastAsia="Calibri"/>
          <w:sz w:val="22"/>
          <w:szCs w:val="22"/>
        </w:rPr>
        <w:t xml:space="preserve">, </w:t>
      </w:r>
      <w:r w:rsidRPr="00711D1C">
        <w:rPr>
          <w:rFonts w:eastAsia="Calibri"/>
          <w:sz w:val="22"/>
          <w:szCs w:val="22"/>
        </w:rPr>
        <w:t xml:space="preserve">Anna E. </w:t>
      </w:r>
      <w:r w:rsidRPr="00711D1C">
        <w:rPr>
          <w:sz w:val="22"/>
          <w:szCs w:val="22"/>
        </w:rPr>
        <w:t xml:space="preserve">Tschiffely, </w:t>
      </w:r>
      <w:r w:rsidRPr="00711D1C">
        <w:rPr>
          <w:bCs/>
          <w:sz w:val="22"/>
          <w:szCs w:val="22"/>
        </w:rPr>
        <w:t>Kristen</w:t>
      </w:r>
      <w:r w:rsidRPr="00711D1C">
        <w:rPr>
          <w:sz w:val="22"/>
          <w:szCs w:val="22"/>
        </w:rPr>
        <w:t xml:space="preserve"> Dams-O’Connor, </w:t>
      </w:r>
      <w:r w:rsidRPr="00711D1C">
        <w:rPr>
          <w:sz w:val="22"/>
          <w:szCs w:val="22"/>
          <w:lang w:val="sv-SE"/>
        </w:rPr>
        <w:t xml:space="preserve">Mariel Y. Pullman, Karin Knesaurek, Andrew Knutsen, Dzung L. Pham, Lale Soleimani, Barry D. Jordan, </w:t>
      </w:r>
      <w:r w:rsidRPr="00711D1C">
        <w:rPr>
          <w:sz w:val="22"/>
          <w:szCs w:val="22"/>
        </w:rPr>
        <w:t xml:space="preserve">Wayne A. Gordon, Bradley N. Delman, Gleb Shumyatsky, Pashtun-Poh Shahim, Steven T. DeKosky, James R. Stone, Elaine Peskind, Kaj Blennow, Henrik Zetterberg, Steven A. Chance, Mario Torso, </w:t>
      </w:r>
      <w:r w:rsidRPr="00711D1C">
        <w:rPr>
          <w:sz w:val="22"/>
          <w:szCs w:val="22"/>
          <w:lang w:val="sv-SE"/>
        </w:rPr>
        <w:t xml:space="preserve">Lale Kostakoglu, </w:t>
      </w:r>
      <w:r w:rsidRPr="00711D1C">
        <w:rPr>
          <w:sz w:val="22"/>
          <w:szCs w:val="22"/>
        </w:rPr>
        <w:t>Mary Sano, Patrick R. Hof, Stephen T. Ahlers,</w:t>
      </w:r>
      <w:r w:rsidR="00357E2F">
        <w:rPr>
          <w:sz w:val="22"/>
          <w:szCs w:val="22"/>
        </w:rPr>
        <w:t xml:space="preserve"> </w:t>
      </w:r>
      <w:r w:rsidRPr="00B37A3D">
        <w:rPr>
          <w:sz w:val="22"/>
          <w:szCs w:val="22"/>
        </w:rPr>
        <w:t xml:space="preserve">Sam Gandy and Gregory A. Elder </w:t>
      </w:r>
    </w:p>
    <w:p w:rsidR="00D95C6B" w:rsidRPr="00EE6041" w:rsidRDefault="00D95C6B" w:rsidP="00EE6041">
      <w:pPr>
        <w:shd w:val="clear" w:color="auto" w:fill="FFFFFF"/>
        <w:rPr>
          <w:rFonts w:eastAsia="Cambria"/>
          <w:b/>
          <w:sz w:val="28"/>
          <w:szCs w:val="28"/>
        </w:rPr>
      </w:pPr>
    </w:p>
    <w:p w:rsidR="00EE6041" w:rsidRDefault="00EE6041" w:rsidP="00D95C6B">
      <w:pPr>
        <w:spacing w:line="480" w:lineRule="auto"/>
        <w:jc w:val="both"/>
        <w:rPr>
          <w:b/>
          <w:sz w:val="22"/>
          <w:szCs w:val="22"/>
        </w:rPr>
      </w:pPr>
    </w:p>
    <w:p w:rsidR="00EE6041" w:rsidRPr="00711D1C" w:rsidRDefault="00EE6041" w:rsidP="00357E2F">
      <w:pPr>
        <w:jc w:val="both"/>
        <w:rPr>
          <w:b/>
          <w:sz w:val="22"/>
          <w:szCs w:val="22"/>
        </w:rPr>
      </w:pPr>
      <w:r w:rsidRPr="00711D1C">
        <w:rPr>
          <w:b/>
          <w:sz w:val="22"/>
          <w:szCs w:val="22"/>
        </w:rPr>
        <w:t xml:space="preserve">Supplementary Information: </w:t>
      </w:r>
      <w:r w:rsidRPr="00711D1C">
        <w:rPr>
          <w:sz w:val="22"/>
          <w:szCs w:val="22"/>
        </w:rPr>
        <w:t xml:space="preserve">Supplementary data, figures, and tables are available at Molecular Psychiatry’s website. </w:t>
      </w: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EE6041" w:rsidRDefault="00EE6041" w:rsidP="00D95C6B">
      <w:pPr>
        <w:spacing w:line="480" w:lineRule="auto"/>
        <w:jc w:val="both"/>
        <w:rPr>
          <w:b/>
          <w:sz w:val="22"/>
          <w:szCs w:val="22"/>
        </w:rPr>
      </w:pPr>
    </w:p>
    <w:p w:rsidR="00357E2F" w:rsidRDefault="00357E2F" w:rsidP="00D95C6B">
      <w:pPr>
        <w:pStyle w:val="BodyTextIndent"/>
        <w:spacing w:line="480" w:lineRule="auto"/>
        <w:jc w:val="both"/>
        <w:rPr>
          <w:rFonts w:ascii="Times New Roman" w:hAnsi="Times New Roman"/>
          <w:b/>
          <w:szCs w:val="22"/>
        </w:rPr>
      </w:pPr>
    </w:p>
    <w:p w:rsidR="00357E2F" w:rsidRDefault="00357E2F" w:rsidP="00D95C6B">
      <w:pPr>
        <w:pStyle w:val="BodyTextIndent"/>
        <w:spacing w:line="480" w:lineRule="auto"/>
        <w:jc w:val="both"/>
        <w:rPr>
          <w:rFonts w:ascii="Times New Roman" w:hAnsi="Times New Roman"/>
          <w:b/>
          <w:szCs w:val="22"/>
        </w:rPr>
      </w:pPr>
    </w:p>
    <w:p w:rsidR="00D95C6B" w:rsidRPr="00357E2F" w:rsidRDefault="00D95C6B" w:rsidP="00D95C6B">
      <w:pPr>
        <w:pStyle w:val="BodyTextIndent"/>
        <w:spacing w:line="480" w:lineRule="auto"/>
        <w:jc w:val="both"/>
        <w:rPr>
          <w:rFonts w:ascii="Times New Roman" w:hAnsi="Times New Roman"/>
          <w:b/>
          <w:sz w:val="24"/>
        </w:rPr>
      </w:pPr>
      <w:r w:rsidRPr="00357E2F">
        <w:rPr>
          <w:rFonts w:ascii="Times New Roman" w:hAnsi="Times New Roman"/>
          <w:b/>
          <w:sz w:val="24"/>
        </w:rPr>
        <w:lastRenderedPageBreak/>
        <w:t>Supplementary Methods</w:t>
      </w:r>
    </w:p>
    <w:p w:rsidR="00D95C6B" w:rsidRPr="00711D1C" w:rsidRDefault="00D95C6B" w:rsidP="00D95C6B">
      <w:pPr>
        <w:pStyle w:val="BodyTextIndent"/>
        <w:spacing w:line="480" w:lineRule="auto"/>
        <w:jc w:val="both"/>
        <w:rPr>
          <w:rFonts w:ascii="Times New Roman" w:hAnsi="Times New Roman"/>
          <w:b/>
          <w:szCs w:val="22"/>
        </w:rPr>
      </w:pPr>
      <w:r w:rsidRPr="00711D1C">
        <w:rPr>
          <w:rFonts w:ascii="Times New Roman" w:hAnsi="Times New Roman"/>
          <w:b/>
          <w:szCs w:val="22"/>
        </w:rPr>
        <w:t>Regional brain dissection</w:t>
      </w:r>
    </w:p>
    <w:p w:rsidR="00D95C6B" w:rsidRPr="00711D1C" w:rsidRDefault="00D95C6B" w:rsidP="00D95C6B">
      <w:pPr>
        <w:pStyle w:val="BodyTextIndent"/>
        <w:spacing w:line="480" w:lineRule="auto"/>
        <w:jc w:val="both"/>
        <w:rPr>
          <w:rFonts w:ascii="Times New Roman" w:hAnsi="Times New Roman"/>
          <w:szCs w:val="22"/>
        </w:rPr>
      </w:pPr>
      <w:r w:rsidRPr="00711D1C">
        <w:rPr>
          <w:rFonts w:ascii="Times New Roman" w:hAnsi="Times New Roman"/>
          <w:szCs w:val="22"/>
        </w:rPr>
        <w:t>To dissect the various brain regions the cerebellum was removed and the brain was placed ventral side up and coronal cuts were made through the optic chiasm and anterior commissure. The cortical tissue surrounding this piece of tissue was defined as the anterior cortex. To obtain the amygdala fraction, the tissue lateral to the hypothalamus between its caudal and rostral border and ventral to the rhinal sulcus on either side was dissected. After dissection of the amygdala the tissue was turned dorsal side up and the hippocampus dissected based on its typical morphology after the cerebral hemispheres were reflected out. The posterior cortex included the remainder of the cerebral tissue after the removal of the caudate putamen.</w:t>
      </w:r>
    </w:p>
    <w:p w:rsidR="00D95C6B" w:rsidRPr="00711D1C" w:rsidRDefault="00D95C6B" w:rsidP="00D95C6B">
      <w:pPr>
        <w:pStyle w:val="BodyTextIndent"/>
        <w:spacing w:line="480" w:lineRule="auto"/>
        <w:jc w:val="both"/>
        <w:rPr>
          <w:rFonts w:ascii="Times New Roman" w:hAnsi="Times New Roman"/>
          <w:b/>
          <w:szCs w:val="22"/>
        </w:rPr>
      </w:pPr>
    </w:p>
    <w:p w:rsidR="00D95C6B" w:rsidRPr="00711D1C" w:rsidRDefault="00D95C6B" w:rsidP="00D95C6B">
      <w:pPr>
        <w:pStyle w:val="BodyTextIndent"/>
        <w:spacing w:line="480" w:lineRule="auto"/>
        <w:jc w:val="both"/>
        <w:rPr>
          <w:rFonts w:ascii="Times New Roman" w:hAnsi="Times New Roman"/>
          <w:b/>
          <w:szCs w:val="22"/>
        </w:rPr>
      </w:pPr>
      <w:r w:rsidRPr="00711D1C">
        <w:rPr>
          <w:rFonts w:ascii="Times New Roman" w:hAnsi="Times New Roman"/>
          <w:b/>
          <w:szCs w:val="22"/>
        </w:rPr>
        <w:t>Western Blot analysis</w:t>
      </w:r>
    </w:p>
    <w:p w:rsidR="00D95C6B" w:rsidRPr="00711D1C" w:rsidRDefault="00D95C6B" w:rsidP="00D95C6B">
      <w:pPr>
        <w:spacing w:line="480" w:lineRule="auto"/>
        <w:rPr>
          <w:sz w:val="22"/>
          <w:szCs w:val="22"/>
        </w:rPr>
      </w:pPr>
      <w:r w:rsidRPr="00711D1C">
        <w:rPr>
          <w:sz w:val="22"/>
          <w:szCs w:val="22"/>
        </w:rPr>
        <w:t xml:space="preserve">Tissue was homogenized in 0.1 M Tris HCl buffer pH 7.4, containing 0.15 M NaCl, 5 mM EDTA, 1% Triton X100/0.1% SDS and a protease and phosphatase inhibitor cocktail (Halt, Pierce, Rockford IL, USA). Protein concentration was determined with the BCA reagent (Pierce).  Protein samples (50 </w:t>
      </w:r>
      <w:r w:rsidRPr="00711D1C">
        <w:rPr>
          <w:rFonts w:ascii="Symbol" w:hAnsi="Symbol"/>
          <w:sz w:val="22"/>
          <w:szCs w:val="22"/>
        </w:rPr>
        <w:t></w:t>
      </w:r>
      <w:r w:rsidRPr="00711D1C">
        <w:rPr>
          <w:sz w:val="22"/>
          <w:szCs w:val="22"/>
        </w:rPr>
        <w:t xml:space="preserve">g) were separated by SDS-PAGE and blotted onto polyvinylidene difluoride (PVDF) membranes (Millipore Corporation, Billerica, MA, USA). Blots were blocked with 50 mM Tris HCl, pH 7.6, 0.15 M NaCl, 0.1% Tween-20 (TBST), 5% nonfat dry milk and probed overnight with the relevant primary antibody diluted in blocking solution. Blots were then incubated for 1.5 h with the appropriate horseradish peroxidase (HRP) conjugated secondary antibody (GE Healthcare Lifesciences, Piscataway, NJ, USA) diluted in blocking solution (1:7500) and bands were visualized by ECL Prime (GE Healthcare Lifesciences) and imaged with Imager 600 imaging station or by exposure to HyBlot CL film (Denville Scientific). The primary antibodies utilized are indicated in Supplementary Table 1. All p-tau blots were sequentially reprobed to determine total  tau and GAPDH levels. For </w:t>
      </w:r>
      <w:proofErr w:type="spellStart"/>
      <w:r w:rsidRPr="00711D1C">
        <w:rPr>
          <w:sz w:val="22"/>
          <w:szCs w:val="22"/>
        </w:rPr>
        <w:t>reprobing</w:t>
      </w:r>
      <w:proofErr w:type="spellEnd"/>
      <w:r w:rsidRPr="00711D1C">
        <w:rPr>
          <w:sz w:val="22"/>
          <w:szCs w:val="22"/>
        </w:rPr>
        <w:t>, the membranes were stripped with Re-Blot Plus strong stripping solution (Millipore) or ReblotPlus western blot stripping buf</w:t>
      </w:r>
      <w:r>
        <w:rPr>
          <w:sz w:val="22"/>
          <w:szCs w:val="22"/>
        </w:rPr>
        <w:t xml:space="preserve">fer (ThermoFisher) </w:t>
      </w:r>
      <w:r w:rsidRPr="00711D1C">
        <w:rPr>
          <w:sz w:val="22"/>
          <w:szCs w:val="22"/>
        </w:rPr>
        <w:lastRenderedPageBreak/>
        <w:t xml:space="preserve">according to the manufacturer’s instructions. Quantification was performed using Image Quant TL software (GE Healthcare Lifesciences). </w:t>
      </w:r>
    </w:p>
    <w:p w:rsidR="00D95C6B" w:rsidRDefault="00D95C6B" w:rsidP="00D95C6B">
      <w:pPr>
        <w:spacing w:line="480" w:lineRule="auto"/>
        <w:jc w:val="both"/>
        <w:rPr>
          <w:sz w:val="22"/>
          <w:szCs w:val="22"/>
        </w:rPr>
      </w:pPr>
    </w:p>
    <w:p w:rsidR="00D95C6B" w:rsidRPr="0017494F" w:rsidRDefault="00D95C6B" w:rsidP="00D95C6B">
      <w:pPr>
        <w:spacing w:line="480" w:lineRule="auto"/>
        <w:jc w:val="both"/>
        <w:rPr>
          <w:b/>
          <w:sz w:val="22"/>
          <w:szCs w:val="22"/>
        </w:rPr>
      </w:pPr>
      <w:r w:rsidRPr="0017494F">
        <w:rPr>
          <w:b/>
          <w:sz w:val="22"/>
          <w:szCs w:val="22"/>
        </w:rPr>
        <w:t>MRI and PET acquisition and analysis</w:t>
      </w:r>
    </w:p>
    <w:p w:rsidR="00D95C6B" w:rsidRPr="0017494F" w:rsidRDefault="00D95C6B" w:rsidP="00D95C6B">
      <w:pPr>
        <w:shd w:val="clear" w:color="auto" w:fill="FFFFFF"/>
        <w:spacing w:line="480" w:lineRule="auto"/>
        <w:ind w:firstLine="360"/>
        <w:jc w:val="both"/>
        <w:rPr>
          <w:sz w:val="22"/>
          <w:szCs w:val="22"/>
        </w:rPr>
      </w:pPr>
      <w:r w:rsidRPr="0017494F">
        <w:rPr>
          <w:sz w:val="22"/>
          <w:szCs w:val="22"/>
        </w:rPr>
        <w:t>The MRI T1-weighted images were obtained on a 3-Tesla Siemens Biograph MR system (TR = 2300 ms, TE = 2.98 ms, 176 sagittal slices, 1.2 mm slice thickness, voxel-size of 1 x 1 x 1.2 mm, flip angle = 90°). All scans were performed at the ISMMS Hess Center for Science and Medicine. MRI volumetric analyses was performed using FreeSurfer image analysis suite v6.0</w:t>
      </w:r>
      <w:r w:rsidRPr="0017494F">
        <w:rPr>
          <w:sz w:val="22"/>
          <w:szCs w:val="22"/>
        </w:rPr>
        <w:fldChar w:fldCharType="begin"/>
      </w:r>
      <w:r w:rsidRPr="0017494F">
        <w:rPr>
          <w:sz w:val="22"/>
          <w:szCs w:val="22"/>
        </w:rPr>
        <w:instrText xml:space="preserve"> ADDIN EN.CITE &lt;EndNote&gt;&lt;Cite&gt;&lt;Author&gt;Fischl&lt;/Author&gt;&lt;Year&gt;2002&lt;/Year&gt;&lt;RecNum&gt;14&lt;/RecNum&gt;&lt;DisplayText&gt;&lt;style face="superscript"&gt;36&lt;/style&gt;&lt;/DisplayText&gt;&lt;record&gt;&lt;rec-number&gt;14&lt;/rec-number&gt;&lt;foreign-keys&gt;&lt;key app="EN" db-id="vwxsp99az5epxferw28xwwt6xt29z2ddrrfe" timestamp="1522768791"&gt;14&lt;/key&gt;&lt;/foreign-keys&gt;&lt;ref-type name="Journal Article"&gt;17&lt;/ref-type&gt;&lt;contributors&gt;&lt;authors&gt;&lt;author&gt;Fischl, B.&lt;/author&gt;&lt;author&gt;Salat, D. H.&lt;/author&gt;&lt;author&gt;Busa, E.&lt;/author&gt;&lt;author&gt;Albert, M.&lt;/author&gt;&lt;author&gt;Dieterich, M.&lt;/author&gt;&lt;author&gt;Haselgrove, C.&lt;/author&gt;&lt;author&gt;van der Kouwe, A.&lt;/author&gt;&lt;author&gt;Killiany, R.&lt;/author&gt;&lt;author&gt;Kennedy, D.&lt;/author&gt;&lt;author&gt;Klaveness, S.&lt;/author&gt;&lt;author&gt;Montillo, A.&lt;/author&gt;&lt;author&gt;Makris, N.&lt;/author&gt;&lt;author&gt;Rosen, B.&lt;/author&gt;&lt;author&gt;Dale, A. M.&lt;/author&gt;&lt;/authors&gt;&lt;/contributors&gt;&lt;auth-address&gt;Massachusetts General Hospital, Nuclear Magnetic Resonance Center, Rm. 2328, Building 149, 13th Street, Charlestown, MA 02129, USA.&lt;/auth-address&gt;&lt;titles&gt;&lt;title&gt;Whole brain segmentation: automated labeling of neuroanatomical structures in the human brain&lt;/title&gt;&lt;secondary-title&gt;Neuron&lt;/secondary-title&gt;&lt;/titles&gt;&lt;periodical&gt;&lt;full-title&gt;Neuron&lt;/full-title&gt;&lt;/periodical&gt;&lt;pages&gt;341-55&lt;/pages&gt;&lt;volume&gt;33&lt;/volume&gt;&lt;number&gt;3&lt;/number&gt;&lt;keywords&gt;&lt;keyword&gt;Aged&lt;/keyword&gt;&lt;keyword&gt;Alzheimer Disease/diagnosis/pathology&lt;/keyword&gt;&lt;keyword&gt;Brain/*anatomy &amp;amp; histology/pathology&lt;/keyword&gt;&lt;keyword&gt;Brain Mapping&lt;/keyword&gt;&lt;keyword&gt;Female&lt;/keyword&gt;&lt;keyword&gt;Humans&lt;/keyword&gt;&lt;keyword&gt;Magnetic Resonance Imaging/*methods&lt;/keyword&gt;&lt;keyword&gt;Male&lt;/keyword&gt;&lt;keyword&gt;Reproducibility of Results&lt;/keyword&gt;&lt;/keywords&gt;&lt;dates&gt;&lt;year&gt;2002&lt;/year&gt;&lt;pub-dates&gt;&lt;date&gt;Jan 31&lt;/date&gt;&lt;/pub-dates&gt;&lt;/dates&gt;&lt;isbn&gt;0896-6273 (Print)&amp;#xD;0896-6273 (Linking)&lt;/isbn&gt;&lt;accession-num&gt;11832223&lt;/accession-num&gt;&lt;urls&gt;&lt;related-urls&gt;&lt;url&gt;http://www.ncbi.nlm.nih.gov/pubmed/11832223&lt;/url&gt;&lt;/related-urls&gt;&lt;/urls&gt;&lt;/record&gt;&lt;/Cite&gt;&lt;/EndNote&gt;</w:instrText>
      </w:r>
      <w:r w:rsidRPr="0017494F">
        <w:rPr>
          <w:sz w:val="22"/>
          <w:szCs w:val="22"/>
        </w:rPr>
        <w:fldChar w:fldCharType="separate"/>
      </w:r>
      <w:r w:rsidRPr="0017494F">
        <w:rPr>
          <w:noProof/>
          <w:sz w:val="22"/>
          <w:szCs w:val="22"/>
          <w:vertAlign w:val="superscript"/>
        </w:rPr>
        <w:t>36</w:t>
      </w:r>
      <w:r w:rsidRPr="0017494F">
        <w:rPr>
          <w:sz w:val="22"/>
          <w:szCs w:val="22"/>
        </w:rPr>
        <w:fldChar w:fldCharType="end"/>
      </w:r>
      <w:r w:rsidRPr="0017494F">
        <w:rPr>
          <w:sz w:val="22"/>
          <w:szCs w:val="22"/>
        </w:rPr>
        <w:t>; (</w:t>
      </w:r>
      <w:hyperlink r:id="rId6" w:history="1">
        <w:r w:rsidRPr="0017494F">
          <w:rPr>
            <w:rStyle w:val="Hyperlink"/>
            <w:color w:val="auto"/>
            <w:sz w:val="22"/>
            <w:szCs w:val="22"/>
          </w:rPr>
          <w:t>http://surfer.nmr.mgh.harvard.edu/</w:t>
        </w:r>
      </w:hyperlink>
      <w:r w:rsidRPr="0017494F">
        <w:rPr>
          <w:sz w:val="22"/>
          <w:szCs w:val="22"/>
        </w:rPr>
        <w:t xml:space="preserve">) with skull-stripping performed using the </w:t>
      </w:r>
      <w:r w:rsidRPr="0017494F">
        <w:rPr>
          <w:sz w:val="22"/>
          <w:szCs w:val="22"/>
          <w:shd w:val="clear" w:color="auto" w:fill="FFFFFF"/>
        </w:rPr>
        <w:t>Multi-cONtrast brain STRipping method (</w:t>
      </w:r>
      <w:r w:rsidRPr="0017494F">
        <w:rPr>
          <w:rStyle w:val="highlight"/>
          <w:sz w:val="22"/>
          <w:szCs w:val="22"/>
          <w:shd w:val="clear" w:color="auto" w:fill="FFFFFF"/>
        </w:rPr>
        <w:t>MONSTR;</w:t>
      </w:r>
      <w:r w:rsidRPr="0017494F">
        <w:rPr>
          <w:sz w:val="22"/>
          <w:szCs w:val="22"/>
        </w:rPr>
        <w:t xml:space="preserve"> https://www.nitrc.org/projects/monstr/</w:t>
      </w:r>
      <w:r w:rsidRPr="0017494F">
        <w:rPr>
          <w:sz w:val="22"/>
          <w:szCs w:val="22"/>
          <w:shd w:val="clear" w:color="auto" w:fill="FFFFFF"/>
        </w:rPr>
        <w:t>)</w:t>
      </w:r>
      <w:r w:rsidRPr="0017494F">
        <w:rPr>
          <w:sz w:val="22"/>
          <w:szCs w:val="22"/>
        </w:rPr>
        <w:t>. All MRIs were evaluated by a neuroradiologist and were read clinically.</w:t>
      </w:r>
    </w:p>
    <w:p w:rsidR="00D95C6B" w:rsidRPr="0017494F" w:rsidRDefault="00D95C6B" w:rsidP="00D95C6B">
      <w:pPr>
        <w:spacing w:line="480" w:lineRule="auto"/>
        <w:ind w:firstLine="360"/>
        <w:jc w:val="both"/>
        <w:rPr>
          <w:sz w:val="22"/>
          <w:szCs w:val="22"/>
        </w:rPr>
      </w:pPr>
      <w:r w:rsidRPr="0017494F">
        <w:rPr>
          <w:sz w:val="22"/>
          <w:szCs w:val="22"/>
        </w:rPr>
        <w:t xml:space="preserve">All PET images were acquired in three dimensions, using a one-frame and one-bed position TOF Dynamic All PASS filter. Reconstructions were performed utilizing iterative reconstruction, with 24 subsets and 4 iterations. The z-axis filter was standard, summed images 5.0 mm full-width/half-maximum Gaussian filter was used. The field of view was 50 cm in diameter, with 74 total slices of 3 mm thickness. </w:t>
      </w:r>
      <w:r w:rsidRPr="0017494F">
        <w:rPr>
          <w:sz w:val="22"/>
          <w:szCs w:val="22"/>
          <w:shd w:val="clear" w:color="auto" w:fill="FFFFFF"/>
        </w:rPr>
        <w:t>A CT scan was obtained for attenuation correction.</w:t>
      </w:r>
      <w:r w:rsidRPr="0017494F">
        <w:rPr>
          <w:sz w:val="22"/>
          <w:szCs w:val="22"/>
        </w:rPr>
        <w:t xml:space="preserve"> </w:t>
      </w:r>
    </w:p>
    <w:p w:rsidR="00D95C6B" w:rsidRPr="00DD08A9" w:rsidRDefault="00D95C6B" w:rsidP="00D95C6B">
      <w:pPr>
        <w:spacing w:line="480" w:lineRule="auto"/>
        <w:ind w:firstLine="360"/>
        <w:jc w:val="both"/>
        <w:rPr>
          <w:color w:val="FF0000"/>
          <w:sz w:val="22"/>
          <w:szCs w:val="22"/>
        </w:rPr>
      </w:pPr>
      <w:r w:rsidRPr="0017494F">
        <w:rPr>
          <w:sz w:val="22"/>
          <w:szCs w:val="22"/>
        </w:rPr>
        <w:t>The [</w:t>
      </w:r>
      <w:r w:rsidRPr="0017494F">
        <w:rPr>
          <w:sz w:val="22"/>
          <w:szCs w:val="22"/>
          <w:vertAlign w:val="superscript"/>
        </w:rPr>
        <w:t>18</w:t>
      </w:r>
      <w:r w:rsidRPr="0017494F">
        <w:rPr>
          <w:sz w:val="22"/>
          <w:szCs w:val="22"/>
        </w:rPr>
        <w:t>F]AV1451 images</w:t>
      </w:r>
      <w:r w:rsidRPr="0017494F">
        <w:rPr>
          <w:sz w:val="22"/>
          <w:szCs w:val="22"/>
          <w:shd w:val="clear" w:color="auto" w:fill="FFFFFF"/>
        </w:rPr>
        <w:t xml:space="preserve"> were rigidly registered to the T1-MPRAGE using the rigid registration algorithm in the </w:t>
      </w:r>
      <w:r w:rsidRPr="0017494F">
        <w:rPr>
          <w:sz w:val="22"/>
          <w:szCs w:val="22"/>
        </w:rPr>
        <w:t>Advanced Normalization Tools (ANTs) v2.1</w:t>
      </w:r>
      <w:r w:rsidRPr="0017494F">
        <w:rPr>
          <w:sz w:val="22"/>
          <w:szCs w:val="22"/>
        </w:rPr>
        <w:fldChar w:fldCharType="begin"/>
      </w:r>
      <w:r w:rsidRPr="0017494F">
        <w:rPr>
          <w:sz w:val="22"/>
          <w:szCs w:val="22"/>
        </w:rPr>
        <w:instrText xml:space="preserve"> ADDIN EN.CITE &lt;EndNote&gt;&lt;Cite&gt;&lt;Author&gt;Avants&lt;/Author&gt;&lt;Year&gt;2008&lt;/Year&gt;&lt;RecNum&gt;9&lt;/RecNum&gt;&lt;DisplayText&gt;&lt;style face="superscript"&gt;75&lt;/style&gt;&lt;/DisplayText&gt;&lt;record&gt;&lt;rec-number&gt;9&lt;/rec-number&gt;&lt;foreign-keys&gt;&lt;key app="EN" db-id="vwxsp99az5epxferw28xwwt6xt29z2ddrrfe" timestamp="1522768612"&gt;9&lt;/key&gt;&lt;/foreign-keys&gt;&lt;ref-type name="Journal Article"&gt;17&lt;/ref-type&gt;&lt;contributors&gt;&lt;authors&gt;&lt;author&gt;Avants, B. B.&lt;/author&gt;&lt;author&gt;Epstein, C. L.&lt;/author&gt;&lt;author&gt;Grossman, M.&lt;/author&gt;&lt;author&gt;Gee, J. C.&lt;/author&gt;&lt;/authors&gt;&lt;/contributors&gt;&lt;auth-address&gt;Department of Radiology, University of Pennsylvania, 3600 Market Street, Philadelphia, PA 19104, United States. avants@grasp.cis.upenn.edu&lt;/auth-address&gt;&lt;titles&gt;&lt;title&gt;Symmetric diffeomorphic image registration with cross-correlation: evaluating automated labeling of elderly and neurodegenerative brain&lt;/title&gt;&lt;secondary-title&gt;Med Image Anal&lt;/secondary-title&gt;&lt;/titles&gt;&lt;periodical&gt;&lt;full-title&gt;Med Image Anal&lt;/full-title&gt;&lt;/periodical&gt;&lt;pages&gt;26-41&lt;/pages&gt;&lt;volume&gt;12&lt;/volume&gt;&lt;number&gt;1&lt;/number&gt;&lt;keywords&gt;&lt;keyword&gt;*Algorithms&lt;/keyword&gt;&lt;keyword&gt;Atrophy&lt;/keyword&gt;&lt;keyword&gt;Cerebral Cortex/*pathology&lt;/keyword&gt;&lt;keyword&gt;Dementia/*pathology&lt;/keyword&gt;&lt;keyword&gt;Humans&lt;/keyword&gt;&lt;keyword&gt;Image Enhancement/methods&lt;/keyword&gt;&lt;keyword&gt;Image Interpretation, Computer-Assisted/*methods&lt;/keyword&gt;&lt;keyword&gt;*Magnetic Resonance Imaging&lt;/keyword&gt;&lt;/keywords&gt;&lt;dates&gt;&lt;year&gt;2008&lt;/year&gt;&lt;pub-dates&gt;&lt;date&gt;Feb&lt;/date&gt;&lt;/pub-dates&gt;&lt;/dates&gt;&lt;isbn&gt;1361-8423 (Electronic)&amp;#xD;1361-8415 (Linking)&lt;/isbn&gt;&lt;accession-num&gt;17659998&lt;/accession-num&gt;&lt;urls&gt;&lt;related-urls&gt;&lt;url&gt;http://www.ncbi.nlm.nih.gov/pubmed/17659998&lt;/url&gt;&lt;/related-urls&gt;&lt;/urls&gt;&lt;custom2&gt;PMC2276735&lt;/custom2&gt;&lt;electronic-resource-num&gt;10.1016/j.media.2007.06.004&lt;/electronic-resource-num&gt;&lt;/record&gt;&lt;/Cite&gt;&lt;/EndNote&gt;</w:instrText>
      </w:r>
      <w:r w:rsidRPr="0017494F">
        <w:rPr>
          <w:sz w:val="22"/>
          <w:szCs w:val="22"/>
        </w:rPr>
        <w:fldChar w:fldCharType="separate"/>
      </w:r>
      <w:r w:rsidRPr="0017494F">
        <w:rPr>
          <w:noProof/>
          <w:sz w:val="22"/>
          <w:szCs w:val="22"/>
          <w:vertAlign w:val="superscript"/>
        </w:rPr>
        <w:t>75</w:t>
      </w:r>
      <w:r w:rsidRPr="0017494F">
        <w:rPr>
          <w:sz w:val="22"/>
          <w:szCs w:val="22"/>
        </w:rPr>
        <w:fldChar w:fldCharType="end"/>
      </w:r>
      <w:r w:rsidRPr="0017494F">
        <w:rPr>
          <w:sz w:val="22"/>
          <w:szCs w:val="22"/>
          <w:shd w:val="clear" w:color="auto" w:fill="FFFFFF"/>
        </w:rPr>
        <w:t xml:space="preserve">. </w:t>
      </w:r>
      <w:r w:rsidRPr="0017494F">
        <w:rPr>
          <w:sz w:val="22"/>
          <w:szCs w:val="22"/>
        </w:rPr>
        <w:t>Voxels within the inferior cerebellar grey matter were identified using the spatially unbiased atlas template of the cerebellum and brainstem (SUIT) v3.2</w:t>
      </w:r>
      <w:r w:rsidRPr="0017494F">
        <w:rPr>
          <w:sz w:val="22"/>
          <w:szCs w:val="22"/>
        </w:rPr>
        <w:fldChar w:fldCharType="begin">
          <w:fldData xml:space="preserve">PEVuZE5vdGU+PENpdGU+PEF1dGhvcj5EaWVkcmljaHNlbjwvQXV0aG9yPjxZZWFyPjIwMTE8L1ll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</w:fldData>
        </w:fldChar>
      </w:r>
      <w:r w:rsidRPr="0017494F">
        <w:rPr>
          <w:sz w:val="22"/>
          <w:szCs w:val="22"/>
        </w:rPr>
        <w:instrText xml:space="preserve"> ADDIN EN.CITE </w:instrText>
      </w:r>
      <w:r w:rsidRPr="0017494F">
        <w:rPr>
          <w:sz w:val="22"/>
          <w:szCs w:val="22"/>
        </w:rPr>
        <w:fldChar w:fldCharType="begin">
          <w:fldData xml:space="preserve">PEVuZE5vdGU+PENpdGU+PEF1dGhvcj5EaWVkcmljaHNlbjwvQXV0aG9yPjxZZWFyPjIwMTE8L1ll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</w:fldData>
        </w:fldChar>
      </w:r>
      <w:r w:rsidRPr="0017494F">
        <w:rPr>
          <w:sz w:val="22"/>
          <w:szCs w:val="22"/>
        </w:rPr>
        <w:instrText xml:space="preserve"> ADDIN EN.CITE.DATA </w:instrText>
      </w:r>
      <w:r w:rsidRPr="0017494F">
        <w:rPr>
          <w:sz w:val="22"/>
          <w:szCs w:val="22"/>
        </w:rPr>
      </w:r>
      <w:r w:rsidRPr="0017494F">
        <w:rPr>
          <w:sz w:val="22"/>
          <w:szCs w:val="22"/>
        </w:rPr>
        <w:fldChar w:fldCharType="end"/>
      </w:r>
      <w:r w:rsidRPr="0017494F">
        <w:rPr>
          <w:sz w:val="22"/>
          <w:szCs w:val="22"/>
        </w:rPr>
      </w:r>
      <w:r w:rsidRPr="0017494F">
        <w:rPr>
          <w:sz w:val="22"/>
          <w:szCs w:val="22"/>
        </w:rPr>
        <w:fldChar w:fldCharType="separate"/>
      </w:r>
      <w:r w:rsidRPr="0017494F">
        <w:rPr>
          <w:noProof/>
          <w:sz w:val="22"/>
          <w:szCs w:val="22"/>
          <w:vertAlign w:val="superscript"/>
        </w:rPr>
        <w:t>42</w:t>
      </w:r>
      <w:r w:rsidRPr="0017494F">
        <w:rPr>
          <w:sz w:val="22"/>
          <w:szCs w:val="22"/>
        </w:rPr>
        <w:fldChar w:fldCharType="end"/>
      </w:r>
      <w:r w:rsidRPr="0017494F">
        <w:rPr>
          <w:sz w:val="22"/>
          <w:szCs w:val="22"/>
        </w:rPr>
        <w:t xml:space="preserve"> (http://www.diedrichsenlab.org/imaging/suit.htm) and the cerebellar grey matter label from FreeSurfer (aparc+aseg.mgz)</w:t>
      </w:r>
      <w:r w:rsidRPr="0017494F">
        <w:rPr>
          <w:sz w:val="22"/>
          <w:szCs w:val="22"/>
        </w:rPr>
        <w:fldChar w:fldCharType="begin"/>
      </w:r>
      <w:r w:rsidRPr="0017494F">
        <w:rPr>
          <w:sz w:val="22"/>
          <w:szCs w:val="22"/>
        </w:rPr>
        <w:instrText xml:space="preserve"> ADDIN EN.CITE &lt;EndNote&gt;&lt;Cite&gt;&lt;Author&gt;Fischl&lt;/Author&gt;&lt;Year&gt;2002&lt;/Year&gt;&lt;RecNum&gt;14&lt;/RecNum&gt;&lt;DisplayText&gt;&lt;style face="superscript"&gt;36&lt;/style&gt;&lt;/DisplayText&gt;&lt;record&gt;&lt;rec-number&gt;14&lt;/rec-number&gt;&lt;foreign-keys&gt;&lt;key app="EN" db-id="vwxsp99az5epxferw28xwwt6xt29z2ddrrfe" timestamp="1522768791"&gt;14&lt;/key&gt;&lt;/foreign-keys&gt;&lt;ref-type name="Journal Article"&gt;17&lt;/ref-type&gt;&lt;contributors&gt;&lt;authors&gt;&lt;author&gt;Fischl, B.&lt;/author&gt;&lt;author&gt;Salat, D. H.&lt;/author&gt;&lt;author&gt;Busa, E.&lt;/author&gt;&lt;author&gt;Albert, M.&lt;/author&gt;&lt;author&gt;Dieterich, M.&lt;/author&gt;&lt;author&gt;Haselgrove, C.&lt;/author&gt;&lt;author&gt;van der Kouwe, A.&lt;/author&gt;&lt;author&gt;Killiany, R.&lt;/author&gt;&lt;author&gt;Kennedy, D.&lt;/author&gt;&lt;author&gt;Klaveness, S.&lt;/author&gt;&lt;author&gt;Montillo, A.&lt;/author&gt;&lt;author&gt;Makris, N.&lt;/author&gt;&lt;author&gt;Rosen, B.&lt;/author&gt;&lt;author&gt;Dale, A. M.&lt;/author&gt;&lt;/authors&gt;&lt;/contributors&gt;&lt;auth-address&gt;Massachusetts General Hospital, Nuclear Magnetic Resonance Center, Rm. 2328, Building 149, 13th Street, Charlestown, MA 02129, USA.&lt;/auth-address&gt;&lt;titles&gt;&lt;title&gt;Whole brain segmentation: automated labeling of neuroanatomical structures in the human brain&lt;/title&gt;&lt;secondary-title&gt;Neuron&lt;/secondary-title&gt;&lt;/titles&gt;&lt;periodical&gt;&lt;full-title&gt;Neuron&lt;/full-title&gt;&lt;/periodical&gt;&lt;pages&gt;341-55&lt;/pages&gt;&lt;volume&gt;33&lt;/volume&gt;&lt;number&gt;3&lt;/number&gt;&lt;keywords&gt;&lt;keyword&gt;Aged&lt;/keyword&gt;&lt;keyword&gt;Alzheimer Disease/diagnosis/pathology&lt;/keyword&gt;&lt;keyword&gt;Brain/*anatomy &amp;amp; histology/pathology&lt;/keyword&gt;&lt;keyword&gt;Brain Mapping&lt;/keyword&gt;&lt;keyword&gt;Female&lt;/keyword&gt;&lt;keyword&gt;Humans&lt;/keyword&gt;&lt;keyword&gt;Magnetic Resonance Imaging/*methods&lt;/keyword&gt;&lt;keyword&gt;Male&lt;/keyword&gt;&lt;keyword&gt;Reproducibility of Results&lt;/keyword&gt;&lt;/keywords&gt;&lt;dates&gt;&lt;year&gt;2002&lt;/year&gt;&lt;pub-dates&gt;&lt;date&gt;Jan 31&lt;/date&gt;&lt;/pub-dates&gt;&lt;/dates&gt;&lt;isbn&gt;0896-6273 (Print)&amp;#xD;0896-6273 (Linking)&lt;/isbn&gt;&lt;accession-num&gt;11832223&lt;/accession-num&gt;&lt;urls&gt;&lt;related-urls&gt;&lt;url&gt;http://www.ncbi.nlm.nih.gov/pubmed/11832223&lt;/url&gt;&lt;/related-urls&gt;&lt;/urls&gt;&lt;/record&gt;&lt;/Cite&gt;&lt;/EndNote&gt;</w:instrText>
      </w:r>
      <w:r w:rsidRPr="0017494F">
        <w:rPr>
          <w:sz w:val="22"/>
          <w:szCs w:val="22"/>
        </w:rPr>
        <w:fldChar w:fldCharType="separate"/>
      </w:r>
      <w:r w:rsidRPr="0017494F">
        <w:rPr>
          <w:noProof/>
          <w:sz w:val="22"/>
          <w:szCs w:val="22"/>
          <w:vertAlign w:val="superscript"/>
        </w:rPr>
        <w:t>36</w:t>
      </w:r>
      <w:r w:rsidRPr="0017494F">
        <w:rPr>
          <w:sz w:val="22"/>
          <w:szCs w:val="22"/>
        </w:rPr>
        <w:fldChar w:fldCharType="end"/>
      </w:r>
      <w:r w:rsidRPr="0017494F">
        <w:rPr>
          <w:sz w:val="22"/>
          <w:szCs w:val="22"/>
        </w:rPr>
        <w:t xml:space="preserve">. Specifically, SUIT was used to segment the cerebellum and brainstem, and the SUIT template was registered to the MPRAGE using the nonlinear registration algorithm in the ANTs toolkit. The inferior cerebellar ROI (indices 6, 8-28, 33, and 34) was then transformed to the subject space using nearest neighbor interpolation. The inferior cerebellar grey matter ROI was defined </w:t>
      </w:r>
      <w:r w:rsidR="007E4290">
        <w:rPr>
          <w:sz w:val="22"/>
          <w:szCs w:val="22"/>
        </w:rPr>
        <w:t xml:space="preserve">as </w:t>
      </w:r>
      <w:r w:rsidRPr="0017494F">
        <w:rPr>
          <w:sz w:val="22"/>
          <w:szCs w:val="22"/>
        </w:rPr>
        <w:t xml:space="preserve">voxels labeled both as cerebellar grey matter via FreeSurfer and inferior cerebellum via SUIT. SUVr images were calculated as the uptake at each voxel divided by the mean uptake within the inferior cerebellar grey matter </w:t>
      </w:r>
      <w:r w:rsidRPr="0017494F">
        <w:rPr>
          <w:sz w:val="22"/>
          <w:szCs w:val="22"/>
        </w:rPr>
        <w:lastRenderedPageBreak/>
        <w:t>ROI. For the analysis, average SUVr values were computed in the hippocampus, caudate nucleus, thalamus, putamen, amygdala, precuneus, anterior cingulate cortex, posterior cingulate cortex, and pallidum, as well as the frontal, parietal, and temporal lobes.</w:t>
      </w:r>
      <w:r w:rsidRPr="00867D8F">
        <w:rPr>
          <w:sz w:val="22"/>
          <w:szCs w:val="22"/>
        </w:rPr>
        <w:t xml:space="preserve"> </w:t>
      </w:r>
    </w:p>
    <w:p w:rsidR="00D95C6B" w:rsidRDefault="00D95C6B" w:rsidP="00D95C6B">
      <w:pPr>
        <w:spacing w:line="480" w:lineRule="auto"/>
        <w:jc w:val="both"/>
        <w:rPr>
          <w:b/>
          <w:sz w:val="22"/>
          <w:szCs w:val="22"/>
        </w:rPr>
      </w:pPr>
    </w:p>
    <w:p w:rsidR="00D95C6B" w:rsidRPr="00711D1C" w:rsidRDefault="00D95C6B" w:rsidP="00D95C6B">
      <w:pPr>
        <w:spacing w:line="480" w:lineRule="auto"/>
        <w:jc w:val="both"/>
        <w:rPr>
          <w:b/>
          <w:sz w:val="22"/>
          <w:szCs w:val="22"/>
        </w:rPr>
      </w:pPr>
      <w:r w:rsidRPr="00711D1C">
        <w:rPr>
          <w:b/>
          <w:sz w:val="22"/>
          <w:szCs w:val="22"/>
        </w:rPr>
        <w:t>Supplementa</w:t>
      </w:r>
      <w:r>
        <w:rPr>
          <w:b/>
          <w:sz w:val="22"/>
          <w:szCs w:val="22"/>
        </w:rPr>
        <w:t>ry</w:t>
      </w:r>
      <w:r w:rsidRPr="00711D1C">
        <w:rPr>
          <w:b/>
          <w:sz w:val="22"/>
          <w:szCs w:val="22"/>
        </w:rPr>
        <w:t xml:space="preserve"> Figure Legends</w:t>
      </w:r>
    </w:p>
    <w:p w:rsidR="00D95C6B" w:rsidRPr="00711D1C" w:rsidRDefault="00D95C6B" w:rsidP="00D95C6B">
      <w:pPr>
        <w:spacing w:line="480" w:lineRule="auto"/>
        <w:jc w:val="both"/>
        <w:rPr>
          <w:b/>
          <w:sz w:val="22"/>
          <w:szCs w:val="22"/>
        </w:rPr>
      </w:pPr>
      <w:r w:rsidRPr="00711D1C">
        <w:rPr>
          <w:b/>
          <w:sz w:val="22"/>
          <w:szCs w:val="22"/>
        </w:rPr>
        <w:t>Supplementa</w:t>
      </w:r>
      <w:r>
        <w:rPr>
          <w:b/>
          <w:sz w:val="22"/>
          <w:szCs w:val="22"/>
        </w:rPr>
        <w:t>ry</w:t>
      </w:r>
      <w:r w:rsidRPr="00711D1C">
        <w:rPr>
          <w:b/>
          <w:sz w:val="22"/>
          <w:szCs w:val="22"/>
        </w:rPr>
        <w:t xml:space="preserve"> Figure 1</w:t>
      </w:r>
    </w:p>
    <w:p w:rsidR="00D95C6B" w:rsidRPr="00711D1C" w:rsidRDefault="00D95C6B" w:rsidP="00D95C6B">
      <w:pPr>
        <w:spacing w:line="480" w:lineRule="auto"/>
        <w:jc w:val="both"/>
        <w:rPr>
          <w:sz w:val="22"/>
          <w:szCs w:val="22"/>
        </w:rPr>
      </w:pPr>
      <w:r w:rsidRPr="00711D1C">
        <w:rPr>
          <w:sz w:val="22"/>
          <w:szCs w:val="22"/>
        </w:rPr>
        <w:t xml:space="preserve">Validation of increased </w:t>
      </w:r>
      <w:r w:rsidR="007E4290">
        <w:rPr>
          <w:sz w:val="22"/>
          <w:szCs w:val="22"/>
        </w:rPr>
        <w:t>t</w:t>
      </w:r>
      <w:r w:rsidR="007E4290" w:rsidRPr="00711D1C">
        <w:rPr>
          <w:sz w:val="22"/>
          <w:szCs w:val="22"/>
        </w:rPr>
        <w:t xml:space="preserve">au </w:t>
      </w:r>
      <w:r w:rsidRPr="00711D1C">
        <w:rPr>
          <w:sz w:val="22"/>
          <w:szCs w:val="22"/>
        </w:rPr>
        <w:t xml:space="preserve">phosphorylation at Thr181 in the anterior cortex in rats 6 weeks following the last blast exposure (n=4 for controls and 5 for blast-exposed). The blots were probed using a rabbit monoclonal antibody from Cell Signaling (a) or a rabbit oligoclonal antibody from ThermoFisher (b) both recognizing pThr181-tau. Levels of p-tau are expressed as the ratio of p-tau to total tau. Error bars indicate </w:t>
      </w:r>
      <w:r>
        <w:rPr>
          <w:sz w:val="22"/>
          <w:szCs w:val="22"/>
        </w:rPr>
        <w:t>SD</w:t>
      </w:r>
      <w:r w:rsidRPr="00711D1C">
        <w:rPr>
          <w:sz w:val="22"/>
          <w:szCs w:val="22"/>
        </w:rPr>
        <w:t xml:space="preserve"> (*</w:t>
      </w:r>
      <w:r>
        <w:rPr>
          <w:sz w:val="22"/>
          <w:szCs w:val="22"/>
        </w:rPr>
        <w:t>p</w:t>
      </w:r>
      <w:r w:rsidRPr="00711D1C">
        <w:rPr>
          <w:sz w:val="22"/>
          <w:szCs w:val="22"/>
        </w:rPr>
        <w:t>&lt;0.05, **p&lt;0.01 vs. controls, unpaired t-tests). As shown in Fig.1b increased tau phosphorylation at Thr181 was detected in the right anterior cortex only. Size markers (kD) are indicated by arrows next to each panel. p-tau blots were reprobed for total tau.</w:t>
      </w: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i/>
          <w:sz w:val="22"/>
          <w:szCs w:val="22"/>
        </w:rPr>
      </w:pP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2</w:t>
      </w:r>
      <w:r w:rsidRPr="00711D1C">
        <w:rPr>
          <w:sz w:val="22"/>
          <w:szCs w:val="22"/>
        </w:rPr>
        <w:t xml:space="preserve"> </w:t>
      </w:r>
    </w:p>
    <w:p w:rsidR="00D95C6B" w:rsidRPr="00711D1C" w:rsidRDefault="00D95C6B" w:rsidP="00D95C6B">
      <w:pPr>
        <w:spacing w:line="480" w:lineRule="auto"/>
        <w:jc w:val="both"/>
        <w:rPr>
          <w:sz w:val="22"/>
          <w:szCs w:val="22"/>
        </w:rPr>
      </w:pPr>
      <w:r w:rsidRPr="00711D1C">
        <w:rPr>
          <w:sz w:val="22"/>
          <w:szCs w:val="22"/>
        </w:rPr>
        <w:t>Tau phosphorylation in the posterior cortex and amygdala at 10 months following the last blast exposure (n=5 per group). Blotting was performed with the AT270 antibody as described in Fig. 1. Levels of p-tau are expressed as the ratio of p-tau to total tau. No difference in pThr181-tau or total tau levels was found in these regions.  Size markers (kD) are indicated by arrows next to each panel. p-tau blots were sequentially reprobed for total tau followed by GAPDH.</w:t>
      </w: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3</w:t>
      </w:r>
      <w:r w:rsidRPr="00711D1C">
        <w:rPr>
          <w:sz w:val="22"/>
          <w:szCs w:val="22"/>
        </w:rPr>
        <w:t xml:space="preserve"> </w:t>
      </w:r>
    </w:p>
    <w:p w:rsidR="00D95C6B" w:rsidRPr="00711D1C" w:rsidRDefault="00D95C6B" w:rsidP="00D95C6B">
      <w:pPr>
        <w:spacing w:line="480" w:lineRule="auto"/>
        <w:jc w:val="both"/>
        <w:rPr>
          <w:sz w:val="22"/>
          <w:szCs w:val="22"/>
        </w:rPr>
      </w:pPr>
      <w:r w:rsidRPr="00711D1C">
        <w:rPr>
          <w:sz w:val="22"/>
          <w:szCs w:val="22"/>
        </w:rPr>
        <w:t xml:space="preserve">Tau phosphorylation in the hippocampus and anterior cortex in rats 12 months following the last blast exposure (n=8 for control and 9 for blast-exposed). Blotting was performed with AT270 antibody (pThr181) as described in Fig. 1. Levels of p-tau are expressed as the ratio of p-tau to total tau. Total tau levels were normalized to GAPDH. Tau phosphorylation at Thr181 was elevated in the right hippocampus and right </w:t>
      </w:r>
      <w:r w:rsidRPr="00711D1C">
        <w:rPr>
          <w:sz w:val="22"/>
          <w:szCs w:val="22"/>
        </w:rPr>
        <w:lastRenderedPageBreak/>
        <w:t xml:space="preserve">anterior cortex following blast injury. A decrease in total tau was observed the left hippocampus and p-tau was decreased in the left anterior cortex. Error bars indicate </w:t>
      </w:r>
      <w:r>
        <w:rPr>
          <w:sz w:val="22"/>
          <w:szCs w:val="22"/>
        </w:rPr>
        <w:t>SD</w:t>
      </w:r>
      <w:r w:rsidRPr="00711D1C">
        <w:rPr>
          <w:sz w:val="22"/>
          <w:szCs w:val="22"/>
        </w:rPr>
        <w:t xml:space="preserve"> (*</w:t>
      </w:r>
      <w:r w:rsidR="007E4290">
        <w:rPr>
          <w:sz w:val="22"/>
          <w:szCs w:val="22"/>
        </w:rPr>
        <w:t xml:space="preserve"> p</w:t>
      </w:r>
      <w:r w:rsidRPr="00711D1C">
        <w:rPr>
          <w:sz w:val="22"/>
          <w:szCs w:val="22"/>
        </w:rPr>
        <w:t>&lt; 0.05, **p&lt;0.01 vs. controls, unpaired t-tests). Size markers (kD) are indicated by arrows next to each panel. p-tau blots were sequentially reprobed for total tau followed by GAPDH.</w:t>
      </w:r>
    </w:p>
    <w:p w:rsidR="00D95C6B" w:rsidRPr="00711D1C" w:rsidRDefault="00D95C6B" w:rsidP="00D95C6B">
      <w:pPr>
        <w:spacing w:line="480" w:lineRule="auto"/>
        <w:jc w:val="both"/>
        <w:rPr>
          <w:sz w:val="22"/>
          <w:szCs w:val="22"/>
        </w:rPr>
      </w:pPr>
    </w:p>
    <w:p w:rsidR="00D95C6B" w:rsidRPr="00711D1C" w:rsidRDefault="00D95C6B" w:rsidP="00D95C6B">
      <w:pPr>
        <w:spacing w:line="480" w:lineRule="auto"/>
        <w:jc w:val="both"/>
        <w:rPr>
          <w:b/>
          <w:sz w:val="22"/>
          <w:szCs w:val="22"/>
        </w:rPr>
      </w:pPr>
      <w:r w:rsidRPr="00711D1C">
        <w:rPr>
          <w:b/>
          <w:sz w:val="22"/>
          <w:szCs w:val="22"/>
        </w:rPr>
        <w:t>Supplementa</w:t>
      </w:r>
      <w:r>
        <w:rPr>
          <w:b/>
          <w:sz w:val="22"/>
          <w:szCs w:val="22"/>
        </w:rPr>
        <w:t>ry</w:t>
      </w:r>
      <w:r w:rsidRPr="00711D1C">
        <w:rPr>
          <w:b/>
          <w:sz w:val="22"/>
          <w:szCs w:val="22"/>
        </w:rPr>
        <w:t xml:space="preserve"> Figure 4</w:t>
      </w:r>
    </w:p>
    <w:p w:rsidR="00D95C6B" w:rsidRPr="00711D1C" w:rsidRDefault="00D95C6B" w:rsidP="00D95C6B">
      <w:pPr>
        <w:spacing w:line="480" w:lineRule="auto"/>
        <w:jc w:val="both"/>
        <w:rPr>
          <w:sz w:val="22"/>
          <w:szCs w:val="22"/>
        </w:rPr>
      </w:pPr>
      <w:r w:rsidRPr="00711D1C">
        <w:rPr>
          <w:sz w:val="22"/>
          <w:szCs w:val="22"/>
        </w:rPr>
        <w:t xml:space="preserve">Tau phosphorylation in the anterior cortex in rats 10 months following the last blast exposure (n=5 per group). Blotting was performed with the p-tau antibody CP13 (pSer202) as described in Fig. 1. Levels of p-tau are expressed as the ratio of p-tau to total tau. Error bars indicate </w:t>
      </w:r>
      <w:r>
        <w:rPr>
          <w:sz w:val="22"/>
          <w:szCs w:val="22"/>
        </w:rPr>
        <w:t>SD</w:t>
      </w:r>
      <w:r w:rsidRPr="00711D1C">
        <w:rPr>
          <w:sz w:val="22"/>
          <w:szCs w:val="22"/>
        </w:rPr>
        <w:t xml:space="preserve"> (**p&lt;0.01 vs. controls, unpaired t-tests). Size markers (kD) are indicated by arrows next to each panel. p-tau blots were reprobed for total tau.</w:t>
      </w:r>
    </w:p>
    <w:p w:rsidR="00D95C6B" w:rsidRPr="00711D1C" w:rsidRDefault="00D95C6B" w:rsidP="00D95C6B">
      <w:pPr>
        <w:spacing w:line="480" w:lineRule="auto"/>
        <w:jc w:val="both"/>
        <w:rPr>
          <w:sz w:val="22"/>
          <w:szCs w:val="22"/>
        </w:rPr>
      </w:pPr>
    </w:p>
    <w:p w:rsidR="00D95C6B" w:rsidRPr="00711D1C" w:rsidRDefault="00D95C6B" w:rsidP="00D95C6B">
      <w:pPr>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5</w:t>
      </w:r>
    </w:p>
    <w:p w:rsidR="00D95C6B" w:rsidRPr="00711D1C" w:rsidRDefault="00D95C6B" w:rsidP="00D95C6B">
      <w:pPr>
        <w:spacing w:line="480" w:lineRule="auto"/>
        <w:jc w:val="both"/>
        <w:rPr>
          <w:sz w:val="22"/>
          <w:szCs w:val="22"/>
        </w:rPr>
      </w:pPr>
      <w:r w:rsidRPr="00711D1C">
        <w:rPr>
          <w:sz w:val="22"/>
          <w:szCs w:val="22"/>
        </w:rPr>
        <w:t>Tau phosphorylation in the anterior cortex in rats 10 months following the last blast exposure (n= 5 per group). Blotting was performed with a rabbit oligoclonal antibody to pThr231 as described in Fig. 1. Levels of p-tau are expressed as the ratio of p-tau to total tau. Size markers (kD) are indicated by arrows next to each panel. p-tau blots were reprobed for total tau.</w:t>
      </w:r>
    </w:p>
    <w:p w:rsidR="00D95C6B" w:rsidRPr="00711D1C" w:rsidRDefault="00D95C6B" w:rsidP="00D95C6B">
      <w:pPr>
        <w:spacing w:line="480" w:lineRule="auto"/>
        <w:jc w:val="both"/>
        <w:rPr>
          <w:b/>
          <w:sz w:val="22"/>
          <w:szCs w:val="22"/>
        </w:rPr>
      </w:pP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6</w:t>
      </w:r>
    </w:p>
    <w:p w:rsidR="00D95C6B" w:rsidRPr="00711D1C" w:rsidRDefault="00D95C6B" w:rsidP="00D95C6B">
      <w:pPr>
        <w:spacing w:line="480" w:lineRule="auto"/>
        <w:jc w:val="both"/>
        <w:rPr>
          <w:sz w:val="22"/>
          <w:szCs w:val="22"/>
        </w:rPr>
      </w:pPr>
      <w:r w:rsidRPr="00711D1C">
        <w:rPr>
          <w:sz w:val="22"/>
          <w:szCs w:val="22"/>
        </w:rPr>
        <w:t>Tau phosphorylation in the anterior cortex in rats 10 months following the last blast exposure (n=5 per group). Blotting was performed with the mouse monoclonal antibody PHF13 as described in Fig. 1. Levels of p-tau are expressed as the ratio of p-tau to total tau. Size markers (kD) are indicated by arrows next to each panel. p-tau blots were reprobed for total tau.</w:t>
      </w: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p>
    <w:p w:rsidR="00CB0863" w:rsidRDefault="00CB0863" w:rsidP="00D95C6B">
      <w:pPr>
        <w:jc w:val="both"/>
        <w:rPr>
          <w:b/>
          <w:sz w:val="22"/>
          <w:szCs w:val="22"/>
        </w:rPr>
      </w:pPr>
    </w:p>
    <w:p w:rsidR="00CB0863" w:rsidRDefault="00CB0863" w:rsidP="00D95C6B">
      <w:pPr>
        <w:jc w:val="both"/>
        <w:rPr>
          <w:b/>
          <w:sz w:val="22"/>
          <w:szCs w:val="22"/>
        </w:rPr>
      </w:pPr>
    </w:p>
    <w:p w:rsidR="00CB0863" w:rsidRDefault="00CB0863" w:rsidP="00D95C6B">
      <w:pPr>
        <w:jc w:val="both"/>
        <w:rPr>
          <w:b/>
          <w:sz w:val="22"/>
          <w:szCs w:val="22"/>
        </w:rPr>
      </w:pPr>
    </w:p>
    <w:p w:rsidR="00D95C6B" w:rsidRPr="00711D1C" w:rsidRDefault="00D95C6B" w:rsidP="00D95C6B">
      <w:pPr>
        <w:jc w:val="both"/>
        <w:rPr>
          <w:b/>
          <w:sz w:val="22"/>
          <w:szCs w:val="22"/>
        </w:rPr>
      </w:pPr>
      <w:r w:rsidRPr="00711D1C">
        <w:rPr>
          <w:b/>
          <w:sz w:val="22"/>
          <w:szCs w:val="22"/>
        </w:rPr>
        <w:lastRenderedPageBreak/>
        <w:t>Supplementa</w:t>
      </w:r>
      <w:r w:rsidR="00D179E3">
        <w:rPr>
          <w:b/>
          <w:sz w:val="22"/>
          <w:szCs w:val="22"/>
        </w:rPr>
        <w:t>ry</w:t>
      </w:r>
      <w:r w:rsidRPr="00711D1C">
        <w:rPr>
          <w:b/>
          <w:sz w:val="22"/>
          <w:szCs w:val="22"/>
        </w:rPr>
        <w:t xml:space="preserve"> Figure 7</w:t>
      </w:r>
    </w:p>
    <w:p w:rsidR="00D95C6B" w:rsidRPr="00711D1C" w:rsidRDefault="00D95C6B" w:rsidP="00D95C6B">
      <w:pPr>
        <w:jc w:val="both"/>
        <w:rPr>
          <w:sz w:val="22"/>
          <w:szCs w:val="22"/>
        </w:rPr>
      </w:pPr>
    </w:p>
    <w:p w:rsidR="00D95C6B" w:rsidRPr="00711D1C" w:rsidRDefault="00D95C6B" w:rsidP="00D95C6B">
      <w:pPr>
        <w:spacing w:line="480" w:lineRule="auto"/>
        <w:jc w:val="both"/>
        <w:rPr>
          <w:sz w:val="22"/>
          <w:szCs w:val="22"/>
        </w:rPr>
      </w:pPr>
      <w:r w:rsidRPr="00711D1C">
        <w:rPr>
          <w:sz w:val="22"/>
          <w:szCs w:val="22"/>
        </w:rPr>
        <w:t>Tau phosphorylation in the anterior cortex in rats 10 months following the last blast exposure (n=5 per group). Blotting was performed with an antibody against pSer404 as described in Fig. 1. Levels of p-tau are expressed as the ratio of p-tau to total tau. Size markers (kD) are indicated by arrows next to each panel. p-tau blots were reprobed for total tau.</w:t>
      </w: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p>
    <w:p w:rsidR="00D95C6B" w:rsidRPr="00711D1C" w:rsidRDefault="00D95C6B" w:rsidP="00D95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8</w:t>
      </w: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r w:rsidRPr="00711D1C">
        <w:rPr>
          <w:rFonts w:ascii="Times New Roman" w:hAnsi="Times New Roman"/>
          <w:sz w:val="22"/>
          <w:szCs w:val="22"/>
        </w:rPr>
        <w:t xml:space="preserve">Increased p-tau immunostaining in the anterior cortex of blast-exposed rats at 10 months post-blast. Sections from the anterior cortex including the primary motor and sensory/motor forelimb regions of blast exposed </w:t>
      </w:r>
      <w:r w:rsidRPr="007E4290">
        <w:rPr>
          <w:rFonts w:ascii="Times New Roman" w:hAnsi="Times New Roman"/>
          <w:sz w:val="22"/>
          <w:szCs w:val="22"/>
        </w:rPr>
        <w:t>(</w:t>
      </w:r>
      <w:r w:rsidRPr="004F3294">
        <w:rPr>
          <w:rFonts w:ascii="Times New Roman" w:hAnsi="Times New Roman"/>
          <w:sz w:val="22"/>
          <w:szCs w:val="22"/>
        </w:rPr>
        <w:t>a</w:t>
      </w:r>
      <w:r w:rsidRPr="007E4290">
        <w:rPr>
          <w:rFonts w:ascii="Times New Roman" w:hAnsi="Times New Roman"/>
          <w:sz w:val="22"/>
          <w:szCs w:val="22"/>
        </w:rPr>
        <w:t xml:space="preserve">, </w:t>
      </w:r>
      <w:r w:rsidRPr="004F3294">
        <w:rPr>
          <w:rFonts w:ascii="Times New Roman" w:hAnsi="Times New Roman"/>
          <w:sz w:val="22"/>
          <w:szCs w:val="22"/>
        </w:rPr>
        <w:t>b, c</w:t>
      </w:r>
      <w:r w:rsidRPr="007E4290">
        <w:rPr>
          <w:rFonts w:ascii="Times New Roman" w:hAnsi="Times New Roman"/>
          <w:sz w:val="22"/>
          <w:szCs w:val="22"/>
        </w:rPr>
        <w:t>)</w:t>
      </w:r>
      <w:r w:rsidRPr="00711D1C">
        <w:rPr>
          <w:rFonts w:ascii="Times New Roman" w:hAnsi="Times New Roman"/>
          <w:b/>
          <w:sz w:val="22"/>
          <w:szCs w:val="22"/>
        </w:rPr>
        <w:t xml:space="preserve"> </w:t>
      </w:r>
      <w:r w:rsidRPr="00711D1C">
        <w:rPr>
          <w:rFonts w:ascii="Times New Roman" w:hAnsi="Times New Roman"/>
          <w:sz w:val="22"/>
          <w:szCs w:val="22"/>
        </w:rPr>
        <w:t xml:space="preserve">and control </w:t>
      </w:r>
      <w:r w:rsidRPr="007E4290">
        <w:rPr>
          <w:rFonts w:ascii="Times New Roman" w:hAnsi="Times New Roman"/>
          <w:sz w:val="22"/>
          <w:szCs w:val="22"/>
        </w:rPr>
        <w:t>(</w:t>
      </w:r>
      <w:r w:rsidRPr="004F3294">
        <w:rPr>
          <w:rFonts w:ascii="Times New Roman" w:hAnsi="Times New Roman"/>
          <w:sz w:val="22"/>
          <w:szCs w:val="22"/>
        </w:rPr>
        <w:t>d, e, f</w:t>
      </w:r>
      <w:r w:rsidRPr="007E4290">
        <w:rPr>
          <w:rFonts w:ascii="Times New Roman" w:hAnsi="Times New Roman"/>
          <w:sz w:val="22"/>
          <w:szCs w:val="22"/>
        </w:rPr>
        <w:t xml:space="preserve">) </w:t>
      </w:r>
      <w:r w:rsidRPr="00711D1C">
        <w:rPr>
          <w:rFonts w:ascii="Times New Roman" w:hAnsi="Times New Roman"/>
          <w:sz w:val="22"/>
          <w:szCs w:val="22"/>
        </w:rPr>
        <w:t>were</w:t>
      </w:r>
      <w:r w:rsidRPr="00711D1C">
        <w:rPr>
          <w:rFonts w:ascii="Times New Roman" w:hAnsi="Times New Roman"/>
          <w:b/>
          <w:sz w:val="22"/>
          <w:szCs w:val="22"/>
        </w:rPr>
        <w:t xml:space="preserve"> </w:t>
      </w:r>
      <w:r w:rsidRPr="00711D1C">
        <w:rPr>
          <w:rFonts w:ascii="Times New Roman" w:hAnsi="Times New Roman"/>
          <w:sz w:val="22"/>
          <w:szCs w:val="22"/>
        </w:rPr>
        <w:t xml:space="preserve">immunostained with the anti-phospho tau antibody A270 (a, c, d, f) and counterstained with a DAPI nuclear stain (b, e). Rat cortical layers I-III are indicated in panel (b). Note the increased A270 staining in layers I to III indicated by arrows in the blast-exposed animal. Panels (c) and (f) show higher power images of the staining in layers I and II. Scale bar: 100 </w:t>
      </w:r>
      <w:r w:rsidRPr="00711D1C">
        <w:rPr>
          <w:rFonts w:ascii="Symbol" w:hAnsi="Symbol"/>
          <w:sz w:val="22"/>
          <w:szCs w:val="22"/>
        </w:rPr>
        <w:t></w:t>
      </w:r>
      <w:r w:rsidRPr="00711D1C">
        <w:rPr>
          <w:rFonts w:ascii="Times New Roman" w:hAnsi="Times New Roman"/>
          <w:sz w:val="22"/>
          <w:szCs w:val="22"/>
        </w:rPr>
        <w:t xml:space="preserve">m for a, b, d and e; 50 </w:t>
      </w:r>
      <w:r w:rsidRPr="00711D1C">
        <w:rPr>
          <w:rFonts w:ascii="Symbol" w:hAnsi="Symbol"/>
          <w:sz w:val="22"/>
          <w:szCs w:val="22"/>
        </w:rPr>
        <w:t></w:t>
      </w:r>
      <w:r w:rsidRPr="00711D1C">
        <w:rPr>
          <w:rFonts w:ascii="Times New Roman" w:hAnsi="Times New Roman"/>
          <w:sz w:val="22"/>
          <w:szCs w:val="22"/>
        </w:rPr>
        <w:t xml:space="preserve">m for c and f.  </w:t>
      </w: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b/>
          <w:sz w:val="22"/>
          <w:szCs w:val="22"/>
        </w:rPr>
      </w:pPr>
      <w:r w:rsidRPr="00711D1C">
        <w:rPr>
          <w:rFonts w:ascii="Times New Roman" w:hAnsi="Times New Roman"/>
          <w:b/>
          <w:sz w:val="22"/>
          <w:szCs w:val="22"/>
        </w:rPr>
        <w:t>Supplementa</w:t>
      </w:r>
      <w:r>
        <w:rPr>
          <w:rFonts w:ascii="Times New Roman" w:hAnsi="Times New Roman"/>
          <w:b/>
          <w:sz w:val="22"/>
          <w:szCs w:val="22"/>
        </w:rPr>
        <w:t>ry</w:t>
      </w:r>
      <w:r w:rsidRPr="00711D1C">
        <w:rPr>
          <w:rFonts w:ascii="Times New Roman" w:hAnsi="Times New Roman"/>
          <w:b/>
          <w:sz w:val="22"/>
          <w:szCs w:val="22"/>
        </w:rPr>
        <w:t xml:space="preserve"> Figure 9</w:t>
      </w:r>
    </w:p>
    <w:p w:rsidR="00D95C6B" w:rsidRPr="00711D1C" w:rsidRDefault="00D95C6B" w:rsidP="00D95C6B">
      <w:pPr>
        <w:spacing w:line="480" w:lineRule="auto"/>
        <w:jc w:val="both"/>
        <w:rPr>
          <w:sz w:val="22"/>
          <w:szCs w:val="22"/>
        </w:rPr>
      </w:pPr>
      <w:r w:rsidRPr="00711D1C">
        <w:rPr>
          <w:sz w:val="22"/>
          <w:szCs w:val="22"/>
        </w:rPr>
        <w:t xml:space="preserve">AT270 immunostaining in the hippocampus of a control </w:t>
      </w:r>
      <w:r w:rsidRPr="00711D1C">
        <w:rPr>
          <w:b/>
          <w:sz w:val="22"/>
          <w:szCs w:val="22"/>
        </w:rPr>
        <w:t>(</w:t>
      </w:r>
      <w:r w:rsidRPr="00711D1C">
        <w:rPr>
          <w:sz w:val="22"/>
          <w:szCs w:val="22"/>
        </w:rPr>
        <w:t>a</w:t>
      </w:r>
      <w:r w:rsidRPr="00711D1C">
        <w:rPr>
          <w:b/>
          <w:sz w:val="22"/>
          <w:szCs w:val="22"/>
        </w:rPr>
        <w:t>)</w:t>
      </w:r>
      <w:r w:rsidRPr="00711D1C">
        <w:rPr>
          <w:sz w:val="22"/>
          <w:szCs w:val="22"/>
        </w:rPr>
        <w:t xml:space="preserve"> and blast-exposed rat </w:t>
      </w:r>
      <w:r w:rsidRPr="00711D1C">
        <w:rPr>
          <w:b/>
          <w:sz w:val="22"/>
          <w:szCs w:val="22"/>
        </w:rPr>
        <w:t>(</w:t>
      </w:r>
      <w:r w:rsidRPr="00711D1C">
        <w:rPr>
          <w:sz w:val="22"/>
          <w:szCs w:val="22"/>
        </w:rPr>
        <w:t>b</w:t>
      </w:r>
      <w:r w:rsidRPr="00711D1C">
        <w:rPr>
          <w:b/>
          <w:sz w:val="22"/>
          <w:szCs w:val="22"/>
        </w:rPr>
        <w:t xml:space="preserve">) </w:t>
      </w:r>
      <w:r w:rsidRPr="00711D1C">
        <w:rPr>
          <w:sz w:val="22"/>
          <w:szCs w:val="22"/>
        </w:rPr>
        <w:t xml:space="preserve">10 months following the last blast exposure. Note the increased immunostaining in the hilus (asterisks) of the dentate gyrus (DG) in the blast-exposed animal. Scale bar: 75 </w:t>
      </w:r>
      <w:r w:rsidRPr="00711D1C">
        <w:rPr>
          <w:rFonts w:ascii="Symbol" w:hAnsi="Symbol"/>
          <w:sz w:val="22"/>
          <w:szCs w:val="22"/>
        </w:rPr>
        <w:t></w:t>
      </w:r>
      <w:r w:rsidRPr="00711D1C">
        <w:rPr>
          <w:sz w:val="22"/>
          <w:szCs w:val="22"/>
        </w:rPr>
        <w:t>m.</w:t>
      </w:r>
    </w:p>
    <w:p w:rsidR="00D95C6B" w:rsidRPr="00711D1C" w:rsidRDefault="00D95C6B" w:rsidP="00D95C6B">
      <w:pPr>
        <w:jc w:val="both"/>
        <w:rPr>
          <w:b/>
          <w:sz w:val="22"/>
          <w:szCs w:val="22"/>
        </w:rPr>
      </w:pP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r w:rsidRPr="00711D1C">
        <w:rPr>
          <w:rFonts w:ascii="Times New Roman" w:hAnsi="Times New Roman"/>
          <w:b/>
          <w:sz w:val="22"/>
          <w:szCs w:val="22"/>
        </w:rPr>
        <w:t>Supplementa</w:t>
      </w:r>
      <w:r>
        <w:rPr>
          <w:rFonts w:ascii="Times New Roman" w:hAnsi="Times New Roman"/>
          <w:b/>
          <w:sz w:val="22"/>
          <w:szCs w:val="22"/>
        </w:rPr>
        <w:t>ry</w:t>
      </w:r>
      <w:r w:rsidRPr="00711D1C">
        <w:rPr>
          <w:rFonts w:ascii="Times New Roman" w:hAnsi="Times New Roman"/>
          <w:b/>
          <w:sz w:val="22"/>
          <w:szCs w:val="22"/>
        </w:rPr>
        <w:t xml:space="preserve"> Figure 10.</w:t>
      </w:r>
      <w:r w:rsidRPr="00711D1C">
        <w:rPr>
          <w:rFonts w:ascii="Times New Roman" w:hAnsi="Times New Roman"/>
          <w:sz w:val="22"/>
          <w:szCs w:val="22"/>
        </w:rPr>
        <w:t xml:space="preserve"> </w:t>
      </w: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r w:rsidRPr="00711D1C">
        <w:rPr>
          <w:rFonts w:ascii="Times New Roman" w:hAnsi="Times New Roman"/>
          <w:sz w:val="22"/>
          <w:szCs w:val="22"/>
        </w:rPr>
        <w:t>Perivascular p-tau in astroglial processes. Panels (a-f</w:t>
      </w:r>
      <w:r w:rsidRPr="00711D1C">
        <w:rPr>
          <w:rFonts w:ascii="Times New Roman" w:hAnsi="Times New Roman"/>
          <w:b/>
          <w:sz w:val="22"/>
          <w:szCs w:val="22"/>
        </w:rPr>
        <w:t>)</w:t>
      </w:r>
      <w:r w:rsidRPr="00711D1C">
        <w:rPr>
          <w:rFonts w:ascii="Times New Roman" w:hAnsi="Times New Roman"/>
          <w:sz w:val="22"/>
          <w:szCs w:val="22"/>
        </w:rPr>
        <w:t xml:space="preserve"> show thalamic vessels from control (a-c) and blast-exposed rats (d-f) sacrificed 10 months after the last blast exposure immunostained with AT270 (green, a and d) and GFAP (red, b and e). Merged images are shown in panels </w:t>
      </w:r>
      <w:r w:rsidRPr="00711D1C">
        <w:rPr>
          <w:rFonts w:ascii="Times New Roman" w:hAnsi="Times New Roman"/>
          <w:b/>
          <w:sz w:val="22"/>
          <w:szCs w:val="22"/>
        </w:rPr>
        <w:t>(</w:t>
      </w:r>
      <w:r w:rsidRPr="00711D1C">
        <w:rPr>
          <w:rFonts w:ascii="Times New Roman" w:hAnsi="Times New Roman"/>
          <w:sz w:val="22"/>
          <w:szCs w:val="22"/>
        </w:rPr>
        <w:t>c) and (f</w:t>
      </w:r>
      <w:r w:rsidRPr="00711D1C">
        <w:rPr>
          <w:rFonts w:ascii="Times New Roman" w:hAnsi="Times New Roman"/>
          <w:b/>
          <w:sz w:val="22"/>
          <w:szCs w:val="22"/>
        </w:rPr>
        <w:t>)</w:t>
      </w:r>
      <w:r w:rsidRPr="00711D1C">
        <w:rPr>
          <w:rFonts w:ascii="Times New Roman" w:hAnsi="Times New Roman"/>
          <w:sz w:val="22"/>
          <w:szCs w:val="22"/>
        </w:rPr>
        <w:t>. Arrows in panel (f</w:t>
      </w:r>
      <w:r w:rsidRPr="00711D1C">
        <w:rPr>
          <w:rFonts w:ascii="Times New Roman" w:hAnsi="Times New Roman"/>
          <w:b/>
          <w:sz w:val="22"/>
          <w:szCs w:val="22"/>
        </w:rPr>
        <w:t>)</w:t>
      </w:r>
      <w:r w:rsidRPr="00711D1C">
        <w:rPr>
          <w:rFonts w:ascii="Times New Roman" w:hAnsi="Times New Roman"/>
          <w:sz w:val="22"/>
          <w:szCs w:val="22"/>
        </w:rPr>
        <w:t xml:space="preserve"> indicate p-tau staining in two smaller vessels. Scale bar for panels (a-f</w:t>
      </w:r>
      <w:r w:rsidRPr="00711D1C">
        <w:rPr>
          <w:rFonts w:ascii="Times New Roman" w:hAnsi="Times New Roman"/>
          <w:b/>
          <w:sz w:val="22"/>
          <w:szCs w:val="22"/>
        </w:rPr>
        <w:t xml:space="preserve">) </w:t>
      </w:r>
      <w:r w:rsidRPr="00711D1C">
        <w:rPr>
          <w:rFonts w:ascii="Times New Roman" w:hAnsi="Times New Roman"/>
          <w:sz w:val="22"/>
          <w:szCs w:val="22"/>
        </w:rPr>
        <w:t xml:space="preserve">is 25 </w:t>
      </w:r>
      <w:r w:rsidRPr="00711D1C">
        <w:rPr>
          <w:rFonts w:ascii="Symbol" w:hAnsi="Symbol"/>
          <w:sz w:val="22"/>
          <w:szCs w:val="22"/>
        </w:rPr>
        <w:t></w:t>
      </w:r>
      <w:r w:rsidRPr="00711D1C">
        <w:rPr>
          <w:rFonts w:ascii="Times New Roman" w:hAnsi="Times New Roman"/>
          <w:sz w:val="22"/>
          <w:szCs w:val="22"/>
        </w:rPr>
        <w:t xml:space="preserve">m. In panels </w:t>
      </w:r>
      <w:r w:rsidRPr="00711D1C">
        <w:rPr>
          <w:rFonts w:ascii="Times New Roman" w:hAnsi="Times New Roman"/>
          <w:b/>
          <w:sz w:val="22"/>
          <w:szCs w:val="22"/>
        </w:rPr>
        <w:t>(</w:t>
      </w:r>
      <w:r w:rsidRPr="00711D1C">
        <w:rPr>
          <w:rFonts w:ascii="Times New Roman" w:hAnsi="Times New Roman"/>
          <w:sz w:val="22"/>
          <w:szCs w:val="22"/>
        </w:rPr>
        <w:t>g-i</w:t>
      </w:r>
      <w:r w:rsidRPr="00711D1C">
        <w:rPr>
          <w:rFonts w:ascii="Times New Roman" w:hAnsi="Times New Roman"/>
          <w:b/>
          <w:sz w:val="22"/>
          <w:szCs w:val="22"/>
        </w:rPr>
        <w:t>)</w:t>
      </w:r>
      <w:r w:rsidRPr="00711D1C">
        <w:rPr>
          <w:rFonts w:ascii="Times New Roman" w:hAnsi="Times New Roman"/>
          <w:sz w:val="22"/>
          <w:szCs w:val="22"/>
        </w:rPr>
        <w:t xml:space="preserve"> perivascular tau staining with AT270 is shown in a blood vessel in the molecular layer of the hippocampus of a blast-</w:t>
      </w:r>
      <w:r w:rsidRPr="00711D1C">
        <w:rPr>
          <w:rFonts w:ascii="Times New Roman" w:hAnsi="Times New Roman"/>
          <w:sz w:val="22"/>
          <w:szCs w:val="22"/>
        </w:rPr>
        <w:lastRenderedPageBreak/>
        <w:t>exposed rat sacrificed 10 months after the last blast exposure. A vessel containing tau in GFAP immunostained processes and possibly other vascular elements is indicated by an arrow. An adjacent unaffected vessel is indicated by an arrowhead. Scale bar for panels (g-i)</w:t>
      </w:r>
      <w:r w:rsidRPr="00711D1C">
        <w:rPr>
          <w:rFonts w:ascii="Times New Roman" w:hAnsi="Times New Roman"/>
          <w:b/>
          <w:sz w:val="22"/>
          <w:szCs w:val="22"/>
        </w:rPr>
        <w:t xml:space="preserve"> </w:t>
      </w:r>
      <w:r w:rsidRPr="00711D1C">
        <w:rPr>
          <w:rFonts w:ascii="Times New Roman" w:hAnsi="Times New Roman"/>
          <w:sz w:val="22"/>
          <w:szCs w:val="22"/>
        </w:rPr>
        <w:t xml:space="preserve">is 25 </w:t>
      </w:r>
      <w:r w:rsidRPr="00711D1C">
        <w:rPr>
          <w:rFonts w:ascii="Symbol" w:hAnsi="Symbol"/>
          <w:sz w:val="22"/>
          <w:szCs w:val="22"/>
        </w:rPr>
        <w:t></w:t>
      </w:r>
      <w:r w:rsidRPr="00711D1C">
        <w:rPr>
          <w:rFonts w:ascii="Times New Roman" w:hAnsi="Times New Roman"/>
          <w:sz w:val="22"/>
          <w:szCs w:val="22"/>
        </w:rPr>
        <w:t xml:space="preserve">m. </w:t>
      </w:r>
    </w:p>
    <w:p w:rsidR="00D95C6B" w:rsidRPr="00711D1C" w:rsidRDefault="00D95C6B" w:rsidP="00D95C6B">
      <w:pPr>
        <w:spacing w:line="480" w:lineRule="auto"/>
        <w:jc w:val="both"/>
        <w:rPr>
          <w:b/>
          <w:sz w:val="22"/>
          <w:szCs w:val="22"/>
        </w:rPr>
      </w:pP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r w:rsidRPr="00711D1C">
        <w:rPr>
          <w:rFonts w:ascii="Times New Roman" w:hAnsi="Times New Roman"/>
          <w:b/>
          <w:sz w:val="22"/>
          <w:szCs w:val="22"/>
        </w:rPr>
        <w:t>Supplementa</w:t>
      </w:r>
      <w:r>
        <w:rPr>
          <w:rFonts w:ascii="Times New Roman" w:hAnsi="Times New Roman"/>
          <w:b/>
          <w:sz w:val="22"/>
          <w:szCs w:val="22"/>
        </w:rPr>
        <w:t>ry</w:t>
      </w:r>
      <w:r w:rsidRPr="00711D1C">
        <w:rPr>
          <w:rFonts w:ascii="Times New Roman" w:hAnsi="Times New Roman"/>
          <w:b/>
          <w:sz w:val="22"/>
          <w:szCs w:val="22"/>
        </w:rPr>
        <w:t xml:space="preserve"> Figure 11.</w:t>
      </w:r>
      <w:r w:rsidRPr="00711D1C">
        <w:rPr>
          <w:rFonts w:ascii="Times New Roman" w:hAnsi="Times New Roman"/>
          <w:sz w:val="22"/>
          <w:szCs w:val="22"/>
        </w:rPr>
        <w:t xml:space="preserve"> </w:t>
      </w:r>
    </w:p>
    <w:p w:rsidR="00D95C6B" w:rsidRPr="00711D1C" w:rsidRDefault="00D95C6B" w:rsidP="00D95C6B">
      <w:pPr>
        <w:spacing w:line="480" w:lineRule="auto"/>
        <w:jc w:val="both"/>
        <w:rPr>
          <w:sz w:val="22"/>
          <w:szCs w:val="22"/>
        </w:rPr>
      </w:pPr>
      <w:r w:rsidRPr="00711D1C">
        <w:rPr>
          <w:sz w:val="22"/>
          <w:szCs w:val="22"/>
        </w:rPr>
        <w:t xml:space="preserve"> P-tau in perivascular astroglial processes. Shown is a thalamic vessel from a blast-exposed rat sacrificed 10 months after the last blast exposure immunostained with AT270 (green, a and d) and GFAP (red, b and e). Merged images are shown in panels </w:t>
      </w:r>
      <w:r w:rsidRPr="00711D1C">
        <w:rPr>
          <w:b/>
          <w:sz w:val="22"/>
          <w:szCs w:val="22"/>
        </w:rPr>
        <w:t>(</w:t>
      </w:r>
      <w:r w:rsidRPr="00711D1C">
        <w:rPr>
          <w:sz w:val="22"/>
          <w:szCs w:val="22"/>
        </w:rPr>
        <w:t>c) and (f</w:t>
      </w:r>
      <w:r w:rsidRPr="00711D1C">
        <w:rPr>
          <w:b/>
          <w:sz w:val="22"/>
          <w:szCs w:val="22"/>
        </w:rPr>
        <w:t>)</w:t>
      </w:r>
      <w:r w:rsidRPr="00711D1C">
        <w:rPr>
          <w:sz w:val="22"/>
          <w:szCs w:val="22"/>
        </w:rPr>
        <w:t>. DAPI is shown in blue. Panels (d)-(f) show higher power images. Note the localization of p-tau immunostaining mostly within GFAP immunostained perivascular astroglial processes. Asterisks in panel (f</w:t>
      </w:r>
      <w:r w:rsidRPr="00711D1C">
        <w:rPr>
          <w:b/>
          <w:sz w:val="22"/>
          <w:szCs w:val="22"/>
        </w:rPr>
        <w:t>)</w:t>
      </w:r>
      <w:r w:rsidRPr="00711D1C">
        <w:rPr>
          <w:sz w:val="22"/>
          <w:szCs w:val="22"/>
        </w:rPr>
        <w:t xml:space="preserve"> indicate endothelial cell nuclei identifiable by their elongated appearance. Scale bar: 40 </w:t>
      </w:r>
      <w:r w:rsidRPr="00711D1C">
        <w:rPr>
          <w:rFonts w:ascii="Symbol" w:hAnsi="Symbol"/>
          <w:sz w:val="22"/>
          <w:szCs w:val="22"/>
        </w:rPr>
        <w:t></w:t>
      </w:r>
      <w:r w:rsidRPr="00711D1C">
        <w:rPr>
          <w:sz w:val="22"/>
          <w:szCs w:val="22"/>
        </w:rPr>
        <w:t xml:space="preserve">m for (a)-(c); 20 </w:t>
      </w:r>
      <w:r w:rsidRPr="00711D1C">
        <w:rPr>
          <w:rFonts w:ascii="Symbol" w:hAnsi="Symbol"/>
          <w:sz w:val="22"/>
          <w:szCs w:val="22"/>
        </w:rPr>
        <w:t></w:t>
      </w:r>
      <w:r w:rsidRPr="00711D1C">
        <w:rPr>
          <w:sz w:val="22"/>
          <w:szCs w:val="22"/>
        </w:rPr>
        <w:t xml:space="preserve">m for (d)-(f). </w:t>
      </w:r>
    </w:p>
    <w:p w:rsidR="00D95C6B" w:rsidRPr="00711D1C" w:rsidRDefault="00D95C6B" w:rsidP="00D95C6B">
      <w:pPr>
        <w:spacing w:line="480" w:lineRule="auto"/>
        <w:jc w:val="both"/>
        <w:rPr>
          <w:sz w:val="22"/>
          <w:szCs w:val="22"/>
        </w:rPr>
      </w:pPr>
    </w:p>
    <w:p w:rsidR="00D95C6B" w:rsidRPr="00711D1C" w:rsidRDefault="00D95C6B" w:rsidP="00D95C6B">
      <w:pPr>
        <w:pStyle w:val="paragraph"/>
        <w:widowControl w:val="0"/>
        <w:tabs>
          <w:tab w:val="clear" w:pos="540"/>
          <w:tab w:val="clear" w:pos="900"/>
          <w:tab w:val="clear" w:pos="980"/>
          <w:tab w:val="clear" w:pos="1620"/>
          <w:tab w:val="left" w:pos="720"/>
        </w:tabs>
        <w:spacing w:after="0" w:line="480" w:lineRule="auto"/>
        <w:rPr>
          <w:rFonts w:ascii="Times New Roman" w:hAnsi="Times New Roman"/>
          <w:sz w:val="22"/>
          <w:szCs w:val="22"/>
        </w:rPr>
      </w:pPr>
      <w:r w:rsidRPr="00711D1C">
        <w:rPr>
          <w:rFonts w:ascii="Times New Roman" w:hAnsi="Times New Roman"/>
          <w:b/>
          <w:sz w:val="22"/>
          <w:szCs w:val="22"/>
        </w:rPr>
        <w:t>Supplementa</w:t>
      </w:r>
      <w:r>
        <w:rPr>
          <w:rFonts w:ascii="Times New Roman" w:hAnsi="Times New Roman"/>
          <w:b/>
          <w:sz w:val="22"/>
          <w:szCs w:val="22"/>
        </w:rPr>
        <w:t xml:space="preserve">ry </w:t>
      </w:r>
      <w:r w:rsidRPr="00711D1C">
        <w:rPr>
          <w:rFonts w:ascii="Times New Roman" w:hAnsi="Times New Roman"/>
          <w:b/>
          <w:sz w:val="22"/>
          <w:szCs w:val="22"/>
        </w:rPr>
        <w:t>Figure 12.</w:t>
      </w:r>
      <w:r w:rsidRPr="00711D1C">
        <w:rPr>
          <w:rFonts w:ascii="Times New Roman" w:hAnsi="Times New Roman"/>
          <w:sz w:val="22"/>
          <w:szCs w:val="22"/>
        </w:rPr>
        <w:t xml:space="preserve"> </w:t>
      </w:r>
    </w:p>
    <w:p w:rsidR="00D95C6B" w:rsidRPr="00711D1C" w:rsidRDefault="00D95C6B" w:rsidP="00D95C6B">
      <w:pPr>
        <w:spacing w:line="480" w:lineRule="auto"/>
        <w:jc w:val="both"/>
        <w:rPr>
          <w:sz w:val="22"/>
          <w:szCs w:val="22"/>
        </w:rPr>
      </w:pPr>
      <w:r w:rsidRPr="00711D1C">
        <w:rPr>
          <w:sz w:val="22"/>
          <w:szCs w:val="22"/>
        </w:rPr>
        <w:t xml:space="preserve">Lack of p-tau in the vascular smooth muscle layer. Shown is a pial cortical vessel (a-d) or a thalamic vessel (e-h) from a blast-exposed rat sacrificed 10 months after the last blast exposure. Sections were immunostained with AT270 (green, a and e) and </w:t>
      </w:r>
      <w:r w:rsidRPr="00711D1C">
        <w:rPr>
          <w:rFonts w:ascii="Symbol" w:hAnsi="Symbol"/>
          <w:sz w:val="22"/>
          <w:szCs w:val="22"/>
        </w:rPr>
        <w:t></w:t>
      </w:r>
      <w:r w:rsidRPr="00711D1C">
        <w:rPr>
          <w:sz w:val="22"/>
          <w:szCs w:val="22"/>
        </w:rPr>
        <w:t xml:space="preserve">SMA (red, b and f). DAPI is shown in blue. Merged images are shown in panels </w:t>
      </w:r>
      <w:r w:rsidRPr="00711D1C">
        <w:rPr>
          <w:b/>
          <w:sz w:val="22"/>
          <w:szCs w:val="22"/>
        </w:rPr>
        <w:t>(</w:t>
      </w:r>
      <w:r w:rsidRPr="00711D1C">
        <w:rPr>
          <w:sz w:val="22"/>
          <w:szCs w:val="22"/>
        </w:rPr>
        <w:t>c) and (g</w:t>
      </w:r>
      <w:r w:rsidRPr="00711D1C">
        <w:rPr>
          <w:b/>
          <w:sz w:val="22"/>
          <w:szCs w:val="22"/>
        </w:rPr>
        <w:t>)</w:t>
      </w:r>
      <w:r w:rsidRPr="00711D1C">
        <w:rPr>
          <w:sz w:val="22"/>
          <w:szCs w:val="22"/>
        </w:rPr>
        <w:t xml:space="preserve">. Panels (d) and (h) show higher power images of the boxed areas indicated in panels (c) and (g). Note the lack of co-localization of p-tau immunostaining with the </w:t>
      </w:r>
      <w:r w:rsidRPr="00711D1C">
        <w:rPr>
          <w:rFonts w:ascii="Symbol" w:hAnsi="Symbol"/>
          <w:sz w:val="22"/>
          <w:szCs w:val="22"/>
        </w:rPr>
        <w:t></w:t>
      </w:r>
      <w:r w:rsidRPr="00711D1C">
        <w:rPr>
          <w:sz w:val="22"/>
          <w:szCs w:val="22"/>
        </w:rPr>
        <w:t xml:space="preserve">SMA stained smooth muscle layer. Scale bar: 40 </w:t>
      </w:r>
      <w:r w:rsidRPr="00711D1C">
        <w:rPr>
          <w:rFonts w:ascii="Symbol" w:hAnsi="Symbol"/>
          <w:sz w:val="22"/>
          <w:szCs w:val="22"/>
        </w:rPr>
        <w:t></w:t>
      </w:r>
      <w:r w:rsidRPr="00711D1C">
        <w:rPr>
          <w:sz w:val="22"/>
          <w:szCs w:val="22"/>
        </w:rPr>
        <w:t xml:space="preserve">m for (a)-(c) and (e)-(g); 10 </w:t>
      </w:r>
      <w:r w:rsidRPr="00711D1C">
        <w:rPr>
          <w:rFonts w:ascii="Symbol" w:hAnsi="Symbol"/>
          <w:sz w:val="22"/>
          <w:szCs w:val="22"/>
        </w:rPr>
        <w:t></w:t>
      </w:r>
      <w:r w:rsidRPr="00711D1C">
        <w:rPr>
          <w:sz w:val="22"/>
          <w:szCs w:val="22"/>
        </w:rPr>
        <w:t xml:space="preserve">m for (d) and (h). </w:t>
      </w:r>
    </w:p>
    <w:p w:rsidR="00D95C6B" w:rsidRDefault="00D95C6B" w:rsidP="00D95C6B">
      <w:pPr>
        <w:spacing w:line="480" w:lineRule="auto"/>
        <w:jc w:val="both"/>
        <w:rPr>
          <w:sz w:val="22"/>
          <w:szCs w:val="22"/>
        </w:rPr>
      </w:pPr>
    </w:p>
    <w:p w:rsidR="00D95C6B" w:rsidRPr="007C1F54" w:rsidRDefault="00D95C6B" w:rsidP="00D95C6B">
      <w:pPr>
        <w:spacing w:line="480" w:lineRule="auto"/>
        <w:jc w:val="both"/>
        <w:rPr>
          <w:b/>
          <w:sz w:val="22"/>
          <w:szCs w:val="22"/>
        </w:rPr>
      </w:pPr>
      <w:r w:rsidRPr="007C1F54">
        <w:rPr>
          <w:b/>
          <w:sz w:val="22"/>
          <w:szCs w:val="22"/>
        </w:rPr>
        <w:t>Supplementa</w:t>
      </w:r>
      <w:r>
        <w:rPr>
          <w:b/>
          <w:sz w:val="22"/>
          <w:szCs w:val="22"/>
        </w:rPr>
        <w:t>ry</w:t>
      </w:r>
      <w:r w:rsidRPr="007C1F54">
        <w:rPr>
          <w:b/>
          <w:sz w:val="22"/>
          <w:szCs w:val="22"/>
        </w:rPr>
        <w:t xml:space="preserve"> Figure 13. </w:t>
      </w:r>
    </w:p>
    <w:p w:rsidR="00D95C6B" w:rsidRPr="00867D8F" w:rsidRDefault="00D95C6B" w:rsidP="00D95C6B">
      <w:pPr>
        <w:spacing w:line="480" w:lineRule="auto"/>
        <w:jc w:val="both"/>
        <w:rPr>
          <w:sz w:val="22"/>
          <w:szCs w:val="22"/>
        </w:rPr>
      </w:pPr>
      <w:r w:rsidRPr="007C1F54">
        <w:rPr>
          <w:sz w:val="22"/>
          <w:szCs w:val="22"/>
        </w:rPr>
        <w:t xml:space="preserve">Relationship between plasma NfL values and PET </w:t>
      </w:r>
      <w:r w:rsidR="007E4290" w:rsidRPr="007C1F54">
        <w:rPr>
          <w:sz w:val="22"/>
          <w:szCs w:val="22"/>
        </w:rPr>
        <w:t>SUV</w:t>
      </w:r>
      <w:r w:rsidR="007E4290">
        <w:rPr>
          <w:sz w:val="22"/>
          <w:szCs w:val="22"/>
        </w:rPr>
        <w:t>r</w:t>
      </w:r>
      <w:r w:rsidR="007E4290" w:rsidRPr="007C1F54">
        <w:rPr>
          <w:sz w:val="22"/>
          <w:szCs w:val="22"/>
        </w:rPr>
        <w:t xml:space="preserve"> </w:t>
      </w:r>
      <w:r w:rsidRPr="007C1F54">
        <w:rPr>
          <w:sz w:val="22"/>
          <w:szCs w:val="22"/>
        </w:rPr>
        <w:t>values in six ROIs in the healthy comparison group (controls), tau +ve and tau -ve veterans.</w:t>
      </w:r>
      <w:r w:rsidRPr="007C1F54">
        <w:rPr>
          <w:b/>
          <w:sz w:val="22"/>
          <w:szCs w:val="22"/>
        </w:rPr>
        <w:t xml:space="preserve"> </w:t>
      </w:r>
      <w:r w:rsidRPr="007C1F54">
        <w:rPr>
          <w:sz w:val="22"/>
          <w:szCs w:val="22"/>
        </w:rPr>
        <w:t>Spearman rank correlations (R</w:t>
      </w:r>
      <w:r w:rsidRPr="007C1F54">
        <w:rPr>
          <w:sz w:val="22"/>
          <w:szCs w:val="22"/>
          <w:vertAlign w:val="superscript"/>
        </w:rPr>
        <w:t>2</w:t>
      </w:r>
      <w:r w:rsidRPr="007C1F54">
        <w:rPr>
          <w:sz w:val="22"/>
          <w:szCs w:val="22"/>
        </w:rPr>
        <w:t>) and p values are indicated.</w:t>
      </w:r>
    </w:p>
    <w:p w:rsidR="00D95C6B" w:rsidRPr="00711D1C" w:rsidRDefault="00D95C6B" w:rsidP="00D95C6B">
      <w:pPr>
        <w:spacing w:line="480" w:lineRule="auto"/>
        <w:jc w:val="both"/>
        <w:rPr>
          <w:sz w:val="22"/>
          <w:szCs w:val="22"/>
        </w:rPr>
      </w:pPr>
    </w:p>
    <w:p w:rsidR="00D95C6B" w:rsidRPr="007C1F54" w:rsidRDefault="00D95C6B" w:rsidP="00D95C6B">
      <w:pPr>
        <w:spacing w:line="480" w:lineRule="auto"/>
        <w:jc w:val="both"/>
        <w:rPr>
          <w:b/>
          <w:sz w:val="22"/>
          <w:szCs w:val="22"/>
        </w:rPr>
      </w:pPr>
      <w:r w:rsidRPr="007C1F54">
        <w:rPr>
          <w:b/>
          <w:sz w:val="22"/>
          <w:szCs w:val="22"/>
        </w:rPr>
        <w:t>Supplementa</w:t>
      </w:r>
      <w:r>
        <w:rPr>
          <w:b/>
          <w:sz w:val="22"/>
          <w:szCs w:val="22"/>
        </w:rPr>
        <w:t>ry</w:t>
      </w:r>
      <w:r w:rsidRPr="007C1F54">
        <w:rPr>
          <w:b/>
          <w:sz w:val="22"/>
          <w:szCs w:val="22"/>
        </w:rPr>
        <w:t xml:space="preserve"> Figure 14.</w:t>
      </w:r>
      <w:r w:rsidRPr="007C1F54">
        <w:rPr>
          <w:sz w:val="22"/>
          <w:szCs w:val="22"/>
        </w:rPr>
        <w:t xml:space="preserve"> </w:t>
      </w:r>
    </w:p>
    <w:p w:rsidR="00D95C6B" w:rsidRPr="00D95C6B" w:rsidRDefault="00D95C6B" w:rsidP="00D95C6B">
      <w:pPr>
        <w:spacing w:line="480" w:lineRule="auto"/>
        <w:jc w:val="both"/>
        <w:rPr>
          <w:sz w:val="22"/>
          <w:szCs w:val="22"/>
        </w:rPr>
      </w:pPr>
      <w:r w:rsidRPr="007C1F54">
        <w:rPr>
          <w:sz w:val="22"/>
          <w:szCs w:val="22"/>
        </w:rPr>
        <w:lastRenderedPageBreak/>
        <w:t>Relationship between plasma NfL in veterans and [</w:t>
      </w:r>
      <w:r w:rsidRPr="007C1F54">
        <w:rPr>
          <w:sz w:val="22"/>
          <w:szCs w:val="22"/>
          <w:vertAlign w:val="superscript"/>
        </w:rPr>
        <w:t>18</w:t>
      </w:r>
      <w:r w:rsidRPr="007C1F54">
        <w:rPr>
          <w:sz w:val="22"/>
          <w:szCs w:val="22"/>
        </w:rPr>
        <w:t>F]AV1451 positivity, age, MoCA and BDI-II  scores. In panel (a) between-group comparisons are shown for plasma NfL levels within subjects in the comparison group (control) as well as tau +ve and tau -ve veterans.   * indicates p = 0.031, Mann Whitney test. Panels (b)-(d) show correlations between plasma NfL in veterans and age (b), MoCA (c) and BDI-II (d) scores. Spearman rank correlations (R</w:t>
      </w:r>
      <w:r w:rsidRPr="007C1F54">
        <w:rPr>
          <w:sz w:val="22"/>
          <w:szCs w:val="22"/>
          <w:vertAlign w:val="superscript"/>
        </w:rPr>
        <w:t>2</w:t>
      </w:r>
      <w:r w:rsidRPr="007C1F54">
        <w:rPr>
          <w:sz w:val="22"/>
          <w:szCs w:val="22"/>
        </w:rPr>
        <w:t>) and p values are indicated.</w:t>
      </w:r>
      <w:r w:rsidRPr="00711D1C">
        <w:rPr>
          <w:sz w:val="22"/>
          <w:szCs w:val="22"/>
        </w:rPr>
        <w:t xml:space="preserve"> </w:t>
      </w:r>
    </w:p>
    <w:p w:rsidR="00D95C6B" w:rsidRPr="00711D1C" w:rsidRDefault="00D95C6B" w:rsidP="00D95C6B">
      <w:pPr>
        <w:spacing w:line="480" w:lineRule="auto"/>
        <w:jc w:val="both"/>
        <w:rPr>
          <w:b/>
          <w:sz w:val="22"/>
          <w:szCs w:val="22"/>
        </w:rPr>
      </w:pPr>
    </w:p>
    <w:p w:rsidR="00D95C6B" w:rsidRPr="00711D1C" w:rsidRDefault="00D95C6B" w:rsidP="00D95C6B">
      <w:pPr>
        <w:spacing w:line="480" w:lineRule="auto"/>
        <w:jc w:val="both"/>
        <w:rPr>
          <w:sz w:val="22"/>
          <w:szCs w:val="22"/>
        </w:rPr>
      </w:pPr>
      <w:r w:rsidRPr="00711D1C">
        <w:rPr>
          <w:b/>
          <w:sz w:val="22"/>
          <w:szCs w:val="22"/>
        </w:rPr>
        <w:t>Supplementa</w:t>
      </w:r>
      <w:r>
        <w:rPr>
          <w:b/>
          <w:sz w:val="22"/>
          <w:szCs w:val="22"/>
        </w:rPr>
        <w:t>ry</w:t>
      </w:r>
      <w:r w:rsidRPr="00711D1C">
        <w:rPr>
          <w:b/>
          <w:sz w:val="22"/>
          <w:szCs w:val="22"/>
        </w:rPr>
        <w:t xml:space="preserve"> Figure </w:t>
      </w:r>
      <w:r w:rsidRPr="007C1F54">
        <w:rPr>
          <w:b/>
          <w:sz w:val="22"/>
          <w:szCs w:val="22"/>
        </w:rPr>
        <w:t>15.</w:t>
      </w:r>
      <w:r w:rsidRPr="00711D1C">
        <w:rPr>
          <w:sz w:val="22"/>
          <w:szCs w:val="22"/>
        </w:rPr>
        <w:t xml:space="preserve"> </w:t>
      </w:r>
    </w:p>
    <w:p w:rsidR="00D95C6B" w:rsidRPr="00711D1C" w:rsidRDefault="00D95C6B" w:rsidP="00D95C6B">
      <w:pPr>
        <w:spacing w:line="480" w:lineRule="auto"/>
        <w:jc w:val="both"/>
        <w:rPr>
          <w:sz w:val="22"/>
          <w:szCs w:val="22"/>
        </w:rPr>
      </w:pPr>
      <w:r w:rsidRPr="00711D1C">
        <w:rPr>
          <w:sz w:val="22"/>
          <w:szCs w:val="22"/>
        </w:rPr>
        <w:t xml:space="preserve">Serum NfL levels in rats exposed to blast. Serum NfL was measured in rats at 4 months (n = 10 blast exposed and 6 controls) or 10 months (n = 5/group) after blast exposure. Data is presented as mean </w:t>
      </w:r>
      <w:r w:rsidRPr="00711D1C">
        <w:rPr>
          <w:sz w:val="22"/>
          <w:szCs w:val="22"/>
          <w:u w:val="single"/>
        </w:rPr>
        <w:t>+</w:t>
      </w:r>
      <w:r w:rsidRPr="00711D1C">
        <w:rPr>
          <w:sz w:val="22"/>
          <w:szCs w:val="22"/>
        </w:rPr>
        <w:t xml:space="preserve"> SEM. There were no differences between blast-exposed and control rats at either time point when all values were included (unpaired </w:t>
      </w:r>
      <w:r w:rsidRPr="00711D1C">
        <w:rPr>
          <w:i/>
          <w:sz w:val="22"/>
          <w:szCs w:val="22"/>
        </w:rPr>
        <w:t>t</w:t>
      </w:r>
      <w:r w:rsidRPr="00711D1C">
        <w:rPr>
          <w:sz w:val="22"/>
          <w:szCs w:val="22"/>
        </w:rPr>
        <w:t>-tests). Groups differed if the outlier in the control group (identified by the ROUT test) was eliminated and comparisons were made using a non-parametric Mann-Whitney test (p &lt; 0.02).</w:t>
      </w:r>
    </w:p>
    <w:p w:rsidR="00D95C6B" w:rsidRDefault="00D95C6B" w:rsidP="00D95C6B">
      <w:r w:rsidRPr="00711D1C">
        <w:br w:type="page"/>
      </w:r>
    </w:p>
    <w:tbl>
      <w:tblPr>
        <w:tblStyle w:val="TableGrid"/>
        <w:tblW w:w="10008" w:type="dxa"/>
        <w:tblLayout w:type="fixed"/>
        <w:tblLook w:val="04A0" w:firstRow="1" w:lastRow="0" w:firstColumn="1" w:lastColumn="0" w:noHBand="0" w:noVBand="1"/>
      </w:tblPr>
      <w:tblGrid>
        <w:gridCol w:w="1458"/>
        <w:gridCol w:w="1620"/>
        <w:gridCol w:w="1710"/>
        <w:gridCol w:w="1260"/>
        <w:gridCol w:w="900"/>
        <w:gridCol w:w="900"/>
        <w:gridCol w:w="1350"/>
        <w:gridCol w:w="810"/>
      </w:tblGrid>
      <w:tr w:rsidR="00D95C6B" w:rsidRPr="00711D1C" w:rsidTr="00A3493A">
        <w:trPr>
          <w:trHeight w:val="720"/>
        </w:trPr>
        <w:tc>
          <w:tcPr>
            <w:tcW w:w="10008" w:type="dxa"/>
            <w:gridSpan w:val="8"/>
            <w:tcBorders>
              <w:top w:val="nil"/>
              <w:left w:val="nil"/>
              <w:bottom w:val="nil"/>
              <w:right w:val="nil"/>
            </w:tcBorders>
          </w:tcPr>
          <w:p w:rsidR="00D95C6B" w:rsidRPr="00711D1C" w:rsidRDefault="00D95C6B" w:rsidP="00A3493A">
            <w:pPr>
              <w:spacing w:line="480" w:lineRule="auto"/>
              <w:jc w:val="both"/>
              <w:rPr>
                <w:b/>
                <w:sz w:val="22"/>
                <w:szCs w:val="22"/>
              </w:rPr>
            </w:pPr>
          </w:p>
          <w:p w:rsidR="00D95C6B" w:rsidRPr="00711D1C" w:rsidRDefault="00D95C6B" w:rsidP="00A3493A">
            <w:pPr>
              <w:spacing w:line="480" w:lineRule="auto"/>
              <w:jc w:val="both"/>
              <w:rPr>
                <w:b/>
                <w:sz w:val="22"/>
                <w:szCs w:val="22"/>
              </w:rPr>
            </w:pPr>
            <w:r w:rsidRPr="00711D1C">
              <w:rPr>
                <w:b/>
                <w:sz w:val="22"/>
                <w:szCs w:val="22"/>
              </w:rPr>
              <w:t>Supplementa</w:t>
            </w:r>
            <w:r>
              <w:rPr>
                <w:b/>
                <w:sz w:val="22"/>
                <w:szCs w:val="22"/>
              </w:rPr>
              <w:t>ry</w:t>
            </w:r>
            <w:r w:rsidRPr="00711D1C">
              <w:rPr>
                <w:b/>
                <w:sz w:val="22"/>
                <w:szCs w:val="22"/>
              </w:rPr>
              <w:t xml:space="preserve"> Table 1. Antibodies used for Western blot and immunohistochemistry</w:t>
            </w:r>
          </w:p>
        </w:tc>
      </w:tr>
      <w:tr w:rsidR="00D95C6B" w:rsidRPr="00711D1C" w:rsidTr="00A3493A">
        <w:trPr>
          <w:gridAfter w:val="1"/>
          <w:wAfter w:w="810" w:type="dxa"/>
          <w:trHeight w:val="350"/>
        </w:trPr>
        <w:tc>
          <w:tcPr>
            <w:tcW w:w="1458"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Antibody</w:t>
            </w:r>
          </w:p>
        </w:tc>
        <w:tc>
          <w:tcPr>
            <w:tcW w:w="162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Specificity</w:t>
            </w:r>
          </w:p>
        </w:tc>
        <w:tc>
          <w:tcPr>
            <w:tcW w:w="171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Source</w:t>
            </w:r>
          </w:p>
        </w:tc>
        <w:tc>
          <w:tcPr>
            <w:tcW w:w="126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type</w:t>
            </w:r>
          </w:p>
        </w:tc>
        <w:tc>
          <w:tcPr>
            <w:tcW w:w="90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 xml:space="preserve">WB </w:t>
            </w:r>
          </w:p>
        </w:tc>
        <w:tc>
          <w:tcPr>
            <w:tcW w:w="90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IHC</w:t>
            </w:r>
          </w:p>
        </w:tc>
        <w:tc>
          <w:tcPr>
            <w:tcW w:w="1350" w:type="dxa"/>
            <w:tcBorders>
              <w:top w:val="single" w:sz="4" w:space="0" w:color="auto"/>
            </w:tcBorders>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711D1C">
              <w:rPr>
                <w:b/>
                <w:i/>
                <w:sz w:val="22"/>
                <w:szCs w:val="22"/>
              </w:rPr>
              <w:t>Remarks</w:t>
            </w: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AT270</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Thr181</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88"/>
              <w:jc w:val="both"/>
              <w:rPr>
                <w:i/>
                <w:sz w:val="22"/>
                <w:szCs w:val="22"/>
              </w:rPr>
            </w:pPr>
            <w:r w:rsidRPr="00711D1C">
              <w:rPr>
                <w:i/>
                <w:sz w:val="22"/>
                <w:szCs w:val="22"/>
              </w:rPr>
              <w:t>ThermoFisher</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88"/>
              <w:jc w:val="both"/>
              <w:rPr>
                <w:i/>
                <w:sz w:val="22"/>
                <w:szCs w:val="22"/>
              </w:rPr>
            </w:pPr>
            <w:r w:rsidRPr="00711D1C">
              <w:rPr>
                <w:i/>
                <w:sz w:val="22"/>
                <w:szCs w:val="22"/>
              </w:rPr>
              <w:t>MN1050</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Mouse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1:600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1:400</w:t>
            </w: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Phospho-Tau (Thr181)</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Thr181</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Cell Signaling</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12885</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Rabbit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1:1200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Phospho-Tau (Thr181)</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Thr181</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ThermoFisher</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710561</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 xml:space="preserve"> Rabbit oligoclonal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1:1000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1:400</w:t>
            </w: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Phospho-Tau (Ser404)</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Ser404</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ThermoFisher</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44-758G</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Rabbit polyclonal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1:1000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No difference</w:t>
            </w: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PHF13</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Ser396</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Cell Signaling</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9632</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Mouse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1:1000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No difference</w:t>
            </w: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Phospho-Tau (Thr231)</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Thr231</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ThermoFisher</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710126</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 xml:space="preserve"> Rabbit oligoclonal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1:1000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No difference</w:t>
            </w: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CP13</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Ser202</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Dr Peter Davies</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Mouse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1:500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AT8</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Ser202/Thr205</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ThermoFisher</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MN1020</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Mouse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1:600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EE60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711D1C">
              <w:rPr>
                <w:i/>
                <w:sz w:val="22"/>
                <w:szCs w:val="22"/>
              </w:rPr>
              <w:t>Very</w:t>
            </w:r>
            <w:r w:rsidR="00EE6041">
              <w:rPr>
                <w:i/>
                <w:sz w:val="22"/>
                <w:szCs w:val="22"/>
              </w:rPr>
              <w:t xml:space="preserve"> </w:t>
            </w:r>
            <w:r w:rsidRPr="00711D1C">
              <w:rPr>
                <w:i/>
                <w:sz w:val="22"/>
                <w:szCs w:val="22"/>
              </w:rPr>
              <w:t>poor signal in WB</w:t>
            </w: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Tau</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Total tau</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Proteintech</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10274-1-AP</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Rabbit polyclonal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1:600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GT239</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GAPDH</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GeneTex GTX627408</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Mouse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1:4000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GFAP</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GFAP</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Dr Virginia Lee</w:t>
            </w: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Rat monoclonal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1:500</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r w:rsidR="00D95C6B" w:rsidRPr="00711D1C" w:rsidTr="00A3493A">
        <w:trPr>
          <w:gridAfter w:val="1"/>
          <w:wAfter w:w="810" w:type="dxa"/>
          <w:trHeight w:val="720"/>
        </w:trPr>
        <w:tc>
          <w:tcPr>
            <w:tcW w:w="1458"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rFonts w:ascii="Symbol" w:hAnsi="Symbol"/>
                <w:i/>
                <w:sz w:val="22"/>
                <w:szCs w:val="22"/>
              </w:rPr>
              <w:t></w:t>
            </w:r>
            <w:r w:rsidRPr="00711D1C">
              <w:rPr>
                <w:i/>
                <w:sz w:val="22"/>
                <w:szCs w:val="22"/>
              </w:rPr>
              <w:t>SMA</w:t>
            </w:r>
          </w:p>
        </w:tc>
        <w:tc>
          <w:tcPr>
            <w:tcW w:w="162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rFonts w:ascii="Symbol" w:hAnsi="Symbol"/>
                <w:i/>
                <w:sz w:val="22"/>
                <w:szCs w:val="22"/>
              </w:rPr>
              <w:t></w:t>
            </w:r>
            <w:r w:rsidRPr="00711D1C">
              <w:rPr>
                <w:i/>
                <w:sz w:val="22"/>
                <w:szCs w:val="22"/>
              </w:rPr>
              <w:t>SMA</w:t>
            </w:r>
          </w:p>
        </w:tc>
        <w:tc>
          <w:tcPr>
            <w:tcW w:w="171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Proteintech</w:t>
            </w:r>
          </w:p>
          <w:p w:rsidR="00D95C6B" w:rsidRPr="00711D1C" w:rsidRDefault="00D95C6B" w:rsidP="00A3493A">
            <w:r w:rsidRPr="00711D1C">
              <w:rPr>
                <w:i/>
                <w:iCs/>
                <w:sz w:val="22"/>
                <w:szCs w:val="22"/>
              </w:rPr>
              <w:t>143-95-1-AP </w:t>
            </w:r>
          </w:p>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126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Rabbit polyclonal</w:t>
            </w: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c>
          <w:tcPr>
            <w:tcW w:w="90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r w:rsidRPr="00711D1C">
              <w:rPr>
                <w:i/>
                <w:sz w:val="22"/>
                <w:szCs w:val="22"/>
              </w:rPr>
              <w:t>1:1,000</w:t>
            </w:r>
          </w:p>
        </w:tc>
        <w:tc>
          <w:tcPr>
            <w:tcW w:w="1350" w:type="dxa"/>
          </w:tcPr>
          <w:p w:rsidR="00D95C6B" w:rsidRPr="00711D1C" w:rsidRDefault="00D95C6B" w:rsidP="00A34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tc>
      </w:tr>
    </w:tbl>
    <w:p w:rsidR="00C96C75" w:rsidRDefault="00C96C75" w:rsidP="00D95C6B">
      <w:bookmarkStart w:id="0" w:name="_GoBack"/>
      <w:bookmarkEnd w:id="0"/>
    </w:p>
    <w:sectPr w:rsidR="00C96C75" w:rsidSect="009F5FBB">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927" w:rsidRDefault="00B26927" w:rsidP="00D95C6B">
      <w:r>
        <w:separator/>
      </w:r>
    </w:p>
  </w:endnote>
  <w:endnote w:type="continuationSeparator" w:id="0">
    <w:p w:rsidR="00B26927" w:rsidRDefault="00B26927" w:rsidP="00D9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ï'DFÍ˛">
    <w:altName w:val="Cambria"/>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F54" w:rsidRDefault="00221728" w:rsidP="004D66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C1F54" w:rsidRDefault="00B26927">
    <w:pPr>
      <w:pStyle w:val="Footer"/>
      <w:ind w:right="360"/>
    </w:pPr>
    <w:sdt>
      <w:sdtPr>
        <w:id w:val="969400743"/>
        <w:temporary/>
        <w:showingPlcHdr/>
      </w:sdtPr>
      <w:sdtEndPr/>
      <w:sdtContent>
        <w:r w:rsidR="00221728">
          <w:t>[Type text]</w:t>
        </w:r>
      </w:sdtContent>
    </w:sdt>
    <w:r w:rsidR="00221728">
      <w:ptab w:relativeTo="margin" w:alignment="center" w:leader="none"/>
    </w:r>
    <w:sdt>
      <w:sdtPr>
        <w:id w:val="969400748"/>
        <w:temporary/>
        <w:showingPlcHdr/>
      </w:sdtPr>
      <w:sdtEndPr/>
      <w:sdtContent>
        <w:r w:rsidR="00221728">
          <w:t>[Type text]</w:t>
        </w:r>
      </w:sdtContent>
    </w:sdt>
    <w:r w:rsidR="00221728">
      <w:ptab w:relativeTo="margin" w:alignment="right" w:leader="none"/>
    </w:r>
    <w:sdt>
      <w:sdtPr>
        <w:id w:val="969400753"/>
        <w:temporary/>
        <w:showingPlcHdr/>
      </w:sdtPr>
      <w:sdtEndPr/>
      <w:sdtContent>
        <w:r w:rsidR="00221728">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F54" w:rsidRDefault="00221728" w:rsidP="004D66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C1F54" w:rsidRDefault="00B2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927" w:rsidRDefault="00B26927" w:rsidP="00D95C6B">
      <w:r>
        <w:separator/>
      </w:r>
    </w:p>
  </w:footnote>
  <w:footnote w:type="continuationSeparator" w:id="0">
    <w:p w:rsidR="00B26927" w:rsidRDefault="00B26927" w:rsidP="00D95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F54" w:rsidRDefault="00221728" w:rsidP="00311D07">
    <w:pPr>
      <w:pStyle w:val="Header"/>
      <w:framePr w:wrap="none"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C1F54" w:rsidRDefault="00B269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F54" w:rsidRDefault="00221728">
    <w:pPr>
      <w:pStyle w:val="Header"/>
      <w:ind w:right="360"/>
      <w:rPr>
        <w:i/>
        <w:sz w:val="16"/>
        <w:szCs w:val="16"/>
      </w:rPr>
    </w:pPr>
    <w:r>
      <w:tab/>
    </w:r>
    <w:r>
      <w:tab/>
    </w:r>
    <w:r w:rsidRPr="00BC278E">
      <w:rPr>
        <w:i/>
        <w:sz w:val="16"/>
        <w:szCs w:val="16"/>
      </w:rPr>
      <w:t xml:space="preserve">Dickstein, </w:t>
    </w:r>
    <w:r>
      <w:rPr>
        <w:i/>
        <w:sz w:val="16"/>
        <w:szCs w:val="16"/>
      </w:rPr>
      <w:t xml:space="preserve">De </w:t>
    </w:r>
    <w:proofErr w:type="spellStart"/>
    <w:r w:rsidRPr="00BC278E">
      <w:rPr>
        <w:i/>
        <w:sz w:val="16"/>
        <w:szCs w:val="16"/>
      </w:rPr>
      <w:t>Gasperi</w:t>
    </w:r>
    <w:proofErr w:type="spellEnd"/>
    <w:r w:rsidRPr="00BC278E">
      <w:rPr>
        <w:i/>
        <w:sz w:val="16"/>
        <w:szCs w:val="16"/>
      </w:rPr>
      <w:t xml:space="preserve"> et al.,</w:t>
    </w:r>
    <w:r>
      <w:rPr>
        <w:i/>
        <w:sz w:val="16"/>
        <w:szCs w:val="16"/>
      </w:rPr>
      <w:t xml:space="preserve"> Biomarkers of blast-related tauopathy</w:t>
    </w:r>
  </w:p>
  <w:p w:rsidR="007C1F54" w:rsidRPr="00711D1C" w:rsidRDefault="00221728">
    <w:pPr>
      <w:pStyle w:val="Header"/>
      <w:ind w:right="360"/>
      <w:rPr>
        <w:rFonts w:ascii="Times New Roman" w:hAnsi="Times New Roman" w:cs="Times New Roman"/>
        <w:i/>
        <w:sz w:val="16"/>
        <w:szCs w:val="16"/>
      </w:rPr>
    </w:pPr>
    <w:r>
      <w:rPr>
        <w:rFonts w:ascii="–ï'DFÍ˛" w:eastAsia="Cambria" w:hAnsi="–ï'DFÍ˛" w:cs="–ï'DFÍ˛"/>
        <w:color w:val="FF0000"/>
        <w:sz w:val="16"/>
        <w:szCs w:val="16"/>
      </w:rPr>
      <w:tab/>
    </w:r>
    <w:r>
      <w:rPr>
        <w:rFonts w:ascii="–ï'DFÍ˛" w:eastAsia="Cambria" w:hAnsi="–ï'DFÍ˛" w:cs="–ï'DFÍ˛"/>
        <w:color w:val="FF0000"/>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6B"/>
    <w:rsid w:val="000405DD"/>
    <w:rsid w:val="000D6C18"/>
    <w:rsid w:val="001D1277"/>
    <w:rsid w:val="002057F3"/>
    <w:rsid w:val="00221728"/>
    <w:rsid w:val="00357E2F"/>
    <w:rsid w:val="0037419C"/>
    <w:rsid w:val="00386981"/>
    <w:rsid w:val="003F7315"/>
    <w:rsid w:val="004F3294"/>
    <w:rsid w:val="005568A5"/>
    <w:rsid w:val="005B64DF"/>
    <w:rsid w:val="00761C52"/>
    <w:rsid w:val="007E0E0F"/>
    <w:rsid w:val="007E4290"/>
    <w:rsid w:val="009536E2"/>
    <w:rsid w:val="00A24D88"/>
    <w:rsid w:val="00A723C2"/>
    <w:rsid w:val="00B26927"/>
    <w:rsid w:val="00B37A3D"/>
    <w:rsid w:val="00C96C75"/>
    <w:rsid w:val="00CA63F2"/>
    <w:rsid w:val="00CB0863"/>
    <w:rsid w:val="00D179E3"/>
    <w:rsid w:val="00D27A4D"/>
    <w:rsid w:val="00D95C6B"/>
    <w:rsid w:val="00DF1924"/>
    <w:rsid w:val="00E956D5"/>
    <w:rsid w:val="00EE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CC4C"/>
  <w15:chartTrackingRefBased/>
  <w15:docId w15:val="{4CEB3370-A5E1-B54E-A9FD-3C221CEC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C6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95C6B"/>
    <w:pPr>
      <w:tabs>
        <w:tab w:val="center" w:pos="4320"/>
        <w:tab w:val="right" w:pos="8640"/>
      </w:tabs>
      <w:autoSpaceDE w:val="0"/>
      <w:autoSpaceDN w:val="0"/>
    </w:pPr>
    <w:rPr>
      <w:rFonts w:ascii="Times" w:hAnsi="Times" w:cs="Times"/>
    </w:rPr>
  </w:style>
  <w:style w:type="character" w:customStyle="1" w:styleId="FooterChar">
    <w:name w:val="Footer Char"/>
    <w:basedOn w:val="DefaultParagraphFont"/>
    <w:link w:val="Footer"/>
    <w:rsid w:val="00D95C6B"/>
    <w:rPr>
      <w:rFonts w:ascii="Times" w:eastAsia="Times New Roman" w:hAnsi="Times" w:cs="Times"/>
    </w:rPr>
  </w:style>
  <w:style w:type="paragraph" w:styleId="Header">
    <w:name w:val="header"/>
    <w:basedOn w:val="Normal"/>
    <w:link w:val="HeaderChar"/>
    <w:rsid w:val="00D95C6B"/>
    <w:pPr>
      <w:tabs>
        <w:tab w:val="center" w:pos="4320"/>
        <w:tab w:val="right" w:pos="8640"/>
      </w:tabs>
      <w:autoSpaceDE w:val="0"/>
      <w:autoSpaceDN w:val="0"/>
    </w:pPr>
    <w:rPr>
      <w:rFonts w:ascii="Times" w:hAnsi="Times" w:cs="Times"/>
    </w:rPr>
  </w:style>
  <w:style w:type="character" w:customStyle="1" w:styleId="HeaderChar">
    <w:name w:val="Header Char"/>
    <w:basedOn w:val="DefaultParagraphFont"/>
    <w:link w:val="Header"/>
    <w:rsid w:val="00D95C6B"/>
    <w:rPr>
      <w:rFonts w:ascii="Times" w:eastAsia="Times New Roman" w:hAnsi="Times" w:cs="Times"/>
    </w:rPr>
  </w:style>
  <w:style w:type="character" w:styleId="Hyperlink">
    <w:name w:val="Hyperlink"/>
    <w:uiPriority w:val="99"/>
    <w:rsid w:val="00D95C6B"/>
    <w:rPr>
      <w:color w:val="0000FF"/>
      <w:u w:val="single"/>
    </w:rPr>
  </w:style>
  <w:style w:type="character" w:styleId="PageNumber">
    <w:name w:val="page number"/>
    <w:rsid w:val="00D95C6B"/>
    <w:rPr>
      <w:rFonts w:ascii="Arial" w:hAnsi="Arial"/>
      <w:sz w:val="20"/>
      <w:u w:val="single"/>
    </w:rPr>
  </w:style>
  <w:style w:type="paragraph" w:styleId="BodyTextIndent">
    <w:name w:val="Body Text Indent"/>
    <w:basedOn w:val="Normal"/>
    <w:link w:val="BodyTextIndentChar"/>
    <w:rsid w:val="00D95C6B"/>
    <w:pPr>
      <w:autoSpaceDE w:val="0"/>
      <w:autoSpaceDN w:val="0"/>
    </w:pPr>
    <w:rPr>
      <w:rFonts w:ascii="Arial" w:hAnsi="Arial"/>
      <w:sz w:val="22"/>
    </w:rPr>
  </w:style>
  <w:style w:type="character" w:customStyle="1" w:styleId="BodyTextIndentChar">
    <w:name w:val="Body Text Indent Char"/>
    <w:basedOn w:val="DefaultParagraphFont"/>
    <w:link w:val="BodyTextIndent"/>
    <w:rsid w:val="00D95C6B"/>
    <w:rPr>
      <w:rFonts w:ascii="Arial" w:eastAsia="Times New Roman" w:hAnsi="Arial" w:cs="Times New Roman"/>
      <w:sz w:val="22"/>
    </w:rPr>
  </w:style>
  <w:style w:type="character" w:customStyle="1" w:styleId="highlight">
    <w:name w:val="highlight"/>
    <w:basedOn w:val="DefaultParagraphFont"/>
    <w:rsid w:val="00D95C6B"/>
  </w:style>
  <w:style w:type="paragraph" w:customStyle="1" w:styleId="paragraph">
    <w:name w:val="paragraph"/>
    <w:basedOn w:val="Normal"/>
    <w:rsid w:val="00D95C6B"/>
    <w:pPr>
      <w:tabs>
        <w:tab w:val="left" w:pos="540"/>
        <w:tab w:val="left" w:pos="900"/>
        <w:tab w:val="left" w:pos="980"/>
        <w:tab w:val="left" w:pos="1620"/>
      </w:tabs>
      <w:autoSpaceDE w:val="0"/>
      <w:autoSpaceDN w:val="0"/>
      <w:spacing w:after="100" w:line="480" w:lineRule="atLeast"/>
      <w:jc w:val="both"/>
    </w:pPr>
    <w:rPr>
      <w:rFonts w:ascii="Times" w:hAnsi="Times"/>
      <w:szCs w:val="20"/>
    </w:rPr>
  </w:style>
  <w:style w:type="table" w:styleId="TableGrid">
    <w:name w:val="Table Grid"/>
    <w:basedOn w:val="TableNormal"/>
    <w:uiPriority w:val="59"/>
    <w:rsid w:val="00D95C6B"/>
    <w:rPr>
      <w:rFonts w:ascii="Cambria" w:eastAsia="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981"/>
    <w:rPr>
      <w:sz w:val="18"/>
      <w:szCs w:val="18"/>
    </w:rPr>
  </w:style>
  <w:style w:type="character" w:customStyle="1" w:styleId="BalloonTextChar">
    <w:name w:val="Balloon Text Char"/>
    <w:basedOn w:val="DefaultParagraphFont"/>
    <w:link w:val="BalloonText"/>
    <w:uiPriority w:val="99"/>
    <w:semiHidden/>
    <w:rsid w:val="00386981"/>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fer.nmr.mgh.harvard.ed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Gregory Elder</cp:lastModifiedBy>
  <cp:revision>6</cp:revision>
  <cp:lastPrinted>2020-02-06T18:11:00Z</cp:lastPrinted>
  <dcterms:created xsi:type="dcterms:W3CDTF">2020-02-07T03:56:00Z</dcterms:created>
  <dcterms:modified xsi:type="dcterms:W3CDTF">2020-02-07T04:12:00Z</dcterms:modified>
</cp:coreProperties>
</file>