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C37" w:rsidRDefault="00843CC7" w:rsidP="00CA027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  <w:r>
        <w:rPr>
          <w:b/>
          <w:sz w:val="28"/>
          <w:szCs w:val="28"/>
        </w:rPr>
        <w:t>Supplementary t</w:t>
      </w:r>
      <w:r w:rsidR="00CA027A">
        <w:rPr>
          <w:b/>
          <w:sz w:val="28"/>
          <w:szCs w:val="28"/>
        </w:rPr>
        <w:t xml:space="preserve">able </w:t>
      </w:r>
      <w:r>
        <w:rPr>
          <w:b/>
          <w:sz w:val="28"/>
          <w:szCs w:val="28"/>
        </w:rPr>
        <w:t>1</w:t>
      </w:r>
      <w:r w:rsidR="00CA027A">
        <w:rPr>
          <w:b/>
          <w:sz w:val="28"/>
          <w:szCs w:val="28"/>
        </w:rPr>
        <w:t xml:space="preserve">. </w:t>
      </w:r>
      <w:r w:rsidR="00E272AC">
        <w:rPr>
          <w:rFonts w:ascii="Times" w:hAnsi="Times" w:cs="Times"/>
        </w:rPr>
        <w:t>Variance Inflation Factors of variables in statistical models</w:t>
      </w:r>
    </w:p>
    <w:p w:rsidR="00735C37" w:rsidRPr="00735C37" w:rsidRDefault="00735C37" w:rsidP="00735C37">
      <w:pPr>
        <w:pStyle w:val="ListParagraph"/>
        <w:numPr>
          <w:ilvl w:val="0"/>
          <w:numId w:val="1"/>
        </w:numPr>
        <w:spacing w:line="480" w:lineRule="auto"/>
        <w:ind w:left="-264"/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GB"/>
        </w:rPr>
        <w:t>TRIAD</w:t>
      </w:r>
      <w:r w:rsidRPr="00735C37"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GB"/>
        </w:rPr>
        <w:t xml:space="preserve"> Tau-PET Cohort </w:t>
      </w:r>
    </w:p>
    <w:tbl>
      <w:tblPr>
        <w:tblStyle w:val="LightShading"/>
        <w:tblpPr w:leftFromText="180" w:rightFromText="180" w:vertAnchor="text" w:horzAnchor="page" w:tblpX="730"/>
        <w:tblW w:w="6237" w:type="dxa"/>
        <w:tblLayout w:type="fixed"/>
        <w:tblLook w:val="06A0" w:firstRow="1" w:lastRow="0" w:firstColumn="1" w:lastColumn="0" w:noHBand="1" w:noVBand="1"/>
      </w:tblPr>
      <w:tblGrid>
        <w:gridCol w:w="3261"/>
        <w:gridCol w:w="2976"/>
      </w:tblGrid>
      <w:tr w:rsidR="00E272AC" w:rsidRPr="008C5FAA" w:rsidTr="00E27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:rsidR="00E272AC" w:rsidRPr="00CA027A" w:rsidRDefault="00E272AC" w:rsidP="00735C37">
            <w:pPr>
              <w:rPr>
                <w:lang w:val="en-GB"/>
              </w:rPr>
            </w:pPr>
            <w:r w:rsidRPr="00CA027A">
              <w:rPr>
                <w:sz w:val="22"/>
                <w:szCs w:val="22"/>
                <w:lang w:val="en-GB"/>
              </w:rPr>
              <w:t>Brain Region</w:t>
            </w:r>
          </w:p>
        </w:tc>
        <w:tc>
          <w:tcPr>
            <w:tcW w:w="2976" w:type="dxa"/>
            <w:vAlign w:val="center"/>
          </w:tcPr>
          <w:p w:rsidR="00E272AC" w:rsidRPr="008C5FAA" w:rsidRDefault="00E272AC" w:rsidP="001C7672">
            <w:pPr>
              <w:tabs>
                <w:tab w:val="left" w:pos="4253"/>
                <w:tab w:val="left" w:pos="5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Variance Inflation Factor (df)</w:t>
            </w:r>
          </w:p>
        </w:tc>
      </w:tr>
      <w:tr w:rsidR="00E272AC" w:rsidRPr="008C5FAA" w:rsidTr="00E272A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272AC" w:rsidRPr="008C5FAA" w:rsidRDefault="00E272AC" w:rsidP="001C7672">
            <w:pPr>
              <w:spacing w:line="480" w:lineRule="auto"/>
              <w:rPr>
                <w:color w:val="000000" w:themeColor="text1"/>
                <w:sz w:val="20"/>
                <w:szCs w:val="20"/>
                <w:lang w:val="en-GB"/>
              </w:rPr>
            </w:pPr>
            <w:r w:rsidRPr="00E272AC">
              <w:rPr>
                <w:i/>
                <w:sz w:val="21"/>
                <w:szCs w:val="21"/>
              </w:rPr>
              <w:t>APOEε4</w:t>
            </w:r>
          </w:p>
        </w:tc>
        <w:tc>
          <w:tcPr>
            <w:tcW w:w="2976" w:type="dxa"/>
            <w:vAlign w:val="center"/>
          </w:tcPr>
          <w:p w:rsidR="00E272AC" w:rsidRPr="00167FF3" w:rsidRDefault="00E272AC" w:rsidP="001C767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1.06 (</w:t>
            </w:r>
            <w:r w:rsidR="001C35B4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E272AC" w:rsidRPr="009155AA" w:rsidTr="00E272AC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272AC" w:rsidRDefault="00E272AC" w:rsidP="001C7672">
            <w:pPr>
              <w:spacing w:line="480" w:lineRule="auto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Amyloid-PET</w:t>
            </w:r>
          </w:p>
        </w:tc>
        <w:tc>
          <w:tcPr>
            <w:tcW w:w="2976" w:type="dxa"/>
            <w:vAlign w:val="center"/>
          </w:tcPr>
          <w:p w:rsidR="00E272AC" w:rsidRPr="00167FF3" w:rsidRDefault="00E272AC" w:rsidP="001C767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1.91 (</w:t>
            </w:r>
            <w:r w:rsidR="001C35B4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E272AC" w:rsidRPr="009155AA" w:rsidTr="00E272AC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272AC" w:rsidRPr="00E272AC" w:rsidRDefault="00E272AC" w:rsidP="001C7672">
            <w:pPr>
              <w:spacing w:line="480" w:lineRule="auto"/>
              <w:rPr>
                <w:iCs/>
                <w:color w:val="000000" w:themeColor="text1"/>
                <w:sz w:val="20"/>
                <w:szCs w:val="20"/>
                <w:lang w:val="en-GB"/>
              </w:rPr>
            </w:pPr>
            <w:r w:rsidRPr="00E272AC">
              <w:rPr>
                <w:i/>
                <w:sz w:val="21"/>
                <w:szCs w:val="21"/>
              </w:rPr>
              <w:t>APOEε4</w:t>
            </w:r>
            <w:r>
              <w:rPr>
                <w:i/>
                <w:sz w:val="21"/>
                <w:szCs w:val="21"/>
              </w:rPr>
              <w:t>*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Amyloid-PET</w:t>
            </w:r>
          </w:p>
        </w:tc>
        <w:tc>
          <w:tcPr>
            <w:tcW w:w="2976" w:type="dxa"/>
            <w:vAlign w:val="center"/>
          </w:tcPr>
          <w:p w:rsidR="00E272AC" w:rsidRPr="00167FF3" w:rsidRDefault="00E272AC" w:rsidP="001C767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1.58 (</w:t>
            </w:r>
            <w:r w:rsidR="001C35B4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E272AC" w:rsidRPr="00304337" w:rsidTr="00E272AC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272AC" w:rsidRPr="008C5FAA" w:rsidRDefault="00E272AC" w:rsidP="001C7672">
            <w:pPr>
              <w:spacing w:line="480" w:lineRule="auto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Age</w:t>
            </w:r>
          </w:p>
        </w:tc>
        <w:tc>
          <w:tcPr>
            <w:tcW w:w="2976" w:type="dxa"/>
            <w:vAlign w:val="center"/>
          </w:tcPr>
          <w:p w:rsidR="00E272AC" w:rsidRPr="00167FF3" w:rsidRDefault="00E272AC" w:rsidP="001C767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1.12 (</w:t>
            </w:r>
            <w:r w:rsidR="001C35B4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E272AC" w:rsidRPr="00870B71" w:rsidTr="00E272AC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272AC" w:rsidRPr="00CA027A" w:rsidRDefault="00E272AC" w:rsidP="001C7672">
            <w:pPr>
              <w:spacing w:line="480" w:lineRule="auto"/>
              <w:rPr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iCs/>
                <w:color w:val="000000" w:themeColor="text1"/>
                <w:sz w:val="20"/>
                <w:szCs w:val="20"/>
                <w:lang w:val="en-GB"/>
              </w:rPr>
              <w:t>Clinical Diagnosis</w:t>
            </w:r>
          </w:p>
        </w:tc>
        <w:tc>
          <w:tcPr>
            <w:tcW w:w="2976" w:type="dxa"/>
            <w:vAlign w:val="center"/>
          </w:tcPr>
          <w:p w:rsidR="00E272AC" w:rsidRPr="00167FF3" w:rsidRDefault="00E272AC" w:rsidP="001C767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CA"/>
              </w:rPr>
            </w:pPr>
            <w:r>
              <w:rPr>
                <w:color w:val="000000" w:themeColor="text1"/>
                <w:sz w:val="20"/>
                <w:szCs w:val="20"/>
                <w:lang w:val="en-CA"/>
              </w:rPr>
              <w:t>1.51 (</w:t>
            </w:r>
            <w:r w:rsidR="001C35B4">
              <w:rPr>
                <w:color w:val="000000" w:themeColor="text1"/>
                <w:sz w:val="20"/>
                <w:szCs w:val="20"/>
                <w:lang w:val="en-CA"/>
              </w:rPr>
              <w:t>2</w:t>
            </w:r>
            <w:r>
              <w:rPr>
                <w:color w:val="000000" w:themeColor="text1"/>
                <w:sz w:val="20"/>
                <w:szCs w:val="20"/>
                <w:lang w:val="en-CA"/>
              </w:rPr>
              <w:t>)</w:t>
            </w:r>
          </w:p>
        </w:tc>
      </w:tr>
    </w:tbl>
    <w:p w:rsidR="005C72BD" w:rsidRDefault="005C72BD" w:rsidP="00CA027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E272AC" w:rsidRDefault="00E272AC" w:rsidP="00CA027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E272AC" w:rsidRDefault="00E272AC" w:rsidP="00CA027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E272AC" w:rsidRDefault="00E272AC" w:rsidP="00CA027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E272AC" w:rsidRDefault="00E272AC" w:rsidP="00CA027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E272AC" w:rsidRDefault="00E272AC" w:rsidP="00CA027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E272AC" w:rsidRDefault="00E272AC" w:rsidP="00CA027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E272AC" w:rsidRDefault="00E272AC" w:rsidP="00CA027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735C37" w:rsidRPr="00735C37" w:rsidRDefault="00735C37" w:rsidP="00735C37">
      <w:pPr>
        <w:pStyle w:val="ListParagraph"/>
        <w:numPr>
          <w:ilvl w:val="0"/>
          <w:numId w:val="1"/>
        </w:numPr>
        <w:spacing w:line="480" w:lineRule="auto"/>
        <w:ind w:left="-264"/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GB"/>
        </w:rPr>
      </w:pPr>
      <w:r w:rsidRPr="00735C37"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GB"/>
        </w:rPr>
        <w:t>ADNI Tau-PET Cohort</w:t>
      </w:r>
    </w:p>
    <w:tbl>
      <w:tblPr>
        <w:tblStyle w:val="LightShading"/>
        <w:tblpPr w:leftFromText="180" w:rightFromText="180" w:vertAnchor="text" w:horzAnchor="page" w:tblpX="730"/>
        <w:tblW w:w="6096" w:type="dxa"/>
        <w:tblLayout w:type="fixed"/>
        <w:tblLook w:val="06A0" w:firstRow="1" w:lastRow="0" w:firstColumn="1" w:lastColumn="0" w:noHBand="1" w:noVBand="1"/>
      </w:tblPr>
      <w:tblGrid>
        <w:gridCol w:w="2979"/>
        <w:gridCol w:w="3117"/>
      </w:tblGrid>
      <w:tr w:rsidR="001C35B4" w:rsidRPr="008C5FAA" w:rsidTr="001C3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:rsidR="001C35B4" w:rsidRPr="00CA027A" w:rsidRDefault="001C35B4" w:rsidP="00735C37">
            <w:pPr>
              <w:rPr>
                <w:lang w:val="en-GB"/>
              </w:rPr>
            </w:pPr>
            <w:r w:rsidRPr="00CA027A">
              <w:rPr>
                <w:sz w:val="22"/>
                <w:szCs w:val="22"/>
                <w:lang w:val="en-GB"/>
              </w:rPr>
              <w:t>Brain Region</w:t>
            </w:r>
          </w:p>
        </w:tc>
        <w:tc>
          <w:tcPr>
            <w:tcW w:w="3117" w:type="dxa"/>
            <w:vAlign w:val="center"/>
          </w:tcPr>
          <w:p w:rsidR="001C35B4" w:rsidRPr="008C5FAA" w:rsidRDefault="001C35B4" w:rsidP="001C7672">
            <w:pPr>
              <w:tabs>
                <w:tab w:val="left" w:pos="4253"/>
                <w:tab w:val="left" w:pos="5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Variance Inflation Factor (df)</w:t>
            </w:r>
          </w:p>
        </w:tc>
      </w:tr>
      <w:tr w:rsidR="001C35B4" w:rsidRPr="008C5FAA" w:rsidTr="001C35B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</w:tcPr>
          <w:p w:rsidR="001C35B4" w:rsidRPr="008C5FAA" w:rsidRDefault="001C35B4" w:rsidP="001C35B4">
            <w:pPr>
              <w:spacing w:line="480" w:lineRule="auto"/>
              <w:rPr>
                <w:color w:val="000000" w:themeColor="text1"/>
                <w:sz w:val="20"/>
                <w:szCs w:val="20"/>
                <w:lang w:val="en-GB"/>
              </w:rPr>
            </w:pPr>
            <w:r w:rsidRPr="00E272AC">
              <w:rPr>
                <w:i/>
                <w:sz w:val="21"/>
                <w:szCs w:val="21"/>
              </w:rPr>
              <w:t>APOEε4</w:t>
            </w:r>
          </w:p>
        </w:tc>
        <w:tc>
          <w:tcPr>
            <w:tcW w:w="3117" w:type="dxa"/>
            <w:vAlign w:val="center"/>
          </w:tcPr>
          <w:p w:rsidR="001C35B4" w:rsidRPr="00CC09B8" w:rsidRDefault="00FA0D53" w:rsidP="001C35B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1.17</w:t>
            </w:r>
            <w:r w:rsidR="001C35B4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="001C35B4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1C35B4" w:rsidRPr="009155AA" w:rsidTr="001C35B4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</w:tcPr>
          <w:p w:rsidR="001C35B4" w:rsidRDefault="001C35B4" w:rsidP="001C35B4">
            <w:pPr>
              <w:spacing w:line="480" w:lineRule="auto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Amyloid-PET</w:t>
            </w:r>
          </w:p>
        </w:tc>
        <w:tc>
          <w:tcPr>
            <w:tcW w:w="3117" w:type="dxa"/>
            <w:vAlign w:val="center"/>
          </w:tcPr>
          <w:p w:rsidR="001C35B4" w:rsidRPr="00CC09B8" w:rsidRDefault="00FA0D53" w:rsidP="001C35B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2.01</w:t>
            </w:r>
            <w:r w:rsidR="001C35B4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="001C35B4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1C35B4" w:rsidRPr="00304337" w:rsidTr="001C35B4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</w:tcPr>
          <w:p w:rsidR="001C35B4" w:rsidRPr="00E272AC" w:rsidRDefault="001C35B4" w:rsidP="001C35B4">
            <w:pPr>
              <w:spacing w:line="480" w:lineRule="auto"/>
              <w:rPr>
                <w:iCs/>
                <w:color w:val="000000" w:themeColor="text1"/>
                <w:sz w:val="20"/>
                <w:szCs w:val="20"/>
                <w:lang w:val="en-GB"/>
              </w:rPr>
            </w:pPr>
            <w:r w:rsidRPr="00E272AC">
              <w:rPr>
                <w:i/>
                <w:sz w:val="21"/>
                <w:szCs w:val="21"/>
              </w:rPr>
              <w:t>APOEε4</w:t>
            </w:r>
            <w:r>
              <w:rPr>
                <w:i/>
                <w:sz w:val="21"/>
                <w:szCs w:val="21"/>
              </w:rPr>
              <w:t>*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Amyloid-PET</w:t>
            </w:r>
          </w:p>
        </w:tc>
        <w:tc>
          <w:tcPr>
            <w:tcW w:w="3117" w:type="dxa"/>
            <w:vAlign w:val="center"/>
          </w:tcPr>
          <w:p w:rsidR="001C35B4" w:rsidRPr="00CC09B8" w:rsidRDefault="00FA0D53" w:rsidP="001C35B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1.85</w:t>
            </w:r>
            <w:r w:rsidR="001C35B4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="001C35B4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1C35B4" w:rsidRPr="009155AA" w:rsidTr="001C35B4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</w:tcPr>
          <w:p w:rsidR="001C35B4" w:rsidRPr="008C5FAA" w:rsidRDefault="001C35B4" w:rsidP="001C35B4">
            <w:pPr>
              <w:spacing w:line="480" w:lineRule="auto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Age</w:t>
            </w:r>
          </w:p>
        </w:tc>
        <w:tc>
          <w:tcPr>
            <w:tcW w:w="3117" w:type="dxa"/>
            <w:vAlign w:val="center"/>
          </w:tcPr>
          <w:p w:rsidR="001C35B4" w:rsidRPr="00CC09B8" w:rsidRDefault="00FA0D53" w:rsidP="001C35B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1.11</w:t>
            </w:r>
            <w:r w:rsidR="001C35B4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="001C35B4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1C35B4" w:rsidRPr="00870B71" w:rsidTr="001C35B4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</w:tcPr>
          <w:p w:rsidR="001C35B4" w:rsidRPr="00CA027A" w:rsidRDefault="001C35B4" w:rsidP="001C35B4">
            <w:pPr>
              <w:spacing w:line="480" w:lineRule="auto"/>
              <w:rPr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iCs/>
                <w:color w:val="000000" w:themeColor="text1"/>
                <w:sz w:val="20"/>
                <w:szCs w:val="20"/>
                <w:lang w:val="en-GB"/>
              </w:rPr>
              <w:t>Clinical Diagnosis</w:t>
            </w:r>
          </w:p>
        </w:tc>
        <w:tc>
          <w:tcPr>
            <w:tcW w:w="3117" w:type="dxa"/>
            <w:vAlign w:val="center"/>
          </w:tcPr>
          <w:p w:rsidR="001C35B4" w:rsidRPr="00CC09B8" w:rsidRDefault="00FA0D53" w:rsidP="001C35B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CA"/>
              </w:rPr>
            </w:pPr>
            <w:r>
              <w:rPr>
                <w:color w:val="000000" w:themeColor="text1"/>
                <w:sz w:val="20"/>
                <w:szCs w:val="20"/>
                <w:lang w:val="en-CA"/>
              </w:rPr>
              <w:t>1.58</w:t>
            </w:r>
            <w:r w:rsidR="001C35B4">
              <w:rPr>
                <w:color w:val="000000" w:themeColor="text1"/>
                <w:sz w:val="20"/>
                <w:szCs w:val="20"/>
                <w:lang w:val="en-CA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  <w:lang w:val="en-CA"/>
              </w:rPr>
              <w:t>2</w:t>
            </w:r>
            <w:r w:rsidR="001C35B4">
              <w:rPr>
                <w:color w:val="000000" w:themeColor="text1"/>
                <w:sz w:val="20"/>
                <w:szCs w:val="20"/>
                <w:lang w:val="en-CA"/>
              </w:rPr>
              <w:t>)</w:t>
            </w:r>
          </w:p>
        </w:tc>
      </w:tr>
    </w:tbl>
    <w:p w:rsidR="00CA027A" w:rsidRDefault="00CA027A" w:rsidP="00CA027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CD59DF" w:rsidRDefault="00CD59DF" w:rsidP="00CA027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CA027A" w:rsidRDefault="00CA027A" w:rsidP="00CA027A">
      <w:pPr>
        <w:tabs>
          <w:tab w:val="left" w:pos="4062"/>
        </w:tabs>
        <w:jc w:val="both"/>
      </w:pPr>
    </w:p>
    <w:p w:rsidR="00735C37" w:rsidRDefault="00735C37" w:rsidP="00CA027A">
      <w:pPr>
        <w:tabs>
          <w:tab w:val="left" w:pos="4062"/>
        </w:tabs>
        <w:jc w:val="both"/>
      </w:pPr>
    </w:p>
    <w:p w:rsidR="001C35B4" w:rsidRDefault="001C35B4" w:rsidP="00CA027A">
      <w:pPr>
        <w:tabs>
          <w:tab w:val="left" w:pos="4062"/>
        </w:tabs>
        <w:jc w:val="both"/>
      </w:pPr>
    </w:p>
    <w:p w:rsidR="001C35B4" w:rsidRDefault="001C35B4" w:rsidP="00CA027A">
      <w:pPr>
        <w:tabs>
          <w:tab w:val="left" w:pos="4062"/>
        </w:tabs>
        <w:jc w:val="both"/>
      </w:pPr>
    </w:p>
    <w:p w:rsidR="001C35B4" w:rsidRDefault="001C35B4" w:rsidP="00CA027A">
      <w:pPr>
        <w:tabs>
          <w:tab w:val="left" w:pos="4062"/>
        </w:tabs>
        <w:jc w:val="both"/>
      </w:pPr>
    </w:p>
    <w:p w:rsidR="001C35B4" w:rsidRDefault="001C35B4" w:rsidP="00CA027A">
      <w:pPr>
        <w:tabs>
          <w:tab w:val="left" w:pos="4062"/>
        </w:tabs>
        <w:jc w:val="both"/>
      </w:pPr>
    </w:p>
    <w:p w:rsidR="001C35B4" w:rsidRDefault="001C35B4" w:rsidP="00CA027A">
      <w:pPr>
        <w:tabs>
          <w:tab w:val="left" w:pos="4062"/>
        </w:tabs>
        <w:jc w:val="both"/>
      </w:pPr>
    </w:p>
    <w:p w:rsidR="001C35B4" w:rsidRDefault="001C35B4" w:rsidP="00CA027A">
      <w:pPr>
        <w:tabs>
          <w:tab w:val="left" w:pos="4062"/>
        </w:tabs>
        <w:jc w:val="both"/>
      </w:pPr>
    </w:p>
    <w:p w:rsidR="001C35B4" w:rsidRDefault="001C35B4" w:rsidP="00CA027A">
      <w:pPr>
        <w:tabs>
          <w:tab w:val="left" w:pos="4062"/>
        </w:tabs>
        <w:jc w:val="both"/>
      </w:pPr>
    </w:p>
    <w:p w:rsidR="00735C37" w:rsidRPr="00735C37" w:rsidRDefault="00735C37" w:rsidP="00735C37">
      <w:pPr>
        <w:pStyle w:val="ListParagraph"/>
        <w:numPr>
          <w:ilvl w:val="0"/>
          <w:numId w:val="1"/>
        </w:numPr>
        <w:spacing w:line="480" w:lineRule="auto"/>
        <w:ind w:left="-94"/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GB"/>
        </w:rPr>
      </w:pPr>
      <w:r w:rsidRPr="00735C37"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GB"/>
        </w:rPr>
        <w:lastRenderedPageBreak/>
        <w:t xml:space="preserve">ADNI </w:t>
      </w:r>
      <w:r w:rsidR="008F558C"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GB"/>
        </w:rPr>
        <w:t>CSF</w:t>
      </w:r>
      <w:r w:rsidRPr="00735C37"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GB"/>
        </w:rPr>
        <w:t xml:space="preserve"> Cohort</w:t>
      </w:r>
    </w:p>
    <w:tbl>
      <w:tblPr>
        <w:tblStyle w:val="LightShading"/>
        <w:tblpPr w:leftFromText="180" w:rightFromText="180" w:vertAnchor="text" w:horzAnchor="page" w:tblpX="730"/>
        <w:tblW w:w="6096" w:type="dxa"/>
        <w:tblLayout w:type="fixed"/>
        <w:tblLook w:val="06A0" w:firstRow="1" w:lastRow="0" w:firstColumn="1" w:lastColumn="0" w:noHBand="1" w:noVBand="1"/>
      </w:tblPr>
      <w:tblGrid>
        <w:gridCol w:w="2979"/>
        <w:gridCol w:w="3117"/>
      </w:tblGrid>
      <w:tr w:rsidR="008F558C" w:rsidRPr="008C5FAA" w:rsidTr="008F55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:rsidR="008F558C" w:rsidRPr="00CA027A" w:rsidRDefault="008F558C" w:rsidP="00735C37">
            <w:pPr>
              <w:rPr>
                <w:lang w:val="en-GB"/>
              </w:rPr>
            </w:pPr>
            <w:r w:rsidRPr="00CA027A">
              <w:rPr>
                <w:sz w:val="22"/>
                <w:szCs w:val="22"/>
                <w:lang w:val="en-GB"/>
              </w:rPr>
              <w:t>Brain Region</w:t>
            </w:r>
          </w:p>
        </w:tc>
        <w:tc>
          <w:tcPr>
            <w:tcW w:w="3117" w:type="dxa"/>
            <w:vAlign w:val="center"/>
          </w:tcPr>
          <w:p w:rsidR="008F558C" w:rsidRPr="008C5FAA" w:rsidRDefault="003459D0" w:rsidP="001C7672">
            <w:pPr>
              <w:tabs>
                <w:tab w:val="left" w:pos="4253"/>
                <w:tab w:val="left" w:pos="5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Variance Inflation Factor (df)</w:t>
            </w:r>
          </w:p>
        </w:tc>
      </w:tr>
      <w:tr w:rsidR="008F558C" w:rsidRPr="008C5FAA" w:rsidTr="008F558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</w:tcPr>
          <w:p w:rsidR="008F558C" w:rsidRPr="008C5FAA" w:rsidRDefault="008F558C" w:rsidP="008F558C">
            <w:pPr>
              <w:spacing w:line="480" w:lineRule="auto"/>
              <w:rPr>
                <w:color w:val="000000" w:themeColor="text1"/>
                <w:sz w:val="20"/>
                <w:szCs w:val="20"/>
                <w:lang w:val="en-GB"/>
              </w:rPr>
            </w:pPr>
            <w:r w:rsidRPr="00E272AC">
              <w:rPr>
                <w:i/>
                <w:sz w:val="21"/>
                <w:szCs w:val="21"/>
              </w:rPr>
              <w:t>APOEε4</w:t>
            </w:r>
          </w:p>
        </w:tc>
        <w:tc>
          <w:tcPr>
            <w:tcW w:w="3117" w:type="dxa"/>
            <w:vAlign w:val="center"/>
          </w:tcPr>
          <w:p w:rsidR="008F558C" w:rsidRPr="00CC09B8" w:rsidRDefault="008F558C" w:rsidP="008F55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2.28 (2)</w:t>
            </w:r>
          </w:p>
        </w:tc>
      </w:tr>
      <w:tr w:rsidR="008F558C" w:rsidRPr="009155AA" w:rsidTr="008F558C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</w:tcPr>
          <w:p w:rsidR="008F558C" w:rsidRDefault="008F558C" w:rsidP="008F558C">
            <w:pPr>
              <w:spacing w:line="480" w:lineRule="auto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Amyloid-PET</w:t>
            </w:r>
          </w:p>
        </w:tc>
        <w:tc>
          <w:tcPr>
            <w:tcW w:w="3117" w:type="dxa"/>
            <w:vAlign w:val="center"/>
          </w:tcPr>
          <w:p w:rsidR="008F558C" w:rsidRPr="00CC09B8" w:rsidRDefault="008F558C" w:rsidP="008F55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1.73 (1)</w:t>
            </w:r>
          </w:p>
        </w:tc>
      </w:tr>
      <w:tr w:rsidR="008F558C" w:rsidRPr="00304337" w:rsidTr="008F558C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</w:tcPr>
          <w:p w:rsidR="008F558C" w:rsidRPr="00E272AC" w:rsidRDefault="008F558C" w:rsidP="008F558C">
            <w:pPr>
              <w:spacing w:line="480" w:lineRule="auto"/>
              <w:rPr>
                <w:iCs/>
                <w:color w:val="000000" w:themeColor="text1"/>
                <w:sz w:val="20"/>
                <w:szCs w:val="20"/>
                <w:lang w:val="en-GB"/>
              </w:rPr>
            </w:pPr>
            <w:r w:rsidRPr="00E272AC">
              <w:rPr>
                <w:i/>
                <w:sz w:val="21"/>
                <w:szCs w:val="21"/>
              </w:rPr>
              <w:t>APOEε4</w:t>
            </w:r>
            <w:r>
              <w:rPr>
                <w:i/>
                <w:sz w:val="21"/>
                <w:szCs w:val="21"/>
              </w:rPr>
              <w:t>*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Amyloid-PET</w:t>
            </w:r>
          </w:p>
        </w:tc>
        <w:tc>
          <w:tcPr>
            <w:tcW w:w="3117" w:type="dxa"/>
            <w:vAlign w:val="center"/>
          </w:tcPr>
          <w:p w:rsidR="008F558C" w:rsidRPr="00CC09B8" w:rsidRDefault="003700B8" w:rsidP="008F55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3.14</w:t>
            </w:r>
            <w:r w:rsidR="008F558C">
              <w:rPr>
                <w:color w:val="000000" w:themeColor="text1"/>
                <w:sz w:val="20"/>
                <w:szCs w:val="20"/>
              </w:rPr>
              <w:t xml:space="preserve"> (2)</w:t>
            </w:r>
          </w:p>
        </w:tc>
      </w:tr>
      <w:tr w:rsidR="008F558C" w:rsidRPr="009155AA" w:rsidTr="008F558C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</w:tcPr>
          <w:p w:rsidR="008F558C" w:rsidRPr="008C5FAA" w:rsidRDefault="008F558C" w:rsidP="008F558C">
            <w:pPr>
              <w:spacing w:line="480" w:lineRule="auto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Age</w:t>
            </w:r>
          </w:p>
        </w:tc>
        <w:tc>
          <w:tcPr>
            <w:tcW w:w="3117" w:type="dxa"/>
            <w:vAlign w:val="center"/>
          </w:tcPr>
          <w:p w:rsidR="008F558C" w:rsidRPr="00CC09B8" w:rsidRDefault="008F558C" w:rsidP="008F55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1.05 (1)</w:t>
            </w:r>
          </w:p>
        </w:tc>
      </w:tr>
      <w:tr w:rsidR="008F558C" w:rsidRPr="00870B71" w:rsidTr="008F558C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</w:tcPr>
          <w:p w:rsidR="008F558C" w:rsidRPr="008F558C" w:rsidRDefault="008F558C" w:rsidP="008F558C">
            <w:pPr>
              <w:spacing w:line="480" w:lineRule="auto"/>
              <w:rPr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iCs/>
                <w:color w:val="000000" w:themeColor="text1"/>
                <w:sz w:val="20"/>
                <w:szCs w:val="20"/>
                <w:lang w:val="en-GB"/>
              </w:rPr>
              <w:t xml:space="preserve">Clinical Diagnosis </w:t>
            </w:r>
          </w:p>
        </w:tc>
        <w:tc>
          <w:tcPr>
            <w:tcW w:w="3117" w:type="dxa"/>
            <w:vAlign w:val="center"/>
          </w:tcPr>
          <w:p w:rsidR="008F558C" w:rsidRPr="00CC09B8" w:rsidRDefault="008F558C" w:rsidP="008F558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CA"/>
              </w:rPr>
            </w:pPr>
            <w:r>
              <w:rPr>
                <w:color w:val="000000" w:themeColor="text1"/>
                <w:sz w:val="20"/>
                <w:szCs w:val="20"/>
                <w:lang w:val="en-CA"/>
              </w:rPr>
              <w:t>1.23 (2)</w:t>
            </w:r>
          </w:p>
        </w:tc>
      </w:tr>
    </w:tbl>
    <w:p w:rsidR="00381AC5" w:rsidRDefault="00381AC5" w:rsidP="005C72BD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8F558C" w:rsidRDefault="008F558C" w:rsidP="005C72BD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8F558C" w:rsidRDefault="008F558C" w:rsidP="005C72BD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8F558C" w:rsidRDefault="008F558C" w:rsidP="005C72BD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8F558C" w:rsidRDefault="008F558C" w:rsidP="005C72BD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</w:rPr>
      </w:pPr>
    </w:p>
    <w:p w:rsidR="00C81B23" w:rsidRDefault="00C81B23"/>
    <w:p w:rsidR="00B05C94" w:rsidRDefault="00B05C94"/>
    <w:p w:rsidR="00B05C94" w:rsidRDefault="00B05C94"/>
    <w:p w:rsidR="00B05C94" w:rsidRDefault="00B05C94"/>
    <w:p w:rsidR="00B05C94" w:rsidRDefault="00B10D25">
      <w:r>
        <w:t>This table</w:t>
      </w:r>
      <w:r w:rsidR="00B05C94">
        <w:t xml:space="preserve"> reports </w:t>
      </w:r>
      <w:r>
        <w:t xml:space="preserve">Variance Inflation Factors (VIF) for each variable in each statistical model. Degrees of freedom for each variable are reported in parentheses. Most VIFs were </w:t>
      </w:r>
      <w:r w:rsidR="003700B8">
        <w:t xml:space="preserve">below </w:t>
      </w:r>
      <w:r>
        <w:t>2, and</w:t>
      </w:r>
      <w:r w:rsidR="003700B8">
        <w:t xml:space="preserve"> all were below 4.</w:t>
      </w:r>
      <w:r>
        <w:t xml:space="preserve"> A VIF of 1 indicates no collinearity, while VIFs of 5-10 are considered </w:t>
      </w:r>
      <w:r w:rsidR="003700B8">
        <w:t xml:space="preserve">to indicate </w:t>
      </w:r>
      <w:r>
        <w:t>problematic</w:t>
      </w:r>
      <w:r w:rsidR="003700B8">
        <w:t xml:space="preserve"> levels of </w:t>
      </w:r>
      <w:r w:rsidR="00C728D1">
        <w:t>multicollinearity</w:t>
      </w:r>
      <w:r>
        <w:t>.</w:t>
      </w:r>
      <w:bookmarkStart w:id="0" w:name="_GoBack"/>
      <w:bookmarkEnd w:id="0"/>
    </w:p>
    <w:sectPr w:rsidR="00B05C94" w:rsidSect="00CD59D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05781"/>
    <w:multiLevelType w:val="hybridMultilevel"/>
    <w:tmpl w:val="3BC8C590"/>
    <w:lvl w:ilvl="0" w:tplc="C2FE2B7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57205"/>
    <w:multiLevelType w:val="hybridMultilevel"/>
    <w:tmpl w:val="A8F08260"/>
    <w:lvl w:ilvl="0" w:tplc="4308FEF6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95E9F"/>
    <w:multiLevelType w:val="hybridMultilevel"/>
    <w:tmpl w:val="C7B64E68"/>
    <w:lvl w:ilvl="0" w:tplc="C2FE2B7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6440F"/>
    <w:multiLevelType w:val="hybridMultilevel"/>
    <w:tmpl w:val="3BC8C590"/>
    <w:lvl w:ilvl="0" w:tplc="C2FE2B7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84288"/>
    <w:multiLevelType w:val="hybridMultilevel"/>
    <w:tmpl w:val="3BC8C590"/>
    <w:lvl w:ilvl="0" w:tplc="C2FE2B7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66F74"/>
    <w:multiLevelType w:val="hybridMultilevel"/>
    <w:tmpl w:val="3BC8C590"/>
    <w:lvl w:ilvl="0" w:tplc="C2FE2B7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71C53"/>
    <w:multiLevelType w:val="hybridMultilevel"/>
    <w:tmpl w:val="C7B64E68"/>
    <w:lvl w:ilvl="0" w:tplc="C2FE2B7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1207E"/>
    <w:multiLevelType w:val="hybridMultilevel"/>
    <w:tmpl w:val="3BC8C590"/>
    <w:lvl w:ilvl="0" w:tplc="C2FE2B7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0316E"/>
    <w:multiLevelType w:val="hybridMultilevel"/>
    <w:tmpl w:val="3D02D44A"/>
    <w:lvl w:ilvl="0" w:tplc="C2FE2B7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7A"/>
    <w:rsid w:val="00024B1C"/>
    <w:rsid w:val="000D1D8F"/>
    <w:rsid w:val="000D380F"/>
    <w:rsid w:val="00167FF3"/>
    <w:rsid w:val="001C35B4"/>
    <w:rsid w:val="001E54C6"/>
    <w:rsid w:val="002B5DA4"/>
    <w:rsid w:val="002C7CD4"/>
    <w:rsid w:val="0033071F"/>
    <w:rsid w:val="003345A3"/>
    <w:rsid w:val="003459D0"/>
    <w:rsid w:val="003700B8"/>
    <w:rsid w:val="00381AC5"/>
    <w:rsid w:val="003E0A20"/>
    <w:rsid w:val="004F279B"/>
    <w:rsid w:val="0051025F"/>
    <w:rsid w:val="005C72BD"/>
    <w:rsid w:val="006C2BEB"/>
    <w:rsid w:val="00735C37"/>
    <w:rsid w:val="00813FF2"/>
    <w:rsid w:val="008230D2"/>
    <w:rsid w:val="00843CC7"/>
    <w:rsid w:val="0087128E"/>
    <w:rsid w:val="008942E9"/>
    <w:rsid w:val="008F558C"/>
    <w:rsid w:val="00943D8E"/>
    <w:rsid w:val="00AB2318"/>
    <w:rsid w:val="00AE230C"/>
    <w:rsid w:val="00B05C94"/>
    <w:rsid w:val="00B10D25"/>
    <w:rsid w:val="00BA31B0"/>
    <w:rsid w:val="00C55D02"/>
    <w:rsid w:val="00C728D1"/>
    <w:rsid w:val="00C81B23"/>
    <w:rsid w:val="00CA027A"/>
    <w:rsid w:val="00CC09B8"/>
    <w:rsid w:val="00CC3FD3"/>
    <w:rsid w:val="00CD59DF"/>
    <w:rsid w:val="00CE766C"/>
    <w:rsid w:val="00D32419"/>
    <w:rsid w:val="00E272AC"/>
    <w:rsid w:val="00FA0D53"/>
    <w:rsid w:val="00FB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6D499CC-9D37-A84C-B3CE-A4B82027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27A"/>
    <w:rPr>
      <w:rFonts w:ascii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A027A"/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CA027A"/>
    <w:pPr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FF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FF2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Therriault</dc:creator>
  <cp:keywords/>
  <dc:description/>
  <cp:lastModifiedBy>Joseph Therriault</cp:lastModifiedBy>
  <cp:revision>7</cp:revision>
  <dcterms:created xsi:type="dcterms:W3CDTF">2019-11-14T21:31:00Z</dcterms:created>
  <dcterms:modified xsi:type="dcterms:W3CDTF">2019-11-15T20:56:00Z</dcterms:modified>
</cp:coreProperties>
</file>