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2EC6D" w14:textId="45B318C6" w:rsidR="00F77484" w:rsidRPr="00F77484" w:rsidRDefault="00F77484" w:rsidP="001D33C4">
      <w:pPr>
        <w:spacing w:line="360" w:lineRule="auto"/>
        <w:rPr>
          <w:rFonts w:ascii="Arial" w:hAnsi="Arial" w:cs="Arial"/>
          <w:b/>
        </w:rPr>
      </w:pPr>
      <w:bookmarkStart w:id="0" w:name="_Hlk41583710"/>
      <w:r w:rsidRPr="00F77484">
        <w:rPr>
          <w:rFonts w:ascii="Arial" w:hAnsi="Arial" w:cs="Arial" w:hint="eastAsia"/>
          <w:b/>
        </w:rPr>
        <w:t>Supplementary material</w:t>
      </w:r>
    </w:p>
    <w:p w14:paraId="5CAE2897" w14:textId="47E3C3FF" w:rsidR="001D33C4" w:rsidRPr="003746B0" w:rsidRDefault="001D33C4" w:rsidP="001D33C4">
      <w:pPr>
        <w:spacing w:line="360" w:lineRule="auto"/>
        <w:rPr>
          <w:rFonts w:ascii="Arial" w:hAnsi="Arial" w:cs="Arial"/>
          <w:u w:val="single"/>
        </w:rPr>
      </w:pPr>
      <w:r w:rsidRPr="003746B0">
        <w:rPr>
          <w:rFonts w:ascii="Arial" w:hAnsi="Arial" w:cs="Arial"/>
          <w:u w:val="single"/>
        </w:rPr>
        <w:t>Types of interventions</w:t>
      </w:r>
    </w:p>
    <w:bookmarkEnd w:id="0"/>
    <w:p w14:paraId="20581E32" w14:textId="77777777" w:rsidR="001D33C4" w:rsidRPr="003746B0" w:rsidRDefault="001D33C4" w:rsidP="001D33C4">
      <w:pPr>
        <w:spacing w:line="360" w:lineRule="auto"/>
        <w:rPr>
          <w:rFonts w:ascii="Arial" w:hAnsi="Arial" w:cs="Arial"/>
          <w:color w:val="000000"/>
        </w:rPr>
      </w:pPr>
      <w:r>
        <w:rPr>
          <w:rFonts w:ascii="Arial" w:hAnsi="Arial" w:cs="Arial"/>
          <w:color w:val="000000"/>
        </w:rPr>
        <w:t>T</w:t>
      </w:r>
      <w:r w:rsidRPr="003746B0">
        <w:rPr>
          <w:rFonts w:ascii="Arial" w:hAnsi="Arial" w:cs="Arial"/>
          <w:color w:val="000000"/>
        </w:rPr>
        <w:t>he following 31 antidepressants</w:t>
      </w:r>
      <w:r>
        <w:rPr>
          <w:rFonts w:ascii="Arial" w:hAnsi="Arial" w:cs="Arial"/>
          <w:color w:val="000000"/>
        </w:rPr>
        <w:t xml:space="preserve"> were included:</w:t>
      </w:r>
      <w:r w:rsidRPr="003746B0">
        <w:rPr>
          <w:rFonts w:ascii="Arial" w:hAnsi="Arial" w:cs="Arial"/>
          <w:color w:val="000000"/>
        </w:rPr>
        <w:t xml:space="preserve"> Agomelatine, Amitriptyline, Amoxapine, Bupropion, Citalopram, Clomipramine, Desvenlafaxine, Doslepin, Duloxetine, Escitalopram, Fluoxetine, Fluvoxamine, Imipramine, Levomilnacipran, Lofepramine, Maprotiline, Mianserin, Milnacipran, Mirtazapine, Nefazodone, Nortriptyline, Paroxetine, Reboxetine, Sertraline, Setiptiline, Tianeptine, Trazodone, Trimipramine, Venlafaxine, Vilazodone, Vortioxetine. The selection of these antidepressants was based on a previous meta-analysis</w:t>
      </w:r>
      <w:r>
        <w:rPr>
          <w:rFonts w:ascii="Arial" w:hAnsi="Arial" w:cs="Arial"/>
          <w:color w:val="000000"/>
        </w:rPr>
        <w:fldChar w:fldCharType="begin">
          <w:fldData xml:space="preserve">PEVuZE5vdGU+PENpdGU+PEF1dGhvcj5DaXByaWFuaTwvQXV0aG9yPjxZZWFyPjIwMTg8L1llYXI+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PEVuZE5vdGU+PENpdGU+PEF1dGhvcj5DaXByaWFuaTwvQXV0aG9yPjxZZWFyPjIwMTg8L1llYXI+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Pr="005B1CCB">
        <w:rPr>
          <w:rFonts w:ascii="Arial" w:hAnsi="Arial" w:cs="Arial"/>
          <w:noProof/>
          <w:color w:val="000000"/>
          <w:vertAlign w:val="superscript"/>
        </w:rPr>
        <w:t>18</w:t>
      </w:r>
      <w:r>
        <w:rPr>
          <w:rFonts w:ascii="Arial" w:hAnsi="Arial" w:cs="Arial"/>
          <w:color w:val="000000"/>
        </w:rPr>
        <w:fldChar w:fldCharType="end"/>
      </w:r>
      <w:r w:rsidRPr="003746B0">
        <w:rPr>
          <w:rFonts w:ascii="Arial" w:hAnsi="Arial" w:cs="Arial"/>
          <w:color w:val="000000"/>
        </w:rPr>
        <w:t xml:space="preserve"> and other antidepressants </w:t>
      </w:r>
      <w:r>
        <w:rPr>
          <w:rFonts w:ascii="Arial" w:hAnsi="Arial" w:cs="Arial"/>
          <w:color w:val="000000"/>
        </w:rPr>
        <w:t xml:space="preserve">commonly </w:t>
      </w:r>
      <w:r w:rsidRPr="003746B0">
        <w:rPr>
          <w:rFonts w:ascii="Arial" w:hAnsi="Arial" w:cs="Arial"/>
          <w:color w:val="000000"/>
        </w:rPr>
        <w:t>prescribed world</w:t>
      </w:r>
      <w:r>
        <w:rPr>
          <w:rFonts w:ascii="Arial" w:hAnsi="Arial" w:cs="Arial"/>
          <w:color w:val="000000"/>
        </w:rPr>
        <w:t>wide</w:t>
      </w:r>
      <w:r w:rsidRPr="003746B0">
        <w:rPr>
          <w:rFonts w:ascii="Arial" w:hAnsi="Arial" w:cs="Arial"/>
          <w:color w:val="000000"/>
        </w:rPr>
        <w:t xml:space="preserve">. Only studies looking at antidepressant monotherapy were included. Studies of combination antidepressant </w:t>
      </w:r>
      <w:r>
        <w:rPr>
          <w:rFonts w:ascii="Arial" w:hAnsi="Arial" w:cs="Arial"/>
          <w:color w:val="000000"/>
        </w:rPr>
        <w:t xml:space="preserve">and </w:t>
      </w:r>
      <w:r w:rsidRPr="003746B0">
        <w:rPr>
          <w:rFonts w:ascii="Arial" w:hAnsi="Arial" w:cs="Arial"/>
          <w:color w:val="000000"/>
        </w:rPr>
        <w:t>electroconvulsive therapy or psychotherapy were excluded.</w:t>
      </w:r>
    </w:p>
    <w:p w14:paraId="6F8B28DF" w14:textId="77777777" w:rsidR="001D33C4" w:rsidRDefault="001D33C4" w:rsidP="001D33C4"/>
    <w:p w14:paraId="48ABE281" w14:textId="77777777" w:rsidR="001D33C4" w:rsidRPr="003746B0" w:rsidRDefault="001D33C4" w:rsidP="001D33C4">
      <w:pPr>
        <w:spacing w:line="360" w:lineRule="auto"/>
        <w:rPr>
          <w:rFonts w:ascii="Arial" w:hAnsi="Arial" w:cs="Arial"/>
          <w:u w:val="single"/>
        </w:rPr>
      </w:pPr>
      <w:bookmarkStart w:id="1" w:name="_Hlk41583721"/>
      <w:r w:rsidRPr="003746B0">
        <w:rPr>
          <w:rFonts w:ascii="Arial" w:hAnsi="Arial" w:cs="Arial"/>
          <w:u w:val="single"/>
        </w:rPr>
        <w:t>Data extraction</w:t>
      </w:r>
    </w:p>
    <w:bookmarkEnd w:id="1"/>
    <w:p w14:paraId="051D537F" w14:textId="77777777" w:rsidR="001D33C4" w:rsidRPr="003746B0" w:rsidRDefault="001D33C4" w:rsidP="001D33C4">
      <w:pPr>
        <w:spacing w:line="360" w:lineRule="auto"/>
        <w:rPr>
          <w:rFonts w:ascii="Arial" w:hAnsi="Arial" w:cs="Arial"/>
          <w:color w:val="FF0000"/>
        </w:rPr>
      </w:pPr>
      <w:r w:rsidRPr="003746B0">
        <w:rPr>
          <w:rFonts w:ascii="Arial" w:hAnsi="Arial" w:cs="Arial"/>
        </w:rPr>
        <w:t xml:space="preserve">Two reviewers independently extracted the data. Any disagreement was resolved by discussion with another reviewer. </w:t>
      </w:r>
    </w:p>
    <w:p w14:paraId="5118E070" w14:textId="77777777" w:rsidR="001D33C4" w:rsidRPr="003746B0" w:rsidRDefault="001D33C4" w:rsidP="001D33C4">
      <w:pPr>
        <w:spacing w:line="360" w:lineRule="auto"/>
        <w:rPr>
          <w:rFonts w:ascii="Arial" w:hAnsi="Arial" w:cs="Arial"/>
        </w:rPr>
      </w:pPr>
    </w:p>
    <w:p w14:paraId="42671675" w14:textId="77777777" w:rsidR="001D33C4" w:rsidRPr="003746B0" w:rsidRDefault="001D33C4" w:rsidP="001D33C4">
      <w:pPr>
        <w:spacing w:line="360" w:lineRule="auto"/>
        <w:rPr>
          <w:rFonts w:ascii="Arial" w:hAnsi="Arial" w:cs="Arial"/>
          <w:u w:val="single"/>
        </w:rPr>
      </w:pPr>
      <w:bookmarkStart w:id="2" w:name="_Hlk41583731"/>
      <w:r w:rsidRPr="003746B0">
        <w:rPr>
          <w:rFonts w:ascii="Arial" w:hAnsi="Arial" w:cs="Arial"/>
          <w:u w:val="single"/>
        </w:rPr>
        <w:t>Risk of bias assessment</w:t>
      </w:r>
    </w:p>
    <w:bookmarkEnd w:id="2"/>
    <w:p w14:paraId="07D56451" w14:textId="457FB7B7" w:rsidR="001D33C4" w:rsidRPr="003746B0" w:rsidRDefault="001D33C4" w:rsidP="001D33C4">
      <w:pPr>
        <w:spacing w:line="360" w:lineRule="auto"/>
        <w:rPr>
          <w:rFonts w:ascii="Arial" w:hAnsi="Arial" w:cs="Arial"/>
        </w:rPr>
      </w:pPr>
      <w:r w:rsidRPr="003746B0">
        <w:rPr>
          <w:rFonts w:ascii="Arial" w:hAnsi="Arial" w:cs="Arial"/>
        </w:rPr>
        <w:t>We assessed the risk of bias of each study using five domains of the Cochrane Risk of Bias tool namely, random sequence generation, allocation concealment, blinding of participants and personnel, blinding of outcome assessment, and incomplete outcome data. A table was generated using RevMan 5.3.</w:t>
      </w:r>
    </w:p>
    <w:p w14:paraId="20763ACA" w14:textId="77777777" w:rsidR="001D33C4" w:rsidRPr="003746B0" w:rsidRDefault="001D33C4" w:rsidP="001D33C4">
      <w:pPr>
        <w:spacing w:line="360" w:lineRule="auto"/>
        <w:rPr>
          <w:rFonts w:ascii="Arial" w:hAnsi="Arial" w:cs="Arial"/>
        </w:rPr>
      </w:pPr>
    </w:p>
    <w:p w14:paraId="72BA162C" w14:textId="77777777" w:rsidR="001D33C4" w:rsidRPr="003746B0" w:rsidRDefault="001D33C4" w:rsidP="001D33C4">
      <w:pPr>
        <w:spacing w:line="360" w:lineRule="auto"/>
        <w:rPr>
          <w:rFonts w:ascii="Arial" w:hAnsi="Arial" w:cs="Arial"/>
          <w:u w:val="single"/>
        </w:rPr>
      </w:pPr>
      <w:bookmarkStart w:id="3" w:name="_Hlk41583747"/>
      <w:r w:rsidRPr="003746B0">
        <w:rPr>
          <w:rFonts w:ascii="Arial" w:hAnsi="Arial" w:cs="Arial"/>
          <w:u w:val="single"/>
        </w:rPr>
        <w:t>Assessment of reporting biases</w:t>
      </w:r>
    </w:p>
    <w:bookmarkEnd w:id="3"/>
    <w:p w14:paraId="67F17810" w14:textId="77777777" w:rsidR="001D33C4" w:rsidRPr="003746B0" w:rsidRDefault="001D33C4" w:rsidP="001D33C4">
      <w:pPr>
        <w:spacing w:line="360" w:lineRule="auto"/>
        <w:rPr>
          <w:rFonts w:ascii="Arial" w:hAnsi="Arial" w:cs="Arial"/>
        </w:rPr>
      </w:pPr>
      <w:r w:rsidRPr="003746B0">
        <w:rPr>
          <w:rFonts w:ascii="Arial" w:hAnsi="Arial" w:cs="Arial"/>
        </w:rPr>
        <w:lastRenderedPageBreak/>
        <w:t>To control for potential publication bias, the funnel plots were presented and formally analyzed by the method of Egger et al.,</w:t>
      </w:r>
      <w:r>
        <w:rPr>
          <w:rFonts w:ascii="Arial" w:hAnsi="Arial" w:cs="Arial"/>
        </w:rPr>
        <w:fldChar w:fldCharType="begin"/>
      </w:r>
      <w:r>
        <w:rPr>
          <w:rFonts w:ascii="Arial" w:hAnsi="Arial" w:cs="Arial"/>
        </w:rPr>
        <w:instrText xml:space="preserve"> ADDIN EN.CITE &lt;EndNote&gt;&lt;Cite&gt;&lt;Author&gt;Egger&lt;/Author&gt;&lt;Year&gt;1997&lt;/Year&gt;&lt;RecNum&gt;64&lt;/RecNum&gt;&lt;DisplayText&gt;&lt;style face="superscript"&gt;19&lt;/style&gt;&lt;/DisplayText&gt;&lt;record&gt;&lt;rec-number&gt;64&lt;/rec-number&gt;&lt;foreign-keys&gt;&lt;key app="EN" db-id="wttssdvw7rpfv4e0xtjx2t902afdeawverws" timestamp="1583996591"&gt;64&lt;/key&gt;&lt;/foreign-keys&gt;&lt;ref-type name="Journal Article"&gt;17&lt;/ref-type&gt;&lt;contributors&gt;&lt;authors&gt;&lt;author&gt;Egger, M.&lt;/author&gt;&lt;author&gt;Davey Smith, G.&lt;/author&gt;&lt;author&gt;Schneider, M.&lt;/author&gt;&lt;author&gt;Minder, C.&lt;/author&gt;&lt;/authors&gt;&lt;/contributors&gt;&lt;auth-address&gt;Department of Social Medicine, University of Bristol. m.egger@bristol.ac.uk&lt;/auth-address&gt;&lt;titles&gt;&lt;title&gt;Bias in meta-analysis detected by a simple, graphical test&lt;/title&gt;&lt;secondary-title&gt;BMJ&lt;/secondary-title&gt;&lt;/titles&gt;&lt;periodical&gt;&lt;full-title&gt;BMJ&lt;/full-title&gt;&lt;/periodical&gt;&lt;pages&gt;629-34&lt;/pages&gt;&lt;volume&gt;315&lt;/volume&gt;&lt;number&gt;7109&lt;/number&gt;&lt;edition&gt;1997/10/06&lt;/edition&gt;&lt;keywords&gt;&lt;keyword&gt;*Bias&lt;/keyword&gt;&lt;keyword&gt;*Meta-Analysis as Topic&lt;/keyword&gt;&lt;keyword&gt;Randomized Controlled Trials as Topic&lt;/keyword&gt;&lt;keyword&gt;Regression Analysis&lt;/keyword&gt;&lt;keyword&gt;Statistics as Topic&lt;/keyword&gt;&lt;keyword&gt;Treatment Outcome&lt;/keyword&gt;&lt;/keywords&gt;&lt;dates&gt;&lt;year&gt;1997&lt;/year&gt;&lt;pub-dates&gt;&lt;date&gt;Sep 13&lt;/date&gt;&lt;/pub-dates&gt;&lt;/dates&gt;&lt;isbn&gt;0959-8138 (Print)&amp;#xD;0959-8138 (Linking)&lt;/isbn&gt;&lt;accession-num&gt;9310563&lt;/accession-num&gt;&lt;urls&gt;&lt;related-urls&gt;&lt;url&gt;https://www.ncbi.nlm.nih.gov/pubmed/9310563&lt;/url&gt;&lt;/related-urls&gt;&lt;/urls&gt;&lt;custom2&gt;PMC2127453&lt;/custom2&gt;&lt;electronic-resource-num&gt;10.1136/bmj.315.7109.629&lt;/electronic-resource-num&gt;&lt;/record&gt;&lt;/Cite&gt;&lt;/EndNote&gt;</w:instrText>
      </w:r>
      <w:r>
        <w:rPr>
          <w:rFonts w:ascii="Arial" w:hAnsi="Arial" w:cs="Arial"/>
        </w:rPr>
        <w:fldChar w:fldCharType="separate"/>
      </w:r>
      <w:r w:rsidRPr="007C5CB6">
        <w:rPr>
          <w:rFonts w:ascii="Arial" w:hAnsi="Arial" w:cs="Arial"/>
          <w:noProof/>
          <w:vertAlign w:val="superscript"/>
        </w:rPr>
        <w:t>19</w:t>
      </w:r>
      <w:r>
        <w:rPr>
          <w:rFonts w:ascii="Arial" w:hAnsi="Arial" w:cs="Arial"/>
        </w:rPr>
        <w:fldChar w:fldCharType="end"/>
      </w:r>
      <w:r w:rsidRPr="003746B0">
        <w:rPr>
          <w:rFonts w:ascii="Arial" w:hAnsi="Arial" w:cs="Arial"/>
        </w:rPr>
        <w:t xml:space="preserve"> which is based on a linear regression of standard normal deviation of the OR on the inverse of the standard error of the OR.</w:t>
      </w:r>
    </w:p>
    <w:p w14:paraId="3597F52D" w14:textId="77777777" w:rsidR="001D33C4" w:rsidRPr="003746B0" w:rsidRDefault="001D33C4" w:rsidP="001D33C4">
      <w:pPr>
        <w:spacing w:line="360" w:lineRule="auto"/>
        <w:rPr>
          <w:rFonts w:ascii="Arial" w:hAnsi="Arial" w:cs="Arial"/>
        </w:rPr>
      </w:pPr>
    </w:p>
    <w:p w14:paraId="21A58063" w14:textId="77777777" w:rsidR="001D33C4" w:rsidRPr="003746B0" w:rsidRDefault="001D33C4" w:rsidP="001D33C4">
      <w:pPr>
        <w:spacing w:line="360" w:lineRule="auto"/>
        <w:rPr>
          <w:rFonts w:ascii="Arial" w:hAnsi="Arial" w:cs="Arial"/>
          <w:u w:val="single"/>
        </w:rPr>
      </w:pPr>
      <w:bookmarkStart w:id="4" w:name="_Hlk41583759"/>
      <w:r w:rsidRPr="003746B0">
        <w:rPr>
          <w:rFonts w:ascii="Arial" w:hAnsi="Arial" w:cs="Arial"/>
          <w:u w:val="single"/>
        </w:rPr>
        <w:t>Assessment of heterogeneity</w:t>
      </w:r>
    </w:p>
    <w:bookmarkEnd w:id="4"/>
    <w:p w14:paraId="653B22EA" w14:textId="77777777" w:rsidR="001D33C4" w:rsidRPr="003746B0" w:rsidRDefault="001D33C4" w:rsidP="001D33C4">
      <w:pPr>
        <w:spacing w:line="360" w:lineRule="auto"/>
        <w:rPr>
          <w:rFonts w:ascii="Arial" w:hAnsi="Arial" w:cs="Arial"/>
        </w:rPr>
      </w:pPr>
      <w:r w:rsidRPr="003746B0">
        <w:rPr>
          <w:rFonts w:ascii="Arial" w:hAnsi="Arial" w:cs="Arial"/>
        </w:rPr>
        <w:t>We assessed statistical heterogeneity using I</w:t>
      </w:r>
      <w:r w:rsidRPr="003746B0">
        <w:rPr>
          <w:rFonts w:ascii="Arial" w:hAnsi="Arial" w:cs="Arial"/>
          <w:vertAlign w:val="superscript"/>
        </w:rPr>
        <w:t>2</w:t>
      </w:r>
      <w:r w:rsidRPr="003746B0">
        <w:rPr>
          <w:rFonts w:ascii="Arial" w:hAnsi="Arial" w:cs="Arial"/>
        </w:rPr>
        <w:t xml:space="preserve"> statistic.</w:t>
      </w:r>
    </w:p>
    <w:p w14:paraId="28B759C1" w14:textId="77777777" w:rsidR="001D33C4" w:rsidRDefault="001D33C4" w:rsidP="001D33C4"/>
    <w:p w14:paraId="1CFB066D" w14:textId="68092E18" w:rsidR="001D33C4" w:rsidRPr="00AA28BE" w:rsidRDefault="001D33C4" w:rsidP="001D33C4">
      <w:pPr>
        <w:spacing w:line="360" w:lineRule="auto"/>
        <w:rPr>
          <w:rFonts w:ascii="Arial" w:hAnsi="Arial" w:cs="Arial"/>
          <w:u w:val="single"/>
        </w:rPr>
      </w:pPr>
      <w:bookmarkStart w:id="5" w:name="_Hlk41579372"/>
      <w:r w:rsidRPr="00AA28BE">
        <w:rPr>
          <w:rFonts w:ascii="Arial" w:hAnsi="Arial" w:cs="Arial"/>
          <w:u w:val="single"/>
        </w:rPr>
        <w:t>Factors used in</w:t>
      </w:r>
      <w:r w:rsidR="00401F5E" w:rsidRPr="00AA28BE">
        <w:rPr>
          <w:rFonts w:ascii="Arial" w:hAnsi="Arial" w:cs="Arial"/>
          <w:u w:val="single"/>
        </w:rPr>
        <w:t xml:space="preserve"> the</w:t>
      </w:r>
      <w:r w:rsidRPr="00AA28BE">
        <w:rPr>
          <w:rFonts w:ascii="Arial" w:hAnsi="Arial" w:cs="Arial"/>
          <w:u w:val="single"/>
        </w:rPr>
        <w:t xml:space="preserve"> </w:t>
      </w:r>
      <w:r w:rsidR="00934B67" w:rsidRPr="00AA28BE">
        <w:rPr>
          <w:rFonts w:ascii="Arial" w:hAnsi="Arial" w:cs="Arial" w:hint="eastAsia"/>
          <w:u w:val="single"/>
        </w:rPr>
        <w:t>meta-regression and/or subgroup analysis</w:t>
      </w:r>
    </w:p>
    <w:bookmarkEnd w:id="5"/>
    <w:p w14:paraId="653237BF" w14:textId="56A50F59" w:rsidR="001D33C4" w:rsidRPr="00AA28BE" w:rsidRDefault="001D33C4" w:rsidP="001D33C4">
      <w:pPr>
        <w:spacing w:line="360" w:lineRule="auto"/>
        <w:rPr>
          <w:rFonts w:ascii="Arial" w:hAnsi="Arial" w:cs="Arial"/>
        </w:rPr>
      </w:pPr>
      <w:r w:rsidRPr="00AA28BE">
        <w:rPr>
          <w:rFonts w:ascii="Arial" w:hAnsi="Arial" w:cs="Arial"/>
        </w:rPr>
        <w:t>(a)</w:t>
      </w:r>
      <w:r w:rsidR="004E4F1F" w:rsidRPr="00AA28BE">
        <w:rPr>
          <w:rFonts w:ascii="Arial" w:hAnsi="Arial" w:cs="Arial"/>
        </w:rPr>
        <w:t xml:space="preserve"> </w:t>
      </w:r>
      <w:r w:rsidRPr="00AA28BE">
        <w:rPr>
          <w:rFonts w:ascii="Arial" w:hAnsi="Arial" w:cs="Arial"/>
        </w:rPr>
        <w:t>Age group: Children and adolescents, older people, or other</w:t>
      </w:r>
      <w:r w:rsidR="00401F5E" w:rsidRPr="00AA28BE">
        <w:rPr>
          <w:rFonts w:ascii="Arial" w:hAnsi="Arial" w:cs="Arial"/>
        </w:rPr>
        <w:t>s</w:t>
      </w:r>
      <w:r w:rsidRPr="00AA28BE">
        <w:rPr>
          <w:rFonts w:ascii="Arial" w:hAnsi="Arial" w:cs="Arial"/>
        </w:rPr>
        <w:t>; (b)</w:t>
      </w:r>
      <w:r w:rsidR="004E4F1F" w:rsidRPr="00AA28BE">
        <w:rPr>
          <w:rFonts w:ascii="Arial" w:hAnsi="Arial" w:cs="Arial"/>
        </w:rPr>
        <w:t xml:space="preserve"> </w:t>
      </w:r>
      <w:r w:rsidRPr="00AA28BE">
        <w:rPr>
          <w:rFonts w:ascii="Arial" w:hAnsi="Arial" w:cs="Arial"/>
        </w:rPr>
        <w:t>Sex: Percentage of female subjects; (c) Types of antidepressants: Classical antidepressants, SSRIs</w:t>
      </w:r>
      <w:r w:rsidR="00401F5E" w:rsidRPr="00AA28BE">
        <w:rPr>
          <w:rFonts w:ascii="Arial" w:hAnsi="Arial" w:cs="Arial"/>
        </w:rPr>
        <w:t>,</w:t>
      </w:r>
      <w:r w:rsidRPr="00AA28BE">
        <w:rPr>
          <w:rFonts w:ascii="Arial" w:hAnsi="Arial" w:cs="Arial"/>
        </w:rPr>
        <w:t xml:space="preserve"> or other newer agents; (d) Discontinuation methods</w:t>
      </w:r>
      <w:r w:rsidR="004E4F1F" w:rsidRPr="00AA28BE">
        <w:rPr>
          <w:rFonts w:ascii="Arial" w:hAnsi="Arial" w:cs="Arial"/>
        </w:rPr>
        <w:t>:</w:t>
      </w:r>
      <w:r w:rsidRPr="00AA28BE">
        <w:rPr>
          <w:rFonts w:ascii="Arial" w:hAnsi="Arial" w:cs="Arial"/>
        </w:rPr>
        <w:t xml:space="preserve"> Abrupt discontinuation or tapering; (e) Dosing schedule: Flexible or fixed; (f) Length of continuous treatment before randomization; (g) Total length of acute period and continuous treatment before randomization; (h) Length of maintenance treatment after randomization; (</w:t>
      </w:r>
      <w:proofErr w:type="spellStart"/>
      <w:r w:rsidRPr="00AA28BE">
        <w:rPr>
          <w:rFonts w:ascii="Arial" w:hAnsi="Arial" w:cs="Arial"/>
        </w:rPr>
        <w:t>i</w:t>
      </w:r>
      <w:proofErr w:type="spellEnd"/>
      <w:r w:rsidRPr="00AA28BE">
        <w:rPr>
          <w:rFonts w:ascii="Arial" w:hAnsi="Arial" w:cs="Arial"/>
        </w:rPr>
        <w:t>) Research area: United States, Europe</w:t>
      </w:r>
      <w:r w:rsidR="00401F5E" w:rsidRPr="00AA28BE">
        <w:rPr>
          <w:rFonts w:ascii="Arial" w:hAnsi="Arial" w:cs="Arial"/>
        </w:rPr>
        <w:t xml:space="preserve">, </w:t>
      </w:r>
      <w:r w:rsidRPr="00AA28BE">
        <w:rPr>
          <w:rFonts w:ascii="Arial" w:hAnsi="Arial" w:cs="Arial"/>
        </w:rPr>
        <w:t xml:space="preserve">or other; (j) Study year; </w:t>
      </w:r>
      <w:r w:rsidR="004E4F1F" w:rsidRPr="00AA28BE">
        <w:rPr>
          <w:rFonts w:ascii="Arial" w:hAnsi="Arial" w:cs="Arial"/>
        </w:rPr>
        <w:t xml:space="preserve">and </w:t>
      </w:r>
      <w:r w:rsidRPr="00AA28BE">
        <w:rPr>
          <w:rFonts w:ascii="Arial" w:hAnsi="Arial" w:cs="Arial"/>
        </w:rPr>
        <w:t>(k) Limit</w:t>
      </w:r>
      <w:r w:rsidR="004E4F1F" w:rsidRPr="00AA28BE">
        <w:rPr>
          <w:rFonts w:ascii="Arial" w:hAnsi="Arial" w:cs="Arial"/>
        </w:rPr>
        <w:t>ation</w:t>
      </w:r>
      <w:r w:rsidRPr="00AA28BE">
        <w:rPr>
          <w:rFonts w:ascii="Arial" w:hAnsi="Arial" w:cs="Arial"/>
        </w:rPr>
        <w:t xml:space="preserve"> to recurrent depression.</w:t>
      </w:r>
    </w:p>
    <w:p w14:paraId="32C28F60" w14:textId="283A50F6" w:rsidR="006C0410" w:rsidRPr="00934B67" w:rsidRDefault="006C0410" w:rsidP="001D33C4">
      <w:pPr>
        <w:rPr>
          <w:color w:val="FF0000"/>
        </w:rPr>
      </w:pPr>
    </w:p>
    <w:sectPr w:rsidR="006C0410" w:rsidRPr="00934B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C9A05" w14:textId="77777777" w:rsidR="00F46C9F" w:rsidRDefault="00F46C9F" w:rsidP="006C0410">
      <w:r>
        <w:separator/>
      </w:r>
    </w:p>
  </w:endnote>
  <w:endnote w:type="continuationSeparator" w:id="0">
    <w:p w14:paraId="74A3D4B8" w14:textId="77777777" w:rsidR="00F46C9F" w:rsidRDefault="00F46C9F" w:rsidP="006C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4E84D" w14:textId="77777777" w:rsidR="00F46C9F" w:rsidRDefault="00F46C9F" w:rsidP="006C0410">
      <w:r>
        <w:separator/>
      </w:r>
    </w:p>
  </w:footnote>
  <w:footnote w:type="continuationSeparator" w:id="0">
    <w:p w14:paraId="09AC9CDE" w14:textId="77777777" w:rsidR="00F46C9F" w:rsidRDefault="00F46C9F" w:rsidP="006C04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92"/>
    <w:rsid w:val="00040143"/>
    <w:rsid w:val="00132892"/>
    <w:rsid w:val="00180D98"/>
    <w:rsid w:val="001D33C4"/>
    <w:rsid w:val="00385321"/>
    <w:rsid w:val="00401F5E"/>
    <w:rsid w:val="00472A9D"/>
    <w:rsid w:val="004E4F1F"/>
    <w:rsid w:val="00507092"/>
    <w:rsid w:val="0066593D"/>
    <w:rsid w:val="006C0410"/>
    <w:rsid w:val="007333F6"/>
    <w:rsid w:val="00780F03"/>
    <w:rsid w:val="007C54A0"/>
    <w:rsid w:val="008B0A61"/>
    <w:rsid w:val="00934B67"/>
    <w:rsid w:val="009400B5"/>
    <w:rsid w:val="00A82527"/>
    <w:rsid w:val="00AA28BE"/>
    <w:rsid w:val="00B362A2"/>
    <w:rsid w:val="00B835EE"/>
    <w:rsid w:val="00C843CA"/>
    <w:rsid w:val="00EA0B60"/>
    <w:rsid w:val="00F46C9F"/>
    <w:rsid w:val="00F7162A"/>
    <w:rsid w:val="00F77484"/>
    <w:rsid w:val="00FE384F"/>
    <w:rsid w:val="00FF4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28D3F0"/>
  <w15:docId w15:val="{5FA428EC-5778-4616-92F8-7C480AC0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092"/>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0410"/>
    <w:pPr>
      <w:tabs>
        <w:tab w:val="center" w:pos="4252"/>
        <w:tab w:val="right" w:pos="8504"/>
      </w:tabs>
      <w:snapToGrid w:val="0"/>
    </w:pPr>
  </w:style>
  <w:style w:type="character" w:customStyle="1" w:styleId="a4">
    <w:name w:val="ヘッダー (文字)"/>
    <w:basedOn w:val="a0"/>
    <w:link w:val="a3"/>
    <w:uiPriority w:val="99"/>
    <w:rsid w:val="006C0410"/>
    <w:rPr>
      <w:sz w:val="24"/>
      <w:szCs w:val="24"/>
    </w:rPr>
  </w:style>
  <w:style w:type="paragraph" w:styleId="a5">
    <w:name w:val="footer"/>
    <w:basedOn w:val="a"/>
    <w:link w:val="a6"/>
    <w:uiPriority w:val="99"/>
    <w:unhideWhenUsed/>
    <w:rsid w:val="006C0410"/>
    <w:pPr>
      <w:tabs>
        <w:tab w:val="center" w:pos="4252"/>
        <w:tab w:val="right" w:pos="8504"/>
      </w:tabs>
      <w:snapToGrid w:val="0"/>
    </w:pPr>
  </w:style>
  <w:style w:type="character" w:customStyle="1" w:styleId="a6">
    <w:name w:val="フッター (文字)"/>
    <w:basedOn w:val="a0"/>
    <w:link w:val="a5"/>
    <w:uiPriority w:val="99"/>
    <w:rsid w:val="006C0410"/>
    <w:rPr>
      <w:sz w:val="24"/>
      <w:szCs w:val="24"/>
    </w:rPr>
  </w:style>
  <w:style w:type="paragraph" w:styleId="a7">
    <w:name w:val="List Paragraph"/>
    <w:basedOn w:val="a"/>
    <w:uiPriority w:val="34"/>
    <w:qFormat/>
    <w:rsid w:val="004E4F1F"/>
    <w:pPr>
      <w:ind w:left="720"/>
      <w:contextualSpacing/>
    </w:pPr>
  </w:style>
  <w:style w:type="paragraph" w:styleId="a8">
    <w:name w:val="Balloon Text"/>
    <w:basedOn w:val="a"/>
    <w:link w:val="a9"/>
    <w:uiPriority w:val="99"/>
    <w:semiHidden/>
    <w:unhideWhenUsed/>
    <w:rsid w:val="004E4F1F"/>
    <w:rPr>
      <w:rFonts w:ascii="Segoe UI" w:hAnsi="Segoe UI" w:cs="Segoe UI"/>
      <w:sz w:val="18"/>
      <w:szCs w:val="18"/>
    </w:rPr>
  </w:style>
  <w:style w:type="character" w:customStyle="1" w:styleId="a9">
    <w:name w:val="吹き出し (文字)"/>
    <w:basedOn w:val="a0"/>
    <w:link w:val="a8"/>
    <w:uiPriority w:val="99"/>
    <w:semiHidden/>
    <w:rsid w:val="004E4F1F"/>
    <w:rPr>
      <w:rFonts w:ascii="Segoe UI" w:hAnsi="Segoe UI" w:cs="Segoe UI"/>
      <w:sz w:val="18"/>
      <w:szCs w:val="18"/>
    </w:rPr>
  </w:style>
  <w:style w:type="character" w:styleId="aa">
    <w:name w:val="annotation reference"/>
    <w:basedOn w:val="a0"/>
    <w:uiPriority w:val="99"/>
    <w:semiHidden/>
    <w:unhideWhenUsed/>
    <w:rsid w:val="00A82527"/>
    <w:rPr>
      <w:sz w:val="16"/>
      <w:szCs w:val="16"/>
    </w:rPr>
  </w:style>
  <w:style w:type="paragraph" w:styleId="ab">
    <w:name w:val="annotation text"/>
    <w:basedOn w:val="a"/>
    <w:link w:val="ac"/>
    <w:uiPriority w:val="99"/>
    <w:semiHidden/>
    <w:unhideWhenUsed/>
    <w:rsid w:val="00A82527"/>
    <w:rPr>
      <w:sz w:val="20"/>
      <w:szCs w:val="20"/>
    </w:rPr>
  </w:style>
  <w:style w:type="character" w:customStyle="1" w:styleId="ac">
    <w:name w:val="コメント文字列 (文字)"/>
    <w:basedOn w:val="a0"/>
    <w:link w:val="ab"/>
    <w:uiPriority w:val="99"/>
    <w:semiHidden/>
    <w:rsid w:val="00A82527"/>
    <w:rPr>
      <w:sz w:val="20"/>
      <w:szCs w:val="20"/>
    </w:rPr>
  </w:style>
  <w:style w:type="paragraph" w:styleId="ad">
    <w:name w:val="annotation subject"/>
    <w:basedOn w:val="ab"/>
    <w:next w:val="ab"/>
    <w:link w:val="ae"/>
    <w:uiPriority w:val="99"/>
    <w:semiHidden/>
    <w:unhideWhenUsed/>
    <w:rsid w:val="00A82527"/>
    <w:rPr>
      <w:b/>
      <w:bCs/>
    </w:rPr>
  </w:style>
  <w:style w:type="character" w:customStyle="1" w:styleId="ae">
    <w:name w:val="コメント内容 (文字)"/>
    <w:basedOn w:val="ac"/>
    <w:link w:val="ad"/>
    <w:uiPriority w:val="99"/>
    <w:semiHidden/>
    <w:rsid w:val="00A825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577</Words>
  <Characters>3294</Characters>
  <Application>Microsoft Office Word</Application>
  <DocSecurity>0</DocSecurity>
  <Lines>27</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正樹</dc:creator>
  <cp:keywords/>
  <dc:description/>
  <cp:lastModifiedBy>加藤 正樹</cp:lastModifiedBy>
  <cp:revision>4</cp:revision>
  <dcterms:created xsi:type="dcterms:W3CDTF">2020-06-08T10:15:00Z</dcterms:created>
  <dcterms:modified xsi:type="dcterms:W3CDTF">2020-07-02T10:22:00Z</dcterms:modified>
</cp:coreProperties>
</file>