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E29622" w14:textId="77777777" w:rsidR="00A039C4" w:rsidRDefault="00A039C4" w:rsidP="00A039C4">
      <w:pPr>
        <w:spacing w:line="360" w:lineRule="auto"/>
        <w:jc w:val="both"/>
        <w:rPr>
          <w:b/>
        </w:rPr>
      </w:pPr>
      <w:bookmarkStart w:id="0" w:name="_GoBack"/>
      <w:bookmarkEnd w:id="0"/>
      <w:r>
        <w:rPr>
          <w:b/>
        </w:rPr>
        <w:t>Chondroitin 6-sulphate is required for neuroplasticity and memory in ageing</w:t>
      </w:r>
    </w:p>
    <w:p w14:paraId="00023353" w14:textId="57825FC6" w:rsidR="00A039C4" w:rsidRDefault="00A039C4" w:rsidP="00A039C4">
      <w:pPr>
        <w:spacing w:line="360" w:lineRule="auto"/>
        <w:jc w:val="both"/>
      </w:pPr>
      <w:r>
        <w:t>Yang,</w:t>
      </w:r>
      <w:r w:rsidR="0001012B">
        <w:t xml:space="preserve"> SJ et al. Supplementary Methods and Figures.</w:t>
      </w:r>
    </w:p>
    <w:p w14:paraId="527116BE" w14:textId="34A007FE" w:rsidR="0001012B" w:rsidRDefault="0001012B" w:rsidP="00A039C4">
      <w:pPr>
        <w:spacing w:line="360" w:lineRule="auto"/>
        <w:jc w:val="both"/>
      </w:pPr>
      <w:r>
        <w:t>MATERIALS and METHODS</w:t>
      </w:r>
    </w:p>
    <w:p w14:paraId="1F7883A3" w14:textId="77777777" w:rsidR="0001012B" w:rsidRPr="007C49CC" w:rsidRDefault="0001012B" w:rsidP="0001012B">
      <w:pPr>
        <w:jc w:val="both"/>
        <w:rPr>
          <w:rFonts w:cstheme="minorHAnsi"/>
        </w:rPr>
      </w:pPr>
      <w:r w:rsidRPr="007C49CC">
        <w:rPr>
          <w:rFonts w:cstheme="minorHAnsi"/>
        </w:rPr>
        <w:t>Mice</w:t>
      </w:r>
    </w:p>
    <w:p w14:paraId="6D5ED044" w14:textId="77777777" w:rsidR="0001012B" w:rsidRPr="007C49CC" w:rsidRDefault="0001012B" w:rsidP="0001012B">
      <w:pPr>
        <w:jc w:val="both"/>
        <w:rPr>
          <w:rFonts w:cstheme="minorHAnsi"/>
        </w:rPr>
      </w:pPr>
    </w:p>
    <w:p w14:paraId="28A37DE0" w14:textId="77777777" w:rsidR="007B1D6F" w:rsidRPr="00196AEA" w:rsidRDefault="0001012B" w:rsidP="007B1D6F">
      <w:pPr>
        <w:rPr>
          <w:rFonts w:asciiTheme="majorHAnsi" w:hAnsiTheme="majorHAnsi" w:cstheme="minorHAnsi"/>
        </w:rPr>
      </w:pPr>
      <w:r w:rsidRPr="007C49CC">
        <w:rPr>
          <w:rFonts w:cstheme="minorHAnsi"/>
        </w:rPr>
        <w:t>The normal wild type (WT) C57BL/6J (Charles river, UK) mice were used for ChABC treatment study and 6M of age represents for young adults and 20M for aged group. In order to test between C6S and memory, two transgenic mouse models were used; c6st-1 (encoded by chst3 gene) knockout mice (</w:t>
      </w:r>
      <w:r w:rsidRPr="007C49CC">
        <w:rPr>
          <w:rFonts w:cstheme="minorHAnsi"/>
          <w:color w:val="000000" w:themeColor="text1"/>
        </w:rPr>
        <w:t>21</w:t>
      </w:r>
      <w:r w:rsidRPr="007C49CC">
        <w:rPr>
          <w:rFonts w:cstheme="minorHAnsi"/>
        </w:rPr>
        <w:t xml:space="preserve">) and chst3-1 overexpressing Tg mice (22). Age-matched littermates were used as control mice. Animals had unrestricted access to food and water, and were maintained on a 12 hr light/dark cycle (lights off at 7:00 P.M.). All experiments were carried out in accordance with the UK Home Office Regulations for the Care and Use of Laboratory Animals and the UK Animals (Scientific Procedures) Act 1986. </w:t>
      </w:r>
      <w:r w:rsidR="007B1D6F">
        <w:rPr>
          <w:rFonts w:asciiTheme="majorHAnsi" w:hAnsiTheme="majorHAnsi" w:cstheme="minorHAnsi"/>
        </w:rPr>
        <w:t xml:space="preserve">Group sizes were calculated using power analysis, using previous work on PNNs and memory for effect size and variance. </w:t>
      </w:r>
    </w:p>
    <w:p w14:paraId="6968A88D" w14:textId="2320CF6C" w:rsidR="0001012B" w:rsidRPr="007C49CC" w:rsidRDefault="0001012B" w:rsidP="0001012B">
      <w:pPr>
        <w:jc w:val="both"/>
        <w:rPr>
          <w:rFonts w:cstheme="minorHAnsi"/>
        </w:rPr>
      </w:pPr>
    </w:p>
    <w:p w14:paraId="6F172022" w14:textId="77777777" w:rsidR="0001012B" w:rsidRPr="007C49CC" w:rsidRDefault="0001012B" w:rsidP="0001012B">
      <w:pPr>
        <w:jc w:val="both"/>
        <w:rPr>
          <w:rFonts w:cstheme="minorHAnsi"/>
        </w:rPr>
      </w:pPr>
    </w:p>
    <w:p w14:paraId="65389C4E" w14:textId="77777777" w:rsidR="0001012B" w:rsidRPr="007C49CC" w:rsidRDefault="0001012B" w:rsidP="0001012B">
      <w:pPr>
        <w:jc w:val="both"/>
        <w:rPr>
          <w:rFonts w:cstheme="minorHAnsi"/>
        </w:rPr>
      </w:pPr>
      <w:r w:rsidRPr="007C49CC">
        <w:rPr>
          <w:rFonts w:cstheme="minorHAnsi"/>
        </w:rPr>
        <w:t>Generation of adeno-associated viral vectors</w:t>
      </w:r>
      <w:r w:rsidRPr="007C49CC">
        <w:rPr>
          <w:rFonts w:cstheme="minorHAnsi"/>
        </w:rPr>
        <w:tab/>
      </w:r>
    </w:p>
    <w:p w14:paraId="47D1422A" w14:textId="77777777" w:rsidR="0001012B" w:rsidRPr="007C49CC" w:rsidRDefault="0001012B" w:rsidP="0001012B">
      <w:pPr>
        <w:jc w:val="both"/>
        <w:rPr>
          <w:rFonts w:cstheme="minorHAnsi"/>
        </w:rPr>
      </w:pPr>
    </w:p>
    <w:p w14:paraId="41E41954" w14:textId="77777777" w:rsidR="0001012B" w:rsidRPr="007C49CC" w:rsidRDefault="0001012B" w:rsidP="0001012B">
      <w:pPr>
        <w:jc w:val="both"/>
        <w:rPr>
          <w:rFonts w:cstheme="minorHAnsi"/>
        </w:rPr>
      </w:pPr>
      <w:r w:rsidRPr="007C49CC">
        <w:rPr>
          <w:rFonts w:cstheme="minorHAnsi"/>
        </w:rPr>
        <w:t xml:space="preserve">The plasmid encoding AAV-PGK-chst3 was made by amplifying the mouse chst3 sequence from plasmid MR207541 (OriGene) via the primers 5’ GGAATTCATAGGGCGGCCGGGAA 3’ and 5’ AGCGCTGGCCGGCCGTTTAAAC 3’ and was cloned into plasmid AAV-PGK-Cre (Addgene plasmid # 24593) between the AfeI (NEB, R0652) and EcoRI (NEB, R0101) sites to substitute the Cre recombinase gene. The eGFP sequence of AAV-CMV-eGFP (Addgene plasmid # 67634) was amplified by using the primers 5’ GGAATTCATGGTGAGCAAGGGCGAG 3’ and 5’ AGCGCTTTACTTGTACAGCTCGTCCATG 3’, which was next cloned into the digested AAV-PGK-backbone. These virus vectors were turned into a recombinant adeno-associated viral vector with serotype 1 as described in previously published protocol (J. Verhaagen </w:t>
      </w:r>
      <w:r w:rsidRPr="007C49CC">
        <w:rPr>
          <w:rFonts w:cstheme="minorHAnsi"/>
          <w:i/>
        </w:rPr>
        <w:t>et al.</w:t>
      </w:r>
      <w:r w:rsidRPr="007C49CC">
        <w:rPr>
          <w:rFonts w:cstheme="minorHAnsi"/>
        </w:rPr>
        <w:t>, 2018). For the present study, the following vectors were produced: AAV1-PGK-</w:t>
      </w:r>
      <w:r w:rsidRPr="007C49CC">
        <w:rPr>
          <w:rFonts w:cstheme="minorHAnsi"/>
          <w:i/>
        </w:rPr>
        <w:t>chst3</w:t>
      </w:r>
      <w:r w:rsidRPr="007C49CC">
        <w:rPr>
          <w:rFonts w:cstheme="minorHAnsi"/>
        </w:rPr>
        <w:t xml:space="preserve"> 1.44x10</w:t>
      </w:r>
      <w:r w:rsidRPr="007C49CC">
        <w:rPr>
          <w:rFonts w:cstheme="minorHAnsi"/>
          <w:vertAlign w:val="superscript"/>
        </w:rPr>
        <w:t>12</w:t>
      </w:r>
      <w:r w:rsidRPr="007C49CC">
        <w:rPr>
          <w:rFonts w:cstheme="minorHAnsi"/>
        </w:rPr>
        <w:t xml:space="preserve"> gc/ml; AAV1-PGK-GFP 1.42x10</w:t>
      </w:r>
      <w:r w:rsidRPr="007C49CC">
        <w:rPr>
          <w:rFonts w:cstheme="minorHAnsi"/>
          <w:vertAlign w:val="superscript"/>
        </w:rPr>
        <w:t>12</w:t>
      </w:r>
      <w:r w:rsidRPr="007C49CC">
        <w:rPr>
          <w:rFonts w:cstheme="minorHAnsi"/>
        </w:rPr>
        <w:t xml:space="preserve"> gc/ml; AAV1-SYN-GFP 8.99x10</w:t>
      </w:r>
      <w:r w:rsidRPr="007C49CC">
        <w:rPr>
          <w:rFonts w:cstheme="minorHAnsi"/>
          <w:vertAlign w:val="superscript"/>
        </w:rPr>
        <w:t>12</w:t>
      </w:r>
      <w:r w:rsidRPr="007C49CC">
        <w:rPr>
          <w:rFonts w:cstheme="minorHAnsi"/>
        </w:rPr>
        <w:t xml:space="preserve"> gc/ml</w:t>
      </w:r>
    </w:p>
    <w:p w14:paraId="66AC7DB6" w14:textId="77777777" w:rsidR="0001012B" w:rsidRPr="007C49CC" w:rsidRDefault="0001012B" w:rsidP="0001012B">
      <w:pPr>
        <w:jc w:val="both"/>
        <w:rPr>
          <w:rFonts w:eastAsia="Times New Roman"/>
          <w:color w:val="000000"/>
          <w:lang w:val="en-GB"/>
        </w:rPr>
      </w:pPr>
    </w:p>
    <w:p w14:paraId="025F92ED" w14:textId="77777777" w:rsidR="0001012B" w:rsidRPr="007C49CC" w:rsidRDefault="0001012B" w:rsidP="0001012B">
      <w:pPr>
        <w:jc w:val="both"/>
        <w:rPr>
          <w:rFonts w:eastAsiaTheme="minorHAnsi" w:cs="Segoe UI"/>
        </w:rPr>
      </w:pPr>
      <w:r w:rsidRPr="007C49CC">
        <w:rPr>
          <w:rFonts w:eastAsiaTheme="minorHAnsi" w:cs="Segoe UI"/>
        </w:rPr>
        <w:t xml:space="preserve">J. Verhaagen </w:t>
      </w:r>
      <w:r w:rsidRPr="007C49CC">
        <w:rPr>
          <w:rFonts w:eastAsiaTheme="minorHAnsi" w:cs="Segoe UI"/>
          <w:i/>
          <w:iCs/>
        </w:rPr>
        <w:t>et al.</w:t>
      </w:r>
      <w:r w:rsidRPr="007C49CC">
        <w:rPr>
          <w:rFonts w:eastAsiaTheme="minorHAnsi" w:cs="Segoe UI"/>
        </w:rPr>
        <w:t xml:space="preserve">, Small Scale Production of Recombinant Adeno-Associated Viral Vectors for Gene Delivery to the Nervous System. </w:t>
      </w:r>
      <w:r w:rsidRPr="007C49CC">
        <w:rPr>
          <w:rFonts w:eastAsiaTheme="minorHAnsi" w:cs="Segoe UI"/>
          <w:iCs/>
        </w:rPr>
        <w:t>Methods Mol. Biol.</w:t>
      </w:r>
      <w:r w:rsidRPr="007C49CC">
        <w:rPr>
          <w:rFonts w:eastAsiaTheme="minorHAnsi" w:cs="Segoe UI"/>
        </w:rPr>
        <w:t xml:space="preserve"> </w:t>
      </w:r>
      <w:r w:rsidRPr="007C49CC">
        <w:rPr>
          <w:rFonts w:eastAsiaTheme="minorHAnsi" w:cs="Segoe UI"/>
          <w:bCs/>
        </w:rPr>
        <w:t>1715</w:t>
      </w:r>
      <w:r w:rsidRPr="007C49CC">
        <w:rPr>
          <w:rFonts w:eastAsiaTheme="minorHAnsi" w:cs="Segoe UI"/>
        </w:rPr>
        <w:t>, 3–17 (2018).</w:t>
      </w:r>
    </w:p>
    <w:p w14:paraId="27943F7A" w14:textId="77777777" w:rsidR="0001012B" w:rsidRPr="007C49CC" w:rsidRDefault="0001012B" w:rsidP="0001012B">
      <w:pPr>
        <w:jc w:val="both"/>
        <w:rPr>
          <w:rFonts w:cstheme="minorHAnsi"/>
        </w:rPr>
      </w:pPr>
    </w:p>
    <w:p w14:paraId="7D53F9B2" w14:textId="77777777" w:rsidR="0001012B" w:rsidRPr="007C49CC" w:rsidRDefault="0001012B" w:rsidP="0001012B">
      <w:pPr>
        <w:jc w:val="both"/>
        <w:rPr>
          <w:rFonts w:cstheme="minorHAnsi"/>
        </w:rPr>
      </w:pPr>
      <w:r w:rsidRPr="007C49CC">
        <w:rPr>
          <w:rFonts w:cstheme="minorHAnsi"/>
        </w:rPr>
        <w:t>Animal surgeries</w:t>
      </w:r>
    </w:p>
    <w:p w14:paraId="199F125C" w14:textId="77777777" w:rsidR="0001012B" w:rsidRPr="007C49CC" w:rsidRDefault="0001012B" w:rsidP="0001012B">
      <w:pPr>
        <w:jc w:val="both"/>
        <w:rPr>
          <w:rFonts w:cstheme="minorHAnsi"/>
        </w:rPr>
      </w:pPr>
    </w:p>
    <w:p w14:paraId="6B64A6C8" w14:textId="77777777" w:rsidR="007B1D6F" w:rsidRPr="001842C7" w:rsidRDefault="0001012B" w:rsidP="007B1D6F">
      <w:pPr>
        <w:rPr>
          <w:rFonts w:asciiTheme="majorHAnsi" w:hAnsiTheme="majorHAnsi" w:cstheme="minorHAnsi"/>
        </w:rPr>
      </w:pPr>
      <w:r w:rsidRPr="007C49CC">
        <w:rPr>
          <w:rFonts w:cstheme="minorHAnsi"/>
        </w:rPr>
        <w:t xml:space="preserve">Animal surgeries were performed under isoflurane anesthesia. ChABC (50 U/ml in PBS, Seikagaku), or AAV vectors (AAV1-PGK-Chst3 or AAV1-PGK-GFPor AAV1-SYN-GFP) was </w:t>
      </w:r>
      <w:r w:rsidRPr="007C49CC">
        <w:rPr>
          <w:rFonts w:cstheme="minorHAnsi"/>
        </w:rPr>
        <w:lastRenderedPageBreak/>
        <w:t>stereotaxically injected to six different sites in the PRh (1x10</w:t>
      </w:r>
      <w:r w:rsidRPr="007C49CC">
        <w:rPr>
          <w:rFonts w:cstheme="minorHAnsi"/>
          <w:vertAlign w:val="superscript"/>
        </w:rPr>
        <w:t>8</w:t>
      </w:r>
      <w:r w:rsidRPr="007C49CC">
        <w:rPr>
          <w:rFonts w:cstheme="minorHAnsi"/>
        </w:rPr>
        <w:t xml:space="preserve"> particles in total, 3 per hemisphere, 0.5 μl with a speed of 0.2 μl/min). Injections were made with a 10 μl Hamilton syringe and a 33 gauge needle at the following sites (in mm from bregma and the surface of skull): 1. anteriorposterior (AP): -1.8; lateral (L): ± 4.6; ventral (V): -4.4. 2. AP: -2.8; L: ± 4.8; V: -4.3. 3. AP: -3.8; L: ± 4.8; V: -3.8.  The needle remained in place at the injection site for 3 min before being slowly withdrawn over 2 min. AAV1-SYN-GFP was injected as a control viral vector for chst3 gene delivery to chst3 KO mice.</w:t>
      </w:r>
      <w:r w:rsidRPr="007C49CC">
        <w:rPr>
          <w:rFonts w:cstheme="minorHAnsi"/>
          <w:color w:val="FF6600"/>
        </w:rPr>
        <w:t xml:space="preserve"> </w:t>
      </w:r>
      <w:r w:rsidR="007B1D6F">
        <w:rPr>
          <w:rFonts w:asciiTheme="majorHAnsi" w:hAnsiTheme="majorHAnsi" w:cstheme="minorHAnsi"/>
        </w:rPr>
        <w:t xml:space="preserve">Animals were randomly assigned to groups, and testing was performed by blinded observers. </w:t>
      </w:r>
    </w:p>
    <w:p w14:paraId="06900E18" w14:textId="0F5F3208" w:rsidR="0001012B" w:rsidRPr="007C49CC" w:rsidRDefault="0001012B" w:rsidP="0001012B">
      <w:pPr>
        <w:jc w:val="both"/>
      </w:pPr>
    </w:p>
    <w:p w14:paraId="5F796ACF" w14:textId="77777777" w:rsidR="0001012B" w:rsidRPr="007C49CC" w:rsidRDefault="0001012B" w:rsidP="0001012B">
      <w:pPr>
        <w:jc w:val="both"/>
        <w:rPr>
          <w:rFonts w:cstheme="minorHAnsi"/>
        </w:rPr>
      </w:pPr>
    </w:p>
    <w:p w14:paraId="50037AF6" w14:textId="77777777" w:rsidR="0001012B" w:rsidRPr="007C49CC" w:rsidRDefault="0001012B" w:rsidP="0001012B">
      <w:pPr>
        <w:jc w:val="both"/>
        <w:rPr>
          <w:rFonts w:cstheme="minorHAnsi"/>
        </w:rPr>
      </w:pPr>
      <w:r w:rsidRPr="007C49CC">
        <w:rPr>
          <w:rFonts w:cstheme="minorHAnsi"/>
        </w:rPr>
        <w:t>Spontaneous Object Recognition task</w:t>
      </w:r>
    </w:p>
    <w:p w14:paraId="3091218F" w14:textId="77777777" w:rsidR="0001012B" w:rsidRPr="007C49CC" w:rsidRDefault="0001012B" w:rsidP="0001012B">
      <w:pPr>
        <w:jc w:val="both"/>
        <w:rPr>
          <w:rFonts w:cstheme="minorHAnsi"/>
        </w:rPr>
      </w:pPr>
    </w:p>
    <w:p w14:paraId="4AC13DE5" w14:textId="77777777" w:rsidR="0001012B" w:rsidRPr="007C49CC" w:rsidRDefault="0001012B" w:rsidP="0001012B">
      <w:pPr>
        <w:jc w:val="both"/>
        <w:rPr>
          <w:rFonts w:cstheme="minorHAnsi"/>
        </w:rPr>
      </w:pPr>
      <w:r w:rsidRPr="007C49CC">
        <w:rPr>
          <w:rFonts w:cstheme="minorHAnsi"/>
        </w:rPr>
        <w:t xml:space="preserve">The spontaneous object recognition (SOR) task was performed as previously described for mice (Yang et al, 2015). Briefly, all mice were habituated in three consecutive daily sessions in the empty Y-maze apparatus for 5 min after recovery from surgery. Each test session consisted of a sample phase and a choice phase. In the sample phase, the animal was placed in the start arm and left to explore two identical objects, which were placed on the end of two arms for 5 min. The choice phase followed after a delay of either 1 min, 3 hr, 6 hr as a short-term memory paradigm or 24 hr and 48 hr as a long-term memory paradigm, which the animal spent in the home cage. The choice phase was procedurally identical to the sample phase, except that one arm contained a novel object, whereas the other arm contained a copy of the repeated object. When the animals were assessed, a different object pair was used for each session for a given animal, and the order of exposure to object pairs were counterbalanced within and across groups. All the sessions were recorded by a technician (SH) who is blind to the genotype. The object exploration time was assessed from video recordings of the sample and choice phase by scorer (SY) blind to the genotype of the mouse. The direct nasal or head contacts only were regarded as an exploratory behaviour. A discrimination ratio was calculated by dividing the difference in exploration of the novel and familiar objects by the total object exploration time. Therefore, the discrimination ratio varies from 0 (equal exploration for novel and familiar objects) to 1 (exploration of the novel object only). The test sessions were separated by a minimum of 48 hr. One-way analysis of variance (ANOVA) followed by Tukey post hoc test was used for comparisons of multiple groups with a significance level of p &lt; 0.05, using GraphPad Prism version 5.0. An unpaired two-tailed t-test was used for two-group comparisons. </w:t>
      </w:r>
    </w:p>
    <w:p w14:paraId="727056F3" w14:textId="77777777" w:rsidR="0001012B" w:rsidRPr="007C49CC" w:rsidRDefault="0001012B" w:rsidP="0001012B">
      <w:pPr>
        <w:jc w:val="both"/>
        <w:rPr>
          <w:rFonts w:cstheme="minorHAnsi"/>
        </w:rPr>
      </w:pPr>
    </w:p>
    <w:p w14:paraId="5AC4A388" w14:textId="77777777" w:rsidR="0001012B" w:rsidRPr="007C49CC" w:rsidRDefault="0001012B" w:rsidP="0001012B">
      <w:pPr>
        <w:jc w:val="both"/>
        <w:rPr>
          <w:rFonts w:cstheme="minorHAnsi"/>
        </w:rPr>
      </w:pPr>
      <w:r w:rsidRPr="007C49CC">
        <w:rPr>
          <w:rFonts w:cstheme="minorHAnsi"/>
        </w:rPr>
        <w:t>The minimum sample size per animal experiment required to have meaningful results was 14 animals, which was calculated based on raw data of chABC or control treated 20M old mice using following parameters; type 1 error rate (a):0.05 and power: 0.8 , mu1 -0.002, mu 2 0.3301, sigma 0.214 (http://www.stat.ubc.ca/~rollin/stats/ssize/n2.html).</w:t>
      </w:r>
    </w:p>
    <w:p w14:paraId="44C290F7" w14:textId="77777777" w:rsidR="0001012B" w:rsidRPr="007C49CC" w:rsidRDefault="0001012B" w:rsidP="0001012B">
      <w:pPr>
        <w:jc w:val="both"/>
        <w:rPr>
          <w:rFonts w:cstheme="minorHAnsi"/>
        </w:rPr>
      </w:pPr>
    </w:p>
    <w:p w14:paraId="77403788" w14:textId="77777777" w:rsidR="0001012B" w:rsidRPr="007C49CC" w:rsidRDefault="0001012B" w:rsidP="0001012B">
      <w:pPr>
        <w:jc w:val="both"/>
        <w:rPr>
          <w:rFonts w:cs="Batang"/>
          <w:lang w:eastAsia="ko-KR"/>
        </w:rPr>
      </w:pPr>
      <w:r w:rsidRPr="007C49CC">
        <w:rPr>
          <w:rFonts w:cs="Batang"/>
          <w:lang w:eastAsia="ko-KR"/>
        </w:rPr>
        <w:t xml:space="preserve">For some experiments two cohorts of mice were recruited and the results were analysed at the end of experiments.  </w:t>
      </w:r>
    </w:p>
    <w:p w14:paraId="759F5A82" w14:textId="77777777" w:rsidR="0001012B" w:rsidRPr="007C49CC" w:rsidRDefault="0001012B" w:rsidP="0001012B">
      <w:pPr>
        <w:jc w:val="both"/>
        <w:rPr>
          <w:rFonts w:cstheme="minorHAnsi"/>
        </w:rPr>
      </w:pPr>
    </w:p>
    <w:p w14:paraId="7D602209" w14:textId="77777777" w:rsidR="0001012B" w:rsidRPr="007C49CC" w:rsidRDefault="0001012B" w:rsidP="0001012B">
      <w:pPr>
        <w:jc w:val="both"/>
        <w:rPr>
          <w:rFonts w:cstheme="minorHAnsi"/>
        </w:rPr>
      </w:pPr>
      <w:r w:rsidRPr="007C49CC">
        <w:rPr>
          <w:rFonts w:cstheme="minorHAnsi"/>
        </w:rPr>
        <w:lastRenderedPageBreak/>
        <w:t>Spontaneous alternation test</w:t>
      </w:r>
    </w:p>
    <w:p w14:paraId="6C06BA5D" w14:textId="77777777" w:rsidR="0001012B" w:rsidRPr="007C49CC" w:rsidRDefault="0001012B" w:rsidP="0001012B">
      <w:pPr>
        <w:jc w:val="both"/>
        <w:rPr>
          <w:rFonts w:cstheme="minorHAnsi"/>
        </w:rPr>
      </w:pPr>
    </w:p>
    <w:p w14:paraId="59286ECE" w14:textId="77777777" w:rsidR="0001012B" w:rsidRPr="007C49CC" w:rsidRDefault="0001012B" w:rsidP="0001012B">
      <w:pPr>
        <w:jc w:val="both"/>
        <w:rPr>
          <w:rFonts w:cstheme="minorHAnsi"/>
        </w:rPr>
      </w:pPr>
      <w:r w:rsidRPr="007C49CC">
        <w:rPr>
          <w:rFonts w:cstheme="minorHAnsi"/>
        </w:rPr>
        <w:t xml:space="preserve">The Y maze was made by three white, opaque </w:t>
      </w:r>
      <w:r w:rsidRPr="007C49CC">
        <w:rPr>
          <w:rFonts w:eastAsia="Helvetica" w:cstheme="minorHAnsi"/>
        </w:rPr>
        <w:t>Perspex</w:t>
      </w:r>
      <w:r w:rsidRPr="007C49CC">
        <w:rPr>
          <w:rFonts w:cstheme="minorHAnsi"/>
        </w:rPr>
        <w:t xml:space="preserve"> plastic arms (8 cm width, 20 cm length, 35 cm height) at a 120° angle from each other. There were no visual cues inside the maze. Each animal was allowed to freely navigate all three arms for 5 min after placing it at the centre of multiple arms via a tube. The number of arm entries and the number of trials were recorded in order to calculate the percentage of alternation. An entry occurs when all four limbs are within the arm. The inside of Y maze was cleaned with 50% ethanol between trials and allowed to dry. </w:t>
      </w:r>
    </w:p>
    <w:p w14:paraId="7F2FB9C3" w14:textId="77777777" w:rsidR="0001012B" w:rsidRPr="007C49CC" w:rsidRDefault="0001012B" w:rsidP="0001012B">
      <w:pPr>
        <w:jc w:val="both"/>
        <w:rPr>
          <w:rFonts w:cstheme="minorHAnsi"/>
        </w:rPr>
      </w:pPr>
    </w:p>
    <w:p w14:paraId="64F66161" w14:textId="77777777" w:rsidR="0001012B" w:rsidRPr="007C49CC" w:rsidRDefault="0001012B" w:rsidP="0001012B">
      <w:pPr>
        <w:jc w:val="both"/>
        <w:rPr>
          <w:rFonts w:cstheme="minorHAnsi"/>
        </w:rPr>
      </w:pPr>
      <w:r w:rsidRPr="007C49CC">
        <w:rPr>
          <w:rFonts w:cstheme="minorHAnsi"/>
        </w:rPr>
        <w:t>Marble burying test</w:t>
      </w:r>
    </w:p>
    <w:p w14:paraId="5B02A3AC" w14:textId="77777777" w:rsidR="0001012B" w:rsidRPr="007C49CC" w:rsidRDefault="0001012B" w:rsidP="0001012B">
      <w:pPr>
        <w:jc w:val="both"/>
        <w:rPr>
          <w:rFonts w:cstheme="minorHAnsi"/>
        </w:rPr>
      </w:pPr>
    </w:p>
    <w:p w14:paraId="0F4DEABC" w14:textId="77777777" w:rsidR="0001012B" w:rsidRPr="007C49CC" w:rsidRDefault="0001012B" w:rsidP="0001012B">
      <w:pPr>
        <w:jc w:val="both"/>
        <w:rPr>
          <w:rFonts w:cstheme="minorHAnsi"/>
        </w:rPr>
      </w:pPr>
      <w:r w:rsidRPr="007C49CC">
        <w:rPr>
          <w:rFonts w:cstheme="minorHAnsi"/>
        </w:rPr>
        <w:t xml:space="preserve">Standard polycarbonate rat cages (26 cm x 48 cm x 20 cm) with fitted filter-top covers was used as a testing chamber and fresh, unscented mouse bedding material to each cage to a depth of 5 cm. Glass toy marbles (assorted styles and colors, 15 mm diameter, 5.2 g in weight) were placed gently on the surface of the bedding in 3 rows of 5 marbles. Each animal was carefully placed into a corner of the cage containing marbles, as far from marbles as possible, and the lid was placed on the cage and remained for 30 min. Marble as buried if two-thirds of its surface area is covered by bedding was counted by a scorer blind to the genotype of the mouse. </w:t>
      </w:r>
    </w:p>
    <w:p w14:paraId="3B32DB54" w14:textId="77777777" w:rsidR="0001012B" w:rsidRPr="007C49CC" w:rsidRDefault="0001012B" w:rsidP="0001012B">
      <w:pPr>
        <w:jc w:val="both"/>
        <w:rPr>
          <w:rFonts w:cstheme="minorHAnsi"/>
        </w:rPr>
      </w:pPr>
    </w:p>
    <w:p w14:paraId="291505BA" w14:textId="77777777" w:rsidR="0001012B" w:rsidRPr="007C49CC" w:rsidRDefault="0001012B" w:rsidP="0001012B">
      <w:pPr>
        <w:jc w:val="both"/>
        <w:rPr>
          <w:rFonts w:cstheme="minorHAnsi"/>
        </w:rPr>
      </w:pPr>
      <w:r w:rsidRPr="007C49CC">
        <w:rPr>
          <w:rFonts w:cstheme="minorHAnsi"/>
        </w:rPr>
        <w:t>Immunohistochemistry</w:t>
      </w:r>
    </w:p>
    <w:p w14:paraId="26896CBD" w14:textId="77777777" w:rsidR="0001012B" w:rsidRPr="007C49CC" w:rsidRDefault="0001012B" w:rsidP="0001012B">
      <w:pPr>
        <w:jc w:val="both"/>
        <w:rPr>
          <w:rFonts w:cstheme="minorHAnsi"/>
        </w:rPr>
      </w:pPr>
    </w:p>
    <w:p w14:paraId="011D6309" w14:textId="77777777" w:rsidR="0001012B" w:rsidRPr="007C49CC" w:rsidRDefault="0001012B" w:rsidP="0001012B">
      <w:pPr>
        <w:jc w:val="both"/>
        <w:rPr>
          <w:rFonts w:cstheme="minorHAnsi"/>
        </w:rPr>
      </w:pPr>
      <w:r w:rsidRPr="007C49CC">
        <w:rPr>
          <w:rFonts w:cstheme="minorHAnsi"/>
        </w:rPr>
        <w:t>Diaminobenzidine (DAB) staining</w:t>
      </w:r>
    </w:p>
    <w:p w14:paraId="5F6CF19C" w14:textId="77777777" w:rsidR="0001012B" w:rsidRPr="007C49CC" w:rsidRDefault="0001012B" w:rsidP="0001012B">
      <w:pPr>
        <w:jc w:val="both"/>
        <w:rPr>
          <w:rFonts w:cstheme="minorHAnsi"/>
        </w:rPr>
      </w:pPr>
    </w:p>
    <w:p w14:paraId="717DE75B" w14:textId="77777777" w:rsidR="0001012B" w:rsidRPr="007C49CC" w:rsidRDefault="0001012B" w:rsidP="0001012B">
      <w:pPr>
        <w:jc w:val="both"/>
        <w:rPr>
          <w:rFonts w:cstheme="minorHAnsi"/>
        </w:rPr>
      </w:pPr>
      <w:r w:rsidRPr="007C49CC">
        <w:rPr>
          <w:rFonts w:cstheme="minorHAnsi"/>
        </w:rPr>
        <w:t xml:space="preserve">Sample preparations and the general procedures of immunostaining have been described previously (Yang </w:t>
      </w:r>
      <w:r w:rsidRPr="007C49CC">
        <w:rPr>
          <w:rFonts w:cstheme="minorHAnsi"/>
          <w:i/>
        </w:rPr>
        <w:t>et al.</w:t>
      </w:r>
      <w:r w:rsidRPr="007C49CC">
        <w:rPr>
          <w:rFonts w:cstheme="minorHAnsi"/>
        </w:rPr>
        <w:t>, 2015). In general, 30 µm free floating sections were incubated with 10 % methanol, 3 % H</w:t>
      </w:r>
      <w:r w:rsidRPr="007C49CC">
        <w:rPr>
          <w:rFonts w:cstheme="minorHAnsi"/>
          <w:vertAlign w:val="subscript"/>
        </w:rPr>
        <w:t>2</w:t>
      </w:r>
      <w:r w:rsidRPr="007C49CC">
        <w:rPr>
          <w:rFonts w:cstheme="minorHAnsi"/>
        </w:rPr>
        <w:t>O</w:t>
      </w:r>
      <w:r w:rsidRPr="007C49CC">
        <w:rPr>
          <w:rFonts w:cstheme="minorHAnsi"/>
          <w:vertAlign w:val="subscript"/>
        </w:rPr>
        <w:t>2</w:t>
      </w:r>
      <w:r w:rsidRPr="007C49CC">
        <w:rPr>
          <w:rFonts w:cstheme="minorHAnsi"/>
        </w:rPr>
        <w:t xml:space="preserve"> in PBS for 20 min at room temperature for quenching endogenous peroxidase activity. Sections were rinsed three times in 0.2 % Triton-X in PBS (PBS-T) and were subsequently blocked with 5 % normal goat serum (NGS) or normal horse serum (NHS) in PBS-T for 1 hr at room temperature. The primary antibodies (PV; 1:1000, Swant; Biotin-WFA; 1:100, Sigma-Aldrich) were incubated over night at 4 °C following rinsing tissues for 5 min three times in PBS-T (0.2 % Triton-X in PBS). Following 3 washes in PBS-T they were incubated for 2 hr at RT with the appropriate biotinylated secondary antibody (Vector Laboratories) diluted 1:500 in PBS-T. Subsequently, sections were incubated with an avidin-biotin system (Vectastain; Vector Laboratories) for 1 hr at room temperature and washed with PBS-T. The immunostaining was visualized with DAB with 3 % H</w:t>
      </w:r>
      <w:r w:rsidRPr="007C49CC">
        <w:rPr>
          <w:rFonts w:cstheme="minorHAnsi"/>
          <w:vertAlign w:val="subscript"/>
        </w:rPr>
        <w:t>2</w:t>
      </w:r>
      <w:r w:rsidRPr="007C49CC">
        <w:rPr>
          <w:rFonts w:cstheme="minorHAnsi"/>
        </w:rPr>
        <w:t>O</w:t>
      </w:r>
      <w:r w:rsidRPr="007C49CC">
        <w:rPr>
          <w:rFonts w:cstheme="minorHAnsi"/>
          <w:vertAlign w:val="subscript"/>
        </w:rPr>
        <w:t>2</w:t>
      </w:r>
      <w:r w:rsidRPr="007C49CC">
        <w:rPr>
          <w:rFonts w:cstheme="minorHAnsi"/>
        </w:rPr>
        <w:t xml:space="preserve"> (DAB kit; Vector Laboratories) for 1-5 min at room temperature. The sections were mounted on gelatin-coated slides and air-dried. Following dehydrating tissue sections in ascending concentration of alcohols, they are cleared in xylene and coverslipped with DPX. The tissue sections were examined using a light microscope and photographed using a digital camera</w:t>
      </w:r>
      <w:r>
        <w:rPr>
          <w:rFonts w:cstheme="minorHAnsi"/>
        </w:rPr>
        <w:t>.</w:t>
      </w:r>
      <w:r w:rsidRPr="007C49CC">
        <w:rPr>
          <w:rFonts w:cstheme="minorHAnsi"/>
        </w:rPr>
        <w:t xml:space="preserve"> </w:t>
      </w:r>
    </w:p>
    <w:p w14:paraId="062172C4" w14:textId="77777777" w:rsidR="0001012B" w:rsidRPr="007C49CC" w:rsidRDefault="0001012B" w:rsidP="0001012B">
      <w:pPr>
        <w:jc w:val="both"/>
        <w:rPr>
          <w:rFonts w:cstheme="minorHAnsi"/>
        </w:rPr>
      </w:pPr>
    </w:p>
    <w:p w14:paraId="4C3C8179" w14:textId="77777777" w:rsidR="0001012B" w:rsidRPr="007C49CC" w:rsidRDefault="0001012B" w:rsidP="0001012B">
      <w:pPr>
        <w:jc w:val="both"/>
        <w:rPr>
          <w:rFonts w:cstheme="minorHAnsi"/>
        </w:rPr>
      </w:pPr>
      <w:r w:rsidRPr="007C49CC">
        <w:rPr>
          <w:rFonts w:cstheme="minorHAnsi"/>
        </w:rPr>
        <w:t>Fluorescent staining/Analysis</w:t>
      </w:r>
    </w:p>
    <w:p w14:paraId="483FE89B" w14:textId="77777777" w:rsidR="0001012B" w:rsidRPr="007C49CC" w:rsidRDefault="0001012B" w:rsidP="0001012B">
      <w:pPr>
        <w:jc w:val="both"/>
        <w:rPr>
          <w:rFonts w:cstheme="minorHAnsi"/>
        </w:rPr>
      </w:pPr>
    </w:p>
    <w:p w14:paraId="56CB607E" w14:textId="77777777" w:rsidR="0001012B" w:rsidRDefault="0001012B" w:rsidP="0001012B">
      <w:pPr>
        <w:jc w:val="both"/>
        <w:rPr>
          <w:rFonts w:cstheme="minorHAnsi"/>
        </w:rPr>
      </w:pPr>
      <w:r w:rsidRPr="007C49CC">
        <w:rPr>
          <w:rFonts w:cstheme="minorHAnsi"/>
        </w:rPr>
        <w:t>Sections were blocked with 5 % normal goat serum (NGS) or normal horse serum (NHS) in PBS-T for 1 hr at RT. The primary antibodies (PV; 1:1000, Swant CS56; 1:100, Sigma-Aldrich; Biotin-WFA; 1:100, Sigma-Aldrich, Gephyrin; 1:200, Synaptic system) were incubated overnight at 4 °C. Following 3 washes in PBS they were incubated for 2 hr at RT with the appropriate secondary antibody conjugated with Alexa fluor 647, Alexa fluor 488 or Alexa fluor 568 or Streptavidin-Alexa fluor 647 (Molecular Probes, Invi</w:t>
      </w:r>
      <w:r>
        <w:rPr>
          <w:rFonts w:cstheme="minorHAnsi"/>
        </w:rPr>
        <w:t xml:space="preserve">trogen) diluted 1:500 in PBS-T then, </w:t>
      </w:r>
      <w:r w:rsidRPr="007C49CC">
        <w:rPr>
          <w:rFonts w:cstheme="minorHAnsi"/>
        </w:rPr>
        <w:t xml:space="preserve">incubated with secondary antibodies for 2 hours. Sections were rinsed and mounted on 1% gelatin coated slides with FluorSave™ Reagent (Merck Millipore, Germany). </w:t>
      </w:r>
    </w:p>
    <w:p w14:paraId="5341A7FA" w14:textId="77777777" w:rsidR="0001012B" w:rsidRPr="007C49CC" w:rsidRDefault="0001012B" w:rsidP="0001012B">
      <w:pPr>
        <w:jc w:val="both"/>
        <w:rPr>
          <w:rFonts w:cstheme="minorHAnsi"/>
        </w:rPr>
      </w:pPr>
      <w:r>
        <w:rPr>
          <w:rFonts w:cstheme="minorHAnsi"/>
        </w:rPr>
        <w:t xml:space="preserve">Immunohistochemistry and image capture of each experimental group were performed at the same time using the same settings. </w:t>
      </w:r>
    </w:p>
    <w:p w14:paraId="18D5F25F" w14:textId="77777777" w:rsidR="0001012B" w:rsidRDefault="0001012B" w:rsidP="0001012B">
      <w:pPr>
        <w:jc w:val="both"/>
        <w:rPr>
          <w:rFonts w:cstheme="minorHAnsi"/>
        </w:rPr>
      </w:pPr>
    </w:p>
    <w:p w14:paraId="62BFE41A" w14:textId="77777777" w:rsidR="0001012B" w:rsidRDefault="0001012B" w:rsidP="0001012B">
      <w:pPr>
        <w:jc w:val="both"/>
        <w:rPr>
          <w:rFonts w:cstheme="minorHAnsi"/>
        </w:rPr>
      </w:pPr>
      <w:r w:rsidRPr="00AF4F4D">
        <w:rPr>
          <w:rFonts w:cstheme="minorHAnsi"/>
        </w:rPr>
        <w:t xml:space="preserve">For PV intensity analysis, images were taken </w:t>
      </w:r>
      <w:r>
        <w:rPr>
          <w:rFonts w:cstheme="minorHAnsi"/>
        </w:rPr>
        <w:t xml:space="preserve">from </w:t>
      </w:r>
      <w:r w:rsidRPr="00AF4F4D">
        <w:rPr>
          <w:rFonts w:cstheme="minorHAnsi"/>
        </w:rPr>
        <w:t>at least 3 sections (approx. 360</w:t>
      </w:r>
      <w:r>
        <w:rPr>
          <w:rFonts w:cstheme="minorHAnsi"/>
        </w:rPr>
        <w:t xml:space="preserve"> </w:t>
      </w:r>
      <w:r w:rsidRPr="00AF4F4D">
        <w:rPr>
          <w:rFonts w:cstheme="minorHAnsi"/>
        </w:rPr>
        <w:t>µm apart) between bregma -1.8</w:t>
      </w:r>
      <w:r>
        <w:rPr>
          <w:rFonts w:cstheme="minorHAnsi"/>
        </w:rPr>
        <w:t xml:space="preserve"> mm and bregma -3.8 mm using</w:t>
      </w:r>
      <w:r w:rsidRPr="00AF4F4D">
        <w:rPr>
          <w:rFonts w:cstheme="minorHAnsi"/>
        </w:rPr>
        <w:t xml:space="preserve"> a </w:t>
      </w:r>
      <w:r>
        <w:rPr>
          <w:rFonts w:cstheme="minorHAnsi"/>
        </w:rPr>
        <w:t>fluorescent microscope (</w:t>
      </w:r>
      <w:r w:rsidRPr="00AF4F4D">
        <w:rPr>
          <w:rFonts w:cstheme="minorHAnsi"/>
        </w:rPr>
        <w:t>Lei</w:t>
      </w:r>
      <w:r>
        <w:rPr>
          <w:rFonts w:cstheme="minorHAnsi"/>
        </w:rPr>
        <w:t xml:space="preserve">ca </w:t>
      </w:r>
      <w:r w:rsidRPr="007C49CC">
        <w:rPr>
          <w:rFonts w:cstheme="minorHAnsi"/>
        </w:rPr>
        <w:t>DM6000</w:t>
      </w:r>
      <w:r w:rsidRPr="00AF4F4D">
        <w:rPr>
          <w:rFonts w:cstheme="minorHAnsi"/>
        </w:rPr>
        <w:t>) with x</w:t>
      </w:r>
      <w:r>
        <w:rPr>
          <w:rFonts w:cstheme="minorHAnsi"/>
        </w:rPr>
        <w:t>2</w:t>
      </w:r>
      <w:r w:rsidRPr="00AF4F4D">
        <w:rPr>
          <w:rFonts w:cstheme="minorHAnsi"/>
        </w:rPr>
        <w:t>0 objectives (n=4 per group). The total PV+ neurons were identified from the whole region of PRh and the intensity of each neuron was measured using ImageJ software and quantified in arbitrary units (A.U). The threshold for the low intensity class was decided at 66% of mean intensity of control group. In the experiment of ChABC treat</w:t>
      </w:r>
      <w:r>
        <w:rPr>
          <w:rFonts w:cstheme="minorHAnsi"/>
        </w:rPr>
        <w:t>ment to 6M and 20M WT</w:t>
      </w:r>
      <w:r w:rsidRPr="00AF4F4D">
        <w:rPr>
          <w:rFonts w:cstheme="minorHAnsi"/>
        </w:rPr>
        <w:t xml:space="preserve"> animals, the threshold was set accordingly </w:t>
      </w:r>
      <w:r>
        <w:rPr>
          <w:rFonts w:cstheme="minorHAnsi"/>
        </w:rPr>
        <w:t>by</w:t>
      </w:r>
      <w:r w:rsidRPr="00AF4F4D">
        <w:rPr>
          <w:rFonts w:cstheme="minorHAnsi"/>
        </w:rPr>
        <w:t xml:space="preserve"> the mean PV intensity of 6M Pnase treated control samples. PV neurons were classified into three subclasses as follows: low PV, 0-700 A.U; medium PV, 700-1400 A.U; High PV, &gt;1400 A.U. The ratio of each PV neuronal group against total number of PV neurons was analysed and plotted.</w:t>
      </w:r>
      <w:r>
        <w:rPr>
          <w:rFonts w:cstheme="minorHAnsi"/>
        </w:rPr>
        <w:t xml:space="preserve"> In the experiment of AAV-</w:t>
      </w:r>
      <w:r w:rsidRPr="001A3B1F">
        <w:rPr>
          <w:rFonts w:cstheme="minorHAnsi"/>
          <w:i/>
        </w:rPr>
        <w:t>chst3</w:t>
      </w:r>
      <w:r>
        <w:rPr>
          <w:rFonts w:cstheme="minorHAnsi"/>
        </w:rPr>
        <w:t xml:space="preserve"> injection to aged mice, tissues sections were co-stained with PV antibody and WFA (n=6 per group). The threshold for the low PV and WFA intensity was determined at 66% level of mean intensity of total PV or WFA</w:t>
      </w:r>
      <w:r w:rsidRPr="0085252F">
        <w:rPr>
          <w:rFonts w:cstheme="minorHAnsi"/>
          <w:vertAlign w:val="superscript"/>
        </w:rPr>
        <w:t>+</w:t>
      </w:r>
      <w:r>
        <w:rPr>
          <w:rFonts w:cstheme="minorHAnsi"/>
        </w:rPr>
        <w:t xml:space="preserve"> neurons from PRh of AAV-GFP injected animals. </w:t>
      </w:r>
      <w:r w:rsidRPr="00AF4F4D">
        <w:rPr>
          <w:rFonts w:cstheme="minorHAnsi"/>
        </w:rPr>
        <w:t>PV</w:t>
      </w:r>
      <w:r>
        <w:rPr>
          <w:rFonts w:cstheme="minorHAnsi"/>
        </w:rPr>
        <w:t xml:space="preserve"> and WFA</w:t>
      </w:r>
      <w:r w:rsidRPr="00151813">
        <w:rPr>
          <w:rFonts w:cstheme="minorHAnsi"/>
          <w:vertAlign w:val="superscript"/>
        </w:rPr>
        <w:t xml:space="preserve">+ </w:t>
      </w:r>
      <w:r w:rsidRPr="00AF4F4D">
        <w:rPr>
          <w:rFonts w:cstheme="minorHAnsi"/>
        </w:rPr>
        <w:t>neurons were classified into three sub</w:t>
      </w:r>
      <w:r>
        <w:rPr>
          <w:rFonts w:cstheme="minorHAnsi"/>
        </w:rPr>
        <w:t>classes as follows: low PV, 0-400 A.U; medium PV, 400-800 A.U; High PV, &gt;800 A.U;</w:t>
      </w:r>
      <w:r w:rsidRPr="00151813">
        <w:rPr>
          <w:rFonts w:cstheme="minorHAnsi"/>
        </w:rPr>
        <w:t xml:space="preserve"> </w:t>
      </w:r>
      <w:r>
        <w:rPr>
          <w:rFonts w:cstheme="minorHAnsi"/>
        </w:rPr>
        <w:t>low WFA, 0-600 A.U; medium WFA, 600-1200 A.U; High WFA, &gt;12</w:t>
      </w:r>
      <w:r w:rsidRPr="00AF4F4D">
        <w:rPr>
          <w:rFonts w:cstheme="minorHAnsi"/>
        </w:rPr>
        <w:t>00 A.U.</w:t>
      </w:r>
      <w:r>
        <w:rPr>
          <w:rFonts w:cstheme="minorHAnsi"/>
        </w:rPr>
        <w:t xml:space="preserve"> </w:t>
      </w:r>
    </w:p>
    <w:p w14:paraId="769E9F1F" w14:textId="77777777" w:rsidR="0001012B" w:rsidRPr="007C49CC" w:rsidRDefault="0001012B" w:rsidP="0001012B">
      <w:pPr>
        <w:jc w:val="both"/>
        <w:rPr>
          <w:rFonts w:cstheme="minorHAnsi"/>
        </w:rPr>
      </w:pPr>
    </w:p>
    <w:p w14:paraId="3E4B54C2" w14:textId="77777777" w:rsidR="0001012B" w:rsidRPr="007C49CC" w:rsidRDefault="0001012B" w:rsidP="0001012B">
      <w:pPr>
        <w:jc w:val="both"/>
        <w:rPr>
          <w:rFonts w:cstheme="minorHAnsi"/>
        </w:rPr>
      </w:pPr>
      <w:r w:rsidRPr="007C49CC">
        <w:rPr>
          <w:rFonts w:cstheme="minorHAnsi"/>
        </w:rPr>
        <w:t>For synaptic puncta quantification images were captured using a Leica SPE confocal microscope using x63 objectives with a 1024 x 1024 image resolution (n=6 per group). At least 3 z-stack images (total 5 µm) were taken per section with at least 3 sections analyzed per animal (approx. 360</w:t>
      </w:r>
      <w:r>
        <w:rPr>
          <w:rFonts w:cstheme="minorHAnsi"/>
        </w:rPr>
        <w:t xml:space="preserve"> </w:t>
      </w:r>
      <w:r w:rsidRPr="007C49CC">
        <w:rPr>
          <w:rFonts w:cstheme="minorHAnsi"/>
        </w:rPr>
        <w:t>µm apart). Images contained at least 5 PV positive neurons. At least 50 PV</w:t>
      </w:r>
      <w:r w:rsidRPr="007C49CC">
        <w:rPr>
          <w:rFonts w:cstheme="minorHAnsi"/>
          <w:vertAlign w:val="superscript"/>
        </w:rPr>
        <w:t>+</w:t>
      </w:r>
      <w:r w:rsidRPr="007C49CC">
        <w:rPr>
          <w:rFonts w:cstheme="minorHAnsi"/>
        </w:rPr>
        <w:t xml:space="preserve"> neurons per animal were analysed for gephyrin (+) puncta quantification. Synaptic puncta analysis was performed with an automated custom script using an </w:t>
      </w:r>
      <w:r>
        <w:rPr>
          <w:rFonts w:cstheme="minorHAnsi"/>
        </w:rPr>
        <w:t>I</w:t>
      </w:r>
      <w:r w:rsidRPr="007C49CC">
        <w:rPr>
          <w:rFonts w:cstheme="minorHAnsi"/>
        </w:rPr>
        <w:t>mageJ 1.29 plugin (available from c.eroglu@cellbio.duke.edu).</w:t>
      </w:r>
    </w:p>
    <w:p w14:paraId="6AFF70EA" w14:textId="77777777" w:rsidR="0001012B" w:rsidRPr="007C49CC" w:rsidRDefault="0001012B" w:rsidP="0001012B">
      <w:pPr>
        <w:jc w:val="both"/>
        <w:rPr>
          <w:rFonts w:cstheme="minorHAnsi"/>
        </w:rPr>
      </w:pPr>
    </w:p>
    <w:p w14:paraId="214B3CB3" w14:textId="77777777" w:rsidR="008641AE" w:rsidRPr="008641AE" w:rsidRDefault="008641AE" w:rsidP="008641AE">
      <w:pPr>
        <w:jc w:val="both"/>
        <w:rPr>
          <w:rFonts w:cstheme="minorHAnsi"/>
          <w:color w:val="000000" w:themeColor="text1"/>
        </w:rPr>
      </w:pPr>
      <w:r w:rsidRPr="008641AE">
        <w:rPr>
          <w:rFonts w:cstheme="minorHAnsi"/>
          <w:color w:val="000000" w:themeColor="text1"/>
        </w:rPr>
        <w:t>Stereology</w:t>
      </w:r>
    </w:p>
    <w:p w14:paraId="5E6461C9" w14:textId="7C14DA1F" w:rsidR="008641AE" w:rsidRPr="008641AE" w:rsidRDefault="008641AE" w:rsidP="008641AE">
      <w:pPr>
        <w:jc w:val="both"/>
        <w:rPr>
          <w:rFonts w:cstheme="minorHAnsi"/>
          <w:color w:val="000000" w:themeColor="text1"/>
        </w:rPr>
      </w:pPr>
      <w:r w:rsidRPr="008641AE">
        <w:rPr>
          <w:rFonts w:cstheme="minorHAnsi" w:hint="eastAsia"/>
          <w:color w:val="000000" w:themeColor="text1"/>
        </w:rPr>
        <w:t>For stereological counting of neurons</w:t>
      </w:r>
      <w:r>
        <w:rPr>
          <w:rFonts w:cstheme="minorHAnsi"/>
          <w:color w:val="000000" w:themeColor="text1"/>
        </w:rPr>
        <w:t xml:space="preserve"> and PNNs</w:t>
      </w:r>
      <w:r w:rsidRPr="008641AE">
        <w:rPr>
          <w:rFonts w:cstheme="minorHAnsi" w:hint="eastAsia"/>
          <w:color w:val="000000" w:themeColor="text1"/>
        </w:rPr>
        <w:t>, brain sections were stained with NeuN</w:t>
      </w:r>
      <w:r>
        <w:rPr>
          <w:rFonts w:cstheme="minorHAnsi"/>
          <w:color w:val="000000" w:themeColor="text1"/>
        </w:rPr>
        <w:t xml:space="preserve"> and </w:t>
      </w:r>
      <w:r w:rsidRPr="008641AE">
        <w:rPr>
          <w:rFonts w:cstheme="minorHAnsi" w:hint="eastAsia"/>
          <w:color w:val="000000" w:themeColor="text1"/>
        </w:rPr>
        <w:t xml:space="preserve">WFA. </w:t>
      </w:r>
      <w:r>
        <w:rPr>
          <w:rFonts w:cstheme="minorHAnsi"/>
          <w:color w:val="000000" w:themeColor="text1"/>
        </w:rPr>
        <w:t>S</w:t>
      </w:r>
      <w:r w:rsidRPr="008641AE">
        <w:rPr>
          <w:rFonts w:cstheme="minorHAnsi"/>
          <w:color w:val="000000" w:themeColor="text1"/>
        </w:rPr>
        <w:t xml:space="preserve">tereology was performed using StereoInvestigator (MBF Bioscience). A total </w:t>
      </w:r>
      <w:r w:rsidRPr="008641AE">
        <w:rPr>
          <w:rFonts w:cstheme="minorHAnsi"/>
          <w:color w:val="000000" w:themeColor="text1"/>
        </w:rPr>
        <w:lastRenderedPageBreak/>
        <w:t>number of 5-6 sections per animal, taken every 12 th brain sections were counted. The whole brain section was first highlighted at 4x objective and PRh contour was outlined. Sample counting windows were identified using the computer software. The number of sample counting windows was normally between 15-20. The number of NeuN</w:t>
      </w:r>
      <w:r>
        <w:rPr>
          <w:rFonts w:cstheme="minorHAnsi"/>
          <w:color w:val="000000" w:themeColor="text1"/>
        </w:rPr>
        <w:t xml:space="preserve"> </w:t>
      </w:r>
      <w:r w:rsidRPr="008641AE">
        <w:rPr>
          <w:rFonts w:cstheme="minorHAnsi"/>
          <w:color w:val="000000" w:themeColor="text1"/>
        </w:rPr>
        <w:t>or WFA-positive cells in each window was counted at 40x magnification. The counting frame and the counting grid were set by the operator; 40 µm x 40 µm and 200 µm x 200 µm, respectively. Movements among counting frames of each grid were controlled by a motorized x-y microscope stage. Cells located inside the counting frame or touching its top or right borders only were counted. For the Z calibration, the tissue thickness at every counting frame was determined and the mean of sections thickness was taken into account for calculating the total number of cells. The total number of NeuN</w:t>
      </w:r>
      <w:r>
        <w:rPr>
          <w:rFonts w:cstheme="minorHAnsi"/>
          <w:color w:val="000000" w:themeColor="text1"/>
        </w:rPr>
        <w:t xml:space="preserve"> and</w:t>
      </w:r>
      <w:r w:rsidRPr="008641AE">
        <w:rPr>
          <w:rFonts w:cstheme="minorHAnsi"/>
          <w:color w:val="000000" w:themeColor="text1"/>
        </w:rPr>
        <w:t xml:space="preserve"> WFA-positive cells was calculated using the following equation: </w:t>
      </w:r>
    </w:p>
    <w:p w14:paraId="649BA410" w14:textId="349055AF" w:rsidR="0001012B" w:rsidRPr="007C49CC" w:rsidRDefault="008641AE" w:rsidP="0001012B">
      <w:pPr>
        <w:jc w:val="both"/>
        <w:rPr>
          <w:rFonts w:cstheme="minorHAnsi"/>
          <w:color w:val="000000" w:themeColor="text1"/>
        </w:rPr>
      </w:pPr>
      <w:r w:rsidRPr="005201B7">
        <w:rPr>
          <w:rFonts w:ascii="Helvetica" w:eastAsia="Helvetica" w:hAnsi="Helvetica" w:cs="Helvetica"/>
          <w:noProof/>
          <w:lang w:val="en-GB" w:eastAsia="en-GB"/>
        </w:rPr>
        <w:drawing>
          <wp:inline distT="0" distB="0" distL="0" distR="0" wp14:anchorId="4F2A80F1" wp14:editId="65BA3BAD">
            <wp:extent cx="2047875" cy="10953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4">
                      <a:extLst>
                        <a:ext uri="{28A0092B-C50C-407E-A947-70E740481C1C}">
                          <a14:useLocalDpi xmlns:a14="http://schemas.microsoft.com/office/drawing/2010/main" val="0"/>
                        </a:ext>
                      </a:extLst>
                    </a:blip>
                    <a:srcRect t="6609" r="46208"/>
                    <a:stretch>
                      <a:fillRect/>
                    </a:stretch>
                  </pic:blipFill>
                  <pic:spPr bwMode="auto">
                    <a:xfrm>
                      <a:off x="0" y="0"/>
                      <a:ext cx="2047875" cy="1095375"/>
                    </a:xfrm>
                    <a:prstGeom prst="rect">
                      <a:avLst/>
                    </a:prstGeom>
                    <a:noFill/>
                    <a:ln>
                      <a:noFill/>
                    </a:ln>
                  </pic:spPr>
                </pic:pic>
              </a:graphicData>
            </a:graphic>
          </wp:inline>
        </w:drawing>
      </w:r>
    </w:p>
    <w:p w14:paraId="41F1D8BF" w14:textId="77777777" w:rsidR="0001012B" w:rsidRPr="007C49CC" w:rsidRDefault="0001012B" w:rsidP="0001012B">
      <w:pPr>
        <w:jc w:val="both"/>
        <w:rPr>
          <w:rFonts w:cstheme="minorHAnsi"/>
        </w:rPr>
      </w:pPr>
    </w:p>
    <w:p w14:paraId="7614F68B" w14:textId="77777777" w:rsidR="0001012B" w:rsidRPr="007C49CC" w:rsidRDefault="0001012B" w:rsidP="0001012B">
      <w:pPr>
        <w:jc w:val="both"/>
        <w:rPr>
          <w:rFonts w:cstheme="minorHAnsi"/>
        </w:rPr>
      </w:pPr>
      <w:r w:rsidRPr="007C49CC">
        <w:rPr>
          <w:rFonts w:cstheme="minorHAnsi"/>
        </w:rPr>
        <w:t>GAG extraction</w:t>
      </w:r>
    </w:p>
    <w:p w14:paraId="342B23BA" w14:textId="77777777" w:rsidR="0001012B" w:rsidRPr="007C49CC" w:rsidRDefault="0001012B" w:rsidP="0001012B">
      <w:pPr>
        <w:jc w:val="both"/>
        <w:rPr>
          <w:rFonts w:cstheme="minorHAnsi"/>
        </w:rPr>
      </w:pPr>
      <w:r w:rsidRPr="007C49CC">
        <w:rPr>
          <w:rFonts w:cstheme="minorHAnsi"/>
        </w:rPr>
        <w:t xml:space="preserve">Biochemical analyses were performed on 5 animals at each age. Sequential extraction of GAGs from rat brains was performed according to the protocol from (Kwok et al. 2015). Briefly, fresh frozen brains were first homogenized sequentially in 4 buffers: buffer 1 </w:t>
      </w:r>
      <w:r>
        <w:rPr>
          <w:rFonts w:cstheme="minorHAnsi"/>
        </w:rPr>
        <w:t>(</w:t>
      </w:r>
      <w:r w:rsidRPr="007C49CC">
        <w:rPr>
          <w:rFonts w:cstheme="minorHAnsi"/>
        </w:rPr>
        <w:t>B1: 50 mM Tris-buffered saline (TBS), 2 mM ethylenediamine tetraacetic acid (EDTA)</w:t>
      </w:r>
      <w:r>
        <w:rPr>
          <w:rFonts w:cstheme="minorHAnsi"/>
        </w:rPr>
        <w:t>)</w:t>
      </w:r>
      <w:r w:rsidRPr="007C49CC">
        <w:rPr>
          <w:rFonts w:cstheme="minorHAnsi"/>
        </w:rPr>
        <w:t>, buffer 2 (B2: 0.5% Triton X-100 in B1), buffer 3 (B3: 1 M sodium chloride in B2) and buffer 4 (B4: 6 M urea in B2). All buffers were supplemented with protease inhibitors. The homogenate was centrifuged at 23,000 xg for 20 min at 4°C after each homogenization. Supernatant was collected and the pellet was homogenized in the next buffer. Supernatants from each buffer were dialyzed in 25 mM Tris-HCl and 5 mM EDTA pH 8.0 overnight at 4°C and subsequently digested with 200 mg/ml pronase (Roche). Peptides were precipitated with 5% trichloroacetic acid (TCA) on ice, centrifuged and the supernatants were collected. Supernatants were then washed four times in 1:1 diethyl ether which was then aspirated. The samples, which contained the glycosaminoglycans (GAGs) were neutralized to pH 7.0 and precipitated with sodium acetate. GAGs were recovered from the pellets after centrifugation, air dried and resuspended in deionized water.</w:t>
      </w:r>
    </w:p>
    <w:p w14:paraId="76065FFF" w14:textId="77777777" w:rsidR="0001012B" w:rsidRPr="007C49CC" w:rsidRDefault="0001012B" w:rsidP="0001012B">
      <w:pPr>
        <w:jc w:val="both"/>
        <w:rPr>
          <w:rFonts w:cstheme="minorHAnsi"/>
        </w:rPr>
      </w:pPr>
      <w:r w:rsidRPr="007C49CC">
        <w:rPr>
          <w:rFonts w:cstheme="minorHAnsi"/>
        </w:rPr>
        <w:t xml:space="preserve">Recovered GAGs were quantified using cetylpyridinium chloride (CPC) turbidimetry assay. Chondroitin sulphate-A (Sigma Aldrich) was used to set up the standard curves. </w:t>
      </w:r>
    </w:p>
    <w:p w14:paraId="6D9DBA23" w14:textId="77777777" w:rsidR="0001012B" w:rsidRPr="007C49CC" w:rsidRDefault="0001012B" w:rsidP="0001012B">
      <w:pPr>
        <w:jc w:val="both"/>
        <w:rPr>
          <w:rFonts w:cstheme="minorHAnsi"/>
        </w:rPr>
      </w:pPr>
    </w:p>
    <w:p w14:paraId="56FABE55" w14:textId="77777777" w:rsidR="0001012B" w:rsidRPr="007C49CC" w:rsidRDefault="0001012B" w:rsidP="0001012B">
      <w:pPr>
        <w:jc w:val="both"/>
        <w:rPr>
          <w:rFonts w:cstheme="minorHAnsi"/>
        </w:rPr>
      </w:pPr>
      <w:r w:rsidRPr="007C49CC">
        <w:rPr>
          <w:rFonts w:cstheme="minorHAnsi"/>
        </w:rPr>
        <w:t>Fluorophore-assisted carbohydrate electrophoresis (FACE)</w:t>
      </w:r>
    </w:p>
    <w:p w14:paraId="6C64B930" w14:textId="77777777" w:rsidR="0001012B" w:rsidRPr="007C49CC" w:rsidRDefault="0001012B" w:rsidP="0001012B">
      <w:pPr>
        <w:jc w:val="both"/>
        <w:rPr>
          <w:rFonts w:cstheme="minorHAnsi"/>
        </w:rPr>
      </w:pPr>
    </w:p>
    <w:p w14:paraId="6F215F5F" w14:textId="77777777" w:rsidR="0001012B" w:rsidRPr="007C49CC" w:rsidRDefault="0001012B" w:rsidP="0001012B">
      <w:pPr>
        <w:jc w:val="both"/>
        <w:rPr>
          <w:rFonts w:cstheme="minorHAnsi"/>
        </w:rPr>
      </w:pPr>
      <w:r w:rsidRPr="007C49CC">
        <w:rPr>
          <w:rFonts w:cstheme="minorHAnsi"/>
        </w:rPr>
        <w:t xml:space="preserve">Recovered GAGs were digested into disaccharides with 0.1 U chABC (Sigma), then precipitated in EtOH for 16 h at 4°C. For C6S quantification, the samples were further treated further with 50 mU of chondro-6-sulfatase (Seikagaku). Samples were </w:t>
      </w:r>
      <w:r w:rsidRPr="007C49CC">
        <w:rPr>
          <w:rFonts w:cstheme="minorHAnsi"/>
        </w:rPr>
        <w:lastRenderedPageBreak/>
        <w:t xml:space="preserve">centrifuged, supernatants were collected and dried in a SpeedVac. The dried pellets were derivatized with 2-aminoacridone (AMAC) in sodium cyanoborohydride containing buffer. 0.5 μg of AMAC-conjugated disaccharide samples and standard disaccharides (hyaluronic acid – HA, non-sulfated chondroitin - C0S, C4S, C6S; Seikagaku) were separated on a 30% polyacrylamide gel in Tris Glycine buffer for 30-40 min. </w:t>
      </w:r>
    </w:p>
    <w:p w14:paraId="6E549FF1" w14:textId="77777777" w:rsidR="0001012B" w:rsidRPr="007C49CC" w:rsidRDefault="0001012B" w:rsidP="0001012B">
      <w:pPr>
        <w:jc w:val="both"/>
        <w:rPr>
          <w:rFonts w:cstheme="minorHAnsi"/>
        </w:rPr>
      </w:pPr>
    </w:p>
    <w:p w14:paraId="3F88D810" w14:textId="77777777" w:rsidR="0001012B" w:rsidRPr="007C49CC" w:rsidRDefault="0001012B" w:rsidP="0001012B">
      <w:pPr>
        <w:jc w:val="both"/>
        <w:rPr>
          <w:rFonts w:cstheme="minorHAnsi"/>
        </w:rPr>
      </w:pPr>
      <w:r w:rsidRPr="007C49CC">
        <w:rPr>
          <w:rFonts w:cstheme="minorHAnsi"/>
        </w:rPr>
        <w:t>For C4S, gels were imaged in a UV chamber (UVitec). Bands size and intensity were quantified using ImageJ</w:t>
      </w:r>
      <w:r w:rsidRPr="001A3B1F">
        <w:rPr>
          <w:rFonts w:cstheme="minorHAnsi"/>
          <w:vertAlign w:val="superscript"/>
        </w:rPr>
        <w:t>TM</w:t>
      </w:r>
      <w:r w:rsidRPr="007C49CC">
        <w:rPr>
          <w:rFonts w:cstheme="minorHAnsi"/>
        </w:rPr>
        <w:t xml:space="preserve"> software. The intensity of the sample was normalized against the intensity of non-sul</w:t>
      </w:r>
      <w:r>
        <w:rPr>
          <w:rFonts w:cstheme="minorHAnsi"/>
        </w:rPr>
        <w:t>ph</w:t>
      </w:r>
      <w:r w:rsidRPr="007C49CC">
        <w:rPr>
          <w:rFonts w:cstheme="minorHAnsi"/>
        </w:rPr>
        <w:t xml:space="preserve">ated CS (C0S) and the quantity of disaccharides was calculated using the standard curve of HA electrophoresed in the same gel. </w:t>
      </w:r>
    </w:p>
    <w:p w14:paraId="7FD5ACDC" w14:textId="77777777" w:rsidR="0001012B" w:rsidRPr="007C49CC" w:rsidRDefault="0001012B" w:rsidP="0001012B">
      <w:pPr>
        <w:jc w:val="both"/>
        <w:rPr>
          <w:rFonts w:cstheme="minorHAnsi"/>
        </w:rPr>
      </w:pPr>
    </w:p>
    <w:p w14:paraId="435565F6" w14:textId="77777777" w:rsidR="0001012B" w:rsidRPr="007C49CC" w:rsidRDefault="0001012B" w:rsidP="0001012B">
      <w:pPr>
        <w:jc w:val="both"/>
        <w:rPr>
          <w:rFonts w:cstheme="minorHAnsi"/>
        </w:rPr>
      </w:pPr>
    </w:p>
    <w:p w14:paraId="3E3579E4" w14:textId="77777777" w:rsidR="0001012B" w:rsidRPr="007C49CC" w:rsidRDefault="0001012B" w:rsidP="0001012B">
      <w:pPr>
        <w:jc w:val="both"/>
        <w:rPr>
          <w:rFonts w:cstheme="minorHAnsi"/>
        </w:rPr>
      </w:pPr>
      <w:r w:rsidRPr="007C49CC">
        <w:rPr>
          <w:rFonts w:cstheme="minorHAnsi"/>
        </w:rPr>
        <w:t xml:space="preserve">Electrophysiology </w:t>
      </w:r>
    </w:p>
    <w:p w14:paraId="2491EC68" w14:textId="77777777" w:rsidR="0001012B" w:rsidRPr="007C49CC" w:rsidRDefault="0001012B" w:rsidP="0001012B">
      <w:pPr>
        <w:jc w:val="both"/>
        <w:rPr>
          <w:rFonts w:cstheme="minorHAnsi"/>
        </w:rPr>
      </w:pPr>
    </w:p>
    <w:p w14:paraId="0D271DB0" w14:textId="77777777" w:rsidR="0001012B" w:rsidRPr="007C49CC" w:rsidRDefault="0001012B" w:rsidP="0001012B">
      <w:pPr>
        <w:jc w:val="both"/>
        <w:rPr>
          <w:rFonts w:cstheme="minorHAnsi"/>
        </w:rPr>
      </w:pPr>
      <w:r w:rsidRPr="007C49CC">
        <w:rPr>
          <w:rFonts w:cstheme="minorHAnsi"/>
        </w:rPr>
        <w:t xml:space="preserve">Animals were anesthetized with an overdose of isoflurane, humanely killed by cervical dislocation and decapitated. The brain was rapidly removed and placed in ice-cold cutting solution bubbled with 99% O2 containing the following (in mM): 126 NaCl, 2.5 KCl, 1 CaCl2·H2O, 2 MgCl2, 1.25 NaH2Po4·H2O, 10 NaHCO3, 5 D-glucose, 0.4 ascorbic acid, 3 myoinositol, 3 pyruvate, and 15 HEPES, adjusted to pH 7.35. For the cutting and the recording of the perirhinal cortex slices from the 20M aged animal, we used a modified ACSF continuously oxygenated (carbogen: 95% O2-5% CO2) and containing the following (in mM): 124 NaCl, 3 KCl, 1.5 CaCl2·2H2O, 1.5 MgCl2 6H2O, 1.25 NaH2Po4·H2O, 26 NaHCO3, 10 D-glucose, 0.01 Glycine, 1 L-ascorbic acid, and 2 </w:t>
      </w:r>
      <w:r>
        <w:rPr>
          <w:rFonts w:cstheme="minorHAnsi"/>
        </w:rPr>
        <w:t>sodium</w:t>
      </w:r>
      <w:r w:rsidRPr="007C49CC">
        <w:rPr>
          <w:rFonts w:cstheme="minorHAnsi"/>
        </w:rPr>
        <w:t xml:space="preserve"> </w:t>
      </w:r>
      <w:r>
        <w:rPr>
          <w:rFonts w:cstheme="minorHAnsi"/>
        </w:rPr>
        <w:t>p</w:t>
      </w:r>
      <w:r w:rsidRPr="007C49CC">
        <w:rPr>
          <w:rFonts w:cstheme="minorHAnsi"/>
        </w:rPr>
        <w:t xml:space="preserve">yruvate, adjusted to pH 7.35. For perirhinal cortex a midsagittal section was made and the rostral part of one hemisphere was cut at 45° to the dorsoventral axis (Cho </w:t>
      </w:r>
      <w:r w:rsidRPr="007C49CC">
        <w:rPr>
          <w:rFonts w:cstheme="minorHAnsi"/>
          <w:i/>
        </w:rPr>
        <w:t>et al.</w:t>
      </w:r>
      <w:r w:rsidRPr="007C49CC">
        <w:rPr>
          <w:rFonts w:cstheme="minorHAnsi"/>
        </w:rPr>
        <w:t>, 2000). The cerebellum was removed from the brain with a further caudal coronal cut. The hemisphere was glued by its rostral end to a Vibratome stage (VT 1000S; Leica). Slices (380 µ</w:t>
      </w:r>
      <w:r w:rsidRPr="007C49CC">
        <w:rPr>
          <w:rFonts w:cstheme="minorHAnsi"/>
        </w:rPr>
        <w:t xml:space="preserve">m) of perirhinal cortex were taken in the region -2.5mm to -4mm rostral from bregma. For hippocampus the whole brain was glued by its caudal end and coronal sections were taken in the region of dorsal hippocampus. Slices were stored submerged in bubbled, artificial ACSF (20-25°C, same composition as cutting solution, except 2 mM CaCl2, 1 mM MgCl2 and without: ascorbic acid, myoinositol, pyruvate) for 2 hr before the onset of recordings. A single slice was placed in an interface recording chamber superfused by artificial CSF (30°C, flow rate 2 ml/min). Evoked field EPSPs (fEPSP) for perirhinal cortex were recorded from layers II/III from directly below the rhinal sulcus (area 35). A stimulation electrode was placed in layer II/III on the entorhinal side (0.5 mm, area 36) of the recording electrode (Cho </w:t>
      </w:r>
      <w:r w:rsidRPr="007C49CC">
        <w:rPr>
          <w:rFonts w:cstheme="minorHAnsi"/>
          <w:i/>
        </w:rPr>
        <w:t>et al.</w:t>
      </w:r>
      <w:r w:rsidRPr="007C49CC">
        <w:rPr>
          <w:rFonts w:cstheme="minorHAnsi"/>
        </w:rPr>
        <w:t xml:space="preserve">, 2000). fEPSP for hippocampus were recorder recorded placing the stimulation electrode in the stratum radiatum of the CA3 field and the recording electrode in the same layer of the CA1 field. Stimuli (0.1 ms duration) were delivered to the stimulation electrode at 0.1 Hz. Input/output curves were produced with stimulation intensities from 50 to 450 500 </w:t>
      </w:r>
      <w:r w:rsidRPr="007C49CC">
        <w:rPr>
          <w:rFonts w:cstheme="minorHAnsi"/>
        </w:rPr>
        <w:t xml:space="preserve">A in steps of 50 </w:t>
      </w:r>
      <w:r w:rsidRPr="007C49CC">
        <w:rPr>
          <w:rFonts w:cstheme="minorHAnsi"/>
        </w:rPr>
        <w:t xml:space="preserve">A. For monitoring baseline synaptic transmission before LTP induction, fEPSPs were reduced to 40-50 % of the maximum amplitude and recorded for at least 20 min or until responses were stable (&lt; 20 % amplitude change over 30 min). For LTP induction, the following protocol was used: 4 bursts at interval of 15 s, each composed by 10 trains at interval of 0.2 s, each composed by 4 pulses at interval of 10 ms and of 0.2 ms of duration with 3 V of amplitude. Subsequently, fEPSPs elicited by </w:t>
      </w:r>
      <w:r w:rsidRPr="007C49CC">
        <w:rPr>
          <w:rFonts w:cstheme="minorHAnsi"/>
        </w:rPr>
        <w:lastRenderedPageBreak/>
        <w:t>stimulations at interval of 20 s were recorded for further 40 min. Field potentials were amplified with a CyberAmp 320 (Molecular Devices) or an Axoclamp-2B (Axon Instrument), and recorded and analyzed with pClamp (Molecular Devices) or a custom-made software written in LabView (National Instruments). For offline LTP analysis, fEPSPs were averaged across 1 min and the peak amplitude of the mean fEPSP was expressed relative to the preconditioning baseline. The significance of group means was established using repeated-measures (RM) ANOVA.</w:t>
      </w:r>
    </w:p>
    <w:p w14:paraId="680F63FE" w14:textId="1697E61C" w:rsidR="00A039C4" w:rsidRDefault="00A039C4" w:rsidP="00A039C4">
      <w:pPr>
        <w:jc w:val="both"/>
        <w:rPr>
          <w:rFonts w:ascii="Times New Roman" w:hAnsi="Times New Roman" w:cs="Times New Roman"/>
          <w:sz w:val="24"/>
          <w:szCs w:val="24"/>
        </w:rPr>
      </w:pPr>
      <w:r>
        <w:rPr>
          <w:rFonts w:ascii="Times New Roman" w:hAnsi="Times New Roman" w:cs="Times New Roman"/>
          <w:b/>
          <w:noProof/>
          <w:sz w:val="24"/>
          <w:szCs w:val="24"/>
          <w:lang w:val="en-GB" w:eastAsia="en-GB"/>
        </w:rPr>
        <w:drawing>
          <wp:anchor distT="0" distB="0" distL="114300" distR="114300" simplePos="0" relativeHeight="251659264" behindDoc="0" locked="0" layoutInCell="1" allowOverlap="1" wp14:anchorId="6EF9FDAE" wp14:editId="4FCA617B">
            <wp:simplePos x="0" y="0"/>
            <wp:positionH relativeFrom="column">
              <wp:posOffset>-66675</wp:posOffset>
            </wp:positionH>
            <wp:positionV relativeFrom="paragraph">
              <wp:posOffset>0</wp:posOffset>
            </wp:positionV>
            <wp:extent cx="5270500" cy="5762625"/>
            <wp:effectExtent l="0" t="0" r="6350" b="9525"/>
            <wp:wrapTight wrapText="bothSides">
              <wp:wrapPolygon edited="0">
                <wp:start x="0" y="0"/>
                <wp:lineTo x="0" y="21564"/>
                <wp:lineTo x="21548" y="21564"/>
                <wp:lineTo x="2154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de6.JPG"/>
                    <pic:cNvPicPr/>
                  </pic:nvPicPr>
                  <pic:blipFill>
                    <a:blip r:embed="rId5">
                      <a:extLst>
                        <a:ext uri="{28A0092B-C50C-407E-A947-70E740481C1C}">
                          <a14:useLocalDpi xmlns:a14="http://schemas.microsoft.com/office/drawing/2010/main" val="0"/>
                        </a:ext>
                      </a:extLst>
                    </a:blip>
                    <a:stretch>
                      <a:fillRect/>
                    </a:stretch>
                  </pic:blipFill>
                  <pic:spPr>
                    <a:xfrm>
                      <a:off x="0" y="0"/>
                      <a:ext cx="5270500" cy="5762625"/>
                    </a:xfrm>
                    <a:prstGeom prst="rect">
                      <a:avLst/>
                    </a:prstGeom>
                  </pic:spPr>
                </pic:pic>
              </a:graphicData>
            </a:graphic>
          </wp:anchor>
        </w:drawing>
      </w:r>
      <w:r w:rsidR="00D36D70" w:rsidRPr="006641B9">
        <w:rPr>
          <w:rFonts w:ascii="Times New Roman" w:hAnsi="Times New Roman" w:cs="Times New Roman"/>
          <w:b/>
          <w:sz w:val="24"/>
          <w:szCs w:val="24"/>
        </w:rPr>
        <w:t xml:space="preserve">Supplementary Fig. </w:t>
      </w:r>
      <w:r w:rsidR="00EC0E9A">
        <w:rPr>
          <w:rFonts w:ascii="Times New Roman" w:hAnsi="Times New Roman" w:cs="Times New Roman"/>
          <w:b/>
          <w:sz w:val="24"/>
          <w:szCs w:val="24"/>
        </w:rPr>
        <w:t>S</w:t>
      </w:r>
      <w:r w:rsidR="00D36D70" w:rsidRPr="006641B9">
        <w:rPr>
          <w:rFonts w:ascii="Times New Roman" w:hAnsi="Times New Roman" w:cs="Times New Roman"/>
          <w:b/>
          <w:sz w:val="24"/>
          <w:szCs w:val="24"/>
        </w:rPr>
        <w:t>1</w:t>
      </w:r>
      <w:r w:rsidR="00D36D70">
        <w:rPr>
          <w:rFonts w:ascii="Times New Roman" w:hAnsi="Times New Roman" w:cs="Times New Roman"/>
          <w:sz w:val="24"/>
          <w:szCs w:val="24"/>
        </w:rPr>
        <w:t xml:space="preserve"> </w:t>
      </w:r>
      <w:r w:rsidR="00D36D70" w:rsidRPr="006641B9">
        <w:rPr>
          <w:rFonts w:ascii="Times New Roman" w:hAnsi="Times New Roman" w:cs="Times New Roman"/>
          <w:sz w:val="24"/>
          <w:szCs w:val="24"/>
        </w:rPr>
        <w:t>(A) Motivation index indicated by explorati</w:t>
      </w:r>
      <w:r w:rsidR="00D36D70">
        <w:rPr>
          <w:rFonts w:ascii="Times New Roman" w:hAnsi="Times New Roman" w:cs="Times New Roman"/>
          <w:sz w:val="24"/>
          <w:szCs w:val="24"/>
        </w:rPr>
        <w:t>on time during sample phase of S</w:t>
      </w:r>
      <w:r w:rsidR="00D36D70" w:rsidRPr="006641B9">
        <w:rPr>
          <w:rFonts w:ascii="Times New Roman" w:hAnsi="Times New Roman" w:cs="Times New Roman"/>
          <w:sz w:val="24"/>
          <w:szCs w:val="24"/>
        </w:rPr>
        <w:t>OR test. No significant alteration in motivation was displayed between young and a</w:t>
      </w:r>
      <w:r w:rsidR="00D36D70">
        <w:rPr>
          <w:rFonts w:ascii="Times New Roman" w:hAnsi="Times New Roman" w:cs="Times New Roman"/>
          <w:sz w:val="24"/>
          <w:szCs w:val="24"/>
        </w:rPr>
        <w:t>ged mice groups. 6M n=4, 20M n=6</w:t>
      </w:r>
      <w:r w:rsidR="000618C4">
        <w:rPr>
          <w:rFonts w:ascii="Times New Roman" w:hAnsi="Times New Roman" w:cs="Times New Roman"/>
          <w:sz w:val="24"/>
          <w:szCs w:val="24"/>
        </w:rPr>
        <w:t>.</w:t>
      </w:r>
      <w:r w:rsidR="00D36D70" w:rsidRPr="006641B9">
        <w:rPr>
          <w:rFonts w:ascii="Times New Roman" w:hAnsi="Times New Roman" w:cs="Times New Roman"/>
          <w:sz w:val="24"/>
          <w:szCs w:val="24"/>
        </w:rPr>
        <w:t xml:space="preserve"> (B) Neuronal counting (</w:t>
      </w:r>
      <w:r w:rsidR="000618C4">
        <w:rPr>
          <w:rFonts w:ascii="Times New Roman" w:hAnsi="Times New Roman" w:cs="Times New Roman"/>
          <w:sz w:val="24"/>
          <w:szCs w:val="24"/>
        </w:rPr>
        <w:t>l</w:t>
      </w:r>
      <w:r w:rsidR="000618C4" w:rsidRPr="006641B9">
        <w:rPr>
          <w:rFonts w:ascii="Times New Roman" w:hAnsi="Times New Roman" w:cs="Times New Roman"/>
          <w:sz w:val="24"/>
          <w:szCs w:val="24"/>
        </w:rPr>
        <w:t>eft</w:t>
      </w:r>
      <w:r w:rsidR="00D36D70" w:rsidRPr="006641B9">
        <w:rPr>
          <w:rFonts w:ascii="Times New Roman" w:hAnsi="Times New Roman" w:cs="Times New Roman"/>
          <w:sz w:val="24"/>
          <w:szCs w:val="24"/>
        </w:rPr>
        <w:t>) and WFA(+) PNNs level (</w:t>
      </w:r>
      <w:r w:rsidR="000618C4">
        <w:rPr>
          <w:rFonts w:ascii="Times New Roman" w:hAnsi="Times New Roman" w:cs="Times New Roman"/>
          <w:sz w:val="24"/>
          <w:szCs w:val="24"/>
        </w:rPr>
        <w:t>r</w:t>
      </w:r>
      <w:r w:rsidR="000618C4" w:rsidRPr="006641B9">
        <w:rPr>
          <w:rFonts w:ascii="Times New Roman" w:hAnsi="Times New Roman" w:cs="Times New Roman"/>
          <w:sz w:val="24"/>
          <w:szCs w:val="24"/>
        </w:rPr>
        <w:t>ight</w:t>
      </w:r>
      <w:r w:rsidR="00D36D70" w:rsidRPr="006641B9">
        <w:rPr>
          <w:rFonts w:ascii="Times New Roman" w:hAnsi="Times New Roman" w:cs="Times New Roman"/>
          <w:sz w:val="24"/>
          <w:szCs w:val="24"/>
        </w:rPr>
        <w:t xml:space="preserve">) in the </w:t>
      </w:r>
      <w:r w:rsidR="00D36D70">
        <w:rPr>
          <w:rFonts w:ascii="Times New Roman" w:hAnsi="Times New Roman" w:cs="Times New Roman"/>
          <w:sz w:val="24"/>
          <w:szCs w:val="24"/>
        </w:rPr>
        <w:t>perirhinal cortex (PRh) of 6M or 20M old C57BL/6 mice. NeuN(+) n=6/group, WFA(+)</w:t>
      </w:r>
      <w:r w:rsidR="00D36D70" w:rsidRPr="006641B9">
        <w:rPr>
          <w:rFonts w:ascii="Times New Roman" w:hAnsi="Times New Roman" w:cs="Times New Roman"/>
          <w:sz w:val="24"/>
          <w:szCs w:val="24"/>
        </w:rPr>
        <w:t xml:space="preserve"> n=4/group. </w:t>
      </w:r>
      <w:r w:rsidR="00D36D70">
        <w:rPr>
          <w:rFonts w:ascii="Times New Roman" w:hAnsi="Times New Roman" w:cs="Times New Roman"/>
          <w:sz w:val="24"/>
          <w:szCs w:val="24"/>
        </w:rPr>
        <w:t>(C</w:t>
      </w:r>
      <w:r w:rsidR="00D36D70" w:rsidRPr="006641B9">
        <w:rPr>
          <w:rFonts w:ascii="Times New Roman" w:hAnsi="Times New Roman" w:cs="Times New Roman"/>
          <w:sz w:val="24"/>
          <w:szCs w:val="24"/>
        </w:rPr>
        <w:t xml:space="preserve">) Spontaneous alternation performance after ChABC treatment to </w:t>
      </w:r>
      <w:r w:rsidR="00D36D70">
        <w:rPr>
          <w:rFonts w:ascii="Times New Roman" w:hAnsi="Times New Roman" w:cs="Times New Roman"/>
          <w:sz w:val="24"/>
          <w:szCs w:val="24"/>
        </w:rPr>
        <w:t>the PRh</w:t>
      </w:r>
      <w:r w:rsidR="00D36D70" w:rsidRPr="006641B9">
        <w:rPr>
          <w:rFonts w:ascii="Times New Roman" w:hAnsi="Times New Roman" w:cs="Times New Roman"/>
          <w:sz w:val="24"/>
          <w:szCs w:val="24"/>
        </w:rPr>
        <w:t xml:space="preserve"> in aged mice.</w:t>
      </w:r>
      <w:r w:rsidR="00D36D70">
        <w:rPr>
          <w:rFonts w:ascii="Times New Roman" w:hAnsi="Times New Roman" w:cs="Times New Roman"/>
          <w:sz w:val="24"/>
          <w:szCs w:val="24"/>
        </w:rPr>
        <w:t xml:space="preserve"> Pnase n=8 ChABC n=8</w:t>
      </w:r>
      <w:r w:rsidR="000618C4">
        <w:rPr>
          <w:rFonts w:ascii="Times New Roman" w:hAnsi="Times New Roman" w:cs="Times New Roman"/>
          <w:sz w:val="24"/>
          <w:szCs w:val="24"/>
        </w:rPr>
        <w:t>.</w:t>
      </w:r>
      <w:r w:rsidR="00D36D70">
        <w:rPr>
          <w:rFonts w:ascii="Times New Roman" w:hAnsi="Times New Roman" w:cs="Times New Roman"/>
          <w:sz w:val="24"/>
          <w:szCs w:val="24"/>
        </w:rPr>
        <w:t xml:space="preserve"> (D</w:t>
      </w:r>
      <w:r w:rsidR="00D36D70" w:rsidRPr="006641B9">
        <w:rPr>
          <w:rFonts w:ascii="Times New Roman" w:hAnsi="Times New Roman" w:cs="Times New Roman"/>
          <w:sz w:val="24"/>
          <w:szCs w:val="24"/>
        </w:rPr>
        <w:t>) Immunohistochemistry of PV in PRh cortex after ChABC or Pnase injection. Scale bar: 50 µm</w:t>
      </w:r>
    </w:p>
    <w:p w14:paraId="1566AD45" w14:textId="4D9619C5" w:rsidR="00F3368F" w:rsidRDefault="00F3368F" w:rsidP="00A039C4">
      <w:pPr>
        <w:jc w:val="both"/>
        <w:rPr>
          <w:rFonts w:ascii="Times New Roman" w:hAnsi="Times New Roman" w:cs="Times New Roman"/>
          <w:sz w:val="24"/>
          <w:szCs w:val="24"/>
        </w:rPr>
      </w:pPr>
    </w:p>
    <w:p w14:paraId="126775FB" w14:textId="2625E8BD" w:rsidR="00F3368F" w:rsidRDefault="00F3368F" w:rsidP="00A039C4">
      <w:pPr>
        <w:jc w:val="both"/>
        <w:rPr>
          <w:rFonts w:ascii="Times New Roman" w:hAnsi="Times New Roman" w:cs="Times New Roman"/>
          <w:sz w:val="24"/>
          <w:szCs w:val="24"/>
        </w:rPr>
      </w:pPr>
      <w:r>
        <w:rPr>
          <w:noProof/>
          <w:lang w:val="en-GB" w:eastAsia="en-GB"/>
        </w:rPr>
        <w:drawing>
          <wp:anchor distT="0" distB="0" distL="114300" distR="114300" simplePos="0" relativeHeight="251670528" behindDoc="0" locked="0" layoutInCell="1" allowOverlap="1" wp14:anchorId="175E6A3D" wp14:editId="1C1E55E4">
            <wp:simplePos x="0" y="0"/>
            <wp:positionH relativeFrom="margin">
              <wp:posOffset>0</wp:posOffset>
            </wp:positionH>
            <wp:positionV relativeFrom="paragraph">
              <wp:posOffset>294640</wp:posOffset>
            </wp:positionV>
            <wp:extent cx="3281045" cy="2895600"/>
            <wp:effectExtent l="0" t="0" r="0" b="0"/>
            <wp:wrapTopAndBottom/>
            <wp:docPr id="7" name="Picture 7"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with medium confidence"/>
                    <pic:cNvPicPr/>
                  </pic:nvPicPr>
                  <pic:blipFill>
                    <a:blip r:embed="rId6"/>
                    <a:stretch>
                      <a:fillRect/>
                    </a:stretch>
                  </pic:blipFill>
                  <pic:spPr>
                    <a:xfrm>
                      <a:off x="0" y="0"/>
                      <a:ext cx="3281045" cy="2895600"/>
                    </a:xfrm>
                    <a:prstGeom prst="rect">
                      <a:avLst/>
                    </a:prstGeom>
                  </pic:spPr>
                </pic:pic>
              </a:graphicData>
            </a:graphic>
            <wp14:sizeRelH relativeFrom="margin">
              <wp14:pctWidth>0</wp14:pctWidth>
            </wp14:sizeRelH>
            <wp14:sizeRelV relativeFrom="margin">
              <wp14:pctHeight>0</wp14:pctHeight>
            </wp14:sizeRelV>
          </wp:anchor>
        </w:drawing>
      </w:r>
    </w:p>
    <w:p w14:paraId="793DA9A4" w14:textId="6750A7E6" w:rsidR="00F3368F" w:rsidRDefault="00EC0E9A" w:rsidP="00F3368F">
      <w:r>
        <w:rPr>
          <w:b/>
          <w:bCs/>
        </w:rPr>
        <w:t xml:space="preserve">Supplementary </w:t>
      </w:r>
      <w:r w:rsidR="00F3368F">
        <w:rPr>
          <w:b/>
          <w:bCs/>
        </w:rPr>
        <w:t xml:space="preserve">Figure S2 S6. </w:t>
      </w:r>
      <w:r w:rsidR="00F3368F">
        <w:t>D</w:t>
      </w:r>
      <w:r w:rsidR="00F3368F" w:rsidRPr="008E7C27">
        <w:t>igestion of C4S and C6S glycan polymers by chondroitinase and sulfat</w:t>
      </w:r>
      <w:r w:rsidR="00F3368F">
        <w:t>a</w:t>
      </w:r>
      <w:r w:rsidR="00F3368F" w:rsidRPr="008E7C27">
        <w:t xml:space="preserve">ses. Lanes 1 and 5 show chondroitinase digestion. The </w:t>
      </w:r>
      <w:r w:rsidR="00F3368F">
        <w:t>CS polymers</w:t>
      </w:r>
      <w:r w:rsidR="00F3368F" w:rsidRPr="008E7C27">
        <w:t xml:space="preserve"> resolve into a single dense band in each case, containing completely digested C4S and C6S disaccharides. This shows that chondroitinase </w:t>
      </w:r>
      <w:r w:rsidR="00F3368F">
        <w:t xml:space="preserve">ABC </w:t>
      </w:r>
      <w:r w:rsidR="00F3368F" w:rsidRPr="008E7C27">
        <w:t>can completely digest both C4S and C6S</w:t>
      </w:r>
      <w:r w:rsidR="00F3368F">
        <w:t xml:space="preserve"> (lane 2 and 5)</w:t>
      </w:r>
      <w:r w:rsidR="00F3368F" w:rsidRPr="008E7C27">
        <w:t xml:space="preserve">.  The other lanes show the efficacy of 4 and 6 sulfatases which were not used in </w:t>
      </w:r>
      <w:r w:rsidR="00F3368F">
        <w:t>this</w:t>
      </w:r>
      <w:r w:rsidR="00F3368F" w:rsidRPr="008E7C27">
        <w:t xml:space="preserve"> paper</w:t>
      </w:r>
      <w:r w:rsidR="00F3368F">
        <w:t>.</w:t>
      </w:r>
    </w:p>
    <w:p w14:paraId="05D5B1ED" w14:textId="77777777" w:rsidR="00F3368F" w:rsidRDefault="00F3368F">
      <w:pPr>
        <w:spacing w:after="0" w:line="240" w:lineRule="auto"/>
      </w:pPr>
      <w:r>
        <w:br w:type="page"/>
      </w:r>
    </w:p>
    <w:p w14:paraId="678DF443" w14:textId="77777777" w:rsidR="00FD5F6B" w:rsidRDefault="00FD5F6B" w:rsidP="00FD5F6B"/>
    <w:p w14:paraId="4BE09FA2" w14:textId="77777777" w:rsidR="00FD5F6B" w:rsidRDefault="00FD5F6B" w:rsidP="00FD5F6B">
      <w:r>
        <w:rPr>
          <w:noProof/>
          <w:lang w:val="en-GB" w:eastAsia="en-GB"/>
        </w:rPr>
        <w:drawing>
          <wp:anchor distT="0" distB="0" distL="114300" distR="114300" simplePos="0" relativeHeight="251672576" behindDoc="0" locked="0" layoutInCell="1" allowOverlap="1" wp14:anchorId="3BCF0750" wp14:editId="10585744">
            <wp:simplePos x="0" y="0"/>
            <wp:positionH relativeFrom="column">
              <wp:posOffset>428625</wp:posOffset>
            </wp:positionH>
            <wp:positionV relativeFrom="paragraph">
              <wp:posOffset>0</wp:posOffset>
            </wp:positionV>
            <wp:extent cx="4191635" cy="3152775"/>
            <wp:effectExtent l="0" t="0" r="0" b="9525"/>
            <wp:wrapSquare wrapText="bothSides"/>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7"/>
                    <a:stretch>
                      <a:fillRect/>
                    </a:stretch>
                  </pic:blipFill>
                  <pic:spPr>
                    <a:xfrm>
                      <a:off x="0" y="0"/>
                      <a:ext cx="4191635" cy="3152775"/>
                    </a:xfrm>
                    <a:prstGeom prst="rect">
                      <a:avLst/>
                    </a:prstGeom>
                  </pic:spPr>
                </pic:pic>
              </a:graphicData>
            </a:graphic>
            <wp14:sizeRelH relativeFrom="margin">
              <wp14:pctWidth>0</wp14:pctWidth>
            </wp14:sizeRelH>
            <wp14:sizeRelV relativeFrom="margin">
              <wp14:pctHeight>0</wp14:pctHeight>
            </wp14:sizeRelV>
          </wp:anchor>
        </w:drawing>
      </w:r>
    </w:p>
    <w:p w14:paraId="0358D5E8" w14:textId="77777777" w:rsidR="00FD5F6B" w:rsidRDefault="00FD5F6B" w:rsidP="00FD5F6B"/>
    <w:p w14:paraId="0212E6C6" w14:textId="77777777" w:rsidR="00FD5F6B" w:rsidRDefault="00FD5F6B" w:rsidP="00FD5F6B"/>
    <w:p w14:paraId="2A2BE3F7" w14:textId="77777777" w:rsidR="00FD5F6B" w:rsidRDefault="00FD5F6B" w:rsidP="00FD5F6B"/>
    <w:p w14:paraId="70D550BF" w14:textId="77777777" w:rsidR="00FD5F6B" w:rsidRDefault="00FD5F6B" w:rsidP="00FD5F6B"/>
    <w:p w14:paraId="4287B44F" w14:textId="77777777" w:rsidR="00FD5F6B" w:rsidRDefault="00FD5F6B" w:rsidP="00FD5F6B"/>
    <w:p w14:paraId="6B1D1D87" w14:textId="77777777" w:rsidR="00FD5F6B" w:rsidRDefault="00FD5F6B" w:rsidP="00FD5F6B"/>
    <w:p w14:paraId="5702B449" w14:textId="77777777" w:rsidR="00FD5F6B" w:rsidRDefault="00FD5F6B" w:rsidP="00FD5F6B"/>
    <w:p w14:paraId="1DCB3242" w14:textId="77777777" w:rsidR="00FD5F6B" w:rsidRDefault="00FD5F6B" w:rsidP="00FD5F6B"/>
    <w:p w14:paraId="1753CA5F" w14:textId="77777777" w:rsidR="00FD5F6B" w:rsidRDefault="00FD5F6B" w:rsidP="00FD5F6B"/>
    <w:p w14:paraId="0487616D" w14:textId="77777777" w:rsidR="00FD5F6B" w:rsidRDefault="00FD5F6B" w:rsidP="00FD5F6B"/>
    <w:p w14:paraId="58B14DF1" w14:textId="77777777" w:rsidR="00FD5F6B" w:rsidRDefault="00FD5F6B" w:rsidP="00FD5F6B"/>
    <w:p w14:paraId="2507EAFF" w14:textId="5F5A983F" w:rsidR="00FD5F6B" w:rsidRDefault="00EC0E9A" w:rsidP="00FD5F6B">
      <w:r>
        <w:rPr>
          <w:b/>
          <w:bCs/>
        </w:rPr>
        <w:t xml:space="preserve">Supplementary </w:t>
      </w:r>
      <w:r w:rsidR="00FD5F6B">
        <w:rPr>
          <w:b/>
          <w:bCs/>
        </w:rPr>
        <w:t xml:space="preserve">Figure S3 S5. </w:t>
      </w:r>
      <w:r w:rsidR="00FD5F6B" w:rsidRPr="00E64014">
        <w:t>Sensory axon growth on brain extraellular matrix. On wild-type matrix</w:t>
      </w:r>
      <w:r w:rsidR="00FD5F6B">
        <w:t xml:space="preserve"> (left bar)</w:t>
      </w:r>
      <w:r w:rsidR="00FD5F6B" w:rsidRPr="00E64014">
        <w:t xml:space="preserve"> axons grow moderately. Matrix from the C6ST knockout</w:t>
      </w:r>
      <w:r w:rsidR="00FD5F6B">
        <w:t xml:space="preserve"> (middle bar)</w:t>
      </w:r>
      <w:r w:rsidR="00FD5F6B" w:rsidRPr="00E64014">
        <w:t xml:space="preserve"> lacks C6S</w:t>
      </w:r>
      <w:r w:rsidR="00FD5F6B">
        <w:t xml:space="preserve">; </w:t>
      </w:r>
      <w:r w:rsidR="00FD5F6B" w:rsidRPr="00E64014">
        <w:t xml:space="preserve">the matrix contains mainly inhibitory C4S. This C6S knockout matrix is more inhibitory than wild type. In the right hand </w:t>
      </w:r>
      <w:r w:rsidR="00FD5F6B">
        <w:t>bar</w:t>
      </w:r>
      <w:r w:rsidR="00FD5F6B" w:rsidRPr="00E64014">
        <w:t xml:space="preserve"> the wild type matrix has been digested with chondro-4 sulfatase to digest away most of the</w:t>
      </w:r>
      <w:r w:rsidR="00FD5F6B">
        <w:t xml:space="preserve"> inhibitory</w:t>
      </w:r>
      <w:r w:rsidR="00FD5F6B" w:rsidRPr="00E64014">
        <w:t xml:space="preserve"> C4S</w:t>
      </w:r>
      <w:r w:rsidR="00FD5F6B">
        <w:t>, the C6S remaining at normal level</w:t>
      </w:r>
      <w:r w:rsidR="00FD5F6B" w:rsidRPr="00E64014">
        <w:t>. This renders the matrix much more permissive to axon growth.</w:t>
      </w:r>
    </w:p>
    <w:p w14:paraId="3EEF48DA" w14:textId="77777777" w:rsidR="00FD5F6B" w:rsidRDefault="00FD5F6B" w:rsidP="00FD5F6B"/>
    <w:p w14:paraId="56142D5E" w14:textId="77777777" w:rsidR="00F3368F" w:rsidRDefault="00F3368F" w:rsidP="00F3368F"/>
    <w:p w14:paraId="05BEEB0F" w14:textId="77777777" w:rsidR="00FD5F6B" w:rsidRDefault="00FD5F6B">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084C4E08" w14:textId="77777777" w:rsidR="00FD5F6B" w:rsidRDefault="00FD5F6B" w:rsidP="00FD5F6B">
      <w:r w:rsidRPr="00CB5BC3">
        <w:rPr>
          <w:noProof/>
          <w:lang w:val="en-GB" w:eastAsia="en-GB"/>
        </w:rPr>
        <w:lastRenderedPageBreak/>
        <w:drawing>
          <wp:inline distT="0" distB="0" distL="0" distR="0" wp14:anchorId="0CC256A5" wp14:editId="1682B2C3">
            <wp:extent cx="5270500" cy="3086735"/>
            <wp:effectExtent l="0" t="0" r="6350" b="0"/>
            <wp:docPr id="3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pic:cNvPicPr>
                      <a:picLocks noChangeAspect="1"/>
                    </pic:cNvPicPr>
                  </pic:nvPicPr>
                  <pic:blipFill>
                    <a:blip r:embed="rId8"/>
                    <a:stretch>
                      <a:fillRect/>
                    </a:stretch>
                  </pic:blipFill>
                  <pic:spPr>
                    <a:xfrm>
                      <a:off x="0" y="0"/>
                      <a:ext cx="5270500" cy="3086735"/>
                    </a:xfrm>
                    <a:prstGeom prst="rect">
                      <a:avLst/>
                    </a:prstGeom>
                    <a:solidFill>
                      <a:schemeClr val="bg1"/>
                    </a:solidFill>
                  </pic:spPr>
                </pic:pic>
              </a:graphicData>
            </a:graphic>
          </wp:inline>
        </w:drawing>
      </w:r>
    </w:p>
    <w:p w14:paraId="725A497E" w14:textId="507549DE" w:rsidR="00FD5F6B" w:rsidRDefault="00FD5F6B" w:rsidP="00FD5F6B">
      <w:r>
        <w:rPr>
          <w:b/>
          <w:bCs/>
        </w:rPr>
        <w:t xml:space="preserve">Supplementary Figure S4 S4. </w:t>
      </w:r>
      <w:r w:rsidRPr="00837A7C">
        <w:t>This FACE gel shows disaccharides released from chondroitin sulphates by digestion with chondroitinase</w:t>
      </w:r>
      <w:r>
        <w:t xml:space="preserve"> ABC. Lanes 1 and 2 show the migration distance of standard disaccharides, including </w:t>
      </w:r>
      <w:r>
        <w:sym w:font="Symbol" w:char="F044"/>
      </w:r>
      <w:r w:rsidRPr="00837A7C">
        <w:t>Di</w:t>
      </w:r>
      <w:r>
        <w:t xml:space="preserve">-0S, </w:t>
      </w:r>
      <w:r>
        <w:sym w:font="Symbol" w:char="F044"/>
      </w:r>
      <w:r w:rsidRPr="00837A7C">
        <w:t>Di-4S</w:t>
      </w:r>
      <w:r>
        <w:t xml:space="preserve">, </w:t>
      </w:r>
      <w:r>
        <w:sym w:font="Symbol" w:char="F044"/>
      </w:r>
      <w:r w:rsidRPr="00837A7C">
        <w:t>Di-6S</w:t>
      </w:r>
      <w:r>
        <w:t xml:space="preserve"> and </w:t>
      </w:r>
      <w:r>
        <w:sym w:font="Symbol" w:char="F044"/>
      </w:r>
      <w:r w:rsidRPr="00837A7C">
        <w:t>Di</w:t>
      </w:r>
      <w:r>
        <w:t xml:space="preserve">-HA. GAGs were isolated from C6ST KO and WT mice, labelled and electrophoresed to reveal the </w:t>
      </w:r>
      <w:r w:rsidRPr="00837A7C">
        <w:t xml:space="preserve">content of these sulphation forms. </w:t>
      </w:r>
      <w:r>
        <w:t>In</w:t>
      </w:r>
      <w:r w:rsidRPr="00837A7C">
        <w:t xml:space="preserve"> wild-type animals</w:t>
      </w:r>
      <w:r>
        <w:t xml:space="preserve"> (lanes 5 and 6),</w:t>
      </w:r>
      <w:r w:rsidRPr="00837A7C">
        <w:t xml:space="preserve"> digestion with chondro-6-sulfatase leads to a decrease in density of the </w:t>
      </w:r>
      <w:r>
        <w:t xml:space="preserve">lower band (arrow) and an increase in the upper </w:t>
      </w:r>
      <w:r w:rsidRPr="00837A7C">
        <w:t xml:space="preserve">band </w:t>
      </w:r>
      <w:r>
        <w:t xml:space="preserve">(arrowhead) </w:t>
      </w:r>
      <w:r w:rsidRPr="00837A7C">
        <w:t>due to digestion of C6S</w:t>
      </w:r>
      <w:r>
        <w:t xml:space="preserve"> to non-sulphated C0S</w:t>
      </w:r>
      <w:r w:rsidRPr="00837A7C">
        <w:t xml:space="preserve">. </w:t>
      </w:r>
      <w:r>
        <w:t xml:space="preserve">Lanes 3 and 4 show the mono-sulphated CS contenct in </w:t>
      </w:r>
      <w:r w:rsidRPr="00837A7C">
        <w:t>C6ST KO</w:t>
      </w:r>
      <w:r>
        <w:t>. The results</w:t>
      </w:r>
      <w:r w:rsidRPr="00837A7C">
        <w:t xml:space="preserve"> show a single band of 4 sulphated disaccharide. The band does not shift or change in density after digestion with </w:t>
      </w:r>
      <w:r>
        <w:t>c</w:t>
      </w:r>
      <w:r w:rsidRPr="00837A7C">
        <w:t xml:space="preserve">hondro-6 sulfatase, indicating that there is no C6S in the proteoglycans from the knockout. </w:t>
      </w:r>
    </w:p>
    <w:p w14:paraId="3E9FA6DC" w14:textId="77777777" w:rsidR="00FD5F6B" w:rsidRDefault="00FD5F6B">
      <w:pPr>
        <w:spacing w:after="0" w:line="240" w:lineRule="auto"/>
      </w:pPr>
      <w:r>
        <w:br w:type="page"/>
      </w:r>
    </w:p>
    <w:p w14:paraId="0DD11E44" w14:textId="77777777" w:rsidR="00FD5F6B" w:rsidRDefault="00FD5F6B" w:rsidP="00FD5F6B"/>
    <w:p w14:paraId="2A82D01A" w14:textId="77777777" w:rsidR="00FD5F6B" w:rsidRDefault="00FD5F6B" w:rsidP="00FD5F6B">
      <w:pPr>
        <w:spacing w:after="0" w:line="240" w:lineRule="auto"/>
      </w:pPr>
      <w:r>
        <w:rPr>
          <w:noProof/>
          <w:lang w:val="en-GB" w:eastAsia="en-GB"/>
        </w:rPr>
        <w:drawing>
          <wp:anchor distT="0" distB="0" distL="114300" distR="114300" simplePos="0" relativeHeight="251674624" behindDoc="0" locked="0" layoutInCell="1" allowOverlap="1" wp14:anchorId="4B875DFF" wp14:editId="232DD7C1">
            <wp:simplePos x="0" y="0"/>
            <wp:positionH relativeFrom="margin">
              <wp:align>left</wp:align>
            </wp:positionH>
            <wp:positionV relativeFrom="paragraph">
              <wp:posOffset>149225</wp:posOffset>
            </wp:positionV>
            <wp:extent cx="2333625" cy="2876550"/>
            <wp:effectExtent l="0" t="0" r="9525" b="0"/>
            <wp:wrapSquare wrapText="bothSides"/>
            <wp:docPr id="10" name="Chart 10">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77762E2A" w14:textId="77777777" w:rsidR="00FD5F6B" w:rsidRDefault="00FD5F6B" w:rsidP="00FD5F6B">
      <w:pPr>
        <w:spacing w:after="0" w:line="240" w:lineRule="auto"/>
      </w:pPr>
    </w:p>
    <w:p w14:paraId="0BD5EE5B" w14:textId="77777777" w:rsidR="00FD5F6B" w:rsidRDefault="00FD5F6B" w:rsidP="00FD5F6B">
      <w:pPr>
        <w:spacing w:after="0" w:line="240" w:lineRule="auto"/>
      </w:pPr>
    </w:p>
    <w:p w14:paraId="2925DE85" w14:textId="77777777" w:rsidR="00FD5F6B" w:rsidRDefault="00FD5F6B" w:rsidP="00FD5F6B">
      <w:pPr>
        <w:spacing w:after="0" w:line="240" w:lineRule="auto"/>
      </w:pPr>
    </w:p>
    <w:p w14:paraId="2CD65668" w14:textId="77777777" w:rsidR="00FD5F6B" w:rsidRDefault="00FD5F6B" w:rsidP="00FD5F6B">
      <w:pPr>
        <w:spacing w:after="0" w:line="240" w:lineRule="auto"/>
      </w:pPr>
    </w:p>
    <w:p w14:paraId="35BD8F33" w14:textId="77777777" w:rsidR="00FD5F6B" w:rsidRDefault="00FD5F6B" w:rsidP="00FD5F6B">
      <w:pPr>
        <w:spacing w:after="0" w:line="240" w:lineRule="auto"/>
      </w:pPr>
    </w:p>
    <w:p w14:paraId="442B72F1" w14:textId="77777777" w:rsidR="00FD5F6B" w:rsidRDefault="00FD5F6B" w:rsidP="00FD5F6B">
      <w:pPr>
        <w:spacing w:after="0" w:line="240" w:lineRule="auto"/>
      </w:pPr>
    </w:p>
    <w:p w14:paraId="51E5521B" w14:textId="77777777" w:rsidR="00FD5F6B" w:rsidRDefault="00FD5F6B" w:rsidP="00FD5F6B">
      <w:pPr>
        <w:spacing w:after="0" w:line="240" w:lineRule="auto"/>
      </w:pPr>
    </w:p>
    <w:p w14:paraId="658BA561" w14:textId="77777777" w:rsidR="00FD5F6B" w:rsidRDefault="00FD5F6B" w:rsidP="00FD5F6B">
      <w:pPr>
        <w:spacing w:after="0" w:line="240" w:lineRule="auto"/>
      </w:pPr>
    </w:p>
    <w:p w14:paraId="395476B2" w14:textId="77777777" w:rsidR="00FD5F6B" w:rsidRDefault="00FD5F6B" w:rsidP="00FD5F6B">
      <w:pPr>
        <w:spacing w:after="0" w:line="240" w:lineRule="auto"/>
      </w:pPr>
    </w:p>
    <w:p w14:paraId="785A5930" w14:textId="77777777" w:rsidR="00FD5F6B" w:rsidRDefault="00FD5F6B" w:rsidP="00FD5F6B">
      <w:pPr>
        <w:spacing w:after="0" w:line="240" w:lineRule="auto"/>
      </w:pPr>
    </w:p>
    <w:p w14:paraId="3D1C6E10" w14:textId="77777777" w:rsidR="00FD5F6B" w:rsidRDefault="00FD5F6B" w:rsidP="00FD5F6B">
      <w:pPr>
        <w:spacing w:after="0" w:line="240" w:lineRule="auto"/>
      </w:pPr>
    </w:p>
    <w:p w14:paraId="06B73DBF" w14:textId="77777777" w:rsidR="00FD5F6B" w:rsidRDefault="00FD5F6B" w:rsidP="00FD5F6B">
      <w:pPr>
        <w:spacing w:after="0" w:line="240" w:lineRule="auto"/>
      </w:pPr>
    </w:p>
    <w:p w14:paraId="3EC88B5F" w14:textId="77777777" w:rsidR="00FD5F6B" w:rsidRDefault="00FD5F6B" w:rsidP="00FD5F6B">
      <w:pPr>
        <w:spacing w:after="0" w:line="240" w:lineRule="auto"/>
      </w:pPr>
    </w:p>
    <w:p w14:paraId="2E97A430" w14:textId="77777777" w:rsidR="00FD5F6B" w:rsidRDefault="00FD5F6B" w:rsidP="00FD5F6B">
      <w:pPr>
        <w:spacing w:after="0" w:line="240" w:lineRule="auto"/>
      </w:pPr>
    </w:p>
    <w:p w14:paraId="0A8295C4" w14:textId="77777777" w:rsidR="00FD5F6B" w:rsidRDefault="00FD5F6B" w:rsidP="00FD5F6B">
      <w:pPr>
        <w:spacing w:after="0" w:line="240" w:lineRule="auto"/>
      </w:pPr>
    </w:p>
    <w:p w14:paraId="4EB828E3" w14:textId="77777777" w:rsidR="00FD5F6B" w:rsidRDefault="00FD5F6B" w:rsidP="00FD5F6B">
      <w:pPr>
        <w:spacing w:after="0" w:line="240" w:lineRule="auto"/>
      </w:pPr>
    </w:p>
    <w:p w14:paraId="0A057E82" w14:textId="77777777" w:rsidR="00FD5F6B" w:rsidRDefault="00FD5F6B" w:rsidP="00FD5F6B">
      <w:pPr>
        <w:spacing w:after="0" w:line="240" w:lineRule="auto"/>
      </w:pPr>
    </w:p>
    <w:p w14:paraId="0FD3063D" w14:textId="77777777" w:rsidR="00FD5F6B" w:rsidRDefault="00FD5F6B" w:rsidP="00FD5F6B">
      <w:pPr>
        <w:spacing w:after="0" w:line="240" w:lineRule="auto"/>
      </w:pPr>
    </w:p>
    <w:p w14:paraId="2DA310CD" w14:textId="77777777" w:rsidR="00FD5F6B" w:rsidRDefault="00FD5F6B" w:rsidP="00FD5F6B">
      <w:pPr>
        <w:spacing w:after="0" w:line="240" w:lineRule="auto"/>
      </w:pPr>
    </w:p>
    <w:p w14:paraId="63C85C9E" w14:textId="77777777" w:rsidR="00FD5F6B" w:rsidRDefault="00FD5F6B" w:rsidP="00FD5F6B">
      <w:pPr>
        <w:spacing w:after="0" w:line="240" w:lineRule="auto"/>
      </w:pPr>
    </w:p>
    <w:p w14:paraId="280B3176" w14:textId="71180C2E" w:rsidR="00FD5F6B" w:rsidRDefault="00EC0E9A" w:rsidP="00FD5F6B">
      <w:r>
        <w:rPr>
          <w:b/>
          <w:bCs/>
        </w:rPr>
        <w:t xml:space="preserve">Supplementary </w:t>
      </w:r>
      <w:r w:rsidR="00FD5F6B">
        <w:rPr>
          <w:b/>
          <w:bCs/>
        </w:rPr>
        <w:t xml:space="preserve">Figure S5 S7. </w:t>
      </w:r>
      <w:r w:rsidR="00FD5F6B">
        <w:t>Length of PNNs on the dendrites of PV</w:t>
      </w:r>
      <w:r w:rsidR="00FD5F6B" w:rsidRPr="008E7C27">
        <w:rPr>
          <w:vertAlign w:val="superscript"/>
        </w:rPr>
        <w:t>+</w:t>
      </w:r>
      <w:r w:rsidR="00FD5F6B">
        <w:t xml:space="preserve"> neurons. Sections of 3 month wild-type and </w:t>
      </w:r>
      <w:r w:rsidR="00FD5F6B">
        <w:rPr>
          <w:i/>
          <w:iCs/>
        </w:rPr>
        <w:t xml:space="preserve">chst3 </w:t>
      </w:r>
      <w:r w:rsidR="00FD5F6B">
        <w:t>knockout cortex were stained for PV and WFA. The length of the segments of WFA-stained PNN along the dendrites was measured. There was no significant difference between the groups. Neurons were skeletonised using image J then PNNs quantifed by pixel count (3 animals per group, 15 neurons per animal analyzed).</w:t>
      </w:r>
    </w:p>
    <w:p w14:paraId="56883304" w14:textId="7CCAA8E9" w:rsidR="00A039C4" w:rsidRDefault="00A039C4">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0B1E1B6C" w14:textId="78846DD9" w:rsidR="00D36D70" w:rsidRDefault="00A039C4" w:rsidP="00D36D70">
      <w:pPr>
        <w:jc w:val="both"/>
        <w:rPr>
          <w:rFonts w:ascii="Times New Roman" w:hAnsi="Times New Roman" w:cs="Times New Roman"/>
          <w:sz w:val="24"/>
          <w:szCs w:val="24"/>
        </w:rPr>
      </w:pPr>
      <w:r>
        <w:rPr>
          <w:rFonts w:ascii="Times New Roman" w:hAnsi="Times New Roman" w:cs="Times New Roman"/>
          <w:noProof/>
          <w:sz w:val="24"/>
          <w:szCs w:val="24"/>
          <w:lang w:val="en-GB" w:eastAsia="en-GB"/>
        </w:rPr>
        <w:lastRenderedPageBreak/>
        <w:drawing>
          <wp:anchor distT="0" distB="0" distL="114300" distR="114300" simplePos="0" relativeHeight="251660288" behindDoc="0" locked="0" layoutInCell="1" allowOverlap="1" wp14:anchorId="0B7713B3" wp14:editId="77E1AA66">
            <wp:simplePos x="0" y="0"/>
            <wp:positionH relativeFrom="column">
              <wp:posOffset>0</wp:posOffset>
            </wp:positionH>
            <wp:positionV relativeFrom="paragraph">
              <wp:posOffset>295275</wp:posOffset>
            </wp:positionV>
            <wp:extent cx="5270500" cy="5762625"/>
            <wp:effectExtent l="0" t="0" r="6350" b="9525"/>
            <wp:wrapTight wrapText="bothSides">
              <wp:wrapPolygon edited="0">
                <wp:start x="0" y="0"/>
                <wp:lineTo x="0" y="21564"/>
                <wp:lineTo x="21548" y="21564"/>
                <wp:lineTo x="2154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de7.JPG"/>
                    <pic:cNvPicPr/>
                  </pic:nvPicPr>
                  <pic:blipFill>
                    <a:blip r:embed="rId10">
                      <a:extLst>
                        <a:ext uri="{28A0092B-C50C-407E-A947-70E740481C1C}">
                          <a14:useLocalDpi xmlns:a14="http://schemas.microsoft.com/office/drawing/2010/main" val="0"/>
                        </a:ext>
                      </a:extLst>
                    </a:blip>
                    <a:stretch>
                      <a:fillRect/>
                    </a:stretch>
                  </pic:blipFill>
                  <pic:spPr>
                    <a:xfrm>
                      <a:off x="0" y="0"/>
                      <a:ext cx="5270500" cy="5762625"/>
                    </a:xfrm>
                    <a:prstGeom prst="rect">
                      <a:avLst/>
                    </a:prstGeom>
                  </pic:spPr>
                </pic:pic>
              </a:graphicData>
            </a:graphic>
          </wp:anchor>
        </w:drawing>
      </w:r>
    </w:p>
    <w:p w14:paraId="317BE35D" w14:textId="70771050" w:rsidR="00D36D70" w:rsidRPr="00AB554E" w:rsidRDefault="00D36D70" w:rsidP="00D36D70">
      <w:pPr>
        <w:jc w:val="both"/>
        <w:rPr>
          <w:rFonts w:ascii="Times New Roman" w:hAnsi="Times New Roman" w:cs="Times New Roman"/>
          <w:sz w:val="24"/>
          <w:szCs w:val="24"/>
        </w:rPr>
      </w:pPr>
    </w:p>
    <w:p w14:paraId="78CE2353" w14:textId="28D18F58" w:rsidR="00D36D70" w:rsidRDefault="00D36D70" w:rsidP="00D36D70">
      <w:pPr>
        <w:jc w:val="both"/>
        <w:rPr>
          <w:rFonts w:ascii="Times New Roman" w:hAnsi="Times New Roman" w:cs="Times New Roman"/>
          <w:sz w:val="24"/>
          <w:szCs w:val="24"/>
        </w:rPr>
      </w:pPr>
      <w:r w:rsidRPr="00911620">
        <w:rPr>
          <w:rFonts w:ascii="Times New Roman" w:hAnsi="Times New Roman" w:cs="Times New Roman"/>
          <w:b/>
          <w:sz w:val="24"/>
          <w:szCs w:val="24"/>
        </w:rPr>
        <w:t>Supplementary Fi</w:t>
      </w:r>
      <w:r w:rsidR="00EC0E9A">
        <w:rPr>
          <w:rFonts w:ascii="Times New Roman" w:hAnsi="Times New Roman" w:cs="Times New Roman"/>
          <w:b/>
          <w:sz w:val="24"/>
          <w:szCs w:val="24"/>
        </w:rPr>
        <w:t xml:space="preserve">gure </w:t>
      </w:r>
      <w:r w:rsidR="00FD5F6B">
        <w:rPr>
          <w:rFonts w:ascii="Times New Roman" w:hAnsi="Times New Roman" w:cs="Times New Roman"/>
          <w:b/>
          <w:sz w:val="24"/>
          <w:szCs w:val="24"/>
        </w:rPr>
        <w:t>S6 S</w:t>
      </w:r>
      <w:r w:rsidRPr="00911620">
        <w:rPr>
          <w:rFonts w:ascii="Times New Roman" w:hAnsi="Times New Roman" w:cs="Times New Roman"/>
          <w:b/>
          <w:sz w:val="24"/>
          <w:szCs w:val="24"/>
        </w:rPr>
        <w:t>2</w:t>
      </w:r>
      <w:r>
        <w:rPr>
          <w:rFonts w:ascii="Times New Roman" w:hAnsi="Times New Roman" w:cs="Times New Roman"/>
          <w:b/>
          <w:sz w:val="24"/>
          <w:szCs w:val="24"/>
          <w:lang w:eastAsia="ko-KR"/>
        </w:rPr>
        <w:t xml:space="preserve"> </w:t>
      </w:r>
      <w:r w:rsidRPr="004219F6">
        <w:rPr>
          <w:rFonts w:ascii="Times New Roman" w:hAnsi="Times New Roman" w:cs="Times New Roman"/>
          <w:sz w:val="24"/>
          <w:szCs w:val="24"/>
          <w:lang w:eastAsia="ko-KR"/>
        </w:rPr>
        <w:t xml:space="preserve">(A) Pairs of objects used in SOR task. (B) Y-maze based spontaneous alternation test in </w:t>
      </w:r>
      <w:r>
        <w:rPr>
          <w:rFonts w:ascii="Times New Roman" w:hAnsi="Times New Roman" w:cs="Times New Roman"/>
          <w:i/>
          <w:sz w:val="24"/>
          <w:szCs w:val="24"/>
          <w:lang w:eastAsia="ko-KR"/>
        </w:rPr>
        <w:t>c</w:t>
      </w:r>
      <w:r w:rsidRPr="004219F6">
        <w:rPr>
          <w:rFonts w:ascii="Times New Roman" w:hAnsi="Times New Roman" w:cs="Times New Roman"/>
          <w:i/>
          <w:sz w:val="24"/>
          <w:szCs w:val="24"/>
          <w:lang w:eastAsia="ko-KR"/>
        </w:rPr>
        <w:t>hst3</w:t>
      </w:r>
      <w:r w:rsidRPr="004219F6">
        <w:rPr>
          <w:rFonts w:ascii="Times New Roman" w:hAnsi="Times New Roman" w:cs="Times New Roman"/>
          <w:sz w:val="24"/>
          <w:szCs w:val="24"/>
          <w:lang w:eastAsia="ko-KR"/>
        </w:rPr>
        <w:t xml:space="preserve"> KO mice at different ages, 2M: WT n=8, </w:t>
      </w:r>
      <w:r w:rsidRPr="004219F6">
        <w:rPr>
          <w:rFonts w:ascii="Times New Roman" w:hAnsi="Times New Roman" w:cs="Times New Roman"/>
          <w:i/>
          <w:sz w:val="24"/>
          <w:szCs w:val="24"/>
          <w:lang w:eastAsia="ko-KR"/>
        </w:rPr>
        <w:t>chst3</w:t>
      </w:r>
      <w:r w:rsidRPr="004219F6">
        <w:rPr>
          <w:rFonts w:ascii="Times New Roman" w:hAnsi="Times New Roman" w:cs="Times New Roman"/>
          <w:sz w:val="24"/>
          <w:szCs w:val="24"/>
          <w:lang w:eastAsia="ko-KR"/>
        </w:rPr>
        <w:t xml:space="preserve"> KO n=16, 4M: WT n=9, </w:t>
      </w:r>
      <w:r w:rsidRPr="004219F6">
        <w:rPr>
          <w:rFonts w:ascii="Times New Roman" w:hAnsi="Times New Roman" w:cs="Times New Roman"/>
          <w:i/>
          <w:sz w:val="24"/>
          <w:szCs w:val="24"/>
          <w:lang w:eastAsia="ko-KR"/>
        </w:rPr>
        <w:t>chst3</w:t>
      </w:r>
      <w:r w:rsidRPr="004219F6">
        <w:rPr>
          <w:rFonts w:ascii="Times New Roman" w:hAnsi="Times New Roman" w:cs="Times New Roman"/>
          <w:sz w:val="24"/>
          <w:szCs w:val="24"/>
          <w:lang w:eastAsia="ko-KR"/>
        </w:rPr>
        <w:t xml:space="preserve"> KO n=11, 7M: WT n=12, </w:t>
      </w:r>
      <w:r w:rsidRPr="004219F6">
        <w:rPr>
          <w:rFonts w:ascii="Times New Roman" w:hAnsi="Times New Roman" w:cs="Times New Roman"/>
          <w:i/>
          <w:sz w:val="24"/>
          <w:szCs w:val="24"/>
          <w:lang w:eastAsia="ko-KR"/>
        </w:rPr>
        <w:t>chst3</w:t>
      </w:r>
      <w:r w:rsidRPr="004219F6">
        <w:rPr>
          <w:rFonts w:ascii="Times New Roman" w:hAnsi="Times New Roman" w:cs="Times New Roman"/>
          <w:sz w:val="24"/>
          <w:szCs w:val="24"/>
          <w:lang w:eastAsia="ko-KR"/>
        </w:rPr>
        <w:t xml:space="preserve"> KO n=12. Left: </w:t>
      </w:r>
      <w:r w:rsidR="000618C4">
        <w:rPr>
          <w:rFonts w:ascii="Times New Roman" w:hAnsi="Times New Roman" w:cs="Times New Roman"/>
          <w:sz w:val="24"/>
          <w:szCs w:val="24"/>
          <w:lang w:eastAsia="ko-KR"/>
        </w:rPr>
        <w:t>a</w:t>
      </w:r>
      <w:r w:rsidR="000618C4" w:rsidRPr="004219F6">
        <w:rPr>
          <w:rFonts w:ascii="Times New Roman" w:hAnsi="Times New Roman" w:cs="Times New Roman"/>
          <w:sz w:val="24"/>
          <w:szCs w:val="24"/>
          <w:lang w:eastAsia="ko-KR"/>
        </w:rPr>
        <w:t xml:space="preserve">lternate </w:t>
      </w:r>
      <w:r w:rsidRPr="004219F6">
        <w:rPr>
          <w:rFonts w:ascii="Times New Roman" w:hAnsi="Times New Roman" w:cs="Times New Roman"/>
          <w:sz w:val="24"/>
          <w:szCs w:val="24"/>
          <w:lang w:eastAsia="ko-KR"/>
        </w:rPr>
        <w:t>arm return</w:t>
      </w:r>
      <w:r w:rsidR="000618C4">
        <w:rPr>
          <w:rFonts w:ascii="Times New Roman" w:hAnsi="Times New Roman" w:cs="Times New Roman"/>
          <w:sz w:val="24"/>
          <w:szCs w:val="24"/>
          <w:lang w:eastAsia="ko-KR"/>
        </w:rPr>
        <w:t>.</w:t>
      </w:r>
      <w:r w:rsidR="000618C4" w:rsidRPr="004219F6">
        <w:rPr>
          <w:rFonts w:ascii="Times New Roman" w:hAnsi="Times New Roman" w:cs="Times New Roman"/>
          <w:sz w:val="24"/>
          <w:szCs w:val="24"/>
          <w:lang w:eastAsia="ko-KR"/>
        </w:rPr>
        <w:t xml:space="preserve"> </w:t>
      </w:r>
      <w:r w:rsidRPr="004219F6">
        <w:rPr>
          <w:rFonts w:ascii="Times New Roman" w:hAnsi="Times New Roman" w:cs="Times New Roman"/>
          <w:sz w:val="24"/>
          <w:szCs w:val="24"/>
          <w:lang w:eastAsia="ko-KR"/>
        </w:rPr>
        <w:t>Right:</w:t>
      </w:r>
      <w:r w:rsidR="000618C4">
        <w:rPr>
          <w:rFonts w:ascii="Times New Roman" w:hAnsi="Times New Roman" w:cs="Times New Roman"/>
          <w:sz w:val="24"/>
          <w:szCs w:val="24"/>
          <w:lang w:eastAsia="ko-KR"/>
        </w:rPr>
        <w:t xml:space="preserve"> same arm return. U</w:t>
      </w:r>
      <w:r w:rsidRPr="004219F6">
        <w:rPr>
          <w:rFonts w:ascii="Times New Roman" w:hAnsi="Times New Roman" w:cs="Times New Roman"/>
          <w:sz w:val="24"/>
          <w:szCs w:val="24"/>
          <w:lang w:eastAsia="ko-KR"/>
        </w:rPr>
        <w:t xml:space="preserve">npaired two-tailed </w:t>
      </w:r>
      <w:r w:rsidRPr="00E13E10">
        <w:rPr>
          <w:rFonts w:ascii="Times New Roman" w:hAnsi="Times New Roman" w:cs="Times New Roman"/>
          <w:i/>
          <w:sz w:val="24"/>
          <w:szCs w:val="24"/>
          <w:lang w:eastAsia="ko-KR"/>
        </w:rPr>
        <w:t>t</w:t>
      </w:r>
      <w:r w:rsidRPr="004219F6">
        <w:rPr>
          <w:rFonts w:ascii="Times New Roman" w:hAnsi="Times New Roman" w:cs="Times New Roman"/>
          <w:sz w:val="24"/>
          <w:szCs w:val="24"/>
          <w:lang w:eastAsia="ko-KR"/>
        </w:rPr>
        <w:t>-test 2M: *p=0.018 4M: *p=0.019, 7M: n.s. p=0.2</w:t>
      </w:r>
      <w:r w:rsidR="000618C4">
        <w:rPr>
          <w:rFonts w:ascii="Times New Roman" w:hAnsi="Times New Roman" w:cs="Times New Roman"/>
          <w:sz w:val="24"/>
          <w:szCs w:val="24"/>
          <w:lang w:eastAsia="ko-KR"/>
        </w:rPr>
        <w:t>.</w:t>
      </w:r>
      <w:r w:rsidRPr="004219F6">
        <w:rPr>
          <w:rFonts w:ascii="Times New Roman" w:hAnsi="Times New Roman" w:cs="Times New Roman"/>
          <w:sz w:val="24"/>
          <w:szCs w:val="24"/>
          <w:lang w:eastAsia="ko-KR"/>
        </w:rPr>
        <w:t xml:space="preserve"> (C) Analysis of PNNs in </w:t>
      </w:r>
      <w:r w:rsidRPr="00E13E10">
        <w:rPr>
          <w:rFonts w:ascii="Times New Roman" w:hAnsi="Times New Roman" w:cs="Times New Roman"/>
          <w:i/>
          <w:sz w:val="24"/>
          <w:szCs w:val="24"/>
          <w:lang w:eastAsia="ko-KR"/>
        </w:rPr>
        <w:t>chst3</w:t>
      </w:r>
      <w:r w:rsidRPr="004219F6">
        <w:rPr>
          <w:rFonts w:ascii="Times New Roman" w:hAnsi="Times New Roman" w:cs="Times New Roman"/>
          <w:sz w:val="24"/>
          <w:szCs w:val="24"/>
          <w:lang w:eastAsia="ko-KR"/>
        </w:rPr>
        <w:t xml:space="preserve"> KO mice, Left: </w:t>
      </w:r>
      <w:r w:rsidR="000618C4">
        <w:rPr>
          <w:rFonts w:ascii="Times New Roman" w:hAnsi="Times New Roman" w:cs="Times New Roman"/>
          <w:sz w:val="24"/>
          <w:szCs w:val="24"/>
          <w:lang w:eastAsia="ko-KR"/>
        </w:rPr>
        <w:t>i</w:t>
      </w:r>
      <w:r w:rsidR="000618C4" w:rsidRPr="004219F6">
        <w:rPr>
          <w:rFonts w:ascii="Times New Roman" w:hAnsi="Times New Roman" w:cs="Times New Roman"/>
          <w:sz w:val="24"/>
          <w:szCs w:val="24"/>
          <w:lang w:eastAsia="ko-KR"/>
        </w:rPr>
        <w:t xml:space="preserve">mmunohistochemistry </w:t>
      </w:r>
      <w:r w:rsidRPr="004219F6">
        <w:rPr>
          <w:rFonts w:ascii="Times New Roman" w:hAnsi="Times New Roman" w:cs="Times New Roman"/>
          <w:sz w:val="24"/>
          <w:szCs w:val="24"/>
          <w:lang w:eastAsia="ko-KR"/>
        </w:rPr>
        <w:t>of WFA(+) profile in retrosplenial cortex (RSC) and perirhinal cortex (PRh). Scale bar: 50 µm</w:t>
      </w:r>
      <w:r w:rsidR="000618C4">
        <w:rPr>
          <w:rFonts w:ascii="Times New Roman" w:hAnsi="Times New Roman" w:cs="Times New Roman"/>
          <w:sz w:val="24"/>
          <w:szCs w:val="24"/>
          <w:lang w:eastAsia="ko-KR"/>
        </w:rPr>
        <w:t>.</w:t>
      </w:r>
      <w:r w:rsidRPr="004219F6">
        <w:rPr>
          <w:rFonts w:ascii="Times New Roman" w:hAnsi="Times New Roman" w:cs="Times New Roman"/>
          <w:sz w:val="24"/>
          <w:szCs w:val="24"/>
          <w:lang w:eastAsia="ko-KR"/>
        </w:rPr>
        <w:t xml:space="preserve"> Right: WFA intensity comparison between WT and </w:t>
      </w:r>
      <w:r w:rsidRPr="004219F6">
        <w:rPr>
          <w:rFonts w:ascii="Times New Roman" w:hAnsi="Times New Roman" w:cs="Times New Roman"/>
          <w:i/>
          <w:sz w:val="24"/>
          <w:szCs w:val="24"/>
          <w:lang w:eastAsia="ko-KR"/>
        </w:rPr>
        <w:t>chst3</w:t>
      </w:r>
      <w:r w:rsidRPr="004219F6">
        <w:rPr>
          <w:rFonts w:ascii="Times New Roman" w:hAnsi="Times New Roman" w:cs="Times New Roman"/>
          <w:sz w:val="24"/>
          <w:szCs w:val="24"/>
          <w:lang w:eastAsia="ko-KR"/>
        </w:rPr>
        <w:t xml:space="preserve"> KO mice. There is no significant difference between WT and </w:t>
      </w:r>
      <w:r w:rsidRPr="004219F6">
        <w:rPr>
          <w:rFonts w:ascii="Times New Roman" w:hAnsi="Times New Roman" w:cs="Times New Roman"/>
          <w:i/>
          <w:sz w:val="24"/>
          <w:szCs w:val="24"/>
          <w:lang w:eastAsia="ko-KR"/>
        </w:rPr>
        <w:t>chst3</w:t>
      </w:r>
      <w:r w:rsidRPr="004219F6">
        <w:rPr>
          <w:rFonts w:ascii="Times New Roman" w:hAnsi="Times New Roman" w:cs="Times New Roman"/>
          <w:sz w:val="24"/>
          <w:szCs w:val="24"/>
          <w:lang w:eastAsia="ko-KR"/>
        </w:rPr>
        <w:t xml:space="preserve"> KO. n=6/group</w:t>
      </w:r>
      <w:r w:rsidR="000618C4">
        <w:rPr>
          <w:rFonts w:ascii="Times New Roman" w:hAnsi="Times New Roman" w:cs="Times New Roman"/>
          <w:sz w:val="24"/>
          <w:szCs w:val="24"/>
          <w:lang w:eastAsia="ko-KR"/>
        </w:rPr>
        <w:t>.</w:t>
      </w:r>
      <w:r w:rsidR="000618C4" w:rsidRPr="004219F6">
        <w:rPr>
          <w:rFonts w:ascii="Times New Roman" w:hAnsi="Times New Roman" w:cs="Times New Roman"/>
          <w:sz w:val="24"/>
          <w:szCs w:val="24"/>
          <w:lang w:eastAsia="ko-KR"/>
        </w:rPr>
        <w:t xml:space="preserve"> </w:t>
      </w:r>
      <w:r w:rsidRPr="004219F6">
        <w:rPr>
          <w:rFonts w:ascii="Times New Roman" w:hAnsi="Times New Roman" w:cs="Times New Roman"/>
          <w:sz w:val="24"/>
          <w:szCs w:val="24"/>
          <w:lang w:eastAsia="ko-KR"/>
        </w:rPr>
        <w:t xml:space="preserve">Data represent </w:t>
      </w:r>
      <w:r w:rsidRPr="004219F6">
        <w:rPr>
          <w:rFonts w:ascii="Times New Roman" w:hAnsi="Times New Roman" w:cs="Times New Roman"/>
          <w:sz w:val="24"/>
          <w:szCs w:val="24"/>
        </w:rPr>
        <w:t>as mean ± SEM.</w:t>
      </w:r>
    </w:p>
    <w:p w14:paraId="172E1E5E" w14:textId="5ED02E5B" w:rsidR="00D36D70" w:rsidRPr="007D7CB9" w:rsidRDefault="00D36D70" w:rsidP="00D36D70">
      <w:pPr>
        <w:jc w:val="both"/>
        <w:rPr>
          <w:rFonts w:ascii="Times New Roman" w:hAnsi="Times New Roman" w:cs="Times New Roman"/>
          <w:b/>
          <w:sz w:val="24"/>
          <w:szCs w:val="24"/>
          <w:lang w:eastAsia="ko-KR"/>
        </w:rPr>
      </w:pPr>
    </w:p>
    <w:p w14:paraId="37093E8E" w14:textId="77777777" w:rsidR="00A039C4" w:rsidRDefault="00A039C4">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19E262C0" w14:textId="0B32787B" w:rsidR="00A039C4" w:rsidRDefault="00A039C4" w:rsidP="00A039C4">
      <w:pPr>
        <w:spacing w:after="0" w:line="240" w:lineRule="auto"/>
        <w:rPr>
          <w:rFonts w:ascii="Times New Roman" w:hAnsi="Times New Roman" w:cs="Times New Roman"/>
          <w:b/>
          <w:sz w:val="24"/>
          <w:szCs w:val="24"/>
        </w:rPr>
      </w:pPr>
      <w:r>
        <w:rPr>
          <w:rFonts w:ascii="Times New Roman" w:hAnsi="Times New Roman" w:cs="Times New Roman"/>
          <w:b/>
          <w:noProof/>
          <w:sz w:val="24"/>
          <w:szCs w:val="24"/>
          <w:lang w:val="en-GB" w:eastAsia="en-GB"/>
        </w:rPr>
        <w:lastRenderedPageBreak/>
        <w:drawing>
          <wp:anchor distT="0" distB="0" distL="114300" distR="114300" simplePos="0" relativeHeight="251661312" behindDoc="0" locked="0" layoutInCell="1" allowOverlap="1" wp14:anchorId="2A44AF12" wp14:editId="25FA4690">
            <wp:simplePos x="0" y="0"/>
            <wp:positionH relativeFrom="column">
              <wp:posOffset>0</wp:posOffset>
            </wp:positionH>
            <wp:positionV relativeFrom="paragraph">
              <wp:posOffset>171450</wp:posOffset>
            </wp:positionV>
            <wp:extent cx="5270500" cy="5762625"/>
            <wp:effectExtent l="0" t="0" r="6350" b="9525"/>
            <wp:wrapTight wrapText="bothSides">
              <wp:wrapPolygon edited="0">
                <wp:start x="0" y="0"/>
                <wp:lineTo x="0" y="21564"/>
                <wp:lineTo x="21548" y="21564"/>
                <wp:lineTo x="2154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de8.JPG"/>
                    <pic:cNvPicPr/>
                  </pic:nvPicPr>
                  <pic:blipFill>
                    <a:blip r:embed="rId11">
                      <a:extLst>
                        <a:ext uri="{28A0092B-C50C-407E-A947-70E740481C1C}">
                          <a14:useLocalDpi xmlns:a14="http://schemas.microsoft.com/office/drawing/2010/main" val="0"/>
                        </a:ext>
                      </a:extLst>
                    </a:blip>
                    <a:stretch>
                      <a:fillRect/>
                    </a:stretch>
                  </pic:blipFill>
                  <pic:spPr>
                    <a:xfrm>
                      <a:off x="0" y="0"/>
                      <a:ext cx="5270500" cy="5762625"/>
                    </a:xfrm>
                    <a:prstGeom prst="rect">
                      <a:avLst/>
                    </a:prstGeom>
                  </pic:spPr>
                </pic:pic>
              </a:graphicData>
            </a:graphic>
          </wp:anchor>
        </w:drawing>
      </w:r>
    </w:p>
    <w:p w14:paraId="1CF33206" w14:textId="77777777" w:rsidR="00A039C4" w:rsidRDefault="00A039C4" w:rsidP="00A039C4">
      <w:pPr>
        <w:spacing w:after="0" w:line="240" w:lineRule="auto"/>
        <w:rPr>
          <w:rFonts w:ascii="Times New Roman" w:hAnsi="Times New Roman" w:cs="Times New Roman"/>
          <w:b/>
          <w:sz w:val="24"/>
          <w:szCs w:val="24"/>
        </w:rPr>
      </w:pPr>
    </w:p>
    <w:p w14:paraId="5F4FAF53" w14:textId="39F75CBA" w:rsidR="00D36D70" w:rsidRPr="00A039C4" w:rsidRDefault="00D36D70" w:rsidP="00A039C4">
      <w:pPr>
        <w:spacing w:after="0" w:line="240" w:lineRule="auto"/>
        <w:rPr>
          <w:rFonts w:ascii="Times New Roman" w:hAnsi="Times New Roman" w:cs="Times New Roman"/>
          <w:b/>
          <w:sz w:val="24"/>
          <w:szCs w:val="24"/>
        </w:rPr>
      </w:pPr>
      <w:r w:rsidRPr="00911620">
        <w:rPr>
          <w:rFonts w:ascii="Times New Roman" w:hAnsi="Times New Roman" w:cs="Times New Roman"/>
          <w:b/>
          <w:sz w:val="24"/>
          <w:szCs w:val="24"/>
        </w:rPr>
        <w:t>Supplementary Fig</w:t>
      </w:r>
      <w:r w:rsidR="00EC0E9A">
        <w:rPr>
          <w:rFonts w:ascii="Times New Roman" w:hAnsi="Times New Roman" w:cs="Times New Roman"/>
          <w:b/>
          <w:sz w:val="24"/>
          <w:szCs w:val="24"/>
        </w:rPr>
        <w:t xml:space="preserve">ure </w:t>
      </w:r>
      <w:r w:rsidR="00FD5F6B">
        <w:rPr>
          <w:rFonts w:ascii="Times New Roman" w:hAnsi="Times New Roman" w:cs="Times New Roman"/>
          <w:b/>
          <w:sz w:val="24"/>
          <w:szCs w:val="24"/>
        </w:rPr>
        <w:t>S7 S3</w:t>
      </w:r>
      <w:r>
        <w:rPr>
          <w:rFonts w:ascii="Times New Roman" w:hAnsi="Times New Roman" w:cs="Times New Roman"/>
          <w:b/>
          <w:sz w:val="24"/>
          <w:szCs w:val="24"/>
          <w:lang w:eastAsia="ko-KR"/>
        </w:rPr>
        <w:t xml:space="preserve"> </w:t>
      </w:r>
      <w:r>
        <w:rPr>
          <w:rFonts w:ascii="Times New Roman" w:hAnsi="Times New Roman" w:cs="Times New Roman"/>
          <w:sz w:val="24"/>
          <w:szCs w:val="24"/>
          <w:lang w:eastAsia="ko-KR"/>
        </w:rPr>
        <w:t>(A) Stereotaxic injection sites for the PRh. a: bregma -1.82</w:t>
      </w:r>
      <w:r w:rsidR="000618C4">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t>mm</w:t>
      </w:r>
      <w:r w:rsidR="000618C4">
        <w:rPr>
          <w:rFonts w:ascii="Times New Roman" w:hAnsi="Times New Roman" w:cs="Times New Roman"/>
          <w:sz w:val="24"/>
          <w:szCs w:val="24"/>
          <w:lang w:eastAsia="ko-KR"/>
        </w:rPr>
        <w:t>,</w:t>
      </w:r>
      <w:r>
        <w:rPr>
          <w:rFonts w:ascii="Times New Roman" w:hAnsi="Times New Roman" w:cs="Times New Roman"/>
          <w:sz w:val="24"/>
          <w:szCs w:val="24"/>
          <w:lang w:eastAsia="ko-KR"/>
        </w:rPr>
        <w:t xml:space="preserve"> b: bregma -2.80</w:t>
      </w:r>
      <w:r w:rsidR="000618C4">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t>mm</w:t>
      </w:r>
      <w:r w:rsidR="000618C4">
        <w:rPr>
          <w:rFonts w:ascii="Times New Roman" w:hAnsi="Times New Roman" w:cs="Times New Roman"/>
          <w:sz w:val="24"/>
          <w:szCs w:val="24"/>
          <w:lang w:eastAsia="ko-KR"/>
        </w:rPr>
        <w:t>,</w:t>
      </w:r>
      <w:r>
        <w:rPr>
          <w:rFonts w:ascii="Times New Roman" w:hAnsi="Times New Roman" w:cs="Times New Roman"/>
          <w:sz w:val="24"/>
          <w:szCs w:val="24"/>
          <w:lang w:eastAsia="ko-KR"/>
        </w:rPr>
        <w:t xml:space="preserve"> c: bregma -3.80</w:t>
      </w:r>
      <w:r w:rsidR="000618C4">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t>mm</w:t>
      </w:r>
      <w:r w:rsidR="000618C4">
        <w:rPr>
          <w:rFonts w:ascii="Times New Roman" w:hAnsi="Times New Roman" w:cs="Times New Roman"/>
          <w:sz w:val="24"/>
          <w:szCs w:val="24"/>
          <w:lang w:eastAsia="ko-KR"/>
        </w:rPr>
        <w:t>.</w:t>
      </w:r>
      <w:r>
        <w:rPr>
          <w:rFonts w:ascii="Times New Roman" w:hAnsi="Times New Roman" w:cs="Times New Roman"/>
          <w:sz w:val="24"/>
          <w:szCs w:val="24"/>
          <w:lang w:eastAsia="ko-KR"/>
        </w:rPr>
        <w:t xml:space="preserve"> (</w:t>
      </w:r>
      <w:r w:rsidRPr="004219F6">
        <w:rPr>
          <w:rFonts w:ascii="Times New Roman" w:hAnsi="Times New Roman" w:cs="Times New Roman"/>
          <w:sz w:val="24"/>
          <w:szCs w:val="24"/>
          <w:lang w:eastAsia="ko-KR"/>
        </w:rPr>
        <w:t>B) The profile of AAV-</w:t>
      </w:r>
      <w:r w:rsidRPr="00E13E10">
        <w:rPr>
          <w:rFonts w:ascii="Times New Roman" w:hAnsi="Times New Roman" w:cs="Times New Roman"/>
          <w:i/>
          <w:sz w:val="24"/>
          <w:szCs w:val="24"/>
          <w:lang w:eastAsia="ko-KR"/>
        </w:rPr>
        <w:t>GFP</w:t>
      </w:r>
      <w:r w:rsidRPr="004219F6">
        <w:rPr>
          <w:rFonts w:ascii="Times New Roman" w:hAnsi="Times New Roman" w:cs="Times New Roman"/>
          <w:sz w:val="24"/>
          <w:szCs w:val="24"/>
          <w:lang w:eastAsia="ko-KR"/>
        </w:rPr>
        <w:t xml:space="preserve"> diffusion in </w:t>
      </w:r>
      <w:r>
        <w:rPr>
          <w:rFonts w:ascii="Times New Roman" w:hAnsi="Times New Roman" w:cs="Times New Roman"/>
          <w:sz w:val="24"/>
          <w:szCs w:val="24"/>
          <w:lang w:eastAsia="ko-KR"/>
        </w:rPr>
        <w:t>the PRh</w:t>
      </w:r>
      <w:r w:rsidR="006559A4">
        <w:rPr>
          <w:rFonts w:ascii="Times New Roman" w:hAnsi="Times New Roman" w:cs="Times New Roman"/>
          <w:sz w:val="24"/>
          <w:szCs w:val="24"/>
          <w:lang w:eastAsia="ko-KR"/>
        </w:rPr>
        <w:t>.</w:t>
      </w:r>
      <w:r w:rsidR="006559A4" w:rsidRPr="004219F6">
        <w:rPr>
          <w:rFonts w:ascii="Times New Roman" w:hAnsi="Times New Roman" w:cs="Times New Roman"/>
          <w:sz w:val="24"/>
          <w:szCs w:val="24"/>
          <w:lang w:eastAsia="ko-KR"/>
        </w:rPr>
        <w:t xml:space="preserve"> </w:t>
      </w:r>
      <w:r w:rsidRPr="004219F6">
        <w:rPr>
          <w:rFonts w:ascii="Times New Roman" w:hAnsi="Times New Roman" w:cs="Times New Roman"/>
          <w:sz w:val="24"/>
          <w:szCs w:val="24"/>
          <w:lang w:eastAsia="ko-KR"/>
        </w:rPr>
        <w:t>Scale bar: 100 µm</w:t>
      </w:r>
      <w:r>
        <w:rPr>
          <w:rFonts w:ascii="Times New Roman" w:hAnsi="Times New Roman" w:cs="Times New Roman"/>
          <w:sz w:val="24"/>
          <w:szCs w:val="24"/>
          <w:lang w:eastAsia="ko-KR"/>
        </w:rPr>
        <w:t>. (C</w:t>
      </w:r>
      <w:r w:rsidRPr="004219F6">
        <w:rPr>
          <w:rFonts w:ascii="Times New Roman" w:hAnsi="Times New Roman" w:cs="Times New Roman"/>
          <w:sz w:val="24"/>
          <w:szCs w:val="24"/>
          <w:lang w:eastAsia="ko-KR"/>
        </w:rPr>
        <w:t>) C6S expression induced by AAV-</w:t>
      </w:r>
      <w:r w:rsidRPr="004219F6">
        <w:rPr>
          <w:rFonts w:ascii="Times New Roman" w:hAnsi="Times New Roman" w:cs="Times New Roman"/>
          <w:i/>
          <w:sz w:val="24"/>
          <w:szCs w:val="24"/>
          <w:lang w:eastAsia="ko-KR"/>
        </w:rPr>
        <w:t>chst3</w:t>
      </w:r>
      <w:r w:rsidRPr="004219F6">
        <w:rPr>
          <w:rFonts w:ascii="Times New Roman" w:hAnsi="Times New Roman" w:cs="Times New Roman"/>
          <w:sz w:val="24"/>
          <w:szCs w:val="24"/>
          <w:lang w:eastAsia="ko-KR"/>
        </w:rPr>
        <w:t xml:space="preserve"> was detected by CS56 antibody in </w:t>
      </w:r>
      <w:r>
        <w:rPr>
          <w:rFonts w:ascii="Times New Roman" w:hAnsi="Times New Roman" w:cs="Times New Roman"/>
          <w:sz w:val="24"/>
          <w:szCs w:val="24"/>
          <w:lang w:eastAsia="ko-KR"/>
        </w:rPr>
        <w:t xml:space="preserve">C57BL/6 wild type (WT) </w:t>
      </w:r>
      <w:r w:rsidRPr="004219F6">
        <w:rPr>
          <w:rFonts w:ascii="Times New Roman" w:hAnsi="Times New Roman" w:cs="Times New Roman"/>
          <w:sz w:val="24"/>
          <w:szCs w:val="24"/>
          <w:lang w:eastAsia="ko-KR"/>
        </w:rPr>
        <w:t>mice at 20M. AAV-</w:t>
      </w:r>
      <w:r w:rsidRPr="00E13E10">
        <w:rPr>
          <w:rFonts w:ascii="Times New Roman" w:hAnsi="Times New Roman" w:cs="Times New Roman"/>
          <w:i/>
          <w:sz w:val="24"/>
          <w:szCs w:val="24"/>
          <w:lang w:eastAsia="ko-KR"/>
        </w:rPr>
        <w:t>GFP</w:t>
      </w:r>
      <w:r w:rsidRPr="004219F6">
        <w:rPr>
          <w:rFonts w:ascii="Times New Roman" w:hAnsi="Times New Roman" w:cs="Times New Roman"/>
          <w:sz w:val="24"/>
          <w:szCs w:val="24"/>
          <w:lang w:eastAsia="ko-KR"/>
        </w:rPr>
        <w:t xml:space="preserve"> injection has no CS56 positi</w:t>
      </w:r>
      <w:r>
        <w:rPr>
          <w:rFonts w:ascii="Times New Roman" w:hAnsi="Times New Roman" w:cs="Times New Roman"/>
          <w:sz w:val="24"/>
          <w:szCs w:val="24"/>
          <w:lang w:eastAsia="ko-KR"/>
        </w:rPr>
        <w:t xml:space="preserve">ve staining. Scale bar: 50 µm </w:t>
      </w:r>
      <w:r w:rsidRPr="004219F6">
        <w:rPr>
          <w:rFonts w:ascii="Times New Roman" w:hAnsi="Times New Roman" w:cs="Times New Roman"/>
          <w:sz w:val="24"/>
          <w:szCs w:val="24"/>
          <w:lang w:eastAsia="ko-KR"/>
        </w:rPr>
        <w:t>(</w:t>
      </w:r>
      <w:r w:rsidR="00C13E35">
        <w:rPr>
          <w:rFonts w:ascii="Times New Roman" w:hAnsi="Times New Roman" w:cs="Times New Roman"/>
          <w:sz w:val="24"/>
          <w:szCs w:val="24"/>
          <w:lang w:eastAsia="ko-KR"/>
        </w:rPr>
        <w:t>D</w:t>
      </w:r>
      <w:r w:rsidRPr="004219F6">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t>Atypical m</w:t>
      </w:r>
      <w:r w:rsidRPr="004219F6">
        <w:rPr>
          <w:rFonts w:ascii="Times New Roman" w:hAnsi="Times New Roman" w:cs="Times New Roman"/>
          <w:sz w:val="24"/>
          <w:szCs w:val="24"/>
          <w:lang w:eastAsia="ko-KR"/>
        </w:rPr>
        <w:t xml:space="preserve">arble burying behaviour of </w:t>
      </w:r>
      <w:r w:rsidRPr="004219F6">
        <w:rPr>
          <w:rFonts w:ascii="Times New Roman" w:hAnsi="Times New Roman" w:cs="Times New Roman"/>
          <w:i/>
          <w:sz w:val="24"/>
          <w:szCs w:val="24"/>
          <w:lang w:eastAsia="ko-KR"/>
        </w:rPr>
        <w:t>chst3</w:t>
      </w:r>
      <w:r w:rsidRPr="004219F6">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t>overexpressing</w:t>
      </w:r>
      <w:r w:rsidRPr="004219F6">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t xml:space="preserve">transgenic </w:t>
      </w:r>
      <w:r w:rsidRPr="004219F6">
        <w:rPr>
          <w:rFonts w:ascii="Times New Roman" w:hAnsi="Times New Roman" w:cs="Times New Roman"/>
          <w:sz w:val="24"/>
          <w:szCs w:val="24"/>
          <w:lang w:eastAsia="ko-KR"/>
        </w:rPr>
        <w:t>mice at the age of 15-18M. Left: representative images of marble burying test</w:t>
      </w:r>
      <w:r w:rsidR="006559A4">
        <w:rPr>
          <w:rFonts w:ascii="Times New Roman" w:hAnsi="Times New Roman" w:cs="Times New Roman"/>
          <w:sz w:val="24"/>
          <w:szCs w:val="24"/>
          <w:lang w:eastAsia="ko-KR"/>
        </w:rPr>
        <w:t xml:space="preserve">. </w:t>
      </w:r>
      <w:r w:rsidR="00695AA0">
        <w:rPr>
          <w:rFonts w:ascii="Times New Roman" w:hAnsi="Times New Roman" w:cs="Times New Roman"/>
          <w:sz w:val="24"/>
          <w:szCs w:val="24"/>
          <w:lang w:eastAsia="ko-KR"/>
        </w:rPr>
        <w:t xml:space="preserve">Right: </w:t>
      </w:r>
      <w:r w:rsidR="006559A4">
        <w:rPr>
          <w:rFonts w:ascii="Times New Roman" w:hAnsi="Times New Roman" w:cs="Times New Roman"/>
          <w:sz w:val="24"/>
          <w:szCs w:val="24"/>
          <w:lang w:eastAsia="ko-KR"/>
        </w:rPr>
        <w:t xml:space="preserve">number of buried marbles. </w:t>
      </w:r>
      <w:r w:rsidR="00695AA0">
        <w:rPr>
          <w:rFonts w:ascii="Times New Roman" w:hAnsi="Times New Roman" w:cs="Times New Roman"/>
          <w:sz w:val="24"/>
          <w:szCs w:val="24"/>
          <w:lang w:eastAsia="ko-KR"/>
        </w:rPr>
        <w:t>WT n=8</w:t>
      </w:r>
      <w:r w:rsidRPr="004219F6">
        <w:rPr>
          <w:rFonts w:ascii="Times New Roman" w:hAnsi="Times New Roman" w:cs="Times New Roman"/>
          <w:sz w:val="24"/>
          <w:szCs w:val="24"/>
          <w:lang w:eastAsia="ko-KR"/>
        </w:rPr>
        <w:t xml:space="preserve">, </w:t>
      </w:r>
      <w:r w:rsidRPr="004219F6">
        <w:rPr>
          <w:rFonts w:ascii="Times New Roman" w:hAnsi="Times New Roman" w:cs="Times New Roman"/>
          <w:i/>
          <w:sz w:val="24"/>
          <w:szCs w:val="24"/>
          <w:lang w:eastAsia="ko-KR"/>
        </w:rPr>
        <w:t>chst3</w:t>
      </w:r>
      <w:r w:rsidR="00695AA0">
        <w:rPr>
          <w:rFonts w:ascii="Times New Roman" w:hAnsi="Times New Roman" w:cs="Times New Roman"/>
          <w:sz w:val="24"/>
          <w:szCs w:val="24"/>
          <w:lang w:eastAsia="ko-KR"/>
        </w:rPr>
        <w:t xml:space="preserve"> Tg n=9</w:t>
      </w:r>
      <w:r>
        <w:rPr>
          <w:rFonts w:ascii="Times New Roman" w:hAnsi="Times New Roman" w:cs="Times New Roman"/>
          <w:sz w:val="24"/>
          <w:szCs w:val="24"/>
          <w:lang w:eastAsia="ko-KR"/>
        </w:rPr>
        <w:t xml:space="preserve">. </w:t>
      </w:r>
      <w:r w:rsidR="006559A4">
        <w:rPr>
          <w:rFonts w:ascii="Times New Roman" w:hAnsi="Times New Roman" w:cs="Times New Roman"/>
          <w:sz w:val="24"/>
          <w:szCs w:val="24"/>
          <w:lang w:eastAsia="ko-KR"/>
        </w:rPr>
        <w:t>U</w:t>
      </w:r>
      <w:r w:rsidR="006559A4" w:rsidRPr="004219F6">
        <w:rPr>
          <w:rFonts w:ascii="Times New Roman" w:hAnsi="Times New Roman" w:cs="Times New Roman"/>
          <w:sz w:val="24"/>
          <w:szCs w:val="24"/>
          <w:lang w:eastAsia="ko-KR"/>
        </w:rPr>
        <w:t xml:space="preserve">npaired </w:t>
      </w:r>
      <w:r w:rsidR="00695AA0" w:rsidRPr="004219F6">
        <w:rPr>
          <w:rFonts w:ascii="Times New Roman" w:hAnsi="Times New Roman" w:cs="Times New Roman"/>
          <w:sz w:val="24"/>
          <w:szCs w:val="24"/>
          <w:lang w:eastAsia="ko-KR"/>
        </w:rPr>
        <w:t xml:space="preserve">two-tailed </w:t>
      </w:r>
      <w:r w:rsidR="00695AA0" w:rsidRPr="00E13E10">
        <w:rPr>
          <w:rFonts w:ascii="Times New Roman" w:hAnsi="Times New Roman" w:cs="Times New Roman"/>
          <w:i/>
          <w:sz w:val="24"/>
          <w:szCs w:val="24"/>
          <w:lang w:eastAsia="ko-KR"/>
        </w:rPr>
        <w:t>t</w:t>
      </w:r>
      <w:r w:rsidR="00695AA0" w:rsidRPr="004219F6">
        <w:rPr>
          <w:rFonts w:ascii="Times New Roman" w:hAnsi="Times New Roman" w:cs="Times New Roman"/>
          <w:sz w:val="24"/>
          <w:szCs w:val="24"/>
          <w:lang w:eastAsia="ko-KR"/>
        </w:rPr>
        <w:t xml:space="preserve">-test </w:t>
      </w:r>
      <w:r w:rsidR="00695AA0">
        <w:rPr>
          <w:rFonts w:ascii="Times New Roman" w:hAnsi="Times New Roman" w:cs="Times New Roman"/>
          <w:sz w:val="24"/>
          <w:szCs w:val="24"/>
          <w:lang w:eastAsia="ko-KR"/>
        </w:rPr>
        <w:t>**p=0.0038</w:t>
      </w:r>
      <w:r w:rsidR="006559A4">
        <w:rPr>
          <w:rFonts w:ascii="Times New Roman" w:hAnsi="Times New Roman" w:cs="Times New Roman"/>
          <w:sz w:val="24"/>
          <w:szCs w:val="24"/>
          <w:lang w:eastAsia="ko-KR"/>
        </w:rPr>
        <w:t xml:space="preserve">. </w:t>
      </w:r>
      <w:r w:rsidRPr="004219F6">
        <w:rPr>
          <w:rFonts w:ascii="Times New Roman" w:hAnsi="Times New Roman" w:cs="Times New Roman"/>
          <w:sz w:val="24"/>
          <w:szCs w:val="24"/>
          <w:lang w:eastAsia="ko-KR"/>
        </w:rPr>
        <w:t xml:space="preserve">Data represent </w:t>
      </w:r>
      <w:r w:rsidRPr="004219F6">
        <w:rPr>
          <w:rFonts w:ascii="Times New Roman" w:hAnsi="Times New Roman" w:cs="Times New Roman"/>
          <w:sz w:val="24"/>
          <w:szCs w:val="24"/>
        </w:rPr>
        <w:t>as mean ± SEM.</w:t>
      </w:r>
      <w:r w:rsidR="00C13E35" w:rsidRPr="00C13E35">
        <w:rPr>
          <w:rFonts w:ascii="Times New Roman" w:hAnsi="Times New Roman" w:cs="Times New Roman"/>
          <w:sz w:val="24"/>
          <w:szCs w:val="24"/>
          <w:lang w:eastAsia="ko-KR"/>
        </w:rPr>
        <w:t xml:space="preserve"> </w:t>
      </w:r>
      <w:r w:rsidR="00C13E35">
        <w:rPr>
          <w:rFonts w:ascii="Times New Roman" w:hAnsi="Times New Roman" w:cs="Times New Roman"/>
          <w:sz w:val="24"/>
          <w:szCs w:val="24"/>
          <w:lang w:eastAsia="ko-KR"/>
        </w:rPr>
        <w:t>(E</w:t>
      </w:r>
      <w:r w:rsidR="00C13E35" w:rsidRPr="004219F6">
        <w:rPr>
          <w:rFonts w:ascii="Times New Roman" w:hAnsi="Times New Roman" w:cs="Times New Roman"/>
          <w:sz w:val="24"/>
          <w:szCs w:val="24"/>
          <w:lang w:eastAsia="ko-KR"/>
        </w:rPr>
        <w:t xml:space="preserve">) Spontaneous alternation test in </w:t>
      </w:r>
      <w:r w:rsidR="00C13E35" w:rsidRPr="004219F6">
        <w:rPr>
          <w:rFonts w:ascii="Times New Roman" w:hAnsi="Times New Roman" w:cs="Times New Roman"/>
          <w:i/>
          <w:sz w:val="24"/>
          <w:szCs w:val="24"/>
          <w:lang w:eastAsia="ko-KR"/>
        </w:rPr>
        <w:t>chst3</w:t>
      </w:r>
      <w:r w:rsidR="00C13E35" w:rsidRPr="004219F6">
        <w:rPr>
          <w:rFonts w:ascii="Times New Roman" w:hAnsi="Times New Roman" w:cs="Times New Roman"/>
          <w:sz w:val="24"/>
          <w:szCs w:val="24"/>
          <w:lang w:eastAsia="ko-KR"/>
        </w:rPr>
        <w:t xml:space="preserve"> </w:t>
      </w:r>
      <w:r w:rsidR="00C13E35">
        <w:rPr>
          <w:rFonts w:ascii="Times New Roman" w:hAnsi="Times New Roman" w:cs="Times New Roman"/>
          <w:sz w:val="24"/>
          <w:szCs w:val="24"/>
          <w:lang w:eastAsia="ko-KR"/>
        </w:rPr>
        <w:t xml:space="preserve">overexpressing </w:t>
      </w:r>
      <w:r w:rsidR="00C13E35" w:rsidRPr="004219F6">
        <w:rPr>
          <w:rFonts w:ascii="Times New Roman" w:hAnsi="Times New Roman" w:cs="Times New Roman"/>
          <w:sz w:val="24"/>
          <w:szCs w:val="24"/>
          <w:lang w:eastAsia="ko-KR"/>
        </w:rPr>
        <w:t>Tg mice</w:t>
      </w:r>
      <w:r w:rsidR="00C13E35">
        <w:rPr>
          <w:rFonts w:ascii="Times New Roman" w:hAnsi="Times New Roman" w:cs="Times New Roman"/>
          <w:sz w:val="24"/>
          <w:szCs w:val="24"/>
          <w:lang w:eastAsia="ko-KR"/>
        </w:rPr>
        <w:t>. Age: 12M, WT n=5,</w:t>
      </w:r>
      <w:r w:rsidR="00C13E35" w:rsidRPr="004219F6">
        <w:rPr>
          <w:rFonts w:ascii="Times New Roman" w:hAnsi="Times New Roman" w:cs="Times New Roman"/>
          <w:sz w:val="24"/>
          <w:szCs w:val="24"/>
          <w:lang w:eastAsia="ko-KR"/>
        </w:rPr>
        <w:t xml:space="preserve"> </w:t>
      </w:r>
      <w:r w:rsidR="00C13E35" w:rsidRPr="004219F6">
        <w:rPr>
          <w:rFonts w:ascii="Times New Roman" w:hAnsi="Times New Roman" w:cs="Times New Roman"/>
          <w:i/>
          <w:sz w:val="24"/>
          <w:szCs w:val="24"/>
          <w:lang w:eastAsia="ko-KR"/>
        </w:rPr>
        <w:t>chst3</w:t>
      </w:r>
      <w:r w:rsidR="00C13E35">
        <w:rPr>
          <w:rFonts w:ascii="Times New Roman" w:hAnsi="Times New Roman" w:cs="Times New Roman"/>
          <w:sz w:val="24"/>
          <w:szCs w:val="24"/>
          <w:lang w:eastAsia="ko-KR"/>
        </w:rPr>
        <w:t xml:space="preserve"> Tg n=9. Age: 20M, WT n=4,</w:t>
      </w:r>
      <w:r w:rsidR="00C13E35" w:rsidRPr="004219F6">
        <w:rPr>
          <w:rFonts w:ascii="Times New Roman" w:hAnsi="Times New Roman" w:cs="Times New Roman"/>
          <w:sz w:val="24"/>
          <w:szCs w:val="24"/>
          <w:lang w:eastAsia="ko-KR"/>
        </w:rPr>
        <w:t xml:space="preserve"> </w:t>
      </w:r>
      <w:r w:rsidR="00C13E35" w:rsidRPr="004219F6">
        <w:rPr>
          <w:rFonts w:ascii="Times New Roman" w:hAnsi="Times New Roman" w:cs="Times New Roman"/>
          <w:i/>
          <w:sz w:val="24"/>
          <w:szCs w:val="24"/>
          <w:lang w:eastAsia="ko-KR"/>
        </w:rPr>
        <w:t>chst3</w:t>
      </w:r>
      <w:r w:rsidR="00C13E35" w:rsidRPr="004219F6">
        <w:rPr>
          <w:rFonts w:ascii="Times New Roman" w:hAnsi="Times New Roman" w:cs="Times New Roman"/>
          <w:sz w:val="24"/>
          <w:szCs w:val="24"/>
          <w:lang w:eastAsia="ko-KR"/>
        </w:rPr>
        <w:t xml:space="preserve"> Tg n=4. There is no difference between WT and </w:t>
      </w:r>
      <w:r w:rsidR="00C13E35" w:rsidRPr="004219F6">
        <w:rPr>
          <w:rFonts w:ascii="Times New Roman" w:hAnsi="Times New Roman" w:cs="Times New Roman"/>
          <w:i/>
          <w:sz w:val="24"/>
          <w:szCs w:val="24"/>
          <w:lang w:eastAsia="ko-KR"/>
        </w:rPr>
        <w:t>chst3</w:t>
      </w:r>
      <w:r w:rsidR="00C13E35" w:rsidRPr="004219F6">
        <w:rPr>
          <w:rFonts w:ascii="Times New Roman" w:hAnsi="Times New Roman" w:cs="Times New Roman"/>
          <w:sz w:val="24"/>
          <w:szCs w:val="24"/>
          <w:lang w:eastAsia="ko-KR"/>
        </w:rPr>
        <w:t xml:space="preserve"> Tg mice at 12M and 20M.</w:t>
      </w:r>
    </w:p>
    <w:p w14:paraId="0F05DF51" w14:textId="6042B4DE" w:rsidR="00473D98" w:rsidRDefault="00473D98"/>
    <w:p w14:paraId="7A2188C7" w14:textId="73893C37" w:rsidR="00557AE5" w:rsidRDefault="00557AE5"/>
    <w:p w14:paraId="3B721755" w14:textId="4DE9CB7A" w:rsidR="00E64014" w:rsidRDefault="00E64014"/>
    <w:p w14:paraId="50976DE5" w14:textId="13E06BEB" w:rsidR="00E64014" w:rsidRDefault="00E64014"/>
    <w:p w14:paraId="3500B5E8" w14:textId="6995A4F6" w:rsidR="00E64014" w:rsidRDefault="00E64014"/>
    <w:p w14:paraId="3B9F12D2" w14:textId="3040A63F" w:rsidR="00E64014" w:rsidRDefault="00E64014"/>
    <w:p w14:paraId="60D379DF" w14:textId="6D24190E" w:rsidR="00E64014" w:rsidRDefault="00E64014"/>
    <w:p w14:paraId="507F03C9" w14:textId="06F17D43" w:rsidR="00E64014" w:rsidRDefault="00E64014"/>
    <w:p w14:paraId="107BDD3E" w14:textId="05718B30" w:rsidR="00E64014" w:rsidRDefault="00E64014"/>
    <w:p w14:paraId="7F2CD9E1" w14:textId="5558C2BB" w:rsidR="00E64014" w:rsidRDefault="00E64014"/>
    <w:p w14:paraId="4848C517" w14:textId="37B8B6F9" w:rsidR="00E64014" w:rsidRDefault="00E64014"/>
    <w:p w14:paraId="50F297CD" w14:textId="55F674F6" w:rsidR="00E64014" w:rsidRDefault="00E64014"/>
    <w:p w14:paraId="434A1F33" w14:textId="5473102B" w:rsidR="00E64014" w:rsidRDefault="00E64014"/>
    <w:p w14:paraId="2AC08B8C" w14:textId="16D98CFA" w:rsidR="00E64014" w:rsidRDefault="00E64014"/>
    <w:p w14:paraId="664327E4" w14:textId="48D3B7CE" w:rsidR="00E64014" w:rsidRDefault="00E64014"/>
    <w:p w14:paraId="561849B4" w14:textId="38E9A9C7" w:rsidR="008E7C27" w:rsidRDefault="008E7C27"/>
    <w:p w14:paraId="25FA28FA" w14:textId="2C8E14AD" w:rsidR="008E7C27" w:rsidRDefault="008E7C27" w:rsidP="0033156F">
      <w:pPr>
        <w:spacing w:after="0" w:line="240" w:lineRule="auto"/>
      </w:pPr>
      <w:r>
        <w:br w:type="page"/>
      </w:r>
    </w:p>
    <w:p w14:paraId="034587A5" w14:textId="77777777" w:rsidR="008E7C27" w:rsidRDefault="008E7C27">
      <w:pPr>
        <w:spacing w:after="0" w:line="240" w:lineRule="auto"/>
      </w:pPr>
    </w:p>
    <w:p w14:paraId="609FB347" w14:textId="0BA9B422" w:rsidR="008E7C27" w:rsidRPr="008E7C27" w:rsidRDefault="008E7C27"/>
    <w:sectPr w:rsidR="008E7C27" w:rsidRPr="008E7C27" w:rsidSect="00473D9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D70"/>
    <w:rsid w:val="0001012B"/>
    <w:rsid w:val="000618C4"/>
    <w:rsid w:val="0010241C"/>
    <w:rsid w:val="002557C6"/>
    <w:rsid w:val="0033156F"/>
    <w:rsid w:val="004149E0"/>
    <w:rsid w:val="00473D98"/>
    <w:rsid w:val="00542AAF"/>
    <w:rsid w:val="005452EA"/>
    <w:rsid w:val="00557AE5"/>
    <w:rsid w:val="006559A4"/>
    <w:rsid w:val="00695AA0"/>
    <w:rsid w:val="007B1D6F"/>
    <w:rsid w:val="00837A7C"/>
    <w:rsid w:val="00861190"/>
    <w:rsid w:val="008641AE"/>
    <w:rsid w:val="008E7C27"/>
    <w:rsid w:val="0097603F"/>
    <w:rsid w:val="009A4D95"/>
    <w:rsid w:val="00A039C4"/>
    <w:rsid w:val="00AA0A77"/>
    <w:rsid w:val="00AA5E7C"/>
    <w:rsid w:val="00BD4489"/>
    <w:rsid w:val="00C13E35"/>
    <w:rsid w:val="00D36D70"/>
    <w:rsid w:val="00D7340B"/>
    <w:rsid w:val="00DC25AD"/>
    <w:rsid w:val="00DE5945"/>
    <w:rsid w:val="00E13E10"/>
    <w:rsid w:val="00E64014"/>
    <w:rsid w:val="00EC0E9A"/>
    <w:rsid w:val="00F3368F"/>
    <w:rsid w:val="00F71C28"/>
    <w:rsid w:val="00FD5F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F68EA"/>
  <w14:defaultImageDpi w14:val="330"/>
  <w15:docId w15:val="{EE015EBB-3DAF-4FFE-BAE2-5F586EF64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6D70"/>
    <w:pPr>
      <w:spacing w:after="160" w:line="259" w:lineRule="auto"/>
    </w:pPr>
    <w:rPr>
      <w:rFonts w:eastAsia="Batang"/>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18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18C4"/>
    <w:rPr>
      <w:rFonts w:ascii="Segoe UI" w:eastAsia="Batang" w:hAnsi="Segoe UI" w:cs="Segoe UI"/>
      <w:sz w:val="18"/>
      <w:szCs w:val="18"/>
    </w:rPr>
  </w:style>
  <w:style w:type="paragraph" w:customStyle="1" w:styleId="Paragraph">
    <w:name w:val="Paragraph"/>
    <w:basedOn w:val="Normal"/>
    <w:rsid w:val="0001012B"/>
    <w:pPr>
      <w:spacing w:before="120" w:after="0" w:line="240" w:lineRule="auto"/>
      <w:ind w:firstLine="720"/>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61190"/>
    <w:rPr>
      <w:sz w:val="16"/>
      <w:szCs w:val="16"/>
    </w:rPr>
  </w:style>
  <w:style w:type="paragraph" w:styleId="CommentText">
    <w:name w:val="annotation text"/>
    <w:basedOn w:val="Normal"/>
    <w:link w:val="CommentTextChar"/>
    <w:uiPriority w:val="99"/>
    <w:semiHidden/>
    <w:unhideWhenUsed/>
    <w:rsid w:val="00861190"/>
    <w:pPr>
      <w:spacing w:line="240" w:lineRule="auto"/>
    </w:pPr>
    <w:rPr>
      <w:sz w:val="20"/>
      <w:szCs w:val="20"/>
    </w:rPr>
  </w:style>
  <w:style w:type="character" w:customStyle="1" w:styleId="CommentTextChar">
    <w:name w:val="Comment Text Char"/>
    <w:basedOn w:val="DefaultParagraphFont"/>
    <w:link w:val="CommentText"/>
    <w:uiPriority w:val="99"/>
    <w:semiHidden/>
    <w:rsid w:val="00861190"/>
    <w:rPr>
      <w:rFonts w:eastAsia="Batang"/>
      <w:sz w:val="20"/>
      <w:szCs w:val="20"/>
    </w:rPr>
  </w:style>
  <w:style w:type="paragraph" w:styleId="CommentSubject">
    <w:name w:val="annotation subject"/>
    <w:basedOn w:val="CommentText"/>
    <w:next w:val="CommentText"/>
    <w:link w:val="CommentSubjectChar"/>
    <w:uiPriority w:val="99"/>
    <w:semiHidden/>
    <w:unhideWhenUsed/>
    <w:rsid w:val="00861190"/>
    <w:rPr>
      <w:b/>
      <w:bCs/>
    </w:rPr>
  </w:style>
  <w:style w:type="character" w:customStyle="1" w:styleId="CommentSubjectChar">
    <w:name w:val="Comment Subject Char"/>
    <w:basedOn w:val="CommentTextChar"/>
    <w:link w:val="CommentSubject"/>
    <w:uiPriority w:val="99"/>
    <w:semiHidden/>
    <w:rsid w:val="00861190"/>
    <w:rPr>
      <w:rFonts w:eastAsia="Batang"/>
      <w:b/>
      <w:bCs/>
      <w:sz w:val="20"/>
      <w:szCs w:val="20"/>
    </w:rPr>
  </w:style>
  <w:style w:type="paragraph" w:styleId="Revision">
    <w:name w:val="Revision"/>
    <w:hidden/>
    <w:uiPriority w:val="99"/>
    <w:semiHidden/>
    <w:rsid w:val="00542AAF"/>
    <w:rPr>
      <w:rFonts w:eastAsia="Batang"/>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305296">
      <w:bodyDiv w:val="1"/>
      <w:marLeft w:val="0"/>
      <w:marRight w:val="0"/>
      <w:marTop w:val="0"/>
      <w:marBottom w:val="0"/>
      <w:divBdr>
        <w:top w:val="none" w:sz="0" w:space="0" w:color="auto"/>
        <w:left w:val="none" w:sz="0" w:space="0" w:color="auto"/>
        <w:bottom w:val="none" w:sz="0" w:space="0" w:color="auto"/>
        <w:right w:val="none" w:sz="0" w:space="0" w:color="auto"/>
      </w:divBdr>
    </w:div>
    <w:div w:id="1203202646">
      <w:bodyDiv w:val="1"/>
      <w:marLeft w:val="0"/>
      <w:marRight w:val="0"/>
      <w:marTop w:val="0"/>
      <w:marBottom w:val="0"/>
      <w:divBdr>
        <w:top w:val="none" w:sz="0" w:space="0" w:color="auto"/>
        <w:left w:val="none" w:sz="0" w:space="0" w:color="auto"/>
        <w:bottom w:val="none" w:sz="0" w:space="0" w:color="auto"/>
        <w:right w:val="none" w:sz="0" w:space="0" w:color="auto"/>
      </w:divBdr>
    </w:div>
    <w:div w:id="1698003207">
      <w:bodyDiv w:val="1"/>
      <w:marLeft w:val="0"/>
      <w:marRight w:val="0"/>
      <w:marTop w:val="0"/>
      <w:marBottom w:val="0"/>
      <w:divBdr>
        <w:top w:val="none" w:sz="0" w:space="0" w:color="auto"/>
        <w:left w:val="none" w:sz="0" w:space="0" w:color="auto"/>
        <w:bottom w:val="none" w:sz="0" w:space="0" w:color="auto"/>
        <w:right w:val="none" w:sz="0" w:space="0" w:color="auto"/>
      </w:divBdr>
    </w:div>
    <w:div w:id="20521492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7.JPG"/><Relationship Id="rId5" Type="http://schemas.openxmlformats.org/officeDocument/2006/relationships/image" Target="media/image2.JPG"/><Relationship Id="rId10" Type="http://schemas.openxmlformats.org/officeDocument/2006/relationships/image" Target="media/image6.JPG"/><Relationship Id="rId4" Type="http://schemas.openxmlformats.org/officeDocument/2006/relationships/image" Target="media/image1.png"/><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eudora\data\attach\dendrite%20analys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barChart>
        <c:barDir val="col"/>
        <c:grouping val="clustered"/>
        <c:varyColors val="0"/>
        <c:ser>
          <c:idx val="0"/>
          <c:order val="0"/>
          <c:tx>
            <c:strRef>
              <c:f>'[1]Sheet1 (2)'!$M$29</c:f>
              <c:strCache>
                <c:ptCount val="1"/>
                <c:pt idx="0">
                  <c:v>Total</c:v>
                </c:pt>
              </c:strCache>
            </c:strRef>
          </c:tx>
          <c:spPr>
            <a:solidFill>
              <a:schemeClr val="bg1">
                <a:lumMod val="65000"/>
              </a:schemeClr>
            </a:solidFill>
            <a:effectLst/>
          </c:spPr>
          <c:invertIfNegative val="0"/>
          <c:dPt>
            <c:idx val="1"/>
            <c:invertIfNegative val="0"/>
            <c:bubble3D val="0"/>
            <c:spPr>
              <a:solidFill>
                <a:schemeClr val="bg1">
                  <a:lumMod val="95000"/>
                </a:schemeClr>
              </a:solidFill>
              <a:ln>
                <a:solidFill>
                  <a:schemeClr val="tx1"/>
                </a:solidFill>
              </a:ln>
              <a:effectLst/>
            </c:spPr>
            <c:extLst>
              <c:ext xmlns:c16="http://schemas.microsoft.com/office/drawing/2014/chart" uri="{C3380CC4-5D6E-409C-BE32-E72D297353CC}">
                <c16:uniqueId val="{00000001-34F2-42EC-ABE4-51CACB31B0FC}"/>
              </c:ext>
            </c:extLst>
          </c:dPt>
          <c:errBars>
            <c:errBarType val="both"/>
            <c:errValType val="cust"/>
            <c:noEndCap val="0"/>
            <c:plus>
              <c:numRef>
                <c:f>'[1]Sheet1 (2)'!$Q$62:$Q$63</c:f>
                <c:numCache>
                  <c:formatCode>General</c:formatCode>
                  <c:ptCount val="2"/>
                  <c:pt idx="0">
                    <c:v>43.4</c:v>
                  </c:pt>
                  <c:pt idx="1">
                    <c:v>27.8</c:v>
                  </c:pt>
                </c:numCache>
              </c:numRef>
            </c:plus>
            <c:minus>
              <c:numRef>
                <c:f>'[1]Sheet1 (2)'!$Q$62:$Q$63</c:f>
                <c:numCache>
                  <c:formatCode>General</c:formatCode>
                  <c:ptCount val="2"/>
                  <c:pt idx="0">
                    <c:v>43.4</c:v>
                  </c:pt>
                  <c:pt idx="1">
                    <c:v>27.8</c:v>
                  </c:pt>
                </c:numCache>
              </c:numRef>
            </c:minus>
          </c:errBars>
          <c:cat>
            <c:strRef>
              <c:f>'[1]Sheet1 (2)'!$L$30:$L$31</c:f>
              <c:strCache>
                <c:ptCount val="2"/>
                <c:pt idx="0">
                  <c:v>WT</c:v>
                </c:pt>
                <c:pt idx="1">
                  <c:v>chst3KO</c:v>
                </c:pt>
              </c:strCache>
            </c:strRef>
          </c:cat>
          <c:val>
            <c:numRef>
              <c:f>'[1]Sheet1 (2)'!$M$30:$M$31</c:f>
              <c:numCache>
                <c:formatCode>General</c:formatCode>
                <c:ptCount val="2"/>
                <c:pt idx="0">
                  <c:v>264.10526315789474</c:v>
                </c:pt>
                <c:pt idx="1">
                  <c:v>199.31578947368422</c:v>
                </c:pt>
              </c:numCache>
            </c:numRef>
          </c:val>
          <c:extLst>
            <c:ext xmlns:c16="http://schemas.microsoft.com/office/drawing/2014/chart" uri="{C3380CC4-5D6E-409C-BE32-E72D297353CC}">
              <c16:uniqueId val="{00000002-34F2-42EC-ABE4-51CACB31B0FC}"/>
            </c:ext>
          </c:extLst>
        </c:ser>
        <c:dLbls>
          <c:showLegendKey val="0"/>
          <c:showVal val="0"/>
          <c:showCatName val="0"/>
          <c:showSerName val="0"/>
          <c:showPercent val="0"/>
          <c:showBubbleSize val="0"/>
        </c:dLbls>
        <c:gapWidth val="30"/>
        <c:axId val="2097573688"/>
        <c:axId val="2097570344"/>
      </c:barChart>
      <c:catAx>
        <c:axId val="2097573688"/>
        <c:scaling>
          <c:orientation val="minMax"/>
        </c:scaling>
        <c:delete val="0"/>
        <c:axPos val="b"/>
        <c:numFmt formatCode="General" sourceLinked="0"/>
        <c:majorTickMark val="out"/>
        <c:minorTickMark val="none"/>
        <c:tickLblPos val="nextTo"/>
        <c:spPr>
          <a:ln w="19050">
            <a:solidFill>
              <a:schemeClr val="tx1"/>
            </a:solidFill>
          </a:ln>
        </c:spPr>
        <c:txPr>
          <a:bodyPr/>
          <a:lstStyle/>
          <a:p>
            <a:pPr>
              <a:defRPr sz="1500" b="1"/>
            </a:pPr>
            <a:endParaRPr lang="en-US"/>
          </a:p>
        </c:txPr>
        <c:crossAx val="2097570344"/>
        <c:crosses val="autoZero"/>
        <c:auto val="1"/>
        <c:lblAlgn val="ctr"/>
        <c:lblOffset val="100"/>
        <c:noMultiLvlLbl val="0"/>
      </c:catAx>
      <c:valAx>
        <c:axId val="2097570344"/>
        <c:scaling>
          <c:orientation val="minMax"/>
        </c:scaling>
        <c:delete val="0"/>
        <c:axPos val="l"/>
        <c:title>
          <c:tx>
            <c:rich>
              <a:bodyPr/>
              <a:lstStyle/>
              <a:p>
                <a:pPr>
                  <a:defRPr/>
                </a:pPr>
                <a:r>
                  <a:rPr lang="en-US" sz="1200"/>
                  <a:t>PNN pixel count</a:t>
                </a:r>
              </a:p>
            </c:rich>
          </c:tx>
          <c:layout>
            <c:manualLayout>
              <c:xMode val="edge"/>
              <c:yMode val="edge"/>
              <c:x val="6.5306122448979598E-2"/>
              <c:y val="0.37567328918322296"/>
            </c:manualLayout>
          </c:layout>
          <c:overlay val="0"/>
        </c:title>
        <c:numFmt formatCode="General" sourceLinked="1"/>
        <c:majorTickMark val="out"/>
        <c:minorTickMark val="none"/>
        <c:tickLblPos val="nextTo"/>
        <c:spPr>
          <a:ln w="19050">
            <a:solidFill>
              <a:schemeClr val="tx1"/>
            </a:solidFill>
          </a:ln>
        </c:spPr>
        <c:txPr>
          <a:bodyPr/>
          <a:lstStyle/>
          <a:p>
            <a:pPr>
              <a:defRPr sz="1200" b="1">
                <a:latin typeface="Helvetica"/>
                <a:cs typeface="Helvetica"/>
              </a:defRPr>
            </a:pPr>
            <a:endParaRPr lang="en-US"/>
          </a:p>
        </c:txPr>
        <c:crossAx val="209757368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3348</Words>
  <Characters>19087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Cambridge university</Company>
  <LinksUpToDate>false</LinksUpToDate>
  <CharactersWithSpaces>22391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SUJEONG YANG</dc:creator>
  <cp:keywords/>
  <dc:description/>
  <cp:lastModifiedBy>Hodan Omar</cp:lastModifiedBy>
  <cp:revision>2</cp:revision>
  <cp:lastPrinted>2021-04-22T16:40:00Z</cp:lastPrinted>
  <dcterms:created xsi:type="dcterms:W3CDTF">2021-06-23T14:42:00Z</dcterms:created>
  <dcterms:modified xsi:type="dcterms:W3CDTF">2021-06-23T14:42:00Z</dcterms:modified>
</cp:coreProperties>
</file>