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17C" w:rsidRDefault="005C317C" w:rsidP="005C317C">
      <w:pPr>
        <w:pStyle w:val="Heading1"/>
      </w:pPr>
      <w:r>
        <w:t>Supplementary tables</w:t>
      </w:r>
    </w:p>
    <w:p w:rsidR="005C317C" w:rsidRPr="00B93B63" w:rsidRDefault="005C317C" w:rsidP="005C317C">
      <w:pPr>
        <w:pStyle w:val="Heading3"/>
      </w:pPr>
      <w:r w:rsidRPr="00B93B63">
        <w:rPr>
          <w:b/>
          <w:bCs w:val="0"/>
        </w:rPr>
        <w:t>Supplementary table 1.</w:t>
      </w:r>
      <w:r>
        <w:rPr>
          <w:b/>
          <w:bCs w:val="0"/>
        </w:rPr>
        <w:t xml:space="preserve"> Linear model for the general emotional distress score. </w:t>
      </w:r>
      <w:r>
        <w:t xml:space="preserve">Table summarizing model coefficient estimates and corresponding statistics (see </w:t>
      </w:r>
      <w:r w:rsidRPr="003064C2">
        <w:rPr>
          <w:i/>
          <w:iCs/>
        </w:rPr>
        <w:t>Methods</w:t>
      </w:r>
      <w:r>
        <w:t xml:space="preserve"> section).</w:t>
      </w:r>
    </w:p>
    <w:p w:rsidR="005C317C" w:rsidRDefault="00194ACA" w:rsidP="005C317C">
      <w:pPr>
        <w:rPr>
          <w:noProof/>
        </w:rPr>
      </w:pPr>
      <w:r w:rsidRPr="00194ACA">
        <w:rPr>
          <w:noProof/>
        </w:rPr>
        <w:drawing>
          <wp:inline distT="0" distB="0" distL="0" distR="0">
            <wp:extent cx="5943600" cy="385109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51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17C" w:rsidRDefault="005C317C" w:rsidP="005C317C"/>
    <w:p w:rsidR="005C317C" w:rsidRDefault="005C317C" w:rsidP="005C317C">
      <w:pPr>
        <w:pStyle w:val="Heading3"/>
      </w:pPr>
      <w:r>
        <w:rPr>
          <w:b/>
          <w:bCs w:val="0"/>
        </w:rPr>
        <w:lastRenderedPageBreak/>
        <w:t>Supplementary table 2</w:t>
      </w:r>
      <w:r w:rsidRPr="00B93B63">
        <w:rPr>
          <w:b/>
          <w:bCs w:val="0"/>
        </w:rPr>
        <w:t>.</w:t>
      </w:r>
      <w:r>
        <w:rPr>
          <w:b/>
          <w:bCs w:val="0"/>
        </w:rPr>
        <w:t xml:space="preserve"> Linear model for concern about COVID-19. </w:t>
      </w:r>
      <w:r>
        <w:t xml:space="preserve">Table summarizing model coefficient estimates and corresponding statistics (see </w:t>
      </w:r>
      <w:r w:rsidRPr="003064C2">
        <w:rPr>
          <w:i/>
          <w:iCs/>
        </w:rPr>
        <w:t>Methods</w:t>
      </w:r>
      <w:r>
        <w:t xml:space="preserve"> section).</w:t>
      </w:r>
    </w:p>
    <w:p w:rsidR="005C317C" w:rsidRPr="002D6846" w:rsidRDefault="00194ACA" w:rsidP="005C317C">
      <w:r w:rsidRPr="00194ACA">
        <w:rPr>
          <w:noProof/>
        </w:rPr>
        <w:drawing>
          <wp:inline distT="0" distB="0" distL="0" distR="0">
            <wp:extent cx="5943600" cy="385109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51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17C" w:rsidRDefault="005C317C" w:rsidP="005C317C">
      <w:pPr>
        <w:pStyle w:val="Heading3"/>
      </w:pPr>
      <w:r>
        <w:rPr>
          <w:b/>
          <w:bCs w:val="0"/>
        </w:rPr>
        <w:lastRenderedPageBreak/>
        <w:t>Supplementary table 3</w:t>
      </w:r>
      <w:r w:rsidRPr="00B93B63">
        <w:rPr>
          <w:b/>
          <w:bCs w:val="0"/>
        </w:rPr>
        <w:t>.</w:t>
      </w:r>
      <w:r>
        <w:rPr>
          <w:b/>
          <w:bCs w:val="0"/>
        </w:rPr>
        <w:t xml:space="preserve"> Linear model for the national and global concern score. </w:t>
      </w:r>
      <w:r>
        <w:t xml:space="preserve">Table summarizing model coefficient estimates and corresponding statistics (see </w:t>
      </w:r>
      <w:r w:rsidRPr="003064C2">
        <w:rPr>
          <w:i/>
          <w:iCs/>
        </w:rPr>
        <w:t>Methods</w:t>
      </w:r>
      <w:r>
        <w:t xml:space="preserve"> section).</w:t>
      </w:r>
    </w:p>
    <w:p w:rsidR="005C317C" w:rsidRPr="002D6846" w:rsidRDefault="00194ACA" w:rsidP="005C317C">
      <w:r w:rsidRPr="00194ACA">
        <w:rPr>
          <w:noProof/>
        </w:rPr>
        <w:drawing>
          <wp:inline distT="0" distB="0" distL="0" distR="0">
            <wp:extent cx="5943600" cy="385109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51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17C" w:rsidRDefault="005C317C" w:rsidP="005C317C">
      <w:pPr>
        <w:pStyle w:val="Heading3"/>
      </w:pPr>
      <w:r>
        <w:rPr>
          <w:b/>
          <w:bCs w:val="0"/>
        </w:rPr>
        <w:lastRenderedPageBreak/>
        <w:t>Supplementary table 4</w:t>
      </w:r>
      <w:r w:rsidRPr="00B93B63">
        <w:rPr>
          <w:b/>
          <w:bCs w:val="0"/>
        </w:rPr>
        <w:t>.</w:t>
      </w:r>
      <w:r>
        <w:rPr>
          <w:b/>
          <w:bCs w:val="0"/>
        </w:rPr>
        <w:t xml:space="preserve"> Generalized linear model for the number of stress-related symptoms experienced. </w:t>
      </w:r>
      <w:r>
        <w:t xml:space="preserve">Table summarizing model coefficient estimates and corresponding statistics (see </w:t>
      </w:r>
      <w:r w:rsidRPr="003064C2">
        <w:rPr>
          <w:i/>
          <w:iCs/>
        </w:rPr>
        <w:t>Methods</w:t>
      </w:r>
      <w:r>
        <w:t xml:space="preserve"> section).</w:t>
      </w:r>
    </w:p>
    <w:p w:rsidR="005C317C" w:rsidRPr="00B83565" w:rsidRDefault="00194ACA" w:rsidP="005C317C">
      <w:r w:rsidRPr="00194ACA">
        <w:rPr>
          <w:noProof/>
        </w:rPr>
        <w:drawing>
          <wp:inline distT="0" distB="0" distL="0" distR="0">
            <wp:extent cx="5943600" cy="423145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31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17C" w:rsidRPr="00B93B63" w:rsidRDefault="005C317C" w:rsidP="005C317C">
      <w:pPr>
        <w:pStyle w:val="Heading3"/>
      </w:pPr>
      <w:r>
        <w:rPr>
          <w:b/>
          <w:bCs w:val="0"/>
        </w:rPr>
        <w:lastRenderedPageBreak/>
        <w:t>Supplementary table 5</w:t>
      </w:r>
      <w:r w:rsidRPr="00B93B63">
        <w:rPr>
          <w:b/>
          <w:bCs w:val="0"/>
        </w:rPr>
        <w:t>.</w:t>
      </w:r>
      <w:r>
        <w:rPr>
          <w:b/>
          <w:bCs w:val="0"/>
        </w:rPr>
        <w:t xml:space="preserve"> Generalized linear model for the number of stress-coping strategies used. </w:t>
      </w:r>
      <w:r>
        <w:t xml:space="preserve">Table summarizing model coefficient estimates and corresponding statistics (see </w:t>
      </w:r>
      <w:r w:rsidRPr="003064C2">
        <w:rPr>
          <w:i/>
          <w:iCs/>
        </w:rPr>
        <w:t>Methods</w:t>
      </w:r>
      <w:r>
        <w:t xml:space="preserve"> section).</w:t>
      </w:r>
    </w:p>
    <w:p w:rsidR="005C317C" w:rsidRDefault="00194ACA" w:rsidP="005C317C">
      <w:pPr>
        <w:rPr>
          <w:rtl/>
        </w:rPr>
      </w:pPr>
      <w:r w:rsidRPr="00194ACA">
        <w:rPr>
          <w:noProof/>
        </w:rPr>
        <w:drawing>
          <wp:inline distT="0" distB="0" distL="0" distR="0">
            <wp:extent cx="5943600" cy="419690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96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C317C" w:rsidRDefault="005C317C" w:rsidP="005C317C">
      <w:pPr>
        <w:rPr>
          <w:rtl/>
        </w:rPr>
      </w:pPr>
    </w:p>
    <w:p w:rsidR="005C317C" w:rsidRDefault="005C317C"/>
    <w:sectPr w:rsidR="005C31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ra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17C"/>
    <w:rsid w:val="00194ACA"/>
    <w:rsid w:val="005C317C"/>
    <w:rsid w:val="00F7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4B4D24-303C-4584-95C2-31989E52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317C"/>
    <w:pPr>
      <w:keepNext/>
      <w:keepLines/>
      <w:spacing w:before="400" w:after="120" w:line="276" w:lineRule="auto"/>
      <w:jc w:val="both"/>
      <w:outlineLvl w:val="0"/>
    </w:pPr>
    <w:rPr>
      <w:rFonts w:ascii="Lora" w:eastAsia="Lora" w:hAnsi="Lora" w:cs="Lora"/>
      <w:b/>
      <w:b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317C"/>
    <w:pPr>
      <w:keepNext/>
      <w:keepLines/>
      <w:spacing w:before="320" w:after="80" w:line="276" w:lineRule="auto"/>
      <w:jc w:val="both"/>
      <w:outlineLvl w:val="2"/>
    </w:pPr>
    <w:rPr>
      <w:rFonts w:asciiTheme="majorBidi" w:eastAsia="Lora" w:hAnsiTheme="majorBidi" w:cstheme="majorBidi"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317C"/>
    <w:rPr>
      <w:rFonts w:ascii="Lora" w:eastAsia="Lora" w:hAnsi="Lora" w:cs="Lora"/>
      <w:b/>
      <w:b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5C317C"/>
    <w:rPr>
      <w:rFonts w:asciiTheme="majorBidi" w:eastAsia="Lora" w:hAnsiTheme="majorBidi" w:cstheme="majorBidi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Yael Kuperman</dc:creator>
  <cp:keywords/>
  <dc:description/>
  <cp:lastModifiedBy>Yael Kuperman</cp:lastModifiedBy>
  <cp:revision>2</cp:revision>
  <dcterms:created xsi:type="dcterms:W3CDTF">2021-07-27T13:51:00Z</dcterms:created>
  <dcterms:modified xsi:type="dcterms:W3CDTF">2021-07-27T13:51:00Z</dcterms:modified>
</cp:coreProperties>
</file>