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27848" w14:textId="51A28992" w:rsidR="00D45425" w:rsidRDefault="00D45425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Figure </w:t>
      </w:r>
      <w:r w:rsidR="00C70D01">
        <w:rPr>
          <w:rFonts w:ascii="Arial" w:hAnsi="Arial" w:cs="Arial"/>
          <w:b/>
          <w:bCs/>
          <w:lang w:val="en-US"/>
        </w:rPr>
        <w:t>L</w:t>
      </w:r>
      <w:r>
        <w:rPr>
          <w:rFonts w:ascii="Arial" w:hAnsi="Arial" w:cs="Arial"/>
          <w:b/>
          <w:bCs/>
          <w:lang w:val="en-US"/>
        </w:rPr>
        <w:t>egends</w:t>
      </w:r>
    </w:p>
    <w:p w14:paraId="4F996B69" w14:textId="77777777" w:rsidR="00D45425" w:rsidRDefault="00D45425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6D1CF246" w14:textId="52094CC1" w:rsidR="003665C5" w:rsidRDefault="003665C5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Figure S1. FOXG1 antibody validation and FOXG1 intensity measurements </w:t>
      </w:r>
      <w:r w:rsidRPr="009F4FAC">
        <w:rPr>
          <w:rFonts w:ascii="Arial" w:hAnsi="Arial" w:cs="Arial"/>
          <w:b/>
          <w:bCs/>
          <w:i/>
          <w:iCs/>
          <w:lang w:val="en-US"/>
        </w:rPr>
        <w:t>in vivo</w:t>
      </w:r>
      <w:r>
        <w:rPr>
          <w:rFonts w:ascii="Arial" w:hAnsi="Arial" w:cs="Arial"/>
          <w:b/>
          <w:bCs/>
          <w:lang w:val="en-US"/>
        </w:rPr>
        <w:t>. Related to Figure 1 and 3.</w:t>
      </w:r>
    </w:p>
    <w:p w14:paraId="0A87567A" w14:textId="5FBED590" w:rsidR="003665C5" w:rsidRPr="00743B5E" w:rsidRDefault="003665C5" w:rsidP="000547C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 </w:t>
      </w:r>
      <w:r w:rsidRPr="000C3BC5">
        <w:rPr>
          <w:rFonts w:ascii="Arial" w:hAnsi="Arial" w:cs="Arial"/>
          <w:lang w:val="en-US"/>
        </w:rPr>
        <w:t>Breeding scheme to generate F</w:t>
      </w:r>
      <w:r>
        <w:rPr>
          <w:rFonts w:ascii="Arial" w:hAnsi="Arial" w:cs="Arial"/>
          <w:lang w:val="en-US"/>
        </w:rPr>
        <w:t>OX</w:t>
      </w:r>
      <w:r w:rsidRPr="000C3BC5">
        <w:rPr>
          <w:rFonts w:ascii="Arial" w:hAnsi="Arial" w:cs="Arial"/>
          <w:lang w:val="en-US"/>
        </w:rPr>
        <w:t>G1 WT and F</w:t>
      </w:r>
      <w:r>
        <w:rPr>
          <w:rFonts w:ascii="Arial" w:hAnsi="Arial" w:cs="Arial"/>
          <w:lang w:val="en-US"/>
        </w:rPr>
        <w:t>OX</w:t>
      </w:r>
      <w:r w:rsidRPr="000C3BC5">
        <w:rPr>
          <w:rFonts w:ascii="Arial" w:hAnsi="Arial" w:cs="Arial"/>
          <w:lang w:val="en-US"/>
        </w:rPr>
        <w:t>G1 KO mice</w:t>
      </w:r>
      <w:r>
        <w:rPr>
          <w:rFonts w:ascii="Arial" w:hAnsi="Arial" w:cs="Arial"/>
          <w:lang w:val="en-US"/>
        </w:rPr>
        <w:t xml:space="preserve"> to validate the applied FOXG1 antibodies</w:t>
      </w:r>
      <w:r w:rsidRPr="000C3BC5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As the full KO of FOXG1 is perinatal lethal</w:t>
      </w:r>
      <w:r w:rsidR="005454B4">
        <w:rPr>
          <w:rFonts w:ascii="Arial" w:hAnsi="Arial" w:cs="Arial"/>
          <w:noProof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 xml:space="preserve">, heterozygous mice with one WT </w:t>
      </w:r>
      <w:r w:rsidRPr="00743B5E">
        <w:rPr>
          <w:rFonts w:ascii="Arial" w:hAnsi="Arial" w:cs="Arial"/>
          <w:lang w:val="en-US"/>
        </w:rPr>
        <w:t>allele and one allele</w:t>
      </w:r>
      <w:r>
        <w:rPr>
          <w:rFonts w:ascii="Arial" w:hAnsi="Arial" w:cs="Arial"/>
          <w:lang w:val="en-US"/>
        </w:rPr>
        <w:t xml:space="preserve"> in which</w:t>
      </w:r>
      <w:r w:rsidRPr="00743B5E">
        <w:rPr>
          <w:rFonts w:ascii="Arial" w:hAnsi="Arial" w:cs="Arial"/>
          <w:lang w:val="en-US"/>
        </w:rPr>
        <w:t xml:space="preserve"> Cre is targeted to the </w:t>
      </w:r>
      <w:r w:rsidRPr="00743B5E">
        <w:rPr>
          <w:rFonts w:ascii="Arial" w:hAnsi="Arial" w:cs="Arial"/>
          <w:i/>
          <w:iCs/>
          <w:lang w:val="en-US"/>
        </w:rPr>
        <w:t>Fox</w:t>
      </w:r>
      <w:r>
        <w:rPr>
          <w:rFonts w:ascii="Arial" w:hAnsi="Arial" w:cs="Arial"/>
          <w:i/>
          <w:iCs/>
          <w:lang w:val="en-US"/>
        </w:rPr>
        <w:t>g</w:t>
      </w:r>
      <w:r w:rsidRPr="00743B5E">
        <w:rPr>
          <w:rFonts w:ascii="Arial" w:hAnsi="Arial" w:cs="Arial"/>
          <w:i/>
          <w:iCs/>
          <w:lang w:val="en-US"/>
        </w:rPr>
        <w:t>1</w:t>
      </w:r>
      <w:r w:rsidRPr="00743B5E">
        <w:rPr>
          <w:rFonts w:ascii="Arial" w:hAnsi="Arial" w:cs="Arial"/>
          <w:lang w:val="en-US"/>
        </w:rPr>
        <w:t xml:space="preserve"> locus (</w:t>
      </w:r>
      <w:r w:rsidRPr="00743B5E">
        <w:rPr>
          <w:rFonts w:ascii="Arial" w:hAnsi="Arial" w:cs="Arial"/>
          <w:i/>
          <w:iCs/>
          <w:lang w:val="en-US"/>
        </w:rPr>
        <w:t>Fox</w:t>
      </w:r>
      <w:r>
        <w:rPr>
          <w:rFonts w:ascii="Arial" w:hAnsi="Arial" w:cs="Arial"/>
          <w:i/>
          <w:iCs/>
          <w:lang w:val="en-US"/>
        </w:rPr>
        <w:t>g</w:t>
      </w:r>
      <w:r w:rsidRPr="00743B5E">
        <w:rPr>
          <w:rFonts w:ascii="Arial" w:hAnsi="Arial" w:cs="Arial"/>
          <w:i/>
          <w:iCs/>
          <w:lang w:val="en-US"/>
        </w:rPr>
        <w:t>1</w:t>
      </w:r>
      <w:r w:rsidRPr="00743B5E">
        <w:rPr>
          <w:rFonts w:ascii="Arial" w:hAnsi="Arial" w:cs="Arial"/>
          <w:vertAlign w:val="superscript"/>
          <w:lang w:val="en-US"/>
        </w:rPr>
        <w:t>Cre/+)</w:t>
      </w:r>
      <w:r w:rsidRPr="00743B5E">
        <w:rPr>
          <w:rFonts w:ascii="Arial" w:hAnsi="Arial" w:cs="Arial"/>
          <w:lang w:val="en-US"/>
        </w:rPr>
        <w:t xml:space="preserve"> were mated to generate FOXG1 WT and FOXG1 KO littermates. Litters were sacrificed at </w:t>
      </w:r>
      <w:r>
        <w:rPr>
          <w:rFonts w:ascii="Arial" w:hAnsi="Arial" w:cs="Arial"/>
          <w:lang w:val="en-US"/>
        </w:rPr>
        <w:t>embryonic day 13.5 (</w:t>
      </w:r>
      <w:r w:rsidRPr="00743B5E">
        <w:rPr>
          <w:rFonts w:ascii="Arial" w:hAnsi="Arial" w:cs="Arial"/>
          <w:lang w:val="en-US"/>
        </w:rPr>
        <w:t>E13.5</w:t>
      </w:r>
      <w:r>
        <w:rPr>
          <w:rFonts w:ascii="Arial" w:hAnsi="Arial" w:cs="Arial"/>
          <w:lang w:val="en-US"/>
        </w:rPr>
        <w:t>)</w:t>
      </w:r>
      <w:r w:rsidRPr="00743B5E">
        <w:rPr>
          <w:rFonts w:ascii="Arial" w:hAnsi="Arial" w:cs="Arial"/>
          <w:lang w:val="en-US"/>
        </w:rPr>
        <w:t>.</w:t>
      </w:r>
    </w:p>
    <w:p w14:paraId="050D414B" w14:textId="77777777" w:rsidR="003665C5" w:rsidRPr="000C3BC5" w:rsidRDefault="003665C5" w:rsidP="000547CE">
      <w:pPr>
        <w:spacing w:line="360" w:lineRule="auto"/>
        <w:jc w:val="both"/>
        <w:rPr>
          <w:rFonts w:ascii="Arial" w:hAnsi="Arial" w:cs="Arial"/>
          <w:lang w:val="en-US"/>
        </w:rPr>
      </w:pPr>
      <w:r w:rsidRPr="00743B5E">
        <w:rPr>
          <w:rFonts w:ascii="Arial" w:hAnsi="Arial" w:cs="Arial"/>
          <w:b/>
          <w:bCs/>
          <w:lang w:val="en-US"/>
        </w:rPr>
        <w:t>B</w:t>
      </w:r>
      <w:r w:rsidRPr="00743B5E">
        <w:rPr>
          <w:rFonts w:ascii="Arial" w:hAnsi="Arial" w:cs="Arial"/>
          <w:lang w:val="en-US"/>
        </w:rPr>
        <w:t xml:space="preserve"> Schematic coronal view of an E13.5 mouse brain; red box indicates area chosen for imaging in C and D.</w:t>
      </w:r>
    </w:p>
    <w:p w14:paraId="688E8BD9" w14:textId="77777777" w:rsidR="003665C5" w:rsidRDefault="003665C5" w:rsidP="00BD1ACA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C, D </w:t>
      </w:r>
      <w:r>
        <w:rPr>
          <w:rFonts w:ascii="Arial" w:hAnsi="Arial" w:cs="Arial"/>
          <w:lang w:val="en-US"/>
        </w:rPr>
        <w:t>Confocal images with 25x and 63x oil objectives of FOXG1 WT (</w:t>
      </w:r>
      <w:r w:rsidRPr="00A76A6F">
        <w:rPr>
          <w:rFonts w:ascii="Arial" w:hAnsi="Arial" w:cs="Arial"/>
          <w:i/>
          <w:iCs/>
          <w:lang w:val="en-US"/>
        </w:rPr>
        <w:t>Fox</w:t>
      </w:r>
      <w:r>
        <w:rPr>
          <w:rFonts w:ascii="Arial" w:hAnsi="Arial" w:cs="Arial"/>
          <w:i/>
          <w:iCs/>
          <w:lang w:val="en-US"/>
        </w:rPr>
        <w:t>g1</w:t>
      </w:r>
      <w:r>
        <w:rPr>
          <w:rFonts w:ascii="Arial" w:hAnsi="Arial" w:cs="Arial"/>
          <w:i/>
          <w:iCs/>
          <w:vertAlign w:val="superscript"/>
          <w:lang w:val="en-US"/>
        </w:rPr>
        <w:t>+</w:t>
      </w:r>
      <w:r w:rsidRPr="00A76A6F">
        <w:rPr>
          <w:rFonts w:ascii="Arial" w:hAnsi="Arial" w:cs="Arial"/>
          <w:i/>
          <w:iCs/>
          <w:vertAlign w:val="superscript"/>
          <w:lang w:val="en-US"/>
        </w:rPr>
        <w:t>/</w:t>
      </w:r>
      <w:r>
        <w:rPr>
          <w:rFonts w:ascii="Arial" w:hAnsi="Arial" w:cs="Arial"/>
          <w:i/>
          <w:iCs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>) and FOXG1 KO (</w:t>
      </w:r>
      <w:r w:rsidRPr="00A76A6F">
        <w:rPr>
          <w:rFonts w:ascii="Arial" w:hAnsi="Arial" w:cs="Arial"/>
          <w:i/>
          <w:iCs/>
          <w:lang w:val="en-US"/>
        </w:rPr>
        <w:t>Fox</w:t>
      </w:r>
      <w:r>
        <w:rPr>
          <w:rFonts w:ascii="Arial" w:hAnsi="Arial" w:cs="Arial"/>
          <w:i/>
          <w:iCs/>
          <w:lang w:val="en-US"/>
        </w:rPr>
        <w:t>g</w:t>
      </w:r>
      <w:r w:rsidRPr="00A76A6F">
        <w:rPr>
          <w:rFonts w:ascii="Arial" w:hAnsi="Arial" w:cs="Arial"/>
          <w:i/>
          <w:iCs/>
          <w:lang w:val="en-US"/>
        </w:rPr>
        <w:t>1</w:t>
      </w:r>
      <w:r w:rsidRPr="00A76A6F">
        <w:rPr>
          <w:rFonts w:ascii="Arial" w:hAnsi="Arial" w:cs="Arial"/>
          <w:i/>
          <w:iCs/>
          <w:vertAlign w:val="superscript"/>
          <w:lang w:val="en-US"/>
        </w:rPr>
        <w:t>Cre/Cre</w:t>
      </w:r>
      <w:r>
        <w:rPr>
          <w:rFonts w:ascii="Arial" w:hAnsi="Arial" w:cs="Arial"/>
          <w:lang w:val="en-US"/>
        </w:rPr>
        <w:t>) cortices at E13.5. Immunohistochemistry for the utilized FOXG1 antibodies in grey. DAPI in blue. Both applied FOXG1 antibodies showed a mainly nuclear signal in the Cortex of FOXG1 WT, while there was no distinct signal detectable in FOXG1 KO animals. Scale bar = 10 µm.</w:t>
      </w:r>
    </w:p>
    <w:p w14:paraId="3F97E71D" w14:textId="426AE6B8" w:rsidR="003665C5" w:rsidRDefault="003665C5" w:rsidP="00BD1ACA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E </w:t>
      </w:r>
      <w:r>
        <w:rPr>
          <w:rFonts w:ascii="Arial" w:hAnsi="Arial" w:cs="Arial"/>
          <w:lang w:val="en-US"/>
        </w:rPr>
        <w:t xml:space="preserve">FOXG1 fluorescent signal intensity measurements (mean pixel value) of SOX2+GFAP+ neural stem cells, SOX2+ progenitors, TBR2+ </w:t>
      </w:r>
      <w:r w:rsidR="00986079">
        <w:rPr>
          <w:rFonts w:ascii="Arial" w:hAnsi="Arial" w:cs="Arial"/>
          <w:lang w:val="en-US"/>
        </w:rPr>
        <w:t>transient</w:t>
      </w:r>
      <w:r>
        <w:rPr>
          <w:rFonts w:ascii="Arial" w:hAnsi="Arial" w:cs="Arial"/>
          <w:lang w:val="en-US"/>
        </w:rPr>
        <w:t xml:space="preserve"> amplifying progenitors, DCX+ neuroblasts/immature neurons and Map2+ mature neurons in the adult DG and of SOX2+GFAP+ neural stem cells, SOX2+ progenitors, DCX+ neuroblasts, NEUN+ neurons and GAD67+ GABAergic neurons in the adult SEZ/RMS/OB. 20 cells analyzed / animal; n = 3.</w:t>
      </w:r>
    </w:p>
    <w:p w14:paraId="418A10DD" w14:textId="77777777" w:rsidR="003665C5" w:rsidRPr="00FE75F7" w:rsidRDefault="003665C5" w:rsidP="00BD1ACA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</w:t>
      </w:r>
      <w:r>
        <w:rPr>
          <w:rFonts w:ascii="Arial" w:hAnsi="Arial" w:cs="Arial"/>
          <w:lang w:val="en-US"/>
        </w:rPr>
        <w:t xml:space="preserve"> Measurement of FOXG1 fluorescent signal intensities (mean pixel value) in CAG-GFP or CAG-FOXG1-IRES-GFP transduced cells in the DG or RMS showed a 3-fold increase in FOXG1 signal after FOXG1-</w:t>
      </w:r>
      <w:r w:rsidRPr="00423907">
        <w:rPr>
          <w:rFonts w:ascii="Arial" w:hAnsi="Arial" w:cs="Arial"/>
          <w:lang w:val="en-US"/>
        </w:rPr>
        <w:t xml:space="preserve">overexpression </w:t>
      </w:r>
      <w:r w:rsidRPr="001A5915">
        <w:rPr>
          <w:rFonts w:ascii="Arial" w:hAnsi="Arial" w:cs="Arial"/>
          <w:i/>
          <w:iCs/>
          <w:lang w:val="en-US"/>
        </w:rPr>
        <w:t>in vivo</w:t>
      </w:r>
      <w:r w:rsidRPr="00423907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50 cells analyzed / animal; </w:t>
      </w:r>
      <w:r w:rsidRPr="007A6FE7">
        <w:rPr>
          <w:rFonts w:ascii="Arial" w:hAnsi="Arial" w:cs="Arial"/>
          <w:lang w:val="en-US"/>
        </w:rPr>
        <w:t>n</w:t>
      </w:r>
      <w:r>
        <w:rPr>
          <w:rFonts w:ascii="Arial" w:hAnsi="Arial" w:cs="Arial"/>
          <w:lang w:val="en-US"/>
        </w:rPr>
        <w:t xml:space="preserve"> = 4 / group</w:t>
      </w:r>
      <w:r w:rsidRPr="007A6FE7">
        <w:rPr>
          <w:rFonts w:ascii="Arial" w:hAnsi="Arial" w:cs="Arial"/>
          <w:lang w:val="en-US"/>
        </w:rPr>
        <w:t>.</w:t>
      </w:r>
    </w:p>
    <w:p w14:paraId="6ABFFAA2" w14:textId="792E15CE" w:rsidR="002E2A31" w:rsidRDefault="002E2A31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780770A3" w14:textId="50791BEB" w:rsidR="007F0424" w:rsidRDefault="007F0424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5130E634" w14:textId="5BFC3EF1" w:rsidR="007F0424" w:rsidRDefault="007F0424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77078C86" w14:textId="77777777" w:rsidR="007F0424" w:rsidRDefault="007F0424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1DA66983" w14:textId="77777777" w:rsidR="003665C5" w:rsidRDefault="003665C5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Supplementary Figure S2. Morphological analyses of adult-born olfactory bulb neurons overexpressing FOXG1 </w:t>
      </w:r>
      <w:r w:rsidRPr="00184D30">
        <w:rPr>
          <w:rFonts w:ascii="Arial" w:hAnsi="Arial" w:cs="Arial"/>
          <w:b/>
          <w:bCs/>
          <w:i/>
          <w:iCs/>
          <w:lang w:val="en-US"/>
        </w:rPr>
        <w:t>in vivo</w:t>
      </w:r>
      <w:r>
        <w:rPr>
          <w:rFonts w:ascii="Arial" w:hAnsi="Arial" w:cs="Arial"/>
          <w:b/>
          <w:bCs/>
          <w:lang w:val="en-US"/>
        </w:rPr>
        <w:t>. Related to Figure 5.</w:t>
      </w:r>
    </w:p>
    <w:p w14:paraId="142A7C9E" w14:textId="77777777" w:rsidR="003665C5" w:rsidRDefault="003665C5" w:rsidP="000547C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 </w:t>
      </w:r>
      <w:r>
        <w:rPr>
          <w:rFonts w:ascii="Arial" w:hAnsi="Arial" w:cs="Arial"/>
          <w:lang w:val="en-US"/>
        </w:rPr>
        <w:t>Confocal images of retrovirus transduced adult-born cells of the SEZ within the deep and superficial layers of the OB transduced either with a GFP-encoding control or a FOXG1-overexpressing retrovirus 28 dpi. DAPI in blue. Scale bar = 100 µm.</w:t>
      </w:r>
    </w:p>
    <w:p w14:paraId="3CFB6B73" w14:textId="77777777" w:rsidR="003665C5" w:rsidRDefault="003665C5" w:rsidP="000547C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</w:t>
      </w:r>
      <w:r w:rsidRPr="007A6FE7">
        <w:rPr>
          <w:rFonts w:ascii="Arial" w:hAnsi="Arial" w:cs="Arial"/>
          <w:lang w:val="en-US"/>
        </w:rPr>
        <w:t xml:space="preserve">Representative reconstructions of </w:t>
      </w:r>
      <w:r>
        <w:rPr>
          <w:rFonts w:ascii="Arial" w:hAnsi="Arial" w:cs="Arial"/>
          <w:lang w:val="en-US"/>
        </w:rPr>
        <w:t>GFP control and FOXG1-overexpressing deep layer neurons and superficial neurons of the OB at 28 dpi. Scale bar = 100 µm.</w:t>
      </w:r>
    </w:p>
    <w:p w14:paraId="14560182" w14:textId="77777777" w:rsidR="003665C5" w:rsidRDefault="003665C5" w:rsidP="000547C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 </w:t>
      </w:r>
      <w:r w:rsidRPr="007A6FE7">
        <w:rPr>
          <w:rFonts w:ascii="Arial" w:hAnsi="Arial" w:cs="Arial"/>
          <w:lang w:val="en-US"/>
        </w:rPr>
        <w:t>Quantifications of the total dendritic length</w:t>
      </w:r>
      <w:r>
        <w:rPr>
          <w:rFonts w:ascii="Arial" w:hAnsi="Arial" w:cs="Arial"/>
          <w:lang w:val="en-US"/>
        </w:rPr>
        <w:t>, number of dendrite branch points and number of dendrite termini of control and FOXG1-overexpressing deep layer and superficial</w:t>
      </w:r>
      <w:r w:rsidRPr="007A6FE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neurons in the adult OB at 28 dpi showed no differences between control and FOXG1-overexpressing neurons</w:t>
      </w:r>
      <w:r w:rsidRPr="007A6FE7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 xml:space="preserve">10 cells analyzed / animal; </w:t>
      </w:r>
      <w:r w:rsidRPr="007A6FE7">
        <w:rPr>
          <w:rFonts w:ascii="Arial" w:hAnsi="Arial" w:cs="Arial"/>
          <w:lang w:val="en-US"/>
        </w:rPr>
        <w:t>n</w:t>
      </w:r>
      <w:r>
        <w:rPr>
          <w:rFonts w:ascii="Arial" w:hAnsi="Arial" w:cs="Arial"/>
          <w:lang w:val="en-US"/>
        </w:rPr>
        <w:t xml:space="preserve"> = 4 / group</w:t>
      </w:r>
      <w:r w:rsidRPr="007A6FE7">
        <w:rPr>
          <w:rFonts w:ascii="Arial" w:hAnsi="Arial" w:cs="Arial"/>
          <w:lang w:val="en-US"/>
        </w:rPr>
        <w:t>.</w:t>
      </w:r>
    </w:p>
    <w:p w14:paraId="42848CD4" w14:textId="77777777" w:rsidR="003665C5" w:rsidRDefault="003665C5" w:rsidP="00210780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D</w:t>
      </w:r>
      <w:r>
        <w:rPr>
          <w:rFonts w:ascii="Arial" w:hAnsi="Arial" w:cs="Arial"/>
          <w:lang w:val="en-US"/>
        </w:rPr>
        <w:t xml:space="preserve"> </w:t>
      </w:r>
      <w:r w:rsidRPr="00210780">
        <w:rPr>
          <w:rFonts w:ascii="Arial" w:hAnsi="Arial" w:cs="Arial"/>
          <w:lang w:val="en-US"/>
        </w:rPr>
        <w:t xml:space="preserve">Sholl analysis of </w:t>
      </w:r>
      <w:r>
        <w:rPr>
          <w:rFonts w:ascii="Arial" w:hAnsi="Arial" w:cs="Arial"/>
          <w:lang w:val="en-US"/>
        </w:rPr>
        <w:t>28</w:t>
      </w:r>
      <w:r w:rsidRPr="00210780">
        <w:rPr>
          <w:rFonts w:ascii="Arial" w:hAnsi="Arial" w:cs="Arial"/>
          <w:lang w:val="en-US"/>
        </w:rPr>
        <w:t xml:space="preserve"> dpi </w:t>
      </w:r>
      <w:r>
        <w:rPr>
          <w:rFonts w:ascii="Arial" w:hAnsi="Arial" w:cs="Arial"/>
          <w:lang w:val="en-US"/>
        </w:rPr>
        <w:t xml:space="preserve">deep layer and superficial OB </w:t>
      </w:r>
      <w:r w:rsidRPr="00210780">
        <w:rPr>
          <w:rFonts w:ascii="Arial" w:hAnsi="Arial" w:cs="Arial"/>
          <w:lang w:val="en-US"/>
        </w:rPr>
        <w:t xml:space="preserve">neurons </w:t>
      </w:r>
      <w:r>
        <w:rPr>
          <w:rFonts w:ascii="Arial" w:hAnsi="Arial" w:cs="Arial"/>
          <w:lang w:val="en-US"/>
        </w:rPr>
        <w:t xml:space="preserve">did not differ between GFP+ control and FOXG1-overexpressing neurons. 10 cells analyzed / animal; </w:t>
      </w:r>
      <w:r w:rsidRPr="007A6FE7">
        <w:rPr>
          <w:rFonts w:ascii="Arial" w:hAnsi="Arial" w:cs="Arial"/>
          <w:lang w:val="en-US"/>
        </w:rPr>
        <w:t>n</w:t>
      </w:r>
      <w:r>
        <w:rPr>
          <w:rFonts w:ascii="Arial" w:hAnsi="Arial" w:cs="Arial"/>
          <w:lang w:val="en-US"/>
        </w:rPr>
        <w:t xml:space="preserve"> = 4 / group</w:t>
      </w:r>
      <w:r w:rsidRPr="007A6FE7">
        <w:rPr>
          <w:rFonts w:ascii="Arial" w:hAnsi="Arial" w:cs="Arial"/>
          <w:lang w:val="en-US"/>
        </w:rPr>
        <w:t>.</w:t>
      </w:r>
    </w:p>
    <w:p w14:paraId="721B681F" w14:textId="77777777" w:rsidR="003665C5" w:rsidRDefault="003665C5" w:rsidP="000547C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E</w:t>
      </w:r>
      <w:r>
        <w:rPr>
          <w:rFonts w:ascii="Arial" w:hAnsi="Arial" w:cs="Arial"/>
          <w:lang w:val="en-US"/>
        </w:rPr>
        <w:t xml:space="preserve"> </w:t>
      </w:r>
      <w:r w:rsidRPr="00210780">
        <w:rPr>
          <w:rFonts w:ascii="Arial" w:hAnsi="Arial" w:cs="Arial"/>
          <w:lang w:val="en-US"/>
        </w:rPr>
        <w:t xml:space="preserve">Representative </w:t>
      </w:r>
      <w:r>
        <w:rPr>
          <w:rFonts w:ascii="Arial" w:hAnsi="Arial" w:cs="Arial"/>
          <w:lang w:val="en-US"/>
        </w:rPr>
        <w:t xml:space="preserve">confocal microscope </w:t>
      </w:r>
      <w:r w:rsidRPr="00210780">
        <w:rPr>
          <w:rFonts w:ascii="Arial" w:hAnsi="Arial" w:cs="Arial"/>
          <w:lang w:val="en-US"/>
        </w:rPr>
        <w:t xml:space="preserve">images showing dendritic segments of adult-born </w:t>
      </w:r>
      <w:r>
        <w:rPr>
          <w:rFonts w:ascii="Arial" w:hAnsi="Arial" w:cs="Arial"/>
          <w:lang w:val="en-US"/>
        </w:rPr>
        <w:t xml:space="preserve">GFP+ control and FOXG1-overexpressing </w:t>
      </w:r>
      <w:r w:rsidRPr="00210780">
        <w:rPr>
          <w:rFonts w:ascii="Arial" w:hAnsi="Arial" w:cs="Arial"/>
          <w:lang w:val="en-US"/>
        </w:rPr>
        <w:t>neurons,</w:t>
      </w:r>
      <w:r>
        <w:rPr>
          <w:rFonts w:ascii="Arial" w:hAnsi="Arial" w:cs="Arial"/>
          <w:lang w:val="en-US"/>
        </w:rPr>
        <w:t xml:space="preserve"> at 28 </w:t>
      </w:r>
      <w:r w:rsidRPr="00210780">
        <w:rPr>
          <w:rFonts w:ascii="Arial" w:hAnsi="Arial" w:cs="Arial"/>
          <w:lang w:val="en-US"/>
        </w:rPr>
        <w:t>dpi.</w:t>
      </w:r>
    </w:p>
    <w:p w14:paraId="20765590" w14:textId="77777777" w:rsidR="003665C5" w:rsidRDefault="003665C5" w:rsidP="000C40A1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</w:t>
      </w:r>
      <w:r>
        <w:rPr>
          <w:rFonts w:ascii="Arial" w:hAnsi="Arial" w:cs="Arial"/>
          <w:lang w:val="en-US"/>
        </w:rPr>
        <w:t xml:space="preserve"> Spine density was not altered due to FOXG1 overexpression. 10 cells analyzed / animal; </w:t>
      </w:r>
      <w:r w:rsidRPr="007A6FE7">
        <w:rPr>
          <w:rFonts w:ascii="Arial" w:hAnsi="Arial" w:cs="Arial"/>
          <w:lang w:val="en-US"/>
        </w:rPr>
        <w:t>n</w:t>
      </w:r>
      <w:r>
        <w:rPr>
          <w:rFonts w:ascii="Arial" w:hAnsi="Arial" w:cs="Arial"/>
          <w:lang w:val="en-US"/>
        </w:rPr>
        <w:t xml:space="preserve"> = 4 / group</w:t>
      </w:r>
      <w:r w:rsidRPr="007A6FE7">
        <w:rPr>
          <w:rFonts w:ascii="Arial" w:hAnsi="Arial" w:cs="Arial"/>
          <w:lang w:val="en-US"/>
        </w:rPr>
        <w:t>.</w:t>
      </w:r>
    </w:p>
    <w:p w14:paraId="76BD4927" w14:textId="77777777" w:rsidR="003665C5" w:rsidRDefault="003665C5" w:rsidP="000C40A1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G</w:t>
      </w:r>
      <w:r>
        <w:rPr>
          <w:rFonts w:ascii="Arial" w:hAnsi="Arial" w:cs="Arial"/>
          <w:lang w:val="en-US"/>
        </w:rPr>
        <w:t xml:space="preserve"> Confocal images of adult-born cells of the SEZ within the granule layer of the OB transduced either with a GFP-encoding control or a FOXG1-overexpressing retrovirus 28 dpi. Immunohistochemistry for the immediate-early gene cFOS in grey. DAPI in blue. Scale bar = 100 µm.</w:t>
      </w:r>
    </w:p>
    <w:p w14:paraId="56AC672F" w14:textId="77777777" w:rsidR="003665C5" w:rsidRDefault="003665C5" w:rsidP="000C40A1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H </w:t>
      </w:r>
      <w:r w:rsidRPr="000C3BC5">
        <w:rPr>
          <w:rFonts w:ascii="Arial" w:hAnsi="Arial" w:cs="Arial"/>
          <w:lang w:val="en-US"/>
        </w:rPr>
        <w:t>The percentage of cFOS+ cells amongst all GFP+ cells was not altered due to overexpression of F</w:t>
      </w:r>
      <w:r>
        <w:rPr>
          <w:rFonts w:ascii="Arial" w:hAnsi="Arial" w:cs="Arial"/>
          <w:lang w:val="en-US"/>
        </w:rPr>
        <w:t>OX</w:t>
      </w:r>
      <w:r w:rsidRPr="000C3BC5">
        <w:rPr>
          <w:rFonts w:ascii="Arial" w:hAnsi="Arial" w:cs="Arial"/>
          <w:lang w:val="en-US"/>
        </w:rPr>
        <w:t>G1.</w:t>
      </w:r>
      <w:r>
        <w:rPr>
          <w:rFonts w:ascii="Arial" w:hAnsi="Arial" w:cs="Arial"/>
          <w:lang w:val="en-US"/>
        </w:rPr>
        <w:t xml:space="preserve"> 100 cells analyzed / animal; </w:t>
      </w:r>
      <w:r w:rsidRPr="007A6FE7">
        <w:rPr>
          <w:rFonts w:ascii="Arial" w:hAnsi="Arial" w:cs="Arial"/>
          <w:lang w:val="en-US"/>
        </w:rPr>
        <w:t>n</w:t>
      </w:r>
      <w:r>
        <w:rPr>
          <w:rFonts w:ascii="Arial" w:hAnsi="Arial" w:cs="Arial"/>
          <w:lang w:val="en-US"/>
        </w:rPr>
        <w:t xml:space="preserve"> = 4 / group</w:t>
      </w:r>
      <w:r w:rsidRPr="007A6FE7">
        <w:rPr>
          <w:rFonts w:ascii="Arial" w:hAnsi="Arial" w:cs="Arial"/>
          <w:lang w:val="en-US"/>
        </w:rPr>
        <w:t>.</w:t>
      </w:r>
    </w:p>
    <w:p w14:paraId="2EFF6665" w14:textId="77777777" w:rsidR="003665C5" w:rsidRDefault="003665C5" w:rsidP="007F6EEB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 w:rsidRPr="00A019BF">
        <w:rPr>
          <w:rFonts w:ascii="Arial" w:hAnsi="Arial" w:cs="Arial"/>
          <w:lang w:val="en-US"/>
        </w:rPr>
        <w:t xml:space="preserve">Data represented as mean ± SEM; </w:t>
      </w:r>
      <w:r>
        <w:rPr>
          <w:rFonts w:ascii="Arial" w:hAnsi="Arial" w:cs="Arial"/>
          <w:lang w:val="en-US"/>
        </w:rPr>
        <w:t xml:space="preserve">Welch’s </w:t>
      </w:r>
      <w:r w:rsidRPr="00A019BF">
        <w:rPr>
          <w:rFonts w:ascii="Arial" w:hAnsi="Arial" w:cs="Arial"/>
          <w:lang w:val="en-US"/>
        </w:rPr>
        <w:t>t-test was used to determine significance if not indicated otherwise</w:t>
      </w:r>
      <w:r>
        <w:rPr>
          <w:rFonts w:ascii="Arial" w:hAnsi="Arial" w:cs="Arial"/>
          <w:lang w:val="en-US"/>
        </w:rPr>
        <w:t xml:space="preserve">; </w:t>
      </w:r>
      <w:r w:rsidRPr="003D756A">
        <w:rPr>
          <w:rFonts w:ascii="Arial" w:hAnsi="Arial" w:cs="Arial"/>
          <w:lang w:val="en-US"/>
        </w:rPr>
        <w:t>*p&lt;0.05, **p&lt;0.01 and ***p&lt;0.001</w:t>
      </w:r>
      <w:r>
        <w:rPr>
          <w:rFonts w:ascii="Arial" w:hAnsi="Arial" w:cs="Arial"/>
          <w:lang w:val="en-US"/>
        </w:rPr>
        <w:t>.</w:t>
      </w:r>
    </w:p>
    <w:p w14:paraId="19252003" w14:textId="77A6DCE0" w:rsidR="009602BD" w:rsidRDefault="009602BD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5774624D" w14:textId="26EC1797" w:rsidR="007F0424" w:rsidRDefault="007F0424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4A51B9BF" w14:textId="3C4FAF93" w:rsidR="007F0424" w:rsidRDefault="007F0424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580F766A" w14:textId="77777777" w:rsidR="007F0424" w:rsidRDefault="007F0424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266424CD" w14:textId="77777777" w:rsidR="003665C5" w:rsidRDefault="003665C5" w:rsidP="000547C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 Figure S3. Differentially expressed genes in DG and SEZ aNSPCs upon FOXG1 overexpression. Related to Figure 6.</w:t>
      </w:r>
    </w:p>
    <w:p w14:paraId="6AE49800" w14:textId="77777777" w:rsidR="003665C5" w:rsidRDefault="003665C5" w:rsidP="002825D3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 </w:t>
      </w:r>
      <w:r w:rsidRPr="000C3BC5">
        <w:rPr>
          <w:rFonts w:ascii="Arial" w:hAnsi="Arial" w:cs="Arial"/>
          <w:lang w:val="en-US"/>
        </w:rPr>
        <w:t>Heatmap</w:t>
      </w:r>
      <w:r w:rsidRPr="009F6176">
        <w:rPr>
          <w:rFonts w:ascii="Arial" w:hAnsi="Arial" w:cs="Arial"/>
          <w:lang w:val="en-US"/>
        </w:rPr>
        <w:t xml:space="preserve"> of the differentially expressed genes shown as Z-score</w:t>
      </w:r>
      <w:r w:rsidRPr="000C3BC5">
        <w:rPr>
          <w:rFonts w:ascii="Arial" w:hAnsi="Arial" w:cs="Arial"/>
          <w:lang w:val="en-US"/>
        </w:rPr>
        <w:t xml:space="preserve"> for all replicates of each group</w:t>
      </w:r>
      <w:r>
        <w:rPr>
          <w:rFonts w:ascii="Arial" w:hAnsi="Arial" w:cs="Arial"/>
          <w:lang w:val="en-US"/>
        </w:rPr>
        <w:t xml:space="preserve"> (DG vs. SEZ aNSPCs each transduced with the CAG-GFP control retrovirus)</w:t>
      </w:r>
      <w:r w:rsidRPr="009F6176">
        <w:rPr>
          <w:rFonts w:ascii="Arial" w:hAnsi="Arial" w:cs="Arial"/>
          <w:lang w:val="en-US"/>
        </w:rPr>
        <w:t>.</w:t>
      </w:r>
    </w:p>
    <w:p w14:paraId="5EA8156F" w14:textId="1A2206C0" w:rsidR="003665C5" w:rsidRDefault="003665C5" w:rsidP="002825D3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KEGG Pathways analysis of up- and down-regulated genes in DG vs. SEZ aNSPCs transduced with the CAG-GFP control retrovi</w:t>
      </w:r>
      <w:r w:rsidR="00986079">
        <w:rPr>
          <w:rFonts w:ascii="Arial" w:hAnsi="Arial" w:cs="Arial"/>
          <w:lang w:val="en-US"/>
        </w:rPr>
        <w:t>r</w:t>
      </w:r>
      <w:r>
        <w:rPr>
          <w:rFonts w:ascii="Arial" w:hAnsi="Arial" w:cs="Arial"/>
          <w:lang w:val="en-US"/>
        </w:rPr>
        <w:t>us (the smaller the p-value, the more significantly up- or down-regulated).</w:t>
      </w:r>
    </w:p>
    <w:p w14:paraId="714B30A4" w14:textId="77777777" w:rsidR="003665C5" w:rsidRPr="00194B53" w:rsidRDefault="003665C5" w:rsidP="002825D3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 </w:t>
      </w:r>
      <w:r w:rsidRPr="000C3BC5">
        <w:rPr>
          <w:rFonts w:ascii="Arial" w:hAnsi="Arial" w:cs="Arial"/>
          <w:lang w:val="en-US"/>
        </w:rPr>
        <w:t>Heatmap</w:t>
      </w:r>
      <w:r w:rsidRPr="009F6176">
        <w:rPr>
          <w:rFonts w:ascii="Arial" w:hAnsi="Arial" w:cs="Arial"/>
          <w:lang w:val="en-US"/>
        </w:rPr>
        <w:t xml:space="preserve"> of the differentially expressed genes shown as Z-score</w:t>
      </w:r>
      <w:r w:rsidRPr="000C3BC5">
        <w:rPr>
          <w:rFonts w:ascii="Arial" w:hAnsi="Arial" w:cs="Arial"/>
          <w:lang w:val="en-US"/>
        </w:rPr>
        <w:t xml:space="preserve"> for all replicates of each group</w:t>
      </w:r>
      <w:r>
        <w:rPr>
          <w:rFonts w:ascii="Arial" w:hAnsi="Arial" w:cs="Arial"/>
          <w:lang w:val="en-US"/>
        </w:rPr>
        <w:t xml:space="preserve"> (DG vs. SEZ aNSPCs each transduced with the FOXG1 overexpression retrovirus)</w:t>
      </w:r>
      <w:r w:rsidRPr="009F6176">
        <w:rPr>
          <w:rFonts w:ascii="Arial" w:hAnsi="Arial" w:cs="Arial"/>
          <w:lang w:val="en-US"/>
        </w:rPr>
        <w:t>.</w:t>
      </w:r>
    </w:p>
    <w:p w14:paraId="6C96044D" w14:textId="77777777" w:rsidR="003665C5" w:rsidRPr="000C3BC5" w:rsidRDefault="003665C5" w:rsidP="002825D3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D</w:t>
      </w:r>
      <w:r>
        <w:rPr>
          <w:rFonts w:ascii="Arial" w:hAnsi="Arial" w:cs="Arial"/>
          <w:lang w:val="en-US"/>
        </w:rPr>
        <w:t xml:space="preserve"> Number of differentially expressed genes according to their log2 fold change in DG vs. SEZ aNSPCs transduced either with a GFP-encoding control (CAG-GFP) or FOXG1-overexpressing retrovirus (CAG-FOXG1-IRES-GFP).</w:t>
      </w:r>
    </w:p>
    <w:p w14:paraId="52300092" w14:textId="77777777" w:rsidR="003665C5" w:rsidRDefault="003665C5" w:rsidP="002825D3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1692D1F5" w14:textId="77777777" w:rsidR="003665C5" w:rsidRDefault="003665C5" w:rsidP="002825D3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Supplementary Figure S4. C-DIM5/8 dose responses and subcellular NR4A1 expression. Related to Figure 7.</w:t>
      </w:r>
    </w:p>
    <w:p w14:paraId="198D7395" w14:textId="6DCA8C33" w:rsidR="003665C5" w:rsidRPr="00F75445" w:rsidRDefault="003665C5" w:rsidP="000C3BC5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Dose-responses of DG aNS</w:t>
      </w:r>
      <w:r w:rsidR="00986079">
        <w:rPr>
          <w:rFonts w:ascii="Arial" w:hAnsi="Arial" w:cs="Arial"/>
          <w:lang w:val="en-US"/>
        </w:rPr>
        <w:t>PC</w:t>
      </w:r>
      <w:r>
        <w:rPr>
          <w:rFonts w:ascii="Arial" w:hAnsi="Arial" w:cs="Arial"/>
          <w:lang w:val="en-US"/>
        </w:rPr>
        <w:t xml:space="preserve">s and SEZ aNSPCs to different C-DIM5 and C-DIM8 concentrations. The % Trypan Blue+ cells was determined after 48 h as a read-out for cell death induced by the compounds relative to the vehicle control DMSO. 15 µM C-DIM5 and 15 µM C-DIM8 were established as the highest dosages, which did not elevated cell death relative to the vehicle control DMSO. </w:t>
      </w:r>
      <w:r w:rsidRPr="00184D30">
        <w:rPr>
          <w:rFonts w:ascii="Arial" w:hAnsi="Arial" w:cs="Arial"/>
          <w:lang w:val="en-US"/>
        </w:rPr>
        <w:t>n = 4 biological replicate</w:t>
      </w:r>
      <w:r>
        <w:rPr>
          <w:rFonts w:ascii="Arial" w:hAnsi="Arial" w:cs="Arial"/>
          <w:lang w:val="en-US"/>
        </w:rPr>
        <w:t>s</w:t>
      </w:r>
      <w:r w:rsidRPr="00184D30">
        <w:rPr>
          <w:rFonts w:ascii="Arial" w:hAnsi="Arial" w:cs="Arial"/>
          <w:lang w:val="en-US"/>
        </w:rPr>
        <w:t xml:space="preserve"> / group</w:t>
      </w:r>
      <w:r>
        <w:rPr>
          <w:rFonts w:ascii="Arial" w:hAnsi="Arial" w:cs="Arial"/>
          <w:lang w:val="en-US"/>
        </w:rPr>
        <w:t>.</w:t>
      </w:r>
    </w:p>
    <w:p w14:paraId="6297CADB" w14:textId="77777777" w:rsidR="003665C5" w:rsidRPr="00184D30" w:rsidRDefault="003665C5" w:rsidP="0032399F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</w:t>
      </w:r>
      <w:r w:rsidRPr="00184D30">
        <w:rPr>
          <w:rFonts w:ascii="Arial" w:hAnsi="Arial" w:cs="Arial"/>
          <w:lang w:val="en-US"/>
        </w:rPr>
        <w:t>Confocal images of DG and SEZ aNSPCs transduced with a GFP-control (CAG-GFP) or FOXG1-overexpressing (CAG-FOXG1-IRES-GFP) retrovirus</w:t>
      </w:r>
      <w:r>
        <w:rPr>
          <w:rFonts w:ascii="Arial" w:hAnsi="Arial" w:cs="Arial"/>
          <w:lang w:val="en-US"/>
        </w:rPr>
        <w:t xml:space="preserve"> and treated for 48 h with DMSO/C-DIM5/C-DIM8 (each 15 µM)</w:t>
      </w:r>
      <w:r w:rsidRPr="00184D30">
        <w:rPr>
          <w:rFonts w:ascii="Arial" w:hAnsi="Arial" w:cs="Arial"/>
          <w:lang w:val="en-US"/>
        </w:rPr>
        <w:t>. Immunohistochemistry for NR4A1 in red. DAPI in blue. Scale bar = 10 µm.</w:t>
      </w:r>
    </w:p>
    <w:p w14:paraId="744E2872" w14:textId="77777777" w:rsidR="003665C5" w:rsidRDefault="003665C5" w:rsidP="0032399F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C</w:t>
      </w:r>
      <w:r w:rsidRPr="00184D30">
        <w:rPr>
          <w:rFonts w:ascii="Arial" w:hAnsi="Arial" w:cs="Arial"/>
          <w:b/>
          <w:bCs/>
          <w:lang w:val="en-US"/>
        </w:rPr>
        <w:t xml:space="preserve"> </w:t>
      </w:r>
      <w:r w:rsidRPr="00184D30">
        <w:rPr>
          <w:rFonts w:ascii="Arial" w:hAnsi="Arial" w:cs="Arial"/>
          <w:lang w:val="en-US"/>
        </w:rPr>
        <w:t xml:space="preserve">Analysis of </w:t>
      </w:r>
      <w:r>
        <w:rPr>
          <w:rFonts w:ascii="Arial" w:hAnsi="Arial" w:cs="Arial"/>
          <w:lang w:val="en-US"/>
        </w:rPr>
        <w:t xml:space="preserve">the Corrected Total Cell Fluorescence (CTCF) of </w:t>
      </w:r>
      <w:r w:rsidRPr="00184D30">
        <w:rPr>
          <w:rFonts w:ascii="Arial" w:hAnsi="Arial" w:cs="Arial"/>
          <w:lang w:val="en-US"/>
        </w:rPr>
        <w:t>NR4A1</w:t>
      </w:r>
      <w:r>
        <w:rPr>
          <w:rFonts w:ascii="Arial" w:hAnsi="Arial" w:cs="Arial"/>
          <w:lang w:val="en-US"/>
        </w:rPr>
        <w:t xml:space="preserve"> in the cytoplasm or the nucleus</w:t>
      </w:r>
      <w:r w:rsidRPr="00184D3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detected a significant increase in nuclear NR4A1 signal and significant decrease in cytoplasmic NR4A1 signal</w:t>
      </w:r>
      <w:r w:rsidRPr="003E1C1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after treatment with C-DIM5 (15 µM for 48 h) i</w:t>
      </w:r>
      <w:r w:rsidRPr="00184D30">
        <w:rPr>
          <w:rFonts w:ascii="Arial" w:hAnsi="Arial" w:cs="Arial"/>
          <w:lang w:val="en-US"/>
        </w:rPr>
        <w:t xml:space="preserve">n DG and SEZ aNSPCs under control conditions </w:t>
      </w:r>
      <w:r>
        <w:rPr>
          <w:rFonts w:ascii="Arial" w:hAnsi="Arial" w:cs="Arial"/>
          <w:lang w:val="en-US"/>
        </w:rPr>
        <w:t>and</w:t>
      </w:r>
      <w:r w:rsidRPr="00184D30">
        <w:rPr>
          <w:rFonts w:ascii="Arial" w:hAnsi="Arial" w:cs="Arial"/>
          <w:lang w:val="en-US"/>
        </w:rPr>
        <w:t xml:space="preserve"> upon FOXG1 overexpression</w:t>
      </w:r>
      <w:r>
        <w:rPr>
          <w:rFonts w:ascii="Arial" w:hAnsi="Arial" w:cs="Arial"/>
          <w:lang w:val="en-US"/>
        </w:rPr>
        <w:t xml:space="preserve">. C-DIM8 treatment (15 µM for 48 h) significantly decreased the cytoplasmic NR4A1 signal, </w:t>
      </w:r>
      <w:r>
        <w:rPr>
          <w:rFonts w:ascii="Arial" w:hAnsi="Arial" w:cs="Arial"/>
          <w:lang w:val="en-US"/>
        </w:rPr>
        <w:lastRenderedPageBreak/>
        <w:t>while nuclear NR4A1 signal was not altered i</w:t>
      </w:r>
      <w:r w:rsidRPr="00184D30">
        <w:rPr>
          <w:rFonts w:ascii="Arial" w:hAnsi="Arial" w:cs="Arial"/>
          <w:lang w:val="en-US"/>
        </w:rPr>
        <w:t xml:space="preserve">n DG and SEZ aNSPCs under control conditions </w:t>
      </w:r>
      <w:r>
        <w:rPr>
          <w:rFonts w:ascii="Arial" w:hAnsi="Arial" w:cs="Arial"/>
          <w:lang w:val="en-US"/>
        </w:rPr>
        <w:t>and</w:t>
      </w:r>
      <w:r w:rsidRPr="00184D30">
        <w:rPr>
          <w:rFonts w:ascii="Arial" w:hAnsi="Arial" w:cs="Arial"/>
          <w:lang w:val="en-US"/>
        </w:rPr>
        <w:t xml:space="preserve"> upon FOXG1 overexpression</w:t>
      </w:r>
      <w:r>
        <w:rPr>
          <w:rFonts w:ascii="Arial" w:hAnsi="Arial" w:cs="Arial"/>
          <w:lang w:val="en-US"/>
        </w:rPr>
        <w:t>.</w:t>
      </w:r>
      <w:r w:rsidRPr="00184D30" w:rsidDel="003E1C15">
        <w:rPr>
          <w:rFonts w:ascii="Arial" w:hAnsi="Arial" w:cs="Arial"/>
          <w:lang w:val="en-US"/>
        </w:rPr>
        <w:t xml:space="preserve"> </w:t>
      </w:r>
      <w:r w:rsidRPr="00184D30">
        <w:rPr>
          <w:rFonts w:ascii="Arial" w:hAnsi="Arial" w:cs="Arial"/>
          <w:lang w:val="en-US"/>
        </w:rPr>
        <w:t>n = 4 biological replicate</w:t>
      </w:r>
      <w:r>
        <w:rPr>
          <w:rFonts w:ascii="Arial" w:hAnsi="Arial" w:cs="Arial"/>
          <w:lang w:val="en-US"/>
        </w:rPr>
        <w:t>s</w:t>
      </w:r>
      <w:r w:rsidRPr="00184D30">
        <w:rPr>
          <w:rFonts w:ascii="Arial" w:hAnsi="Arial" w:cs="Arial"/>
          <w:lang w:val="en-US"/>
        </w:rPr>
        <w:t xml:space="preserve"> / group.</w:t>
      </w:r>
    </w:p>
    <w:p w14:paraId="75728509" w14:textId="047EDC1F" w:rsidR="003665C5" w:rsidRDefault="003665C5" w:rsidP="005D2123">
      <w:pPr>
        <w:spacing w:line="360" w:lineRule="auto"/>
        <w:rPr>
          <w:rFonts w:ascii="Arial" w:hAnsi="Arial" w:cs="Arial"/>
          <w:lang w:val="en-US"/>
        </w:rPr>
      </w:pPr>
      <w:r w:rsidRPr="00A019BF">
        <w:rPr>
          <w:rFonts w:ascii="Arial" w:hAnsi="Arial" w:cs="Arial"/>
          <w:lang w:val="en-US"/>
        </w:rPr>
        <w:t xml:space="preserve">Data represented as mean ± SEM; </w:t>
      </w:r>
      <w:r>
        <w:rPr>
          <w:rFonts w:ascii="Arial" w:hAnsi="Arial" w:cs="Arial"/>
          <w:lang w:val="en-US"/>
        </w:rPr>
        <w:t xml:space="preserve">Welch’s </w:t>
      </w:r>
      <w:r w:rsidRPr="00A019BF">
        <w:rPr>
          <w:rFonts w:ascii="Arial" w:hAnsi="Arial" w:cs="Arial"/>
          <w:lang w:val="en-US"/>
        </w:rPr>
        <w:t>t-test was used to determine significance if not indicated otherwise</w:t>
      </w:r>
      <w:r>
        <w:rPr>
          <w:rFonts w:ascii="Arial" w:hAnsi="Arial" w:cs="Arial"/>
          <w:lang w:val="en-US"/>
        </w:rPr>
        <w:t xml:space="preserve">; </w:t>
      </w:r>
      <w:r w:rsidRPr="003D756A">
        <w:rPr>
          <w:rFonts w:ascii="Arial" w:hAnsi="Arial" w:cs="Arial"/>
          <w:lang w:val="en-US"/>
        </w:rPr>
        <w:t>*p&lt;0.05, **p&lt;0.01 and ***p&lt;0.001</w:t>
      </w:r>
      <w:r>
        <w:rPr>
          <w:rFonts w:ascii="Arial" w:hAnsi="Arial" w:cs="Arial"/>
          <w:lang w:val="en-US"/>
        </w:rPr>
        <w:t>.</w:t>
      </w:r>
    </w:p>
    <w:p w14:paraId="11CF317C" w14:textId="54AA1991" w:rsidR="00005697" w:rsidRDefault="00005697" w:rsidP="005D2123">
      <w:pPr>
        <w:spacing w:line="360" w:lineRule="auto"/>
        <w:rPr>
          <w:rFonts w:ascii="Arial" w:hAnsi="Arial" w:cs="Arial"/>
          <w:lang w:val="en-US"/>
        </w:rPr>
      </w:pPr>
    </w:p>
    <w:p w14:paraId="56D6C53F" w14:textId="372A9F03" w:rsidR="00005697" w:rsidRPr="00A53E94" w:rsidRDefault="00005697" w:rsidP="00005697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A53E94">
        <w:rPr>
          <w:rFonts w:ascii="Arial" w:hAnsi="Arial" w:cs="Arial"/>
          <w:b/>
          <w:lang w:val="en-US"/>
        </w:rPr>
        <w:t>Supplementa</w:t>
      </w:r>
      <w:r w:rsidR="00C70D01" w:rsidRPr="00A53E94">
        <w:rPr>
          <w:rFonts w:ascii="Arial" w:hAnsi="Arial" w:cs="Arial"/>
          <w:b/>
          <w:lang w:val="en-US"/>
        </w:rPr>
        <w:t>ry</w:t>
      </w:r>
      <w:r w:rsidRPr="00A53E94">
        <w:rPr>
          <w:rFonts w:ascii="Arial" w:hAnsi="Arial" w:cs="Arial"/>
          <w:b/>
          <w:lang w:val="en-US"/>
        </w:rPr>
        <w:t xml:space="preserve"> Reference</w:t>
      </w:r>
    </w:p>
    <w:p w14:paraId="1F9CDB33" w14:textId="44226630" w:rsidR="00005697" w:rsidRPr="00891986" w:rsidRDefault="00005697" w:rsidP="00005697">
      <w:pPr>
        <w:pStyle w:val="EndNoteBibliography"/>
        <w:ind w:left="720" w:hanging="720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en-US"/>
        </w:rPr>
        <w:t>1</w:t>
      </w:r>
      <w:r w:rsidRPr="00936C3D">
        <w:rPr>
          <w:rFonts w:ascii="Arial" w:hAnsi="Arial" w:cs="Arial"/>
          <w:noProof/>
          <w:lang w:val="en-US"/>
        </w:rPr>
        <w:t>.</w:t>
      </w:r>
      <w:r w:rsidRPr="00936C3D">
        <w:rPr>
          <w:rFonts w:ascii="Arial" w:hAnsi="Arial" w:cs="Arial"/>
          <w:noProof/>
          <w:lang w:val="en-US"/>
        </w:rPr>
        <w:tab/>
        <w:t xml:space="preserve">Xuan S, Baptista CA, Balas G, Tao W, Soares VC, Lai E. Winged helix transcription factor BF-1 is essential for the development of the cerebral hemispheres. </w:t>
      </w:r>
      <w:r w:rsidRPr="00891986">
        <w:rPr>
          <w:rFonts w:ascii="Arial" w:hAnsi="Arial" w:cs="Arial"/>
          <w:i/>
          <w:noProof/>
          <w:lang w:val="en-US"/>
        </w:rPr>
        <w:t>Neuron</w:t>
      </w:r>
      <w:r w:rsidRPr="00891986">
        <w:rPr>
          <w:rFonts w:ascii="Arial" w:hAnsi="Arial" w:cs="Arial"/>
          <w:noProof/>
          <w:lang w:val="en-US"/>
        </w:rPr>
        <w:t xml:space="preserve"> 1995; </w:t>
      </w:r>
      <w:r w:rsidRPr="00891986">
        <w:rPr>
          <w:rFonts w:ascii="Arial" w:hAnsi="Arial" w:cs="Arial"/>
          <w:b/>
          <w:noProof/>
          <w:lang w:val="en-US"/>
        </w:rPr>
        <w:t>14</w:t>
      </w:r>
      <w:r w:rsidRPr="00891986">
        <w:rPr>
          <w:rFonts w:ascii="Arial" w:hAnsi="Arial" w:cs="Arial"/>
          <w:noProof/>
          <w:lang w:val="en-US"/>
        </w:rPr>
        <w:t>(6)</w:t>
      </w:r>
      <w:r w:rsidRPr="00891986">
        <w:rPr>
          <w:rFonts w:ascii="Arial" w:hAnsi="Arial" w:cs="Arial"/>
          <w:b/>
          <w:noProof/>
          <w:lang w:val="en-US"/>
        </w:rPr>
        <w:t xml:space="preserve">: </w:t>
      </w:r>
      <w:r w:rsidRPr="00891986">
        <w:rPr>
          <w:rFonts w:ascii="Arial" w:hAnsi="Arial" w:cs="Arial"/>
          <w:noProof/>
          <w:lang w:val="en-US"/>
        </w:rPr>
        <w:t>1141-1152.</w:t>
      </w:r>
    </w:p>
    <w:p w14:paraId="23A5B4FD" w14:textId="77777777" w:rsidR="00005697" w:rsidRDefault="00005697" w:rsidP="00005697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</w:p>
    <w:p w14:paraId="1971547F" w14:textId="77777777" w:rsidR="00005697" w:rsidRDefault="00005697" w:rsidP="00005697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</w:p>
    <w:p w14:paraId="2EFF41C2" w14:textId="77777777" w:rsidR="00005697" w:rsidRPr="0012348B" w:rsidRDefault="00005697" w:rsidP="00005697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</w:p>
    <w:p w14:paraId="1CA3C05F" w14:textId="77777777" w:rsidR="00005697" w:rsidRDefault="00005697" w:rsidP="005D2123">
      <w:pPr>
        <w:spacing w:line="360" w:lineRule="auto"/>
        <w:rPr>
          <w:rFonts w:ascii="Arial" w:hAnsi="Arial" w:cs="Arial"/>
          <w:lang w:val="en-US"/>
        </w:rPr>
      </w:pPr>
    </w:p>
    <w:p w14:paraId="4566B290" w14:textId="77777777" w:rsidR="006664A4" w:rsidRPr="009602BD" w:rsidRDefault="006664A4">
      <w:pPr>
        <w:rPr>
          <w:lang w:val="en-US"/>
        </w:rPr>
      </w:pPr>
    </w:p>
    <w:sectPr w:rsidR="006664A4" w:rsidRPr="009602BD" w:rsidSect="00705EE1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C6CDD" w14:textId="77777777" w:rsidR="002C7523" w:rsidRDefault="002C7523">
      <w:r>
        <w:separator/>
      </w:r>
    </w:p>
  </w:endnote>
  <w:endnote w:type="continuationSeparator" w:id="0">
    <w:p w14:paraId="6F14C6EA" w14:textId="77777777" w:rsidR="002C7523" w:rsidRDefault="002C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ITC Symbol Std Book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720B3" w14:textId="77777777" w:rsidR="00FE6C4D" w:rsidRDefault="00152419" w:rsidP="008D0A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2E4A64" w14:textId="77777777" w:rsidR="00FE6C4D" w:rsidRDefault="002C7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D26DC" w14:textId="77777777" w:rsidR="00FE6C4D" w:rsidRPr="008D0ABC" w:rsidRDefault="00152419" w:rsidP="008D0ABC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8D0ABC">
      <w:rPr>
        <w:rStyle w:val="PageNumber"/>
        <w:rFonts w:ascii="Arial" w:hAnsi="Arial" w:cs="Arial"/>
        <w:sz w:val="20"/>
        <w:szCs w:val="20"/>
      </w:rPr>
      <w:fldChar w:fldCharType="begin"/>
    </w:r>
    <w:r w:rsidRPr="008D0ABC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8D0ABC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10</w:t>
    </w:r>
    <w:r w:rsidRPr="008D0ABC">
      <w:rPr>
        <w:rStyle w:val="PageNumber"/>
        <w:rFonts w:ascii="Arial" w:hAnsi="Arial" w:cs="Arial"/>
        <w:sz w:val="20"/>
        <w:szCs w:val="20"/>
      </w:rPr>
      <w:fldChar w:fldCharType="end"/>
    </w:r>
  </w:p>
  <w:p w14:paraId="7F48B51D" w14:textId="77777777" w:rsidR="00FE6C4D" w:rsidRDefault="002C7523" w:rsidP="008D0AB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9B08E" w14:textId="77777777" w:rsidR="002C7523" w:rsidRDefault="002C7523">
      <w:r>
        <w:separator/>
      </w:r>
    </w:p>
  </w:footnote>
  <w:footnote w:type="continuationSeparator" w:id="0">
    <w:p w14:paraId="059485EF" w14:textId="77777777" w:rsidR="002C7523" w:rsidRDefault="002C7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DC24" w14:textId="77777777" w:rsidR="00FE6C4D" w:rsidRPr="000548FF" w:rsidRDefault="002C7523" w:rsidP="008D0ABC">
    <w:pPr>
      <w:pStyle w:val="Header"/>
      <w:jc w:val="right"/>
      <w:rPr>
        <w:rFonts w:ascii="Arial" w:hAnsi="Arial" w:cs="Arial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EB6"/>
    <w:multiLevelType w:val="hybridMultilevel"/>
    <w:tmpl w:val="A326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E7465"/>
    <w:multiLevelType w:val="hybridMultilevel"/>
    <w:tmpl w:val="9E325526"/>
    <w:lvl w:ilvl="0" w:tplc="E7BCD3C4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62C7E"/>
    <w:multiLevelType w:val="hybridMultilevel"/>
    <w:tmpl w:val="9C6ECED8"/>
    <w:lvl w:ilvl="0" w:tplc="90B04738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665C5"/>
    <w:rsid w:val="00005697"/>
    <w:rsid w:val="00020841"/>
    <w:rsid w:val="00024DED"/>
    <w:rsid w:val="00040497"/>
    <w:rsid w:val="0008489E"/>
    <w:rsid w:val="000C3630"/>
    <w:rsid w:val="001523AD"/>
    <w:rsid w:val="00152419"/>
    <w:rsid w:val="00164C74"/>
    <w:rsid w:val="001724FE"/>
    <w:rsid w:val="001A1192"/>
    <w:rsid w:val="001C1AAB"/>
    <w:rsid w:val="001C6B3E"/>
    <w:rsid w:val="001F44D5"/>
    <w:rsid w:val="001F69AC"/>
    <w:rsid w:val="00241605"/>
    <w:rsid w:val="002914EE"/>
    <w:rsid w:val="00295B51"/>
    <w:rsid w:val="002A63F6"/>
    <w:rsid w:val="002C7523"/>
    <w:rsid w:val="002E2A31"/>
    <w:rsid w:val="002E405E"/>
    <w:rsid w:val="002E54A1"/>
    <w:rsid w:val="00316766"/>
    <w:rsid w:val="00323826"/>
    <w:rsid w:val="00324CDF"/>
    <w:rsid w:val="0033442E"/>
    <w:rsid w:val="0036567E"/>
    <w:rsid w:val="003665C5"/>
    <w:rsid w:val="003769C8"/>
    <w:rsid w:val="00382A8D"/>
    <w:rsid w:val="003B29E7"/>
    <w:rsid w:val="003C2852"/>
    <w:rsid w:val="003D6FEE"/>
    <w:rsid w:val="003D7023"/>
    <w:rsid w:val="003E7DA1"/>
    <w:rsid w:val="00443199"/>
    <w:rsid w:val="0044698E"/>
    <w:rsid w:val="00465C40"/>
    <w:rsid w:val="004C0706"/>
    <w:rsid w:val="00506592"/>
    <w:rsid w:val="005146C8"/>
    <w:rsid w:val="00524A41"/>
    <w:rsid w:val="005454B4"/>
    <w:rsid w:val="0057073D"/>
    <w:rsid w:val="0058092A"/>
    <w:rsid w:val="00592D87"/>
    <w:rsid w:val="00596C68"/>
    <w:rsid w:val="005A5EE6"/>
    <w:rsid w:val="005B2331"/>
    <w:rsid w:val="005D5367"/>
    <w:rsid w:val="005F67ED"/>
    <w:rsid w:val="00606A0C"/>
    <w:rsid w:val="00625594"/>
    <w:rsid w:val="00631E16"/>
    <w:rsid w:val="00641EC1"/>
    <w:rsid w:val="006664A4"/>
    <w:rsid w:val="006C1D35"/>
    <w:rsid w:val="00776233"/>
    <w:rsid w:val="00786642"/>
    <w:rsid w:val="007F0424"/>
    <w:rsid w:val="00823238"/>
    <w:rsid w:val="0085567C"/>
    <w:rsid w:val="00883905"/>
    <w:rsid w:val="00891986"/>
    <w:rsid w:val="00897190"/>
    <w:rsid w:val="008B47A2"/>
    <w:rsid w:val="008E4C3D"/>
    <w:rsid w:val="00906DAD"/>
    <w:rsid w:val="009602BD"/>
    <w:rsid w:val="00964EAA"/>
    <w:rsid w:val="00986079"/>
    <w:rsid w:val="009C021E"/>
    <w:rsid w:val="009C34E4"/>
    <w:rsid w:val="009C3EF6"/>
    <w:rsid w:val="009C794F"/>
    <w:rsid w:val="009E4AFC"/>
    <w:rsid w:val="00A53E94"/>
    <w:rsid w:val="00AA7885"/>
    <w:rsid w:val="00AC406F"/>
    <w:rsid w:val="00AD3C30"/>
    <w:rsid w:val="00AE1E7B"/>
    <w:rsid w:val="00AE5E73"/>
    <w:rsid w:val="00B555E6"/>
    <w:rsid w:val="00B851C0"/>
    <w:rsid w:val="00BD5D95"/>
    <w:rsid w:val="00BF2BFA"/>
    <w:rsid w:val="00C1066B"/>
    <w:rsid w:val="00C11157"/>
    <w:rsid w:val="00C24619"/>
    <w:rsid w:val="00C30D10"/>
    <w:rsid w:val="00C43F56"/>
    <w:rsid w:val="00C6475C"/>
    <w:rsid w:val="00C67223"/>
    <w:rsid w:val="00C70D01"/>
    <w:rsid w:val="00C75C8A"/>
    <w:rsid w:val="00CA123D"/>
    <w:rsid w:val="00CB0BA2"/>
    <w:rsid w:val="00CD5A3F"/>
    <w:rsid w:val="00D0155F"/>
    <w:rsid w:val="00D44FF3"/>
    <w:rsid w:val="00D45425"/>
    <w:rsid w:val="00D50CE7"/>
    <w:rsid w:val="00D5575A"/>
    <w:rsid w:val="00D84848"/>
    <w:rsid w:val="00D90991"/>
    <w:rsid w:val="00D928CE"/>
    <w:rsid w:val="00DD5209"/>
    <w:rsid w:val="00DE1C5A"/>
    <w:rsid w:val="00DE6B17"/>
    <w:rsid w:val="00E024D7"/>
    <w:rsid w:val="00E20600"/>
    <w:rsid w:val="00E60B3C"/>
    <w:rsid w:val="00EB2F8E"/>
    <w:rsid w:val="00EF680E"/>
    <w:rsid w:val="00F13CE2"/>
    <w:rsid w:val="00F156A9"/>
    <w:rsid w:val="00F167C5"/>
    <w:rsid w:val="00F17976"/>
    <w:rsid w:val="00F34C98"/>
    <w:rsid w:val="00F66E5A"/>
    <w:rsid w:val="00F96357"/>
    <w:rsid w:val="00FE5008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049F2E"/>
  <w15:chartTrackingRefBased/>
  <w15:docId w15:val="{272F6904-6D18-1E46-8AA6-BFE01426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C5"/>
    <w:rPr>
      <w:rFonts w:eastAsiaTheme="minorEastAsia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5C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5C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5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5C5"/>
    <w:rPr>
      <w:rFonts w:ascii="Lucida Grande" w:eastAsiaTheme="minorEastAsia" w:hAnsi="Lucida Grande" w:cs="Lucida Grande"/>
      <w:sz w:val="18"/>
      <w:szCs w:val="18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3665C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5C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65C5"/>
    <w:rPr>
      <w:rFonts w:eastAsiaTheme="minorEastAsia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5C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5C5"/>
    <w:rPr>
      <w:rFonts w:eastAsiaTheme="minorEastAsia"/>
      <w:b/>
      <w:bCs/>
      <w:sz w:val="20"/>
      <w:szCs w:val="20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3665C5"/>
    <w:rPr>
      <w:color w:val="0563C1" w:themeColor="hyperlink"/>
      <w:u w:val="single"/>
    </w:rPr>
  </w:style>
  <w:style w:type="paragraph" w:customStyle="1" w:styleId="Default">
    <w:name w:val="Default"/>
    <w:rsid w:val="003665C5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eastAsia="de-DE"/>
    </w:rPr>
  </w:style>
  <w:style w:type="character" w:customStyle="1" w:styleId="A1">
    <w:name w:val="A1"/>
    <w:uiPriority w:val="99"/>
    <w:rsid w:val="003665C5"/>
    <w:rPr>
      <w:rFonts w:ascii="ITC Symbol Std Book" w:hAnsi="ITC Symbol Std Book" w:cs="ITC Symbol Std Book"/>
      <w:color w:val="221E1F"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3665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5C5"/>
    <w:rPr>
      <w:rFonts w:eastAsiaTheme="minorEastAsia"/>
      <w:lang w:val="de-DE" w:eastAsia="de-DE"/>
    </w:rPr>
  </w:style>
  <w:style w:type="character" w:styleId="PageNumber">
    <w:name w:val="page number"/>
    <w:basedOn w:val="DefaultParagraphFont"/>
    <w:uiPriority w:val="99"/>
    <w:semiHidden/>
    <w:unhideWhenUsed/>
    <w:rsid w:val="003665C5"/>
  </w:style>
  <w:style w:type="paragraph" w:styleId="Header">
    <w:name w:val="header"/>
    <w:basedOn w:val="Normal"/>
    <w:link w:val="HeaderChar"/>
    <w:uiPriority w:val="99"/>
    <w:unhideWhenUsed/>
    <w:rsid w:val="003665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5C5"/>
    <w:rPr>
      <w:rFonts w:eastAsiaTheme="minorEastAsia"/>
      <w:lang w:val="de-DE" w:eastAsia="de-DE"/>
    </w:rPr>
  </w:style>
  <w:style w:type="paragraph" w:customStyle="1" w:styleId="EndNoteBibliographyTitle">
    <w:name w:val="EndNote Bibliography Title"/>
    <w:basedOn w:val="Normal"/>
    <w:rsid w:val="003665C5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3665C5"/>
    <w:pPr>
      <w:jc w:val="both"/>
    </w:pPr>
    <w:rPr>
      <w:rFonts w:ascii="Cambria" w:hAnsi="Cambria"/>
    </w:rPr>
  </w:style>
  <w:style w:type="character" w:customStyle="1" w:styleId="highlight">
    <w:name w:val="highlight"/>
    <w:basedOn w:val="DefaultParagraphFont"/>
    <w:rsid w:val="003665C5"/>
  </w:style>
  <w:style w:type="character" w:styleId="FollowedHyperlink">
    <w:name w:val="FollowedHyperlink"/>
    <w:basedOn w:val="DefaultParagraphFont"/>
    <w:uiPriority w:val="99"/>
    <w:semiHidden/>
    <w:unhideWhenUsed/>
    <w:rsid w:val="003665C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665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665C5"/>
  </w:style>
  <w:style w:type="paragraph" w:styleId="NormalWeb">
    <w:name w:val="Normal (Web)"/>
    <w:basedOn w:val="Normal"/>
    <w:uiPriority w:val="99"/>
    <w:semiHidden/>
    <w:unhideWhenUsed/>
    <w:rsid w:val="003665C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665C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65C5"/>
    <w:rPr>
      <w:rFonts w:eastAsiaTheme="minorEastAsia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yg99eqak</dc:creator>
  <cp:keywords/>
  <dc:description/>
  <cp:lastModifiedBy>yg99eqak</cp:lastModifiedBy>
  <cp:revision>6</cp:revision>
  <dcterms:created xsi:type="dcterms:W3CDTF">2022-02-11T09:17:00Z</dcterms:created>
  <dcterms:modified xsi:type="dcterms:W3CDTF">2022-03-18T16:22:00Z</dcterms:modified>
</cp:coreProperties>
</file>