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77FB7" w14:textId="619FBB5A" w:rsidR="00657D52" w:rsidRPr="00126B9C" w:rsidRDefault="00AA3194" w:rsidP="00AA3194">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 xml:space="preserve">Supplemental </w:t>
      </w:r>
      <w:r w:rsidR="003C17F2">
        <w:rPr>
          <w:rFonts w:ascii="Times New Roman" w:hAnsi="Times New Roman" w:cs="Times New Roman"/>
          <w:b/>
          <w:bCs/>
          <w:color w:val="000000" w:themeColor="text1"/>
          <w:sz w:val="24"/>
          <w:szCs w:val="24"/>
        </w:rPr>
        <w:t>M</w:t>
      </w:r>
      <w:r w:rsidR="009434C0">
        <w:rPr>
          <w:rFonts w:ascii="Times New Roman" w:hAnsi="Times New Roman" w:cs="Times New Roman"/>
          <w:b/>
          <w:bCs/>
          <w:color w:val="000000" w:themeColor="text1"/>
          <w:sz w:val="24"/>
          <w:szCs w:val="24"/>
        </w:rPr>
        <w:t>aterial</w:t>
      </w:r>
      <w:r w:rsidRPr="00126B9C">
        <w:rPr>
          <w:rFonts w:ascii="Times New Roman" w:hAnsi="Times New Roman" w:cs="Times New Roman"/>
          <w:b/>
          <w:bCs/>
          <w:color w:val="000000" w:themeColor="text1"/>
          <w:sz w:val="24"/>
          <w:szCs w:val="24"/>
        </w:rPr>
        <w:t xml:space="preserve">s </w:t>
      </w:r>
    </w:p>
    <w:p w14:paraId="44A0E684" w14:textId="06A6CBAE" w:rsidR="00C92444" w:rsidRPr="00126B9C" w:rsidRDefault="00C92444" w:rsidP="00C92444">
      <w:pPr>
        <w:spacing w:line="480" w:lineRule="auto"/>
        <w:rPr>
          <w:rFonts w:ascii="Times New Roman" w:eastAsia="Times New Roman" w:hAnsi="Times New Roman" w:cs="Times New Roman"/>
          <w:i/>
          <w:color w:val="000000" w:themeColor="text1"/>
          <w:sz w:val="24"/>
          <w:szCs w:val="24"/>
        </w:rPr>
      </w:pPr>
      <w:r w:rsidRPr="00126B9C">
        <w:rPr>
          <w:rFonts w:ascii="Times New Roman" w:eastAsia="Times New Roman" w:hAnsi="Times New Roman" w:cs="Times New Roman"/>
          <w:i/>
          <w:color w:val="000000" w:themeColor="text1"/>
          <w:sz w:val="24"/>
          <w:szCs w:val="24"/>
        </w:rPr>
        <w:t xml:space="preserve">Phenotyping </w:t>
      </w:r>
    </w:p>
    <w:p w14:paraId="2E38C4D9" w14:textId="5CDA59CB" w:rsidR="00D81216" w:rsidRPr="00126B9C" w:rsidRDefault="00C92444" w:rsidP="00D81216">
      <w:pPr>
        <w:spacing w:line="480" w:lineRule="auto"/>
        <w:ind w:firstLine="720"/>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 xml:space="preserve">All cohorts used in the present analysis were assessed for a lifetime diagnosis of OUD case status. </w:t>
      </w:r>
      <w:bookmarkStart w:id="0" w:name="_Hlk98174200"/>
      <w:r w:rsidRPr="00126B9C">
        <w:rPr>
          <w:rFonts w:ascii="Times New Roman" w:eastAsia="Times New Roman" w:hAnsi="Times New Roman" w:cs="Times New Roman"/>
          <w:color w:val="000000" w:themeColor="text1"/>
          <w:sz w:val="24"/>
          <w:szCs w:val="24"/>
        </w:rPr>
        <w:t xml:space="preserve">OUD case status was determined via electronic health records (EHRs) or semi-structured interviews that assessed </w:t>
      </w:r>
      <w:r w:rsidR="00916884" w:rsidRPr="00126B9C">
        <w:rPr>
          <w:rFonts w:ascii="Times New Roman" w:eastAsia="Times New Roman" w:hAnsi="Times New Roman" w:cs="Times New Roman"/>
          <w:color w:val="000000" w:themeColor="text1"/>
          <w:sz w:val="24"/>
          <w:szCs w:val="24"/>
        </w:rPr>
        <w:t xml:space="preserve">for Diagnostic and Statistical Manual of Mental Disorders, Fourth Edition (DSM-IV) </w:t>
      </w:r>
      <w:r w:rsidRPr="00126B9C">
        <w:rPr>
          <w:rFonts w:ascii="Times New Roman" w:eastAsia="Times New Roman" w:hAnsi="Times New Roman" w:cs="Times New Roman"/>
          <w:color w:val="000000" w:themeColor="text1"/>
          <w:sz w:val="24"/>
          <w:szCs w:val="24"/>
        </w:rPr>
        <w:t>OUD criteria (</w:t>
      </w:r>
      <w:r w:rsidRPr="00126B9C">
        <w:rPr>
          <w:rFonts w:ascii="Times New Roman" w:eastAsia="Times New Roman" w:hAnsi="Times New Roman" w:cs="Times New Roman"/>
          <w:b/>
          <w:bCs/>
          <w:color w:val="000000" w:themeColor="text1"/>
          <w:sz w:val="24"/>
          <w:szCs w:val="24"/>
        </w:rPr>
        <w:t>Table1</w:t>
      </w:r>
      <w:r w:rsidRPr="00126B9C">
        <w:rPr>
          <w:rFonts w:ascii="Times New Roman" w:eastAsia="Times New Roman" w:hAnsi="Times New Roman" w:cs="Times New Roman"/>
          <w:color w:val="000000" w:themeColor="text1"/>
          <w:sz w:val="24"/>
          <w:szCs w:val="24"/>
        </w:rPr>
        <w:t>)</w:t>
      </w:r>
      <w:r w:rsidR="004D0828" w:rsidRPr="00126B9C">
        <w:rPr>
          <w:rFonts w:ascii="Times New Roman" w:eastAsia="Times New Roman" w:hAnsi="Times New Roman" w:cs="Times New Roman"/>
          <w:color w:val="000000" w:themeColor="text1"/>
          <w:sz w:val="24"/>
          <w:szCs w:val="24"/>
        </w:rPr>
        <w:t>(1)</w:t>
      </w:r>
      <w:r w:rsidRPr="00126B9C">
        <w:rPr>
          <w:rFonts w:ascii="Times New Roman" w:eastAsia="Times New Roman" w:hAnsi="Times New Roman" w:cs="Times New Roman"/>
          <w:color w:val="000000" w:themeColor="text1"/>
          <w:sz w:val="24"/>
          <w:szCs w:val="24"/>
        </w:rPr>
        <w:t xml:space="preserve">. </w:t>
      </w:r>
      <w:r w:rsidR="00916884" w:rsidRPr="00126B9C">
        <w:rPr>
          <w:rFonts w:ascii="Times New Roman" w:eastAsia="Times New Roman" w:hAnsi="Times New Roman" w:cs="Times New Roman"/>
          <w:color w:val="000000" w:themeColor="text1"/>
          <w:sz w:val="24"/>
          <w:szCs w:val="24"/>
        </w:rPr>
        <w:t xml:space="preserve">The specific EHR-based International Classification of Disease (ICD) codes and DSM-based OUD criterion used for diagnosis are described for each cohort in </w:t>
      </w:r>
      <w:r w:rsidR="00916884" w:rsidRPr="00126B9C">
        <w:rPr>
          <w:rFonts w:ascii="Times New Roman" w:eastAsia="Times New Roman" w:hAnsi="Times New Roman" w:cs="Times New Roman"/>
          <w:b/>
          <w:bCs/>
          <w:color w:val="000000" w:themeColor="text1"/>
          <w:sz w:val="24"/>
          <w:szCs w:val="24"/>
        </w:rPr>
        <w:t>Supplemental Table1</w:t>
      </w:r>
      <w:r w:rsidR="00916884" w:rsidRPr="00126B9C">
        <w:rPr>
          <w:rFonts w:ascii="Times New Roman" w:eastAsia="Times New Roman" w:hAnsi="Times New Roman" w:cs="Times New Roman"/>
          <w:color w:val="000000" w:themeColor="text1"/>
          <w:sz w:val="24"/>
          <w:szCs w:val="24"/>
        </w:rPr>
        <w:t xml:space="preserve">.  </w:t>
      </w:r>
      <w:bookmarkEnd w:id="0"/>
      <w:r w:rsidRPr="00126B9C">
        <w:rPr>
          <w:rFonts w:ascii="Times New Roman" w:eastAsia="Times New Roman" w:hAnsi="Times New Roman" w:cs="Times New Roman"/>
          <w:color w:val="000000" w:themeColor="text1"/>
          <w:sz w:val="24"/>
          <w:szCs w:val="24"/>
        </w:rPr>
        <w:t xml:space="preserve">Methods to define control status varied </w:t>
      </w:r>
      <w:r w:rsidRPr="00126B9C">
        <w:rPr>
          <w:rFonts w:ascii="Times New Roman" w:eastAsia="Times New Roman" w:hAnsi="Times New Roman" w:cs="Times New Roman"/>
          <w:b/>
          <w:bCs/>
          <w:color w:val="000000" w:themeColor="text1"/>
          <w:sz w:val="24"/>
          <w:szCs w:val="24"/>
        </w:rPr>
        <w:t>(Table1).</w:t>
      </w:r>
      <w:r w:rsidRPr="00126B9C">
        <w:rPr>
          <w:rFonts w:ascii="Times New Roman" w:eastAsia="Times New Roman" w:hAnsi="Times New Roman" w:cs="Times New Roman"/>
          <w:color w:val="000000" w:themeColor="text1"/>
          <w:sz w:val="24"/>
          <w:szCs w:val="24"/>
        </w:rPr>
        <w:t xml:space="preserve"> Controls were predominately unscreened individuals with no known OUD diagnosis; from the PGC-SUD GWAS(</w:t>
      </w:r>
      <w:r w:rsidR="00C423AD" w:rsidRPr="00126B9C">
        <w:rPr>
          <w:rFonts w:ascii="Times New Roman" w:eastAsia="Times New Roman" w:hAnsi="Times New Roman" w:cs="Times New Roman"/>
          <w:color w:val="000000" w:themeColor="text1"/>
          <w:sz w:val="24"/>
          <w:szCs w:val="24"/>
        </w:rPr>
        <w:t>2</w:t>
      </w:r>
      <w:r w:rsidRPr="00126B9C">
        <w:rPr>
          <w:rFonts w:ascii="Times New Roman" w:eastAsia="Times New Roman" w:hAnsi="Times New Roman" w:cs="Times New Roman"/>
          <w:color w:val="000000" w:themeColor="text1"/>
          <w:sz w:val="24"/>
          <w:szCs w:val="24"/>
        </w:rPr>
        <w:t>) we selected the comparison with the opioid-unexposed control group.</w:t>
      </w:r>
    </w:p>
    <w:p w14:paraId="54572AD0" w14:textId="740F691D" w:rsidR="00C92444" w:rsidRPr="00126B9C" w:rsidRDefault="00C92444" w:rsidP="00AA3194">
      <w:pPr>
        <w:spacing w:line="480" w:lineRule="auto"/>
        <w:rPr>
          <w:rFonts w:ascii="Times New Roman" w:hAnsi="Times New Roman" w:cs="Times New Roman"/>
          <w:i/>
          <w:iCs/>
          <w:color w:val="000000" w:themeColor="text1"/>
          <w:sz w:val="24"/>
          <w:szCs w:val="24"/>
        </w:rPr>
      </w:pPr>
      <w:r w:rsidRPr="00126B9C">
        <w:rPr>
          <w:rFonts w:ascii="Times New Roman" w:hAnsi="Times New Roman" w:cs="Times New Roman"/>
          <w:i/>
          <w:iCs/>
          <w:color w:val="000000" w:themeColor="text1"/>
          <w:sz w:val="24"/>
          <w:szCs w:val="24"/>
        </w:rPr>
        <w:t>Previously unpublished GWAS cohorts</w:t>
      </w:r>
    </w:p>
    <w:p w14:paraId="6ACB790D" w14:textId="5B7B7DF6" w:rsidR="00AA3194" w:rsidRPr="00126B9C" w:rsidRDefault="00AA3194" w:rsidP="008937C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Previously unpublished genome-wide association studies (GWAS) of opioid use disorder (OUD) from BioVU (</w:t>
      </w:r>
      <w:r w:rsidR="00C423AD" w:rsidRPr="00126B9C">
        <w:rPr>
          <w:rFonts w:ascii="Times New Roman" w:hAnsi="Times New Roman" w:cs="Times New Roman"/>
          <w:color w:val="000000" w:themeColor="text1"/>
          <w:sz w:val="24"/>
          <w:szCs w:val="24"/>
        </w:rPr>
        <w:t>3</w:t>
      </w:r>
      <w:r w:rsidRPr="00126B9C">
        <w:rPr>
          <w:rFonts w:ascii="Times New Roman" w:hAnsi="Times New Roman" w:cs="Times New Roman"/>
          <w:color w:val="000000" w:themeColor="text1"/>
          <w:sz w:val="24"/>
          <w:szCs w:val="24"/>
        </w:rPr>
        <w:t>), iPSYCH (</w:t>
      </w:r>
      <w:r w:rsidR="00C423AD" w:rsidRPr="00126B9C">
        <w:rPr>
          <w:rFonts w:ascii="Times New Roman" w:hAnsi="Times New Roman" w:cs="Times New Roman"/>
          <w:color w:val="000000" w:themeColor="text1"/>
          <w:sz w:val="24"/>
          <w:szCs w:val="24"/>
        </w:rPr>
        <w:t>4</w:t>
      </w:r>
      <w:r w:rsidRPr="00126B9C">
        <w:rPr>
          <w:rFonts w:ascii="Times New Roman" w:hAnsi="Times New Roman" w:cs="Times New Roman"/>
          <w:color w:val="000000" w:themeColor="text1"/>
          <w:sz w:val="24"/>
          <w:szCs w:val="24"/>
        </w:rPr>
        <w:t>), and Yale-Penn</w:t>
      </w:r>
      <w:r w:rsidR="00054515"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5</w:t>
      </w:r>
      <w:r w:rsidR="00054515"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6</w:t>
      </w:r>
      <w:r w:rsidR="00054515" w:rsidRPr="00126B9C">
        <w:rPr>
          <w:rFonts w:ascii="Times New Roman" w:hAnsi="Times New Roman" w:cs="Times New Roman"/>
          <w:color w:val="000000" w:themeColor="text1"/>
          <w:sz w:val="24"/>
          <w:szCs w:val="24"/>
        </w:rPr>
        <w:t>) (Yale-Penn 3</w:t>
      </w:r>
      <w:r w:rsidR="003F1F1D" w:rsidRPr="00126B9C">
        <w:rPr>
          <w:rFonts w:ascii="Times New Roman" w:hAnsi="Times New Roman" w:cs="Times New Roman"/>
          <w:color w:val="000000" w:themeColor="text1"/>
          <w:sz w:val="24"/>
          <w:szCs w:val="24"/>
        </w:rPr>
        <w:t>; results from Yale-Penn 1 and 2 were published previously</w:t>
      </w:r>
      <w:r w:rsidR="00054515" w:rsidRPr="00126B9C">
        <w:rPr>
          <w:rFonts w:ascii="Times New Roman" w:hAnsi="Times New Roman" w:cs="Times New Roman"/>
          <w:color w:val="000000" w:themeColor="text1"/>
          <w:sz w:val="24"/>
          <w:szCs w:val="24"/>
        </w:rPr>
        <w:t xml:space="preserve">) </w:t>
      </w:r>
      <w:r w:rsidRPr="00126B9C">
        <w:rPr>
          <w:rFonts w:ascii="Times New Roman" w:hAnsi="Times New Roman" w:cs="Times New Roman"/>
          <w:color w:val="000000" w:themeColor="text1"/>
          <w:sz w:val="24"/>
          <w:szCs w:val="24"/>
        </w:rPr>
        <w:t xml:space="preserve">were included in the present OUD meta-analysis. Study descriptions are provided below. </w:t>
      </w:r>
    </w:p>
    <w:p w14:paraId="1AEFE54E" w14:textId="77777777" w:rsidR="00AA3194" w:rsidRPr="00126B9C" w:rsidRDefault="00AA3194" w:rsidP="00AA3194">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BioVU OUD GWAS</w:t>
      </w:r>
    </w:p>
    <w:p w14:paraId="53E1928F" w14:textId="2B9C241B" w:rsidR="00A85CDC" w:rsidRPr="00126B9C" w:rsidRDefault="00AA3194" w:rsidP="00AA3194">
      <w:pPr>
        <w:spacing w:line="480" w:lineRule="auto"/>
        <w:rPr>
          <w:rFonts w:ascii="Times New Roman" w:hAnsi="Times New Roman" w:cs="Times New Roman"/>
          <w:color w:val="000000" w:themeColor="text1"/>
          <w:sz w:val="24"/>
          <w:szCs w:val="24"/>
        </w:rPr>
      </w:pPr>
      <w:r w:rsidRPr="00126B9C">
        <w:rPr>
          <w:rFonts w:ascii="Times New Roman" w:hAnsi="Times New Roman" w:cs="Times New Roman"/>
          <w:i/>
          <w:iCs/>
          <w:color w:val="000000" w:themeColor="text1"/>
          <w:sz w:val="24"/>
          <w:szCs w:val="24"/>
        </w:rPr>
        <w:tab/>
      </w:r>
      <w:r w:rsidR="008937C5" w:rsidRPr="00126B9C">
        <w:rPr>
          <w:rFonts w:ascii="Times New Roman" w:hAnsi="Times New Roman" w:cs="Times New Roman"/>
          <w:b/>
          <w:bCs/>
          <w:color w:val="000000" w:themeColor="text1"/>
          <w:sz w:val="24"/>
          <w:szCs w:val="24"/>
        </w:rPr>
        <w:t> </w:t>
      </w:r>
      <w:r w:rsidR="008937C5" w:rsidRPr="00126B9C">
        <w:rPr>
          <w:rFonts w:ascii="Times New Roman" w:hAnsi="Times New Roman" w:cs="Times New Roman"/>
          <w:color w:val="000000" w:themeColor="text1"/>
          <w:sz w:val="24"/>
          <w:szCs w:val="24"/>
        </w:rPr>
        <w:t xml:space="preserve">We used de-identified clinical data from Vanderbilt University Medical Center’s biobank, BioVU. </w:t>
      </w:r>
      <w:bookmarkStart w:id="1" w:name="_Hlk89431011"/>
      <w:r w:rsidR="008937C5" w:rsidRPr="00126B9C">
        <w:rPr>
          <w:rFonts w:ascii="Times New Roman" w:hAnsi="Times New Roman" w:cs="Times New Roman"/>
          <w:color w:val="000000" w:themeColor="text1"/>
          <w:sz w:val="24"/>
          <w:szCs w:val="24"/>
        </w:rPr>
        <w:t xml:space="preserve">We </w:t>
      </w:r>
      <w:r w:rsidR="00F22B10" w:rsidRPr="00126B9C">
        <w:rPr>
          <w:rFonts w:ascii="Times New Roman" w:hAnsi="Times New Roman" w:cs="Times New Roman"/>
          <w:color w:val="000000" w:themeColor="text1"/>
          <w:sz w:val="24"/>
          <w:szCs w:val="24"/>
        </w:rPr>
        <w:t>included</w:t>
      </w:r>
      <w:r w:rsidR="008937C5" w:rsidRPr="00126B9C">
        <w:rPr>
          <w:rFonts w:ascii="Times New Roman" w:hAnsi="Times New Roman" w:cs="Times New Roman"/>
          <w:color w:val="000000" w:themeColor="text1"/>
          <w:sz w:val="24"/>
          <w:szCs w:val="24"/>
        </w:rPr>
        <w:t xml:space="preserve"> </w:t>
      </w:r>
      <w:r w:rsidR="00574706" w:rsidRPr="00126B9C">
        <w:rPr>
          <w:rFonts w:ascii="Times New Roman" w:hAnsi="Times New Roman" w:cs="Times New Roman"/>
          <w:color w:val="000000" w:themeColor="text1"/>
          <w:sz w:val="24"/>
          <w:szCs w:val="24"/>
        </w:rPr>
        <w:t>4</w:t>
      </w:r>
      <w:r w:rsidR="008937C5" w:rsidRPr="00126B9C">
        <w:rPr>
          <w:rFonts w:ascii="Times New Roman" w:hAnsi="Times New Roman" w:cs="Times New Roman"/>
          <w:color w:val="000000" w:themeColor="text1"/>
          <w:sz w:val="24"/>
          <w:szCs w:val="24"/>
        </w:rPr>
        <w:t xml:space="preserve">,665 individuals (933 OUD cases and 3,732 controls). </w:t>
      </w:r>
      <w:bookmarkEnd w:id="1"/>
      <w:r w:rsidR="008937C5" w:rsidRPr="00126B9C">
        <w:rPr>
          <w:rFonts w:ascii="Times New Roman" w:hAnsi="Times New Roman" w:cs="Times New Roman"/>
          <w:color w:val="000000" w:themeColor="text1"/>
          <w:sz w:val="24"/>
          <w:szCs w:val="24"/>
        </w:rPr>
        <w:t xml:space="preserve">Controls were matched on a 1:4 ratio based on sex, race, ethnicity, median age of the longitudinal EHR measurements, and density of records (number of ICD codes and length of record). OUD status was defined as having at least one OUD ICD code. </w:t>
      </w:r>
      <w:r w:rsidR="00594EAD" w:rsidRPr="00126B9C">
        <w:rPr>
          <w:rFonts w:ascii="Times New Roman" w:hAnsi="Times New Roman" w:cs="Times New Roman"/>
          <w:color w:val="000000" w:themeColor="text1"/>
          <w:sz w:val="24"/>
          <w:szCs w:val="24"/>
        </w:rPr>
        <w:t xml:space="preserve">OUD controls were defined as anyone </w:t>
      </w:r>
      <w:r w:rsidR="00594EAD" w:rsidRPr="00126B9C">
        <w:rPr>
          <w:rFonts w:ascii="Times New Roman" w:hAnsi="Times New Roman" w:cs="Times New Roman"/>
          <w:color w:val="000000" w:themeColor="text1"/>
          <w:sz w:val="24"/>
          <w:szCs w:val="24"/>
        </w:rPr>
        <w:lastRenderedPageBreak/>
        <w:t xml:space="preserve">without an OUD ICD code. </w:t>
      </w:r>
      <w:r w:rsidR="008937C5" w:rsidRPr="00126B9C">
        <w:rPr>
          <w:rFonts w:ascii="Times New Roman" w:hAnsi="Times New Roman" w:cs="Times New Roman"/>
          <w:color w:val="000000" w:themeColor="text1"/>
          <w:sz w:val="24"/>
          <w:szCs w:val="24"/>
        </w:rPr>
        <w:t>Details on the quality control process have been described elsewhere(</w:t>
      </w:r>
      <w:r w:rsidR="00C423AD" w:rsidRPr="00126B9C">
        <w:rPr>
          <w:rFonts w:ascii="Times New Roman" w:hAnsi="Times New Roman" w:cs="Times New Roman"/>
          <w:color w:val="000000" w:themeColor="text1"/>
          <w:sz w:val="24"/>
          <w:szCs w:val="24"/>
        </w:rPr>
        <w:t>7</w:t>
      </w:r>
      <w:r w:rsidR="008937C5" w:rsidRPr="00126B9C">
        <w:rPr>
          <w:rFonts w:ascii="Times New Roman" w:hAnsi="Times New Roman" w:cs="Times New Roman"/>
          <w:color w:val="000000" w:themeColor="text1"/>
          <w:sz w:val="24"/>
          <w:szCs w:val="24"/>
        </w:rPr>
        <w:t xml:space="preserve">). </w:t>
      </w:r>
    </w:p>
    <w:p w14:paraId="003CA54D" w14:textId="7D8BAC27" w:rsidR="00AA3194" w:rsidRPr="00126B9C" w:rsidRDefault="008937C5" w:rsidP="00A85CDC">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Genotype data w</w:t>
      </w:r>
      <w:r w:rsidR="00F22B10" w:rsidRPr="00126B9C">
        <w:rPr>
          <w:rFonts w:ascii="Times New Roman" w:hAnsi="Times New Roman" w:cs="Times New Roman"/>
          <w:color w:val="000000" w:themeColor="text1"/>
          <w:sz w:val="24"/>
          <w:szCs w:val="24"/>
        </w:rPr>
        <w:t>ere</w:t>
      </w:r>
      <w:r w:rsidRPr="00126B9C">
        <w:rPr>
          <w:rFonts w:ascii="Times New Roman" w:hAnsi="Times New Roman" w:cs="Times New Roman"/>
          <w:color w:val="000000" w:themeColor="text1"/>
          <w:sz w:val="24"/>
          <w:szCs w:val="24"/>
        </w:rPr>
        <w:t xml:space="preserve"> generated using the Illumina Multi-Ethnic Genotype Array (MEGAEX) for 94,474 individuals. Genotypes were filtered for SNP</w:t>
      </w:r>
      <w:r w:rsidRPr="002B77FF">
        <w:rPr>
          <w:rFonts w:ascii="Times New Roman" w:hAnsi="Times New Roman" w:cs="Times New Roman"/>
          <w:sz w:val="24"/>
          <w:szCs w:val="24"/>
        </w:rPr>
        <w:t>(&lt;0.95) and individual (&lt;0.98) call rates, sex discrepancies, and excessive heterozygosity(|Fhet|&gt;0</w:t>
      </w:r>
      <w:r w:rsidRPr="00126B9C">
        <w:rPr>
          <w:rFonts w:ascii="Times New Roman" w:hAnsi="Times New Roman" w:cs="Times New Roman"/>
          <w:color w:val="000000" w:themeColor="text1"/>
          <w:sz w:val="24"/>
          <w:szCs w:val="24"/>
        </w:rPr>
        <w:t>.2)(</w:t>
      </w:r>
      <w:r w:rsidR="00C423AD" w:rsidRPr="00126B9C">
        <w:rPr>
          <w:rFonts w:ascii="Times New Roman" w:hAnsi="Times New Roman" w:cs="Times New Roman"/>
          <w:color w:val="000000" w:themeColor="text1"/>
          <w:sz w:val="24"/>
          <w:szCs w:val="24"/>
        </w:rPr>
        <w:t>8</w:t>
      </w:r>
      <w:r w:rsidR="00504D83" w:rsidRPr="00126B9C">
        <w:rPr>
          <w:rFonts w:ascii="Times New Roman" w:hAnsi="Times New Roman" w:cs="Times New Roman"/>
          <w:color w:val="000000" w:themeColor="text1"/>
          <w:sz w:val="24"/>
          <w:szCs w:val="24"/>
        </w:rPr>
        <w:t xml:space="preserve">). </w:t>
      </w:r>
      <w:r w:rsidRPr="00126B9C">
        <w:rPr>
          <w:rFonts w:ascii="Times New Roman" w:hAnsi="Times New Roman" w:cs="Times New Roman"/>
          <w:color w:val="000000" w:themeColor="text1"/>
          <w:sz w:val="24"/>
          <w:szCs w:val="24"/>
        </w:rPr>
        <w:t>The sample was then filtered for cryptic relatedness by removing one individual of each pair for which pihat&gt;0.2. PCA using FlashPCA2 combined with CEU, YRI and CHB reference sets from 1000 Genomes Project Phase 3(</w:t>
      </w:r>
      <w:r w:rsidR="00C423AD" w:rsidRPr="00126B9C">
        <w:rPr>
          <w:rFonts w:ascii="Times New Roman" w:hAnsi="Times New Roman" w:cs="Times New Roman"/>
          <w:color w:val="000000" w:themeColor="text1"/>
          <w:sz w:val="24"/>
          <w:szCs w:val="24"/>
        </w:rPr>
        <w:t>9</w:t>
      </w:r>
      <w:r w:rsidRPr="00126B9C">
        <w:rPr>
          <w:rFonts w:ascii="Times New Roman" w:hAnsi="Times New Roman" w:cs="Times New Roman"/>
          <w:color w:val="000000" w:themeColor="text1"/>
          <w:sz w:val="24"/>
          <w:szCs w:val="24"/>
        </w:rPr>
        <w:t xml:space="preserve">) was conducted to determine European Ancestry. We confirmed the absence of genotyping batch effects using ‘batch’ as the phenotype. We used the Michigan Imputation Server with the reference panel from the Haplotype Reference Consortium. SNPs were filtered for imputation quality (R2 &gt; 0.3 or INFO &gt; 0.95) and converted to hard calls. We restricted to autosomal SNPs with minor allele frequency </w:t>
      </w:r>
      <w:r w:rsidR="00F22B10" w:rsidRPr="00126B9C">
        <w:rPr>
          <w:rFonts w:ascii="Times New Roman" w:hAnsi="Times New Roman" w:cs="Times New Roman"/>
          <w:color w:val="000000" w:themeColor="text1"/>
          <w:sz w:val="24"/>
          <w:szCs w:val="24"/>
        </w:rPr>
        <w:t>&gt;</w:t>
      </w:r>
      <w:r w:rsidRPr="00126B9C">
        <w:rPr>
          <w:rFonts w:ascii="Times New Roman" w:hAnsi="Times New Roman" w:cs="Times New Roman"/>
          <w:color w:val="000000" w:themeColor="text1"/>
          <w:sz w:val="24"/>
          <w:szCs w:val="24"/>
        </w:rPr>
        <w:t xml:space="preserve">0.01. We removed SNPs that differed by </w:t>
      </w:r>
      <w:r w:rsidR="00F22B10" w:rsidRPr="00126B9C">
        <w:rPr>
          <w:rFonts w:ascii="Times New Roman" w:hAnsi="Times New Roman" w:cs="Times New Roman"/>
          <w:color w:val="000000" w:themeColor="text1"/>
          <w:sz w:val="24"/>
          <w:szCs w:val="24"/>
        </w:rPr>
        <w:t>&gt;</w:t>
      </w:r>
      <w:r w:rsidRPr="00126B9C">
        <w:rPr>
          <w:rFonts w:ascii="Times New Roman" w:hAnsi="Times New Roman" w:cs="Times New Roman"/>
          <w:color w:val="000000" w:themeColor="text1"/>
          <w:sz w:val="24"/>
          <w:szCs w:val="24"/>
        </w:rPr>
        <w:t>10% from the 1000 Genomes Project phase 3 CEU set</w:t>
      </w:r>
      <w:r w:rsidR="00B540FC"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9</w:t>
      </w:r>
      <w:r w:rsidR="00B540FC" w:rsidRPr="00126B9C">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and those with a Hardy Weinberg Equilibrium </w:t>
      </w:r>
      <w:r w:rsidRPr="00126B9C">
        <w:rPr>
          <w:rFonts w:ascii="Times New Roman" w:hAnsi="Times New Roman" w:cs="Times New Roman"/>
          <w:i/>
          <w:iCs/>
          <w:color w:val="000000" w:themeColor="text1"/>
          <w:sz w:val="24"/>
          <w:szCs w:val="24"/>
        </w:rPr>
        <w:t>p</w:t>
      </w:r>
      <w:r w:rsidRPr="00126B9C">
        <w:rPr>
          <w:rFonts w:ascii="Times New Roman" w:hAnsi="Times New Roman" w:cs="Times New Roman"/>
          <w:color w:val="000000" w:themeColor="text1"/>
          <w:sz w:val="24"/>
          <w:szCs w:val="24"/>
        </w:rPr>
        <w:t>&lt;10</w:t>
      </w:r>
      <w:r w:rsidRPr="00126B9C">
        <w:rPr>
          <w:rFonts w:ascii="Times New Roman" w:hAnsi="Times New Roman" w:cs="Times New Roman"/>
          <w:color w:val="000000" w:themeColor="text1"/>
          <w:sz w:val="24"/>
          <w:szCs w:val="24"/>
          <w:vertAlign w:val="superscript"/>
        </w:rPr>
        <w:t>-10</w:t>
      </w:r>
      <w:r w:rsidRPr="00126B9C">
        <w:rPr>
          <w:rFonts w:ascii="Times New Roman" w:hAnsi="Times New Roman" w:cs="Times New Roman"/>
          <w:color w:val="000000" w:themeColor="text1"/>
          <w:sz w:val="24"/>
          <w:szCs w:val="24"/>
        </w:rPr>
        <w:t>. The resulting data set contained hard-called SNP information for 9,386,383 SNPs in 72,828 individuals of European Ancestry. GWAS analyses were performed using SAIGE version 0.42.1</w:t>
      </w:r>
      <w:r w:rsidR="00FA5151"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10</w:t>
      </w:r>
      <w:r w:rsidR="00FA5151" w:rsidRPr="00126B9C">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and including the top 10 genetic PCs as fixed effect covariates. The project was approved by the VUMC Institutional Review Board (IRB #160302, #172020, #190418).</w:t>
      </w:r>
    </w:p>
    <w:p w14:paraId="319E24C9" w14:textId="77777777" w:rsidR="00AA3194" w:rsidRPr="00126B9C" w:rsidRDefault="00AA3194" w:rsidP="00AA3194">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 xml:space="preserve">iPSYCH OUD GWAS </w:t>
      </w:r>
    </w:p>
    <w:p w14:paraId="1AF5F423" w14:textId="28E24670" w:rsidR="00AA3194" w:rsidRPr="00126B9C" w:rsidRDefault="00AA3194" w:rsidP="008937C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b/>
          <w:bCs/>
          <w:color w:val="000000" w:themeColor="text1"/>
          <w:sz w:val="24"/>
          <w:szCs w:val="24"/>
        </w:rPr>
        <w:t>Case and control definition.</w:t>
      </w:r>
      <w:r w:rsidRPr="00126B9C">
        <w:rPr>
          <w:rFonts w:ascii="Times New Roman" w:hAnsi="Times New Roman" w:cs="Times New Roman"/>
          <w:color w:val="000000" w:themeColor="text1"/>
          <w:sz w:val="24"/>
          <w:szCs w:val="24"/>
        </w:rPr>
        <w:t xml:space="preserve"> Those with any of the ICD diagnoses for opioid related disorders (F11.1–F11.9) registered in the Danish hospital registers were considered as cases. The registers were followed up until Dec 2016. The controls were individuals from the iPSYCH cohort without any of the opioid related ICD diagnoses and aged at least 25 years by the end of </w:t>
      </w:r>
      <w:r w:rsidRPr="00126B9C">
        <w:rPr>
          <w:rFonts w:ascii="Times New Roman" w:hAnsi="Times New Roman" w:cs="Times New Roman"/>
          <w:color w:val="000000" w:themeColor="text1"/>
          <w:sz w:val="24"/>
          <w:szCs w:val="24"/>
        </w:rPr>
        <w:lastRenderedPageBreak/>
        <w:t xml:space="preserve">register follow up. </w:t>
      </w:r>
      <w:r w:rsidR="00F22B10" w:rsidRPr="00126B9C">
        <w:rPr>
          <w:rFonts w:ascii="Times New Roman" w:hAnsi="Times New Roman" w:cs="Times New Roman"/>
          <w:color w:val="000000" w:themeColor="text1"/>
          <w:sz w:val="24"/>
          <w:szCs w:val="24"/>
        </w:rPr>
        <w:t>I</w:t>
      </w:r>
      <w:r w:rsidRPr="00126B9C">
        <w:rPr>
          <w:rFonts w:ascii="Times New Roman" w:hAnsi="Times New Roman" w:cs="Times New Roman"/>
          <w:color w:val="000000" w:themeColor="text1"/>
          <w:sz w:val="24"/>
          <w:szCs w:val="24"/>
        </w:rPr>
        <w:t>ndividuals with and without psychiatric disorders were included in the controls. Comorbidity with psychiatric diagnoses w</w:t>
      </w:r>
      <w:r w:rsidR="00F22B10" w:rsidRPr="00126B9C">
        <w:rPr>
          <w:rFonts w:ascii="Times New Roman" w:hAnsi="Times New Roman" w:cs="Times New Roman"/>
          <w:color w:val="000000" w:themeColor="text1"/>
          <w:sz w:val="24"/>
          <w:szCs w:val="24"/>
        </w:rPr>
        <w:t>as</w:t>
      </w:r>
      <w:r w:rsidRPr="00126B9C">
        <w:rPr>
          <w:rFonts w:ascii="Times New Roman" w:hAnsi="Times New Roman" w:cs="Times New Roman"/>
          <w:color w:val="000000" w:themeColor="text1"/>
          <w:sz w:val="24"/>
          <w:szCs w:val="24"/>
        </w:rPr>
        <w:t xml:space="preserve"> accounted for by including psychiatric diagnosis status for each of the disorders as binary covariates in the GWAS.</w:t>
      </w:r>
    </w:p>
    <w:p w14:paraId="68A39EA8" w14:textId="3389408F" w:rsidR="00AA3194" w:rsidRPr="00126B9C" w:rsidRDefault="00AA3194" w:rsidP="008937C5">
      <w:pPr>
        <w:spacing w:line="480" w:lineRule="auto"/>
        <w:ind w:firstLine="720"/>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 xml:space="preserve">Exclusion of related and non-European individuals. </w:t>
      </w:r>
      <w:r w:rsidRPr="00126B9C">
        <w:rPr>
          <w:rFonts w:ascii="Times New Roman" w:hAnsi="Times New Roman" w:cs="Times New Roman"/>
          <w:color w:val="000000" w:themeColor="text1"/>
          <w:sz w:val="24"/>
          <w:szCs w:val="24"/>
        </w:rPr>
        <w:t xml:space="preserve">After identifying individuals in the register with and without opioid related disorders, we excluded those who were not successfully genotyped, who were related and who were non-Europeans. The number of individuals removed at each step is shown in </w:t>
      </w:r>
      <w:r w:rsidRPr="00126B9C">
        <w:rPr>
          <w:rFonts w:ascii="Times New Roman" w:hAnsi="Times New Roman" w:cs="Times New Roman"/>
          <w:b/>
          <w:bCs/>
          <w:color w:val="000000" w:themeColor="text1"/>
          <w:sz w:val="24"/>
          <w:szCs w:val="24"/>
        </w:rPr>
        <w:t>Fig</w:t>
      </w:r>
      <w:r w:rsidR="00D15583" w:rsidRPr="00126B9C">
        <w:rPr>
          <w:rFonts w:ascii="Times New Roman" w:hAnsi="Times New Roman" w:cs="Times New Roman"/>
          <w:b/>
          <w:bCs/>
          <w:color w:val="000000" w:themeColor="text1"/>
          <w:sz w:val="24"/>
          <w:szCs w:val="24"/>
        </w:rPr>
        <w:t>ure</w:t>
      </w:r>
      <w:r w:rsidRPr="00126B9C">
        <w:rPr>
          <w:rFonts w:ascii="Times New Roman" w:hAnsi="Times New Roman" w:cs="Times New Roman"/>
          <w:b/>
          <w:bCs/>
          <w:color w:val="000000" w:themeColor="text1"/>
          <w:sz w:val="24"/>
          <w:szCs w:val="24"/>
        </w:rPr>
        <w:t>1</w:t>
      </w:r>
      <w:r w:rsidRPr="00126B9C">
        <w:rPr>
          <w:rFonts w:ascii="Times New Roman" w:hAnsi="Times New Roman" w:cs="Times New Roman"/>
          <w:color w:val="000000" w:themeColor="text1"/>
          <w:sz w:val="24"/>
          <w:szCs w:val="24"/>
        </w:rPr>
        <w:t>.  Analytical details on the removal of related individuals and non-Europeans can be found in</w:t>
      </w:r>
      <w:r w:rsidR="002929A5" w:rsidRPr="00126B9C">
        <w:rPr>
          <w:rFonts w:ascii="Times New Roman" w:hAnsi="Times New Roman" w:cs="Times New Roman"/>
          <w:color w:val="000000" w:themeColor="text1"/>
          <w:sz w:val="24"/>
          <w:szCs w:val="24"/>
        </w:rPr>
        <w:t xml:space="preserve"> Pedersen et al.(</w:t>
      </w:r>
      <w:r w:rsidR="00C423AD" w:rsidRPr="00126B9C">
        <w:rPr>
          <w:rFonts w:ascii="Times New Roman" w:hAnsi="Times New Roman" w:cs="Times New Roman"/>
          <w:color w:val="000000" w:themeColor="text1"/>
          <w:sz w:val="24"/>
          <w:szCs w:val="24"/>
        </w:rPr>
        <w:t>4</w:t>
      </w:r>
      <w:r w:rsidR="002929A5" w:rsidRPr="00126B9C">
        <w:rPr>
          <w:rFonts w:ascii="Times New Roman" w:hAnsi="Times New Roman" w:cs="Times New Roman"/>
          <w:color w:val="000000" w:themeColor="text1"/>
          <w:sz w:val="24"/>
          <w:szCs w:val="24"/>
        </w:rPr>
        <w:t>)</w:t>
      </w:r>
      <w:r w:rsidR="00F22B10" w:rsidRPr="00126B9C">
        <w:rPr>
          <w:rFonts w:ascii="Times New Roman" w:hAnsi="Times New Roman" w:cs="Times New Roman"/>
          <w:color w:val="000000" w:themeColor="text1"/>
          <w:sz w:val="24"/>
          <w:szCs w:val="24"/>
        </w:rPr>
        <w:t>.</w:t>
      </w:r>
    </w:p>
    <w:p w14:paraId="680A78DB" w14:textId="1F5D2866" w:rsidR="00AA3194" w:rsidRPr="00126B9C" w:rsidRDefault="00AA3194" w:rsidP="008937C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b/>
          <w:bCs/>
          <w:color w:val="000000" w:themeColor="text1"/>
          <w:sz w:val="24"/>
          <w:szCs w:val="24"/>
        </w:rPr>
        <w:t xml:space="preserve">Down-sampling of controls. </w:t>
      </w:r>
      <w:r w:rsidRPr="00126B9C">
        <w:rPr>
          <w:rFonts w:ascii="Times New Roman" w:hAnsi="Times New Roman" w:cs="Times New Roman"/>
          <w:color w:val="000000" w:themeColor="text1"/>
          <w:sz w:val="24"/>
          <w:szCs w:val="24"/>
        </w:rPr>
        <w:t>Since including everyone in the iPSYCH cohort without opioid related disorders as controls w</w:t>
      </w:r>
      <w:r w:rsidR="00F22B10" w:rsidRPr="00126B9C">
        <w:rPr>
          <w:rFonts w:ascii="Times New Roman" w:hAnsi="Times New Roman" w:cs="Times New Roman"/>
          <w:color w:val="000000" w:themeColor="text1"/>
          <w:sz w:val="24"/>
          <w:szCs w:val="24"/>
        </w:rPr>
        <w:t>ould</w:t>
      </w:r>
      <w:r w:rsidRPr="00126B9C">
        <w:rPr>
          <w:rFonts w:ascii="Times New Roman" w:hAnsi="Times New Roman" w:cs="Times New Roman"/>
          <w:color w:val="000000" w:themeColor="text1"/>
          <w:sz w:val="24"/>
          <w:szCs w:val="24"/>
        </w:rPr>
        <w:t xml:space="preserve"> result in </w:t>
      </w:r>
      <w:r w:rsidR="00F22B10" w:rsidRPr="00126B9C">
        <w:rPr>
          <w:rFonts w:ascii="Times New Roman" w:hAnsi="Times New Roman" w:cs="Times New Roman"/>
          <w:color w:val="000000" w:themeColor="text1"/>
          <w:sz w:val="24"/>
          <w:szCs w:val="24"/>
        </w:rPr>
        <w:t xml:space="preserve">and </w:t>
      </w:r>
      <w:r w:rsidRPr="00126B9C">
        <w:rPr>
          <w:rFonts w:ascii="Times New Roman" w:hAnsi="Times New Roman" w:cs="Times New Roman"/>
          <w:color w:val="000000" w:themeColor="text1"/>
          <w:sz w:val="24"/>
          <w:szCs w:val="24"/>
        </w:rPr>
        <w:t xml:space="preserve">extreme case control ratio, we down sampled the controls to have approximately 10 times the number of cases. </w:t>
      </w:r>
      <w:r w:rsidR="00F22B10" w:rsidRPr="00126B9C">
        <w:rPr>
          <w:rFonts w:ascii="Times New Roman" w:hAnsi="Times New Roman" w:cs="Times New Roman"/>
          <w:color w:val="000000" w:themeColor="text1"/>
          <w:sz w:val="24"/>
          <w:szCs w:val="24"/>
        </w:rPr>
        <w:t>In total,</w:t>
      </w:r>
      <w:r w:rsidRPr="00126B9C">
        <w:rPr>
          <w:rFonts w:ascii="Times New Roman" w:hAnsi="Times New Roman" w:cs="Times New Roman"/>
          <w:color w:val="000000" w:themeColor="text1"/>
          <w:sz w:val="24"/>
          <w:szCs w:val="24"/>
        </w:rPr>
        <w:t xml:space="preserve"> we included 379 cases and 5221 controls in the GWAS. The down-sampling was performed separately for each of the comorbidity groups in order to maintain</w:t>
      </w:r>
      <w:r w:rsidR="00F22B10" w:rsidRPr="00126B9C">
        <w:rPr>
          <w:rFonts w:ascii="Times New Roman" w:hAnsi="Times New Roman" w:cs="Times New Roman"/>
          <w:color w:val="000000" w:themeColor="text1"/>
          <w:sz w:val="24"/>
          <w:szCs w:val="24"/>
        </w:rPr>
        <w:t xml:space="preserve"> a similar</w:t>
      </w:r>
      <w:r w:rsidRPr="00126B9C">
        <w:rPr>
          <w:rFonts w:ascii="Times New Roman" w:hAnsi="Times New Roman" w:cs="Times New Roman"/>
          <w:color w:val="000000" w:themeColor="text1"/>
          <w:sz w:val="24"/>
          <w:szCs w:val="24"/>
        </w:rPr>
        <w:t xml:space="preserve"> proportion of individuals with other psychiatric disorders between cases and controls. The sample sizes split by comorbid diagnoses are shown in </w:t>
      </w:r>
      <w:r w:rsidRPr="00126B9C">
        <w:rPr>
          <w:rFonts w:ascii="Times New Roman" w:hAnsi="Times New Roman" w:cs="Times New Roman"/>
          <w:b/>
          <w:bCs/>
          <w:color w:val="000000" w:themeColor="text1"/>
          <w:sz w:val="24"/>
          <w:szCs w:val="24"/>
        </w:rPr>
        <w:t>Table</w:t>
      </w:r>
      <w:r w:rsidR="001F3140">
        <w:rPr>
          <w:rFonts w:ascii="Times New Roman" w:hAnsi="Times New Roman" w:cs="Times New Roman"/>
          <w:b/>
          <w:bCs/>
          <w:color w:val="000000" w:themeColor="text1"/>
          <w:sz w:val="24"/>
          <w:szCs w:val="24"/>
        </w:rPr>
        <w:t>1</w:t>
      </w:r>
      <w:r w:rsidRPr="00126B9C">
        <w:rPr>
          <w:rFonts w:ascii="Times New Roman" w:hAnsi="Times New Roman" w:cs="Times New Roman"/>
          <w:color w:val="000000" w:themeColor="text1"/>
          <w:sz w:val="24"/>
          <w:szCs w:val="24"/>
        </w:rPr>
        <w:t>.</w:t>
      </w:r>
    </w:p>
    <w:p w14:paraId="74CB63FD" w14:textId="5A96636B" w:rsidR="00AA3194" w:rsidRPr="00126B9C" w:rsidRDefault="00AA3194" w:rsidP="008937C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b/>
          <w:bCs/>
          <w:color w:val="000000" w:themeColor="text1"/>
          <w:sz w:val="24"/>
          <w:szCs w:val="24"/>
        </w:rPr>
        <w:t xml:space="preserve">GWAS. </w:t>
      </w:r>
      <w:r w:rsidRPr="00126B9C">
        <w:rPr>
          <w:rFonts w:ascii="Times New Roman" w:hAnsi="Times New Roman" w:cs="Times New Roman"/>
          <w:color w:val="000000" w:themeColor="text1"/>
          <w:sz w:val="24"/>
          <w:szCs w:val="24"/>
        </w:rPr>
        <w:t>GWAS was performed using Plink using logistic regression analysis. We analyzed only variants that were retained after QC filtering (INFO&gt;0.80, MAF&gt;0.01, sample and variant missing rate &lt;1% etc.) in both the iPSYCH-2012 and iPSYCH-2015i samples. This reduced the final number of variants, which was around 5 million. We used hard call genotypes for the GWAS analysis. Both the iPSYCH-2012 and iPSYCH-2015</w:t>
      </w:r>
      <w:r w:rsidR="009935DD" w:rsidRPr="00126B9C">
        <w:rPr>
          <w:rFonts w:ascii="Arial" w:hAnsi="Arial" w:cs="Arial"/>
          <w:color w:val="000000" w:themeColor="text1"/>
        </w:rPr>
        <w:t xml:space="preserve"> </w:t>
      </w:r>
      <w:r w:rsidR="009935DD" w:rsidRPr="00126B9C">
        <w:rPr>
          <w:rFonts w:ascii="Times New Roman" w:hAnsi="Times New Roman" w:cs="Times New Roman"/>
          <w:color w:val="000000" w:themeColor="text1"/>
          <w:sz w:val="24"/>
          <w:szCs w:val="24"/>
        </w:rPr>
        <w:t xml:space="preserve">genotype datasets were merged into a single genotype dataset and was used for GWAS analysis. </w:t>
      </w:r>
      <w:r w:rsidR="00F22B10" w:rsidRPr="00126B9C">
        <w:rPr>
          <w:rFonts w:ascii="Times New Roman" w:hAnsi="Times New Roman" w:cs="Times New Roman"/>
          <w:color w:val="000000" w:themeColor="text1"/>
          <w:sz w:val="24"/>
          <w:szCs w:val="24"/>
        </w:rPr>
        <w:t xml:space="preserve">This is our usual practice </w:t>
      </w:r>
      <w:r w:rsidR="009935DD" w:rsidRPr="00126B9C">
        <w:rPr>
          <w:rFonts w:ascii="Times New Roman" w:hAnsi="Times New Roman" w:cs="Times New Roman"/>
          <w:color w:val="000000" w:themeColor="text1"/>
          <w:sz w:val="24"/>
          <w:szCs w:val="24"/>
        </w:rPr>
        <w:t xml:space="preserve">for GWAS where case numbers are low. In such scenarios, running GWAS separately in iPSYCH 2012 and iPSYCH 2015i is tricky due to very sparse covariates matrix that leads to too </w:t>
      </w:r>
      <w:r w:rsidR="009935DD" w:rsidRPr="00126B9C">
        <w:rPr>
          <w:rFonts w:ascii="Times New Roman" w:hAnsi="Times New Roman" w:cs="Times New Roman"/>
          <w:color w:val="000000" w:themeColor="text1"/>
          <w:sz w:val="24"/>
          <w:szCs w:val="24"/>
        </w:rPr>
        <w:lastRenderedPageBreak/>
        <w:t>many NAs in the logistic regression. The covariates include</w:t>
      </w:r>
      <w:r w:rsidR="00F22B10" w:rsidRPr="00126B9C">
        <w:rPr>
          <w:rFonts w:ascii="Times New Roman" w:hAnsi="Times New Roman" w:cs="Times New Roman"/>
          <w:color w:val="000000" w:themeColor="text1"/>
          <w:sz w:val="24"/>
          <w:szCs w:val="24"/>
        </w:rPr>
        <w:t>d</w:t>
      </w:r>
      <w:r w:rsidR="009935DD" w:rsidRPr="00126B9C">
        <w:rPr>
          <w:rFonts w:ascii="Times New Roman" w:hAnsi="Times New Roman" w:cs="Times New Roman"/>
          <w:color w:val="000000" w:themeColor="text1"/>
          <w:sz w:val="24"/>
          <w:szCs w:val="24"/>
        </w:rPr>
        <w:t xml:space="preserve"> age, sex, psychiatric diagnoses and first 10 PCs.</w:t>
      </w:r>
    </w:p>
    <w:p w14:paraId="39C7D978" w14:textId="37F057AD" w:rsidR="00AA3194" w:rsidRPr="00126B9C" w:rsidRDefault="00AA3194" w:rsidP="00AA3194">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 xml:space="preserve">Yale-Penn </w:t>
      </w:r>
      <w:r w:rsidR="00C92444" w:rsidRPr="00126B9C">
        <w:rPr>
          <w:rFonts w:ascii="Times New Roman" w:hAnsi="Times New Roman" w:cs="Times New Roman"/>
          <w:b/>
          <w:bCs/>
          <w:color w:val="000000" w:themeColor="text1"/>
          <w:sz w:val="24"/>
          <w:szCs w:val="24"/>
        </w:rPr>
        <w:t xml:space="preserve">3 </w:t>
      </w:r>
      <w:r w:rsidRPr="00126B9C">
        <w:rPr>
          <w:rFonts w:ascii="Times New Roman" w:hAnsi="Times New Roman" w:cs="Times New Roman"/>
          <w:b/>
          <w:bCs/>
          <w:color w:val="000000" w:themeColor="text1"/>
          <w:sz w:val="24"/>
          <w:szCs w:val="24"/>
        </w:rPr>
        <w:t xml:space="preserve">OUD GWAS </w:t>
      </w:r>
    </w:p>
    <w:p w14:paraId="42EEB479" w14:textId="123BDAD1" w:rsidR="00AA3194" w:rsidRPr="00126B9C" w:rsidRDefault="00AA3194" w:rsidP="00AA3194">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The Yale-Penn sample includes 11,332 genotyped and phenotyped individuals recruited across three phases (Yale-Penn 1, Yale-Penn 2, and Yale-Penn 3) according to time of recruitment and genotyping array used. </w:t>
      </w:r>
      <w:r w:rsidR="00184399" w:rsidRPr="00126B9C">
        <w:rPr>
          <w:rFonts w:ascii="Times New Roman" w:hAnsi="Times New Roman" w:cs="Times New Roman"/>
          <w:color w:val="000000" w:themeColor="text1"/>
          <w:sz w:val="24"/>
          <w:szCs w:val="24"/>
        </w:rPr>
        <w:t>For this study, data for Yale-Penn 1 and 2 was included via the PGC</w:t>
      </w:r>
      <w:r w:rsidR="0020793D" w:rsidRPr="00126B9C">
        <w:rPr>
          <w:rFonts w:ascii="Times New Roman" w:hAnsi="Times New Roman" w:cs="Times New Roman"/>
          <w:color w:val="000000" w:themeColor="text1"/>
          <w:sz w:val="24"/>
          <w:szCs w:val="24"/>
        </w:rPr>
        <w:t>-SUD</w:t>
      </w:r>
      <w:r w:rsidR="00184399" w:rsidRPr="00126B9C">
        <w:rPr>
          <w:rFonts w:ascii="Times New Roman" w:hAnsi="Times New Roman" w:cs="Times New Roman"/>
          <w:color w:val="000000" w:themeColor="text1"/>
          <w:sz w:val="24"/>
          <w:szCs w:val="24"/>
        </w:rPr>
        <w:t xml:space="preserve"> summary statistics. </w:t>
      </w:r>
      <w:r w:rsidRPr="00126B9C">
        <w:rPr>
          <w:rFonts w:ascii="Times New Roman" w:hAnsi="Times New Roman" w:cs="Times New Roman"/>
          <w:color w:val="000000" w:themeColor="text1"/>
          <w:sz w:val="24"/>
          <w:szCs w:val="24"/>
        </w:rPr>
        <w:t>All cohorts were ascertained via recruitment at substance use treatment centers or targeted advertisements for genetic studies of cocaine, opioid, and alcohol dependence, resulting in a sample highly enriched for problematic substance use, as well as control subjects and relatives. All participants were assessed using the Semi-Structured Assessment for Drug Dependence and Alcoholism (SSADDA)(</w:t>
      </w:r>
      <w:r w:rsidR="00C423AD" w:rsidRPr="00126B9C">
        <w:rPr>
          <w:rFonts w:ascii="Times New Roman" w:hAnsi="Times New Roman" w:cs="Times New Roman"/>
          <w:color w:val="000000" w:themeColor="text1"/>
          <w:sz w:val="24"/>
          <w:szCs w:val="24"/>
        </w:rPr>
        <w:t>11</w:t>
      </w:r>
      <w:r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12</w:t>
      </w:r>
      <w:r w:rsidRPr="00126B9C">
        <w:rPr>
          <w:rFonts w:ascii="Times New Roman" w:hAnsi="Times New Roman" w:cs="Times New Roman"/>
          <w:color w:val="000000" w:themeColor="text1"/>
          <w:sz w:val="24"/>
          <w:szCs w:val="24"/>
        </w:rPr>
        <w:t xml:space="preserve">). </w:t>
      </w:r>
      <w:bookmarkStart w:id="2" w:name="_Hlk89440292"/>
      <w:r w:rsidR="001C7FC3" w:rsidRPr="00126B9C">
        <w:rPr>
          <w:rFonts w:ascii="Times New Roman" w:hAnsi="Times New Roman" w:cs="Times New Roman"/>
          <w:color w:val="000000" w:themeColor="text1"/>
          <w:sz w:val="24"/>
          <w:szCs w:val="24"/>
        </w:rPr>
        <w:t>Previous a</w:t>
      </w:r>
      <w:r w:rsidRPr="00126B9C">
        <w:rPr>
          <w:rFonts w:ascii="Times New Roman" w:hAnsi="Times New Roman" w:cs="Times New Roman"/>
          <w:color w:val="000000" w:themeColor="text1"/>
          <w:sz w:val="24"/>
          <w:szCs w:val="24"/>
        </w:rPr>
        <w:t xml:space="preserve">nalyses </w:t>
      </w:r>
      <w:r w:rsidR="001C7FC3" w:rsidRPr="00126B9C">
        <w:rPr>
          <w:rFonts w:ascii="Times New Roman" w:hAnsi="Times New Roman" w:cs="Times New Roman"/>
          <w:color w:val="000000" w:themeColor="text1"/>
          <w:sz w:val="24"/>
          <w:szCs w:val="24"/>
        </w:rPr>
        <w:t xml:space="preserve">of OUD </w:t>
      </w:r>
      <w:r w:rsidRPr="00126B9C">
        <w:rPr>
          <w:rFonts w:ascii="Times New Roman" w:hAnsi="Times New Roman" w:cs="Times New Roman"/>
          <w:color w:val="000000" w:themeColor="text1"/>
          <w:sz w:val="24"/>
          <w:szCs w:val="24"/>
        </w:rPr>
        <w:t>including Yale-Penn 1 and 2 have been published previously in studies(</w:t>
      </w:r>
      <w:r w:rsidR="00C423AD" w:rsidRPr="00126B9C">
        <w:rPr>
          <w:rFonts w:ascii="Times New Roman" w:hAnsi="Times New Roman" w:cs="Times New Roman"/>
          <w:color w:val="000000" w:themeColor="text1"/>
          <w:sz w:val="24"/>
          <w:szCs w:val="24"/>
        </w:rPr>
        <w:t>5</w:t>
      </w:r>
      <w:r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6</w:t>
      </w:r>
      <w:r w:rsidRPr="00126B9C">
        <w:rPr>
          <w:rFonts w:ascii="Times New Roman" w:hAnsi="Times New Roman" w:cs="Times New Roman"/>
          <w:color w:val="000000" w:themeColor="text1"/>
          <w:sz w:val="24"/>
          <w:szCs w:val="24"/>
        </w:rPr>
        <w:t xml:space="preserve">), including those used in the </w:t>
      </w:r>
      <w:r w:rsidR="001C7FC3" w:rsidRPr="00126B9C">
        <w:rPr>
          <w:rFonts w:ascii="Times New Roman" w:hAnsi="Times New Roman" w:cs="Times New Roman"/>
          <w:color w:val="000000" w:themeColor="text1"/>
          <w:sz w:val="24"/>
          <w:szCs w:val="24"/>
        </w:rPr>
        <w:t xml:space="preserve">PGC-SUD </w:t>
      </w:r>
      <w:r w:rsidRPr="00126B9C">
        <w:rPr>
          <w:rFonts w:ascii="Times New Roman" w:hAnsi="Times New Roman" w:cs="Times New Roman"/>
          <w:color w:val="000000" w:themeColor="text1"/>
          <w:sz w:val="24"/>
          <w:szCs w:val="24"/>
        </w:rPr>
        <w:t>discovery sample</w:t>
      </w:r>
      <w:r w:rsidR="001C7FC3"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2</w:t>
      </w:r>
      <w:r w:rsidR="001C7FC3" w:rsidRPr="00126B9C">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w:t>
      </w:r>
      <w:r w:rsidR="001C7FC3" w:rsidRPr="00126B9C">
        <w:rPr>
          <w:rFonts w:ascii="Times New Roman" w:hAnsi="Times New Roman" w:cs="Times New Roman"/>
          <w:color w:val="000000" w:themeColor="text1"/>
          <w:sz w:val="24"/>
          <w:szCs w:val="24"/>
        </w:rPr>
        <w:t>included in</w:t>
      </w:r>
      <w:r w:rsidRPr="00126B9C">
        <w:rPr>
          <w:rFonts w:ascii="Times New Roman" w:hAnsi="Times New Roman" w:cs="Times New Roman"/>
          <w:color w:val="000000" w:themeColor="text1"/>
          <w:sz w:val="24"/>
          <w:szCs w:val="24"/>
        </w:rPr>
        <w:t xml:space="preserve"> the present study</w:t>
      </w:r>
      <w:bookmarkEnd w:id="2"/>
      <w:r w:rsidRPr="00126B9C">
        <w:rPr>
          <w:rFonts w:ascii="Times New Roman" w:hAnsi="Times New Roman" w:cs="Times New Roman"/>
          <w:color w:val="000000" w:themeColor="text1"/>
          <w:sz w:val="24"/>
          <w:szCs w:val="24"/>
        </w:rPr>
        <w:t xml:space="preserve">; published data on Yale-Penn 3 </w:t>
      </w:r>
      <w:r w:rsidR="00F22B10" w:rsidRPr="00126B9C">
        <w:rPr>
          <w:rFonts w:ascii="Times New Roman" w:hAnsi="Times New Roman" w:cs="Times New Roman"/>
          <w:color w:val="000000" w:themeColor="text1"/>
          <w:sz w:val="24"/>
          <w:szCs w:val="24"/>
        </w:rPr>
        <w:t>was previously</w:t>
      </w:r>
      <w:r w:rsidRPr="00126B9C">
        <w:rPr>
          <w:rFonts w:ascii="Times New Roman" w:hAnsi="Times New Roman" w:cs="Times New Roman"/>
          <w:color w:val="000000" w:themeColor="text1"/>
          <w:sz w:val="24"/>
          <w:szCs w:val="24"/>
        </w:rPr>
        <w:t xml:space="preserve"> limited to use in part for replication analysis or as a target sample for polygenic risk score analyses</w:t>
      </w:r>
      <w:r w:rsidR="00F2022A" w:rsidRPr="00126B9C">
        <w:rPr>
          <w:rFonts w:ascii="Times New Roman" w:hAnsi="Times New Roman" w:cs="Times New Roman"/>
          <w:color w:val="000000" w:themeColor="text1"/>
          <w:sz w:val="24"/>
          <w:szCs w:val="24"/>
        </w:rPr>
        <w:t xml:space="preserve"> </w:t>
      </w:r>
      <w:r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e.g., 6</w:t>
      </w:r>
      <w:r w:rsidRPr="00126B9C">
        <w:rPr>
          <w:rFonts w:ascii="Times New Roman" w:hAnsi="Times New Roman" w:cs="Times New Roman"/>
          <w:color w:val="000000" w:themeColor="text1"/>
          <w:sz w:val="24"/>
          <w:szCs w:val="24"/>
        </w:rPr>
        <w:t>).</w:t>
      </w:r>
    </w:p>
    <w:p w14:paraId="5A8E64AA" w14:textId="37706D27" w:rsidR="00AA3194" w:rsidRPr="00126B9C" w:rsidRDefault="00AA3194" w:rsidP="001C7FC3">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Yale-Penn 3 includes 3,026 genotyped and phenotyped Americans of European (EUR; N=1,986) and African (AFR; N=1,040) ancestry passing standard quality control. Genotyping was performed at the Gelernter lab at Yale University using the Illumina Multi-ethnic Global Array containing 1,779,819 markers, followed by genotype imputation using Minimac3(</w:t>
      </w:r>
      <w:r w:rsidR="00C423AD" w:rsidRPr="00126B9C">
        <w:rPr>
          <w:rFonts w:ascii="Times New Roman" w:hAnsi="Times New Roman" w:cs="Times New Roman"/>
          <w:color w:val="000000" w:themeColor="text1"/>
          <w:sz w:val="24"/>
          <w:szCs w:val="24"/>
        </w:rPr>
        <w:t>13</w:t>
      </w:r>
      <w:r w:rsidRPr="00126B9C">
        <w:rPr>
          <w:rFonts w:ascii="Times New Roman" w:hAnsi="Times New Roman" w:cs="Times New Roman"/>
          <w:color w:val="000000" w:themeColor="text1"/>
          <w:sz w:val="24"/>
          <w:szCs w:val="24"/>
        </w:rPr>
        <w:t>) and the Haplotype Reference Consortium reference panel(</w:t>
      </w:r>
      <w:r w:rsidR="00C423AD" w:rsidRPr="00126B9C">
        <w:rPr>
          <w:rFonts w:ascii="Times New Roman" w:hAnsi="Times New Roman" w:cs="Times New Roman"/>
          <w:color w:val="000000" w:themeColor="text1"/>
          <w:sz w:val="24"/>
          <w:szCs w:val="24"/>
        </w:rPr>
        <w:t>14</w:t>
      </w:r>
      <w:r w:rsidRPr="00126B9C">
        <w:rPr>
          <w:rFonts w:ascii="Times New Roman" w:hAnsi="Times New Roman" w:cs="Times New Roman"/>
          <w:color w:val="000000" w:themeColor="text1"/>
          <w:sz w:val="24"/>
          <w:szCs w:val="24"/>
        </w:rPr>
        <w:t xml:space="preserve">) as implemented on the Michigan imputation server (https://imputationserver.sph.umich.edu). </w:t>
      </w:r>
    </w:p>
    <w:p w14:paraId="33D39FAD" w14:textId="16C3D431" w:rsidR="001C7FC3" w:rsidRPr="00126B9C" w:rsidRDefault="00AA3194" w:rsidP="00AA3194">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lastRenderedPageBreak/>
        <w:t>For the present analysis, Yale-Penn 3 EU</w:t>
      </w:r>
      <w:r w:rsidR="00E2427D" w:rsidRPr="00126B9C">
        <w:rPr>
          <w:rFonts w:ascii="Times New Roman" w:hAnsi="Times New Roman" w:cs="Times New Roman"/>
          <w:color w:val="000000" w:themeColor="text1"/>
          <w:sz w:val="24"/>
          <w:szCs w:val="24"/>
        </w:rPr>
        <w:t>R (</w:t>
      </w:r>
      <w:r w:rsidRPr="00126B9C">
        <w:rPr>
          <w:rFonts w:ascii="Times New Roman" w:hAnsi="Times New Roman" w:cs="Times New Roman"/>
          <w:color w:val="000000" w:themeColor="text1"/>
          <w:sz w:val="24"/>
          <w:szCs w:val="24"/>
        </w:rPr>
        <w:t>N</w:t>
      </w:r>
      <w:r w:rsidR="001C7FC3" w:rsidRPr="00126B9C">
        <w:rPr>
          <w:rFonts w:ascii="Times New Roman" w:hAnsi="Times New Roman" w:cs="Times New Roman"/>
          <w:color w:val="000000" w:themeColor="text1"/>
          <w:sz w:val="24"/>
          <w:szCs w:val="24"/>
          <w:vertAlign w:val="subscript"/>
        </w:rPr>
        <w:t>EUR</w:t>
      </w:r>
      <w:r w:rsidRPr="00126B9C">
        <w:rPr>
          <w:rFonts w:ascii="Times New Roman" w:hAnsi="Times New Roman" w:cs="Times New Roman"/>
          <w:color w:val="000000" w:themeColor="text1"/>
          <w:sz w:val="24"/>
          <w:szCs w:val="24"/>
        </w:rPr>
        <w:t xml:space="preserve">=1,986) </w:t>
      </w:r>
      <w:r w:rsidR="001C7FC3" w:rsidRPr="00126B9C">
        <w:rPr>
          <w:rFonts w:ascii="Times New Roman" w:hAnsi="Times New Roman" w:cs="Times New Roman"/>
          <w:color w:val="000000" w:themeColor="text1"/>
          <w:sz w:val="24"/>
          <w:szCs w:val="24"/>
        </w:rPr>
        <w:t>and AFR</w:t>
      </w:r>
      <w:r w:rsidR="00E2427D" w:rsidRPr="00126B9C">
        <w:rPr>
          <w:rFonts w:ascii="Times New Roman" w:hAnsi="Times New Roman" w:cs="Times New Roman"/>
          <w:color w:val="000000" w:themeColor="text1"/>
          <w:sz w:val="24"/>
          <w:szCs w:val="24"/>
        </w:rPr>
        <w:t xml:space="preserve"> (</w:t>
      </w:r>
      <w:r w:rsidR="001C7FC3" w:rsidRPr="00126B9C">
        <w:rPr>
          <w:rFonts w:ascii="Times New Roman" w:hAnsi="Times New Roman" w:cs="Times New Roman"/>
          <w:color w:val="000000" w:themeColor="text1"/>
          <w:sz w:val="24"/>
          <w:szCs w:val="24"/>
        </w:rPr>
        <w:t>N</w:t>
      </w:r>
      <w:r w:rsidR="001C7FC3" w:rsidRPr="00126B9C">
        <w:rPr>
          <w:rFonts w:ascii="Times New Roman" w:hAnsi="Times New Roman" w:cs="Times New Roman"/>
          <w:color w:val="000000" w:themeColor="text1"/>
          <w:sz w:val="24"/>
          <w:szCs w:val="24"/>
          <w:vertAlign w:val="subscript"/>
        </w:rPr>
        <w:t>AFR</w:t>
      </w:r>
      <w:r w:rsidR="001C7FC3" w:rsidRPr="00126B9C">
        <w:rPr>
          <w:rFonts w:ascii="Times New Roman" w:hAnsi="Times New Roman" w:cs="Times New Roman"/>
          <w:color w:val="000000" w:themeColor="text1"/>
          <w:sz w:val="24"/>
          <w:szCs w:val="24"/>
        </w:rPr>
        <w:t>=</w:t>
      </w:r>
      <w:r w:rsidR="00E2427D" w:rsidRPr="00126B9C">
        <w:rPr>
          <w:rFonts w:ascii="Times New Roman" w:hAnsi="Times New Roman" w:cs="Times New Roman"/>
          <w:color w:val="000000" w:themeColor="text1"/>
          <w:sz w:val="24"/>
          <w:szCs w:val="24"/>
        </w:rPr>
        <w:t>1,040</w:t>
      </w:r>
      <w:r w:rsidR="001C7FC3" w:rsidRPr="00126B9C">
        <w:rPr>
          <w:rFonts w:ascii="Times New Roman" w:hAnsi="Times New Roman" w:cs="Times New Roman"/>
          <w:color w:val="000000" w:themeColor="text1"/>
          <w:sz w:val="24"/>
          <w:szCs w:val="24"/>
        </w:rPr>
        <w:t>)</w:t>
      </w:r>
      <w:r w:rsidR="00E2427D" w:rsidRPr="00126B9C">
        <w:rPr>
          <w:rFonts w:ascii="Times New Roman" w:hAnsi="Times New Roman" w:cs="Times New Roman"/>
          <w:color w:val="000000" w:themeColor="text1"/>
          <w:sz w:val="24"/>
          <w:szCs w:val="24"/>
        </w:rPr>
        <w:t xml:space="preserve"> participants </w:t>
      </w:r>
      <w:r w:rsidRPr="00126B9C">
        <w:rPr>
          <w:rFonts w:ascii="Times New Roman" w:hAnsi="Times New Roman" w:cs="Times New Roman"/>
          <w:color w:val="000000" w:themeColor="text1"/>
          <w:sz w:val="24"/>
          <w:szCs w:val="24"/>
        </w:rPr>
        <w:t xml:space="preserve">were included. DSM-IV </w:t>
      </w:r>
      <w:r w:rsidR="001C7FC3" w:rsidRPr="00126B9C">
        <w:rPr>
          <w:rFonts w:ascii="Times New Roman" w:hAnsi="Times New Roman" w:cs="Times New Roman"/>
          <w:color w:val="000000" w:themeColor="text1"/>
          <w:sz w:val="24"/>
          <w:szCs w:val="24"/>
        </w:rPr>
        <w:t>opioid</w:t>
      </w:r>
      <w:r w:rsidRPr="00126B9C">
        <w:rPr>
          <w:rFonts w:ascii="Times New Roman" w:hAnsi="Times New Roman" w:cs="Times New Roman"/>
          <w:color w:val="000000" w:themeColor="text1"/>
          <w:sz w:val="24"/>
          <w:szCs w:val="24"/>
        </w:rPr>
        <w:t xml:space="preserve"> abuse and dependence diagnoses based on SSADDA assessments were used to determine </w:t>
      </w:r>
      <w:r w:rsidR="001C7FC3" w:rsidRPr="00126B9C">
        <w:rPr>
          <w:rFonts w:ascii="Times New Roman" w:hAnsi="Times New Roman" w:cs="Times New Roman"/>
          <w:color w:val="000000" w:themeColor="text1"/>
          <w:sz w:val="24"/>
          <w:szCs w:val="24"/>
        </w:rPr>
        <w:t>OUD case status (</w:t>
      </w:r>
      <w:r w:rsidR="00C423AD" w:rsidRPr="00126B9C">
        <w:rPr>
          <w:rFonts w:ascii="Times New Roman" w:hAnsi="Times New Roman" w:cs="Times New Roman"/>
          <w:color w:val="000000" w:themeColor="text1"/>
          <w:sz w:val="24"/>
          <w:szCs w:val="24"/>
        </w:rPr>
        <w:t>15</w:t>
      </w:r>
      <w:r w:rsidR="001C7FC3" w:rsidRPr="00126B9C">
        <w:rPr>
          <w:rFonts w:ascii="Times New Roman" w:hAnsi="Times New Roman" w:cs="Times New Roman"/>
          <w:color w:val="000000" w:themeColor="text1"/>
          <w:sz w:val="24"/>
          <w:szCs w:val="24"/>
        </w:rPr>
        <w:t>,</w:t>
      </w:r>
      <w:r w:rsidR="00C423AD" w:rsidRPr="00126B9C">
        <w:rPr>
          <w:rFonts w:ascii="Times New Roman" w:hAnsi="Times New Roman" w:cs="Times New Roman"/>
          <w:color w:val="000000" w:themeColor="text1"/>
          <w:sz w:val="24"/>
          <w:szCs w:val="24"/>
        </w:rPr>
        <w:t>16</w:t>
      </w:r>
      <w:r w:rsidR="001C7FC3" w:rsidRPr="00126B9C">
        <w:rPr>
          <w:rFonts w:ascii="Times New Roman" w:hAnsi="Times New Roman" w:cs="Times New Roman"/>
          <w:color w:val="000000" w:themeColor="text1"/>
          <w:sz w:val="24"/>
          <w:szCs w:val="24"/>
        </w:rPr>
        <w:t xml:space="preserve">). OUD controls were defined as anyone not meeting criteria for </w:t>
      </w:r>
      <w:r w:rsidR="002929A5" w:rsidRPr="00126B9C">
        <w:rPr>
          <w:rFonts w:ascii="Times New Roman" w:hAnsi="Times New Roman" w:cs="Times New Roman"/>
          <w:color w:val="000000" w:themeColor="text1"/>
          <w:sz w:val="24"/>
          <w:szCs w:val="24"/>
        </w:rPr>
        <w:t>opioid abuse or dependence</w:t>
      </w:r>
      <w:r w:rsidR="001C7FC3" w:rsidRPr="00126B9C">
        <w:rPr>
          <w:rFonts w:ascii="Times New Roman" w:hAnsi="Times New Roman" w:cs="Times New Roman"/>
          <w:color w:val="000000" w:themeColor="text1"/>
          <w:sz w:val="24"/>
          <w:szCs w:val="24"/>
        </w:rPr>
        <w:t xml:space="preserve">.  </w:t>
      </w:r>
      <w:r w:rsidR="00E2427D" w:rsidRPr="00126B9C">
        <w:rPr>
          <w:rFonts w:ascii="Times New Roman" w:hAnsi="Times New Roman" w:cs="Times New Roman"/>
          <w:color w:val="000000" w:themeColor="text1"/>
          <w:sz w:val="24"/>
          <w:szCs w:val="24"/>
        </w:rPr>
        <w:t>Of the 1,986 EUR participants 22.56% met criteria for OUD (N</w:t>
      </w:r>
      <w:r w:rsidR="00EC6E04" w:rsidRPr="00126B9C">
        <w:rPr>
          <w:rFonts w:ascii="Times New Roman" w:hAnsi="Times New Roman" w:cs="Times New Roman"/>
          <w:color w:val="000000" w:themeColor="text1"/>
          <w:sz w:val="24"/>
          <w:szCs w:val="24"/>
          <w:vertAlign w:val="subscript"/>
        </w:rPr>
        <w:t>CASE</w:t>
      </w:r>
      <w:r w:rsidR="00E2427D" w:rsidRPr="00126B9C">
        <w:rPr>
          <w:rFonts w:ascii="Times New Roman" w:hAnsi="Times New Roman" w:cs="Times New Roman"/>
          <w:color w:val="000000" w:themeColor="text1"/>
          <w:sz w:val="24"/>
          <w:szCs w:val="24"/>
        </w:rPr>
        <w:t xml:space="preserve">=448); </w:t>
      </w:r>
      <w:r w:rsidR="00805FEB" w:rsidRPr="00126B9C">
        <w:rPr>
          <w:rFonts w:ascii="Times New Roman" w:hAnsi="Times New Roman" w:cs="Times New Roman"/>
          <w:color w:val="000000" w:themeColor="text1"/>
          <w:sz w:val="24"/>
          <w:szCs w:val="24"/>
        </w:rPr>
        <w:t>16.54% of AFR participants (N</w:t>
      </w:r>
      <w:r w:rsidR="00EC6E04" w:rsidRPr="00126B9C">
        <w:rPr>
          <w:rFonts w:ascii="Times New Roman" w:hAnsi="Times New Roman" w:cs="Times New Roman"/>
          <w:color w:val="000000" w:themeColor="text1"/>
          <w:sz w:val="24"/>
          <w:szCs w:val="24"/>
          <w:vertAlign w:val="subscript"/>
        </w:rPr>
        <w:t>CASE</w:t>
      </w:r>
      <w:r w:rsidR="00805FEB" w:rsidRPr="00126B9C">
        <w:rPr>
          <w:rFonts w:ascii="Times New Roman" w:hAnsi="Times New Roman" w:cs="Times New Roman"/>
          <w:color w:val="000000" w:themeColor="text1"/>
          <w:sz w:val="24"/>
          <w:szCs w:val="24"/>
        </w:rPr>
        <w:t>=172) met criteria for OUD diagnosis.</w:t>
      </w:r>
      <w:r w:rsidR="008360DD" w:rsidRPr="00126B9C">
        <w:rPr>
          <w:rFonts w:ascii="Times New Roman" w:hAnsi="Times New Roman" w:cs="Times New Roman"/>
          <w:color w:val="000000" w:themeColor="text1"/>
          <w:sz w:val="24"/>
          <w:szCs w:val="24"/>
        </w:rPr>
        <w:t xml:space="preserve"> </w:t>
      </w:r>
      <w:bookmarkStart w:id="3" w:name="_Hlk98156216"/>
      <w:r w:rsidR="008360DD" w:rsidRPr="00126B9C">
        <w:rPr>
          <w:rFonts w:ascii="Times New Roman" w:hAnsi="Times New Roman" w:cs="Times New Roman"/>
          <w:color w:val="000000" w:themeColor="text1"/>
          <w:sz w:val="24"/>
          <w:szCs w:val="24"/>
        </w:rPr>
        <w:t xml:space="preserve">The OUD GWAS was conducted using a logistic regression model in the software package GEMMA </w:t>
      </w:r>
      <w:r w:rsidR="00020B3E" w:rsidRPr="00126B9C">
        <w:rPr>
          <w:rFonts w:ascii="Times New Roman" w:hAnsi="Times New Roman" w:cs="Times New Roman"/>
          <w:color w:val="000000" w:themeColor="text1"/>
          <w:sz w:val="24"/>
          <w:szCs w:val="24"/>
        </w:rPr>
        <w:t>(genome-wide efficient mixed-model association)</w:t>
      </w:r>
      <w:r w:rsidR="008360DD" w:rsidRPr="00126B9C">
        <w:rPr>
          <w:rFonts w:ascii="Times New Roman" w:hAnsi="Times New Roman" w:cs="Times New Roman"/>
          <w:color w:val="000000" w:themeColor="text1"/>
          <w:sz w:val="24"/>
          <w:szCs w:val="24"/>
        </w:rPr>
        <w:t xml:space="preserve">(17) accounting for </w:t>
      </w:r>
      <w:r w:rsidR="00B324C7" w:rsidRPr="00126B9C">
        <w:rPr>
          <w:rFonts w:ascii="Times New Roman" w:hAnsi="Times New Roman" w:cs="Times New Roman"/>
          <w:color w:val="000000" w:themeColor="text1"/>
          <w:sz w:val="24"/>
          <w:szCs w:val="24"/>
        </w:rPr>
        <w:t>subject</w:t>
      </w:r>
      <w:r w:rsidR="00020B3E" w:rsidRPr="00126B9C">
        <w:rPr>
          <w:rFonts w:ascii="Times New Roman" w:hAnsi="Times New Roman" w:cs="Times New Roman"/>
          <w:color w:val="000000" w:themeColor="text1"/>
          <w:sz w:val="24"/>
          <w:szCs w:val="24"/>
        </w:rPr>
        <w:t xml:space="preserve"> </w:t>
      </w:r>
      <w:r w:rsidR="008360DD" w:rsidRPr="00126B9C">
        <w:rPr>
          <w:rFonts w:ascii="Times New Roman" w:hAnsi="Times New Roman" w:cs="Times New Roman"/>
          <w:color w:val="000000" w:themeColor="text1"/>
          <w:sz w:val="24"/>
          <w:szCs w:val="24"/>
        </w:rPr>
        <w:t>relatedness. Covariates included age, sex, and the first 10 genetic principal components</w:t>
      </w:r>
      <w:bookmarkEnd w:id="3"/>
    </w:p>
    <w:p w14:paraId="5E7A2722" w14:textId="77777777" w:rsidR="004F7745" w:rsidRPr="00126B9C" w:rsidRDefault="004F7745" w:rsidP="004F7745">
      <w:pPr>
        <w:spacing w:line="480" w:lineRule="auto"/>
        <w:rPr>
          <w:rFonts w:ascii="Times New Roman" w:hAnsi="Times New Roman" w:cs="Times New Roman"/>
          <w:color w:val="000000" w:themeColor="text1"/>
          <w:sz w:val="24"/>
          <w:szCs w:val="24"/>
        </w:rPr>
      </w:pPr>
      <w:r w:rsidRPr="00126B9C">
        <w:rPr>
          <w:rFonts w:ascii="Times New Roman" w:hAnsi="Times New Roman" w:cs="Times New Roman"/>
          <w:i/>
          <w:iCs/>
          <w:color w:val="000000" w:themeColor="text1"/>
          <w:sz w:val="24"/>
          <w:szCs w:val="24"/>
        </w:rPr>
        <w:t xml:space="preserve">Previously published GWAS cohorts </w:t>
      </w:r>
    </w:p>
    <w:p w14:paraId="0F3C3BB1" w14:textId="77777777" w:rsidR="004F7745" w:rsidRPr="00126B9C" w:rsidRDefault="004F7745" w:rsidP="004F7745">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Million Veteran Program (MVP) OUD GWAS</w:t>
      </w:r>
    </w:p>
    <w:p w14:paraId="14CA9DD7" w14:textId="48EB0E76" w:rsidR="004F7745" w:rsidRPr="00126B9C" w:rsidRDefault="00320EFC" w:rsidP="004F774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The</w:t>
      </w:r>
      <w:r w:rsidR="004F7745" w:rsidRPr="00126B9C">
        <w:rPr>
          <w:rFonts w:ascii="Times New Roman" w:hAnsi="Times New Roman" w:cs="Times New Roman"/>
          <w:color w:val="000000" w:themeColor="text1"/>
          <w:sz w:val="24"/>
          <w:szCs w:val="24"/>
        </w:rPr>
        <w:t xml:space="preserve"> MVP is a large-scale biobank that includes U.S. Military Veteran participants across a national network of Veterans Affairs healthcare facilities. A previous MVP GWAS of OUD cases vs. opioid-exposed controls has been reported(</w:t>
      </w:r>
      <w:r w:rsidR="00661327" w:rsidRPr="00126B9C">
        <w:rPr>
          <w:rFonts w:ascii="Times New Roman" w:hAnsi="Times New Roman" w:cs="Times New Roman"/>
          <w:color w:val="000000" w:themeColor="text1"/>
          <w:sz w:val="24"/>
          <w:szCs w:val="24"/>
        </w:rPr>
        <w:t>18</w:t>
      </w:r>
      <w:r w:rsidR="004F7745" w:rsidRPr="00126B9C">
        <w:rPr>
          <w:rFonts w:ascii="Times New Roman" w:hAnsi="Times New Roman" w:cs="Times New Roman"/>
          <w:color w:val="000000" w:themeColor="text1"/>
          <w:sz w:val="24"/>
          <w:szCs w:val="24"/>
        </w:rPr>
        <w:t>) that contained the same OUD cases that were included in the present analysis; however, the MVP OUD GWAS included in the current meta-analysis has not been published previously and compares OUD cases to all controls (</w:t>
      </w:r>
      <w:r w:rsidR="004F7745" w:rsidRPr="00126B9C">
        <w:rPr>
          <w:rFonts w:ascii="Times New Roman" w:hAnsi="Times New Roman" w:cs="Times New Roman"/>
          <w:b/>
          <w:bCs/>
          <w:color w:val="000000" w:themeColor="text1"/>
          <w:sz w:val="24"/>
          <w:szCs w:val="24"/>
        </w:rPr>
        <w:t>Table1</w:t>
      </w:r>
      <w:r w:rsidR="004F7745" w:rsidRPr="00126B9C">
        <w:rPr>
          <w:rFonts w:ascii="Times New Roman" w:hAnsi="Times New Roman" w:cs="Times New Roman"/>
          <w:color w:val="000000" w:themeColor="text1"/>
          <w:sz w:val="24"/>
          <w:szCs w:val="24"/>
        </w:rPr>
        <w:t>). OUD cases were defined as individuals with at least 1 inpatient or 2 outpatient ICD codes for OUD. MVP genotyping and imputation has been previously reported(</w:t>
      </w:r>
      <w:r w:rsidR="00661327" w:rsidRPr="00126B9C">
        <w:rPr>
          <w:rFonts w:ascii="Times New Roman" w:hAnsi="Times New Roman" w:cs="Times New Roman"/>
          <w:color w:val="000000" w:themeColor="text1"/>
          <w:sz w:val="24"/>
          <w:szCs w:val="24"/>
        </w:rPr>
        <w:t>19</w:t>
      </w:r>
      <w:r w:rsidR="004F7745" w:rsidRPr="00126B9C">
        <w:rPr>
          <w:rFonts w:ascii="Times New Roman" w:hAnsi="Times New Roman" w:cs="Times New Roman"/>
          <w:color w:val="000000" w:themeColor="text1"/>
          <w:sz w:val="24"/>
          <w:szCs w:val="24"/>
        </w:rPr>
        <w:t>).  OUD GWAS were conducted using logic regression in the software package PLINK, and included covariates adjusting for age, sex, and the first 10 genetic PCs. Additional information can be found in Zhou et al., 2020(</w:t>
      </w:r>
      <w:r w:rsidR="00661327" w:rsidRPr="00126B9C">
        <w:rPr>
          <w:rFonts w:ascii="Times New Roman" w:hAnsi="Times New Roman" w:cs="Times New Roman"/>
          <w:color w:val="000000" w:themeColor="text1"/>
          <w:sz w:val="24"/>
          <w:szCs w:val="24"/>
        </w:rPr>
        <w:t>18</w:t>
      </w:r>
      <w:r w:rsidR="004F7745" w:rsidRPr="00126B9C">
        <w:rPr>
          <w:rFonts w:ascii="Times New Roman" w:hAnsi="Times New Roman" w:cs="Times New Roman"/>
          <w:color w:val="000000" w:themeColor="text1"/>
          <w:sz w:val="24"/>
          <w:szCs w:val="24"/>
        </w:rPr>
        <w:t xml:space="preserve">). </w:t>
      </w:r>
    </w:p>
    <w:p w14:paraId="3C15FED9" w14:textId="77777777" w:rsidR="004F7745" w:rsidRPr="00126B9C" w:rsidRDefault="004F7745" w:rsidP="004F7745">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Psychiatric Genomics Consortium Substance Use Disorders (PGC-SUD) OUD GWAS</w:t>
      </w:r>
    </w:p>
    <w:p w14:paraId="32DE9816" w14:textId="27E8DBDC" w:rsidR="004F7745" w:rsidRPr="00126B9C" w:rsidRDefault="00320EFC" w:rsidP="004F774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lastRenderedPageBreak/>
        <w:t>T</w:t>
      </w:r>
      <w:r w:rsidR="004F7745" w:rsidRPr="00126B9C">
        <w:rPr>
          <w:rFonts w:ascii="Times New Roman" w:hAnsi="Times New Roman" w:cs="Times New Roman"/>
          <w:color w:val="000000" w:themeColor="text1"/>
          <w:sz w:val="24"/>
          <w:szCs w:val="24"/>
        </w:rPr>
        <w:t>he PGC-SUD working group completed a GWAS meta-analysis across 11 studies to investigate genetic distinctions between OUD cases, opioid-exposed controls, and opioid-unexposed controls(</w:t>
      </w:r>
      <w:r w:rsidR="00881557" w:rsidRPr="00126B9C">
        <w:rPr>
          <w:rFonts w:ascii="Times New Roman" w:hAnsi="Times New Roman" w:cs="Times New Roman"/>
          <w:color w:val="000000" w:themeColor="text1"/>
          <w:sz w:val="24"/>
          <w:szCs w:val="24"/>
        </w:rPr>
        <w:t>20</w:t>
      </w:r>
      <w:r w:rsidR="004F7745" w:rsidRPr="00126B9C">
        <w:rPr>
          <w:rFonts w:ascii="Times New Roman" w:hAnsi="Times New Roman" w:cs="Times New Roman"/>
          <w:color w:val="000000" w:themeColor="text1"/>
          <w:sz w:val="24"/>
          <w:szCs w:val="24"/>
        </w:rPr>
        <w:t xml:space="preserve">). For the present meta-analysis, we used summary data </w:t>
      </w:r>
      <w:r w:rsidR="00FB64E9" w:rsidRPr="00126B9C">
        <w:rPr>
          <w:rFonts w:ascii="Times New Roman" w:hAnsi="Times New Roman" w:cs="Times New Roman"/>
          <w:color w:val="000000" w:themeColor="text1"/>
          <w:sz w:val="24"/>
          <w:szCs w:val="24"/>
        </w:rPr>
        <w:t xml:space="preserve">from </w:t>
      </w:r>
      <w:r w:rsidR="004F7745" w:rsidRPr="00126B9C">
        <w:rPr>
          <w:rFonts w:ascii="Times New Roman" w:hAnsi="Times New Roman" w:cs="Times New Roman"/>
          <w:color w:val="000000" w:themeColor="text1"/>
          <w:sz w:val="24"/>
          <w:szCs w:val="24"/>
        </w:rPr>
        <w:t>the OUD case vs. opioid-unexposed control comparison groups. (</w:t>
      </w:r>
      <w:r w:rsidR="004F7745" w:rsidRPr="00126B9C">
        <w:rPr>
          <w:rFonts w:ascii="Times New Roman" w:hAnsi="Times New Roman" w:cs="Times New Roman"/>
          <w:b/>
          <w:bCs/>
          <w:color w:val="000000" w:themeColor="text1"/>
          <w:sz w:val="24"/>
          <w:szCs w:val="24"/>
        </w:rPr>
        <w:t>Table1</w:t>
      </w:r>
      <w:r w:rsidR="004F7745" w:rsidRPr="00126B9C">
        <w:rPr>
          <w:rFonts w:ascii="Times New Roman" w:hAnsi="Times New Roman" w:cs="Times New Roman"/>
          <w:color w:val="000000" w:themeColor="text1"/>
          <w:sz w:val="24"/>
          <w:szCs w:val="24"/>
        </w:rPr>
        <w:t>). Quality control procedures was performed using the RICOPILI pipeline(</w:t>
      </w:r>
      <w:r w:rsidR="00881557" w:rsidRPr="00126B9C">
        <w:rPr>
          <w:rFonts w:ascii="Times New Roman" w:hAnsi="Times New Roman" w:cs="Times New Roman"/>
          <w:color w:val="000000" w:themeColor="text1"/>
          <w:sz w:val="24"/>
          <w:szCs w:val="24"/>
        </w:rPr>
        <w:t>21</w:t>
      </w:r>
      <w:r w:rsidR="004F7745" w:rsidRPr="00126B9C">
        <w:rPr>
          <w:rFonts w:ascii="Times New Roman" w:hAnsi="Times New Roman" w:cs="Times New Roman"/>
          <w:color w:val="000000" w:themeColor="text1"/>
          <w:sz w:val="24"/>
          <w:szCs w:val="24"/>
        </w:rPr>
        <w:t>)</w:t>
      </w:r>
      <w:r w:rsidR="00FB64E9" w:rsidRPr="00126B9C">
        <w:rPr>
          <w:rFonts w:ascii="Times New Roman" w:hAnsi="Times New Roman" w:cs="Times New Roman"/>
          <w:color w:val="000000" w:themeColor="text1"/>
          <w:sz w:val="24"/>
          <w:szCs w:val="24"/>
        </w:rPr>
        <w:t xml:space="preserve"> across all included cohorts</w:t>
      </w:r>
      <w:r w:rsidR="004F7745" w:rsidRPr="00126B9C">
        <w:rPr>
          <w:rFonts w:ascii="Times New Roman" w:hAnsi="Times New Roman" w:cs="Times New Roman"/>
          <w:color w:val="000000" w:themeColor="text1"/>
          <w:sz w:val="24"/>
          <w:szCs w:val="24"/>
        </w:rPr>
        <w:t xml:space="preserve">. Ancestry-specific (African and European ancestries) </w:t>
      </w:r>
      <w:r w:rsidR="00FB64E9" w:rsidRPr="00126B9C">
        <w:rPr>
          <w:rFonts w:ascii="Times New Roman" w:hAnsi="Times New Roman" w:cs="Times New Roman"/>
          <w:color w:val="000000" w:themeColor="text1"/>
          <w:sz w:val="24"/>
          <w:szCs w:val="24"/>
        </w:rPr>
        <w:t xml:space="preserve">GWAS </w:t>
      </w:r>
      <w:r w:rsidR="004F7745" w:rsidRPr="00126B9C">
        <w:rPr>
          <w:rFonts w:ascii="Times New Roman" w:hAnsi="Times New Roman" w:cs="Times New Roman"/>
          <w:color w:val="000000" w:themeColor="text1"/>
          <w:sz w:val="24"/>
          <w:szCs w:val="24"/>
        </w:rPr>
        <w:t>were conducted across studies according to individual study design (e.g., case-control studies performed using logistic regression, family-based studies conducted using logistic mixed models). Covariates included age, sex, and 10 genetic PCs. Following cohort-specific GWAS, a sample-sized weighted meta-analysis was performed using METAL(</w:t>
      </w:r>
      <w:r w:rsidR="004B05B9" w:rsidRPr="00126B9C">
        <w:rPr>
          <w:rFonts w:ascii="Times New Roman" w:hAnsi="Times New Roman" w:cs="Times New Roman"/>
          <w:color w:val="000000" w:themeColor="text1"/>
          <w:sz w:val="24"/>
          <w:szCs w:val="24"/>
        </w:rPr>
        <w:t>22</w:t>
      </w:r>
      <w:r w:rsidR="004F7745" w:rsidRPr="00126B9C">
        <w:rPr>
          <w:rFonts w:ascii="Times New Roman" w:hAnsi="Times New Roman" w:cs="Times New Roman"/>
          <w:color w:val="000000" w:themeColor="text1"/>
          <w:sz w:val="24"/>
          <w:szCs w:val="24"/>
        </w:rPr>
        <w:t>). Additional information can be found in Polimanti et al., 2020(</w:t>
      </w:r>
      <w:r w:rsidR="00881557" w:rsidRPr="00126B9C">
        <w:rPr>
          <w:rFonts w:ascii="Times New Roman" w:hAnsi="Times New Roman" w:cs="Times New Roman"/>
          <w:color w:val="000000" w:themeColor="text1"/>
          <w:sz w:val="24"/>
          <w:szCs w:val="24"/>
        </w:rPr>
        <w:t>20</w:t>
      </w:r>
      <w:r w:rsidR="004F7745" w:rsidRPr="00126B9C">
        <w:rPr>
          <w:rFonts w:ascii="Times New Roman" w:hAnsi="Times New Roman" w:cs="Times New Roman"/>
          <w:color w:val="000000" w:themeColor="text1"/>
          <w:sz w:val="24"/>
          <w:szCs w:val="24"/>
        </w:rPr>
        <w:t xml:space="preserve">). </w:t>
      </w:r>
    </w:p>
    <w:p w14:paraId="207D41E3" w14:textId="77777777" w:rsidR="004F7745" w:rsidRPr="00126B9C" w:rsidRDefault="004F7745" w:rsidP="004F7745">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 xml:space="preserve">Partners Biobank OUD GWAS </w:t>
      </w:r>
    </w:p>
    <w:p w14:paraId="0055564B" w14:textId="26216B55" w:rsidR="004F7745" w:rsidRPr="00126B9C" w:rsidRDefault="00320EFC" w:rsidP="004F774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A</w:t>
      </w:r>
      <w:r w:rsidR="004F7745" w:rsidRPr="00126B9C">
        <w:rPr>
          <w:rFonts w:ascii="Times New Roman" w:hAnsi="Times New Roman" w:cs="Times New Roman"/>
          <w:color w:val="000000" w:themeColor="text1"/>
          <w:sz w:val="24"/>
          <w:szCs w:val="24"/>
        </w:rPr>
        <w:t xml:space="preserve"> previous GWAS of OUD was performed in the Partners Healthcare System Biobank(</w:t>
      </w:r>
      <w:r w:rsidR="00267A34" w:rsidRPr="00126B9C">
        <w:rPr>
          <w:rFonts w:ascii="Times New Roman" w:hAnsi="Times New Roman" w:cs="Times New Roman"/>
          <w:color w:val="000000" w:themeColor="text1"/>
          <w:sz w:val="24"/>
          <w:szCs w:val="24"/>
        </w:rPr>
        <w:t>23</w:t>
      </w:r>
      <w:r w:rsidR="004F7745" w:rsidRPr="00126B9C">
        <w:rPr>
          <w:rFonts w:ascii="Times New Roman" w:hAnsi="Times New Roman" w:cs="Times New Roman"/>
          <w:color w:val="000000" w:themeColor="text1"/>
          <w:sz w:val="24"/>
          <w:szCs w:val="24"/>
        </w:rPr>
        <w:t xml:space="preserve">)—a biomedical database including clinical information and genetic data across a network of 8 Harvard-affiliated hospitals. Partners Biobank genotyping was performed using the Multi-Ethnic Global (MEG) Illumina array (Illumina, Inc., San Diego, CA) followed by imputation to the 1000 </w:t>
      </w:r>
      <w:r w:rsidR="000B3C2C" w:rsidRPr="00126B9C">
        <w:rPr>
          <w:rFonts w:ascii="Times New Roman" w:hAnsi="Times New Roman" w:cs="Times New Roman"/>
          <w:color w:val="000000" w:themeColor="text1"/>
          <w:sz w:val="24"/>
          <w:szCs w:val="24"/>
        </w:rPr>
        <w:t>G</w:t>
      </w:r>
      <w:r w:rsidR="004F7745" w:rsidRPr="00126B9C">
        <w:rPr>
          <w:rFonts w:ascii="Times New Roman" w:hAnsi="Times New Roman" w:cs="Times New Roman"/>
          <w:color w:val="000000" w:themeColor="text1"/>
          <w:sz w:val="24"/>
          <w:szCs w:val="24"/>
        </w:rPr>
        <w:t>enomes reference panel</w:t>
      </w:r>
      <w:r w:rsidR="00FB64E9" w:rsidRPr="00126B9C">
        <w:rPr>
          <w:rFonts w:ascii="Times New Roman" w:hAnsi="Times New Roman" w:cs="Times New Roman"/>
          <w:color w:val="000000" w:themeColor="text1"/>
          <w:sz w:val="24"/>
          <w:szCs w:val="24"/>
        </w:rPr>
        <w:t xml:space="preserve">(9) </w:t>
      </w:r>
      <w:r w:rsidR="004F7745" w:rsidRPr="00126B9C">
        <w:rPr>
          <w:rFonts w:ascii="Times New Roman" w:hAnsi="Times New Roman" w:cs="Times New Roman"/>
          <w:color w:val="000000" w:themeColor="text1"/>
          <w:sz w:val="24"/>
          <w:szCs w:val="24"/>
        </w:rPr>
        <w:t>using the Michigan Imputation Server. OUD case status was determined using ICD codes (</w:t>
      </w:r>
      <w:r w:rsidR="004F7745" w:rsidRPr="00126B9C">
        <w:rPr>
          <w:rFonts w:ascii="Times New Roman" w:hAnsi="Times New Roman" w:cs="Times New Roman"/>
          <w:b/>
          <w:bCs/>
          <w:color w:val="000000" w:themeColor="text1"/>
          <w:sz w:val="24"/>
          <w:szCs w:val="24"/>
        </w:rPr>
        <w:t>Supplemental Table1</w:t>
      </w:r>
      <w:r w:rsidR="004F7745" w:rsidRPr="00126B9C">
        <w:rPr>
          <w:rFonts w:ascii="Times New Roman" w:hAnsi="Times New Roman" w:cs="Times New Roman"/>
          <w:color w:val="000000" w:themeColor="text1"/>
          <w:sz w:val="24"/>
          <w:szCs w:val="24"/>
        </w:rPr>
        <w:t>) from patient electronic health records. GWAS were then conducted using logistic regression in PLINK v1.9(</w:t>
      </w:r>
      <w:r w:rsidR="00037EF7" w:rsidRPr="00126B9C">
        <w:rPr>
          <w:rFonts w:ascii="Times New Roman" w:hAnsi="Times New Roman" w:cs="Times New Roman"/>
          <w:color w:val="000000" w:themeColor="text1"/>
          <w:sz w:val="24"/>
          <w:szCs w:val="24"/>
        </w:rPr>
        <w:t>8</w:t>
      </w:r>
      <w:r w:rsidR="004F7745" w:rsidRPr="00126B9C">
        <w:rPr>
          <w:rFonts w:ascii="Times New Roman" w:hAnsi="Times New Roman" w:cs="Times New Roman"/>
          <w:color w:val="000000" w:themeColor="text1"/>
          <w:sz w:val="24"/>
          <w:szCs w:val="24"/>
        </w:rPr>
        <w:t>), covarying for age, sex, and the first five genetic PCs. For additional information please see Song et al., 2020(</w:t>
      </w:r>
      <w:r w:rsidR="0055598D" w:rsidRPr="00126B9C">
        <w:rPr>
          <w:rFonts w:ascii="Times New Roman" w:hAnsi="Times New Roman" w:cs="Times New Roman"/>
          <w:color w:val="000000" w:themeColor="text1"/>
          <w:sz w:val="24"/>
          <w:szCs w:val="24"/>
        </w:rPr>
        <w:t>23</w:t>
      </w:r>
      <w:r w:rsidR="004F7745" w:rsidRPr="00126B9C">
        <w:rPr>
          <w:rFonts w:ascii="Times New Roman" w:hAnsi="Times New Roman" w:cs="Times New Roman"/>
          <w:color w:val="000000" w:themeColor="text1"/>
          <w:sz w:val="24"/>
          <w:szCs w:val="24"/>
        </w:rPr>
        <w:t xml:space="preserve">). </w:t>
      </w:r>
    </w:p>
    <w:p w14:paraId="64DC30E5" w14:textId="77777777" w:rsidR="004F7745" w:rsidRPr="00126B9C" w:rsidRDefault="004F7745" w:rsidP="004F7745">
      <w:pPr>
        <w:spacing w:line="480" w:lineRule="auto"/>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t>FinnGen OUD GWAS</w:t>
      </w:r>
    </w:p>
    <w:p w14:paraId="6E4C9D21" w14:textId="0E9FEF0F" w:rsidR="004F7745" w:rsidRPr="00126B9C" w:rsidRDefault="004F7745" w:rsidP="004F7745">
      <w:pPr>
        <w:spacing w:line="480" w:lineRule="auto"/>
        <w:ind w:firstLine="720"/>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lastRenderedPageBreak/>
        <w:t>FinnGen is a national research initiative in Finland aimed toward collecting genetic and electronic health information to advance personalized healthcare and improve biomedical outcomes (</w:t>
      </w:r>
      <w:hyperlink r:id="rId8" w:history="1">
        <w:r w:rsidRPr="00126B9C">
          <w:rPr>
            <w:rStyle w:val="Hyperlink"/>
            <w:rFonts w:ascii="Times New Roman" w:hAnsi="Times New Roman" w:cs="Times New Roman"/>
            <w:color w:val="000000" w:themeColor="text1"/>
            <w:sz w:val="24"/>
            <w:szCs w:val="24"/>
          </w:rPr>
          <w:t>https://www.finngen.fi/en/about</w:t>
        </w:r>
      </w:hyperlink>
      <w:r w:rsidRPr="00126B9C">
        <w:rPr>
          <w:rFonts w:ascii="Times New Roman" w:hAnsi="Times New Roman" w:cs="Times New Roman"/>
          <w:color w:val="000000" w:themeColor="text1"/>
          <w:sz w:val="24"/>
          <w:szCs w:val="24"/>
        </w:rPr>
        <w:t xml:space="preserve">). Genotyping of FinnGen participants </w:t>
      </w:r>
      <w:r w:rsidR="00FB64E9" w:rsidRPr="00126B9C">
        <w:rPr>
          <w:rFonts w:ascii="Times New Roman" w:hAnsi="Times New Roman" w:cs="Times New Roman"/>
          <w:color w:val="000000" w:themeColor="text1"/>
          <w:sz w:val="24"/>
          <w:szCs w:val="24"/>
        </w:rPr>
        <w:t>wa</w:t>
      </w:r>
      <w:r w:rsidRPr="00126B9C">
        <w:rPr>
          <w:rFonts w:ascii="Times New Roman" w:hAnsi="Times New Roman" w:cs="Times New Roman"/>
          <w:color w:val="000000" w:themeColor="text1"/>
          <w:sz w:val="24"/>
          <w:szCs w:val="24"/>
        </w:rPr>
        <w:t xml:space="preserve">s performed using a custom ThormoFisher Axiom array containing information for 664,510 genetic variants. Clinical endpoints (e.g., </w:t>
      </w:r>
      <w:r w:rsidR="000B3C2C" w:rsidRPr="00126B9C">
        <w:rPr>
          <w:rFonts w:ascii="Times New Roman" w:hAnsi="Times New Roman" w:cs="Times New Roman"/>
          <w:color w:val="000000" w:themeColor="text1"/>
          <w:sz w:val="24"/>
          <w:szCs w:val="24"/>
        </w:rPr>
        <w:t>OUD</w:t>
      </w:r>
      <w:r w:rsidRPr="00126B9C">
        <w:rPr>
          <w:rFonts w:ascii="Times New Roman" w:hAnsi="Times New Roman" w:cs="Times New Roman"/>
          <w:color w:val="000000" w:themeColor="text1"/>
          <w:sz w:val="24"/>
          <w:szCs w:val="24"/>
        </w:rPr>
        <w:t>) are harmonized across ICD codes connected to Finnish national registries. GWAS are then performed on included traits and participants using the software package SAIGE(</w:t>
      </w:r>
      <w:r w:rsidR="00037EF7" w:rsidRPr="00126B9C">
        <w:rPr>
          <w:rFonts w:ascii="Times New Roman" w:hAnsi="Times New Roman" w:cs="Times New Roman"/>
          <w:color w:val="000000" w:themeColor="text1"/>
          <w:sz w:val="24"/>
          <w:szCs w:val="24"/>
        </w:rPr>
        <w:t>24</w:t>
      </w:r>
      <w:r w:rsidRPr="00126B9C">
        <w:rPr>
          <w:rFonts w:ascii="Times New Roman" w:hAnsi="Times New Roman" w:cs="Times New Roman"/>
          <w:color w:val="000000" w:themeColor="text1"/>
          <w:sz w:val="24"/>
          <w:szCs w:val="24"/>
        </w:rPr>
        <w:t xml:space="preserve">) covarying for age, sex, and 10 genetic PCs. Additional information can be found at </w:t>
      </w:r>
      <w:hyperlink r:id="rId9" w:history="1">
        <w:r w:rsidRPr="00126B9C">
          <w:rPr>
            <w:rStyle w:val="Hyperlink"/>
            <w:rFonts w:ascii="Times New Roman" w:hAnsi="Times New Roman" w:cs="Times New Roman"/>
            <w:color w:val="000000" w:themeColor="text1"/>
            <w:sz w:val="24"/>
            <w:szCs w:val="24"/>
          </w:rPr>
          <w:t>https://finngen.gitbook.io/documentation/methods</w:t>
        </w:r>
      </w:hyperlink>
      <w:r w:rsidRPr="00126B9C">
        <w:rPr>
          <w:rFonts w:ascii="Times New Roman" w:hAnsi="Times New Roman" w:cs="Times New Roman"/>
          <w:color w:val="000000" w:themeColor="text1"/>
          <w:sz w:val="24"/>
          <w:szCs w:val="24"/>
        </w:rPr>
        <w:t>.</w:t>
      </w:r>
    </w:p>
    <w:p w14:paraId="71B02587" w14:textId="77777777" w:rsidR="004F7745" w:rsidRPr="00126B9C" w:rsidRDefault="004F7745" w:rsidP="00AA3194">
      <w:pPr>
        <w:spacing w:line="480" w:lineRule="auto"/>
        <w:ind w:firstLine="720"/>
        <w:rPr>
          <w:rFonts w:ascii="Times New Roman" w:hAnsi="Times New Roman" w:cs="Times New Roman"/>
          <w:color w:val="000000" w:themeColor="text1"/>
          <w:sz w:val="24"/>
          <w:szCs w:val="24"/>
        </w:rPr>
      </w:pPr>
    </w:p>
    <w:p w14:paraId="5BDEFBB8" w14:textId="03F9872F" w:rsidR="00F006F0" w:rsidRPr="00126B9C" w:rsidRDefault="00F006F0" w:rsidP="00C92444">
      <w:pPr>
        <w:spacing w:line="480" w:lineRule="auto"/>
        <w:rPr>
          <w:rFonts w:ascii="Times New Roman" w:eastAsia="Times New Roman" w:hAnsi="Times New Roman" w:cs="Times New Roman"/>
          <w:i/>
          <w:iCs/>
          <w:color w:val="000000" w:themeColor="text1"/>
          <w:sz w:val="24"/>
          <w:szCs w:val="24"/>
        </w:rPr>
      </w:pPr>
      <w:bookmarkStart w:id="4" w:name="_Hlk98188608"/>
      <w:r w:rsidRPr="00126B9C">
        <w:rPr>
          <w:rFonts w:ascii="Times New Roman" w:eastAsia="Times New Roman" w:hAnsi="Times New Roman" w:cs="Times New Roman"/>
          <w:i/>
          <w:iCs/>
          <w:color w:val="000000" w:themeColor="text1"/>
          <w:sz w:val="24"/>
          <w:szCs w:val="24"/>
        </w:rPr>
        <w:t>Functional characterization of identified genetic risk loci</w:t>
      </w:r>
    </w:p>
    <w:p w14:paraId="3F4BAEED" w14:textId="0B96C874" w:rsidR="00F006F0" w:rsidRPr="00126B9C" w:rsidRDefault="00F006F0" w:rsidP="00F006F0">
      <w:pPr>
        <w:spacing w:line="480" w:lineRule="auto"/>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ab/>
      </w:r>
      <w:r w:rsidR="007E4960">
        <w:rPr>
          <w:rFonts w:ascii="Times New Roman" w:eastAsia="Times New Roman" w:hAnsi="Times New Roman" w:cs="Times New Roman"/>
          <w:color w:val="000000" w:themeColor="text1"/>
          <w:sz w:val="24"/>
          <w:szCs w:val="24"/>
        </w:rPr>
        <w:t>V</w:t>
      </w:r>
      <w:r w:rsidRPr="00126B9C">
        <w:rPr>
          <w:rFonts w:ascii="Times New Roman" w:eastAsia="Times New Roman" w:hAnsi="Times New Roman" w:cs="Times New Roman"/>
          <w:color w:val="000000" w:themeColor="text1"/>
          <w:sz w:val="24"/>
          <w:szCs w:val="24"/>
        </w:rPr>
        <w:t xml:space="preserve">ariants </w:t>
      </w:r>
      <w:r w:rsidR="007E4960">
        <w:rPr>
          <w:rFonts w:ascii="Times New Roman" w:eastAsia="Times New Roman" w:hAnsi="Times New Roman" w:cs="Times New Roman"/>
          <w:color w:val="000000" w:themeColor="text1"/>
          <w:sz w:val="24"/>
          <w:szCs w:val="24"/>
        </w:rPr>
        <w:t>were</w:t>
      </w:r>
      <w:r w:rsidRPr="00126B9C">
        <w:rPr>
          <w:rFonts w:ascii="Times New Roman" w:eastAsia="Times New Roman" w:hAnsi="Times New Roman" w:cs="Times New Roman"/>
          <w:color w:val="000000" w:themeColor="text1"/>
          <w:sz w:val="24"/>
          <w:szCs w:val="24"/>
        </w:rPr>
        <w:t xml:space="preserve"> mapped to the nearest gene based upon physical position</w:t>
      </w:r>
      <w:r w:rsidR="007E4960">
        <w:rPr>
          <w:rFonts w:ascii="Times New Roman" w:eastAsia="Times New Roman" w:hAnsi="Times New Roman" w:cs="Times New Roman"/>
          <w:color w:val="000000" w:themeColor="text1"/>
          <w:sz w:val="24"/>
          <w:szCs w:val="24"/>
        </w:rPr>
        <w:t xml:space="preserve"> and</w:t>
      </w:r>
      <w:r w:rsidRPr="00126B9C">
        <w:rPr>
          <w:rFonts w:ascii="Times New Roman" w:eastAsia="Times New Roman" w:hAnsi="Times New Roman" w:cs="Times New Roman"/>
          <w:color w:val="000000" w:themeColor="text1"/>
          <w:sz w:val="24"/>
          <w:szCs w:val="24"/>
        </w:rPr>
        <w:t xml:space="preserve"> </w:t>
      </w:r>
      <w:r w:rsidR="007E4960">
        <w:rPr>
          <w:rFonts w:ascii="Times New Roman" w:eastAsia="Times New Roman" w:hAnsi="Times New Roman" w:cs="Times New Roman"/>
          <w:color w:val="000000" w:themeColor="text1"/>
          <w:sz w:val="24"/>
          <w:szCs w:val="24"/>
        </w:rPr>
        <w:t>further</w:t>
      </w:r>
      <w:r w:rsidRPr="00126B9C">
        <w:rPr>
          <w:rFonts w:ascii="Times New Roman" w:eastAsia="Times New Roman" w:hAnsi="Times New Roman" w:cs="Times New Roman"/>
          <w:color w:val="000000" w:themeColor="text1"/>
          <w:sz w:val="24"/>
          <w:szCs w:val="24"/>
        </w:rPr>
        <w:t xml:space="preserve"> characterized using gene-mapping approaches leveraging GTEx v8(</w:t>
      </w:r>
      <w:r w:rsidR="00037EF7" w:rsidRPr="00126B9C">
        <w:rPr>
          <w:rFonts w:ascii="Times New Roman" w:eastAsia="Times New Roman" w:hAnsi="Times New Roman" w:cs="Times New Roman"/>
          <w:color w:val="000000" w:themeColor="text1"/>
          <w:sz w:val="24"/>
          <w:szCs w:val="24"/>
        </w:rPr>
        <w:t>25</w:t>
      </w:r>
      <w:r w:rsidRPr="00126B9C">
        <w:rPr>
          <w:rFonts w:ascii="Times New Roman" w:eastAsia="Times New Roman" w:hAnsi="Times New Roman" w:cs="Times New Roman"/>
          <w:color w:val="000000" w:themeColor="text1"/>
          <w:sz w:val="24"/>
          <w:szCs w:val="24"/>
        </w:rPr>
        <w:t>) and BRAINEAC(</w:t>
      </w:r>
      <w:r w:rsidR="00037EF7" w:rsidRPr="00126B9C">
        <w:rPr>
          <w:rFonts w:ascii="Times New Roman" w:eastAsia="Times New Roman" w:hAnsi="Times New Roman" w:cs="Times New Roman"/>
          <w:color w:val="000000" w:themeColor="text1"/>
          <w:sz w:val="24"/>
          <w:szCs w:val="24"/>
        </w:rPr>
        <w:t>26</w:t>
      </w:r>
      <w:r w:rsidRPr="00126B9C">
        <w:rPr>
          <w:rFonts w:ascii="Times New Roman" w:eastAsia="Times New Roman" w:hAnsi="Times New Roman" w:cs="Times New Roman"/>
          <w:color w:val="000000" w:themeColor="text1"/>
          <w:sz w:val="24"/>
          <w:szCs w:val="24"/>
        </w:rPr>
        <w:t>) expression quantitative trait locus (eQTL) data and 3D chromatin interactions (Hi-C)(</w:t>
      </w:r>
      <w:r w:rsidR="00037EF7" w:rsidRPr="00126B9C">
        <w:rPr>
          <w:rFonts w:ascii="Times New Roman" w:eastAsia="Times New Roman" w:hAnsi="Times New Roman" w:cs="Times New Roman"/>
          <w:color w:val="000000" w:themeColor="text1"/>
          <w:sz w:val="24"/>
          <w:szCs w:val="24"/>
        </w:rPr>
        <w:t>27</w:t>
      </w:r>
      <w:r w:rsidRPr="00126B9C">
        <w:rPr>
          <w:rFonts w:ascii="Times New Roman" w:eastAsia="Times New Roman" w:hAnsi="Times New Roman" w:cs="Times New Roman"/>
          <w:color w:val="000000" w:themeColor="text1"/>
          <w:sz w:val="24"/>
          <w:szCs w:val="24"/>
        </w:rPr>
        <w:t>)</w:t>
      </w:r>
      <w:r w:rsidR="00466BD4" w:rsidRPr="00126B9C">
        <w:rPr>
          <w:rFonts w:ascii="Times New Roman" w:eastAsia="Times New Roman" w:hAnsi="Times New Roman" w:cs="Times New Roman"/>
          <w:color w:val="000000" w:themeColor="text1"/>
          <w:sz w:val="24"/>
          <w:szCs w:val="24"/>
        </w:rPr>
        <w:t xml:space="preserve"> as implemented in the FUMA plat</w:t>
      </w:r>
      <w:r w:rsidR="00B90386" w:rsidRPr="00126B9C">
        <w:rPr>
          <w:rFonts w:ascii="Times New Roman" w:eastAsia="Times New Roman" w:hAnsi="Times New Roman" w:cs="Times New Roman"/>
          <w:color w:val="000000" w:themeColor="text1"/>
          <w:sz w:val="24"/>
          <w:szCs w:val="24"/>
        </w:rPr>
        <w:t xml:space="preserve">form </w:t>
      </w:r>
      <w:r w:rsidR="00A62D61" w:rsidRPr="00126B9C">
        <w:rPr>
          <w:rFonts w:ascii="Times New Roman" w:eastAsia="Times New Roman" w:hAnsi="Times New Roman" w:cs="Times New Roman"/>
          <w:color w:val="000000" w:themeColor="text1"/>
          <w:sz w:val="24"/>
          <w:szCs w:val="24"/>
        </w:rPr>
        <w:t>(Functional Mapping and Annotation)(28)</w:t>
      </w:r>
      <w:r w:rsidRPr="00126B9C">
        <w:rPr>
          <w:rFonts w:ascii="Times New Roman" w:eastAsia="Times New Roman" w:hAnsi="Times New Roman" w:cs="Times New Roman"/>
          <w:color w:val="000000" w:themeColor="text1"/>
          <w:sz w:val="24"/>
          <w:szCs w:val="24"/>
        </w:rPr>
        <w:t xml:space="preserve">. </w:t>
      </w:r>
    </w:p>
    <w:p w14:paraId="47DE3ED4" w14:textId="388F701C" w:rsidR="00F006F0" w:rsidRPr="00126B9C" w:rsidRDefault="00F006F0" w:rsidP="00F006F0">
      <w:pPr>
        <w:spacing w:line="480" w:lineRule="auto"/>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ab/>
        <w:t>For eQTL-based gene-mapping, GTEx v8 gene expression data included: amygdala, anterior cingulate cortex BA24, cerebellar hemisphere, cerebellum, cortex, frontal cortex BA9, hippocampus, hypothalamus, nucleus accumbens basal ganglia, putamen basal ganglia, spinal cord cervical c-1, and substantia nigra</w:t>
      </w:r>
      <w:r w:rsidR="00B90386" w:rsidRPr="00126B9C">
        <w:rPr>
          <w:rFonts w:ascii="Times New Roman" w:eastAsia="Times New Roman" w:hAnsi="Times New Roman" w:cs="Times New Roman"/>
          <w:color w:val="000000" w:themeColor="text1"/>
          <w:sz w:val="24"/>
          <w:szCs w:val="24"/>
        </w:rPr>
        <w:t>(</w:t>
      </w:r>
      <w:r w:rsidR="00037EF7" w:rsidRPr="00126B9C">
        <w:rPr>
          <w:rFonts w:ascii="Times New Roman" w:eastAsia="Times New Roman" w:hAnsi="Times New Roman" w:cs="Times New Roman"/>
          <w:color w:val="000000" w:themeColor="text1"/>
          <w:sz w:val="24"/>
          <w:szCs w:val="24"/>
        </w:rPr>
        <w:t>25</w:t>
      </w:r>
      <w:r w:rsidR="00B90386" w:rsidRPr="00126B9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color w:val="000000" w:themeColor="text1"/>
          <w:sz w:val="24"/>
          <w:szCs w:val="24"/>
        </w:rPr>
        <w:t>. BRAINEAC</w:t>
      </w:r>
      <w:r w:rsidR="00B90386" w:rsidRPr="00126B9C">
        <w:rPr>
          <w:rFonts w:ascii="Times New Roman" w:eastAsia="Times New Roman" w:hAnsi="Times New Roman" w:cs="Times New Roman"/>
          <w:color w:val="000000" w:themeColor="text1"/>
          <w:sz w:val="24"/>
          <w:szCs w:val="24"/>
        </w:rPr>
        <w:t>(</w:t>
      </w:r>
      <w:r w:rsidR="00037EF7" w:rsidRPr="00126B9C">
        <w:rPr>
          <w:rFonts w:ascii="Times New Roman" w:eastAsia="Times New Roman" w:hAnsi="Times New Roman" w:cs="Times New Roman"/>
          <w:color w:val="000000" w:themeColor="text1"/>
          <w:sz w:val="24"/>
          <w:szCs w:val="24"/>
        </w:rPr>
        <w:t>26</w:t>
      </w:r>
      <w:r w:rsidR="00B90386"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color w:val="000000" w:themeColor="text1"/>
          <w:sz w:val="24"/>
          <w:szCs w:val="24"/>
        </w:rPr>
        <w:t>tissues included:  cerebellar cortex, frontal cortex, hippocampus, inferior olivary nucleus, occipital cortex, putamen, substantia nigra, temporal cortex, thalamus, and intralobular white matter. For Hi-C chromatin interactions, Hi-C included data from PsychENCODE</w:t>
      </w:r>
      <w:r w:rsidR="00BE0A86" w:rsidRPr="00126B9C">
        <w:rPr>
          <w:rFonts w:ascii="Times New Roman" w:eastAsia="Times New Roman" w:hAnsi="Times New Roman" w:cs="Times New Roman"/>
          <w:color w:val="000000" w:themeColor="text1"/>
          <w:sz w:val="24"/>
          <w:szCs w:val="24"/>
        </w:rPr>
        <w:t>(</w:t>
      </w:r>
      <w:r w:rsidR="00A62D61" w:rsidRPr="00126B9C">
        <w:rPr>
          <w:rFonts w:ascii="Times New Roman" w:eastAsia="Times New Roman" w:hAnsi="Times New Roman" w:cs="Times New Roman"/>
          <w:color w:val="000000" w:themeColor="text1"/>
          <w:sz w:val="24"/>
          <w:szCs w:val="24"/>
        </w:rPr>
        <w:t>29</w:t>
      </w:r>
      <w:r w:rsidR="00BE0A86" w:rsidRPr="00126B9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color w:val="000000" w:themeColor="text1"/>
          <w:sz w:val="24"/>
          <w:szCs w:val="24"/>
        </w:rPr>
        <w:t xml:space="preserve"> EP links and PsychENCODE promoter anchored loops, and FUMA-based datasets for Hi-C in adult cortex, dorsolateral prefrontal cortex, and </w:t>
      </w:r>
      <w:r w:rsidRPr="00126B9C">
        <w:rPr>
          <w:rFonts w:ascii="Times New Roman" w:eastAsia="Times New Roman" w:hAnsi="Times New Roman" w:cs="Times New Roman"/>
          <w:color w:val="000000" w:themeColor="text1"/>
          <w:sz w:val="24"/>
          <w:szCs w:val="24"/>
        </w:rPr>
        <w:lastRenderedPageBreak/>
        <w:t xml:space="preserve">hippocampus. Circos plots </w:t>
      </w:r>
      <w:r w:rsidR="007F574B">
        <w:rPr>
          <w:rFonts w:ascii="Times New Roman" w:eastAsia="Times New Roman" w:hAnsi="Times New Roman" w:cs="Times New Roman"/>
          <w:color w:val="000000" w:themeColor="text1"/>
          <w:sz w:val="24"/>
          <w:szCs w:val="24"/>
        </w:rPr>
        <w:t xml:space="preserve">and summaries of functional characterization </w:t>
      </w:r>
      <w:r w:rsidRPr="00126B9C">
        <w:rPr>
          <w:rFonts w:ascii="Times New Roman" w:eastAsia="Times New Roman" w:hAnsi="Times New Roman" w:cs="Times New Roman"/>
          <w:color w:val="000000" w:themeColor="text1"/>
          <w:sz w:val="24"/>
          <w:szCs w:val="24"/>
        </w:rPr>
        <w:t xml:space="preserve">for all chromosomes containing genome-wide significant loci for the respective </w:t>
      </w:r>
      <w:r w:rsidR="00D9151C" w:rsidRPr="00126B9C">
        <w:rPr>
          <w:rFonts w:ascii="Times New Roman" w:eastAsia="Times New Roman" w:hAnsi="Times New Roman" w:cs="Times New Roman"/>
          <w:color w:val="000000" w:themeColor="text1"/>
          <w:sz w:val="24"/>
          <w:szCs w:val="24"/>
        </w:rPr>
        <w:t xml:space="preserve">EUR </w:t>
      </w:r>
      <w:r w:rsidRPr="00126B9C">
        <w:rPr>
          <w:rFonts w:ascii="Times New Roman" w:eastAsia="Times New Roman" w:hAnsi="Times New Roman" w:cs="Times New Roman"/>
          <w:color w:val="000000" w:themeColor="text1"/>
          <w:sz w:val="24"/>
          <w:szCs w:val="24"/>
        </w:rPr>
        <w:t xml:space="preserve">OUD and OUD-MTAG GWAS can be found in </w:t>
      </w:r>
      <w:r w:rsidRPr="00126B9C">
        <w:rPr>
          <w:rFonts w:ascii="Times New Roman" w:eastAsia="Times New Roman" w:hAnsi="Times New Roman" w:cs="Times New Roman"/>
          <w:b/>
          <w:bCs/>
          <w:color w:val="000000" w:themeColor="text1"/>
          <w:sz w:val="24"/>
          <w:szCs w:val="24"/>
        </w:rPr>
        <w:t>Supplementa</w:t>
      </w:r>
      <w:r w:rsidR="00903786">
        <w:rPr>
          <w:rFonts w:ascii="Times New Roman" w:eastAsia="Times New Roman" w:hAnsi="Times New Roman" w:cs="Times New Roman"/>
          <w:b/>
          <w:bCs/>
          <w:color w:val="000000" w:themeColor="text1"/>
          <w:sz w:val="24"/>
          <w:szCs w:val="24"/>
        </w:rPr>
        <w:t>l</w:t>
      </w:r>
      <w:r w:rsidRPr="00126B9C">
        <w:rPr>
          <w:rFonts w:ascii="Times New Roman" w:eastAsia="Times New Roman" w:hAnsi="Times New Roman" w:cs="Times New Roman"/>
          <w:b/>
          <w:bCs/>
          <w:color w:val="000000" w:themeColor="text1"/>
          <w:sz w:val="24"/>
          <w:szCs w:val="24"/>
        </w:rPr>
        <w:t xml:space="preserve"> Figures</w:t>
      </w:r>
      <w:r w:rsidR="009E7245">
        <w:rPr>
          <w:rFonts w:ascii="Times New Roman" w:eastAsia="Times New Roman" w:hAnsi="Times New Roman" w:cs="Times New Roman"/>
          <w:b/>
          <w:bCs/>
          <w:color w:val="000000" w:themeColor="text1"/>
          <w:sz w:val="24"/>
          <w:szCs w:val="24"/>
        </w:rPr>
        <w:t xml:space="preserve">6-7 </w:t>
      </w:r>
      <w:r w:rsidR="009E7245" w:rsidRPr="00903786">
        <w:rPr>
          <w:rFonts w:ascii="Times New Roman" w:eastAsia="Times New Roman" w:hAnsi="Times New Roman" w:cs="Times New Roman"/>
          <w:color w:val="000000" w:themeColor="text1"/>
          <w:sz w:val="24"/>
          <w:szCs w:val="24"/>
        </w:rPr>
        <w:t>(</w:t>
      </w:r>
      <w:r w:rsidR="009E7245">
        <w:rPr>
          <w:rFonts w:ascii="Times New Roman" w:eastAsia="Times New Roman" w:hAnsi="Times New Roman" w:cs="Times New Roman"/>
          <w:b/>
          <w:bCs/>
          <w:color w:val="000000" w:themeColor="text1"/>
          <w:sz w:val="24"/>
          <w:szCs w:val="24"/>
        </w:rPr>
        <w:t>Supplemental Tables</w:t>
      </w:r>
      <w:r w:rsidR="003046A1">
        <w:rPr>
          <w:rFonts w:ascii="Times New Roman" w:eastAsia="Times New Roman" w:hAnsi="Times New Roman" w:cs="Times New Roman"/>
          <w:b/>
          <w:bCs/>
          <w:color w:val="000000" w:themeColor="text1"/>
          <w:sz w:val="24"/>
          <w:szCs w:val="24"/>
        </w:rPr>
        <w:t>12</w:t>
      </w:r>
      <w:r w:rsidR="009E7245">
        <w:rPr>
          <w:rFonts w:ascii="Times New Roman" w:eastAsia="Times New Roman" w:hAnsi="Times New Roman" w:cs="Times New Roman"/>
          <w:b/>
          <w:bCs/>
          <w:color w:val="000000" w:themeColor="text1"/>
          <w:sz w:val="24"/>
          <w:szCs w:val="24"/>
        </w:rPr>
        <w:t>-</w:t>
      </w:r>
      <w:r w:rsidR="003046A1">
        <w:rPr>
          <w:rFonts w:ascii="Times New Roman" w:eastAsia="Times New Roman" w:hAnsi="Times New Roman" w:cs="Times New Roman"/>
          <w:b/>
          <w:bCs/>
          <w:color w:val="000000" w:themeColor="text1"/>
          <w:sz w:val="24"/>
          <w:szCs w:val="24"/>
        </w:rPr>
        <w:t>15</w:t>
      </w:r>
      <w:r w:rsidR="009E7245" w:rsidRPr="00903786">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color w:val="000000" w:themeColor="text1"/>
          <w:sz w:val="24"/>
          <w:szCs w:val="24"/>
        </w:rPr>
        <w:t xml:space="preserve">. </w:t>
      </w:r>
    </w:p>
    <w:p w14:paraId="4ECDB609" w14:textId="50394355" w:rsidR="00C92444" w:rsidRPr="00126B9C" w:rsidRDefault="00D11296" w:rsidP="00C92444">
      <w:pPr>
        <w:spacing w:line="480" w:lineRule="auto"/>
        <w:rPr>
          <w:rFonts w:ascii="Times New Roman" w:eastAsia="Times New Roman" w:hAnsi="Times New Roman" w:cs="Times New Roman"/>
          <w:i/>
          <w:iCs/>
          <w:color w:val="000000" w:themeColor="text1"/>
          <w:sz w:val="24"/>
          <w:szCs w:val="24"/>
        </w:rPr>
      </w:pPr>
      <w:bookmarkStart w:id="5" w:name="_Hlk99443989"/>
      <w:bookmarkEnd w:id="4"/>
      <w:r w:rsidRPr="00126B9C">
        <w:rPr>
          <w:rFonts w:ascii="Times New Roman" w:eastAsia="Times New Roman" w:hAnsi="Times New Roman" w:cs="Times New Roman"/>
          <w:i/>
          <w:iCs/>
          <w:color w:val="000000" w:themeColor="text1"/>
          <w:sz w:val="24"/>
          <w:szCs w:val="24"/>
        </w:rPr>
        <w:t xml:space="preserve">OUD and OUD-MTAG </w:t>
      </w:r>
      <w:r w:rsidR="00C92444" w:rsidRPr="00126B9C">
        <w:rPr>
          <w:rFonts w:ascii="Times New Roman" w:eastAsia="Times New Roman" w:hAnsi="Times New Roman" w:cs="Times New Roman"/>
          <w:i/>
          <w:iCs/>
          <w:color w:val="000000" w:themeColor="text1"/>
          <w:sz w:val="24"/>
          <w:szCs w:val="24"/>
        </w:rPr>
        <w:t>Gene</w:t>
      </w:r>
      <w:r w:rsidR="001D7CDA" w:rsidRPr="00126B9C">
        <w:rPr>
          <w:rFonts w:ascii="Times New Roman" w:eastAsia="Times New Roman" w:hAnsi="Times New Roman" w:cs="Times New Roman"/>
          <w:i/>
          <w:iCs/>
          <w:color w:val="000000" w:themeColor="text1"/>
          <w:sz w:val="24"/>
          <w:szCs w:val="24"/>
        </w:rPr>
        <w:t>-based</w:t>
      </w:r>
      <w:r w:rsidR="00C92444" w:rsidRPr="00126B9C">
        <w:rPr>
          <w:rFonts w:ascii="Times New Roman" w:eastAsia="Times New Roman" w:hAnsi="Times New Roman" w:cs="Times New Roman"/>
          <w:i/>
          <w:iCs/>
          <w:color w:val="000000" w:themeColor="text1"/>
          <w:sz w:val="24"/>
          <w:szCs w:val="24"/>
        </w:rPr>
        <w:t xml:space="preserve"> analysis</w:t>
      </w:r>
    </w:p>
    <w:p w14:paraId="7D4CD2E1" w14:textId="0E6FE933" w:rsidR="00C92444" w:rsidRPr="00126B9C" w:rsidRDefault="00C92444" w:rsidP="00C92444">
      <w:pPr>
        <w:spacing w:line="480" w:lineRule="auto"/>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ab/>
        <w:t xml:space="preserve">GWAS summary data from the respective meta-analyses </w:t>
      </w:r>
      <w:r w:rsidR="00950EF1" w:rsidRPr="00126B9C">
        <w:rPr>
          <w:rFonts w:ascii="Times New Roman" w:eastAsia="Times New Roman" w:hAnsi="Times New Roman" w:cs="Times New Roman"/>
          <w:color w:val="000000" w:themeColor="text1"/>
          <w:sz w:val="24"/>
          <w:szCs w:val="24"/>
        </w:rPr>
        <w:t xml:space="preserve">and OUD-MTAG analysis </w:t>
      </w:r>
      <w:r w:rsidRPr="00126B9C">
        <w:rPr>
          <w:rFonts w:ascii="Times New Roman" w:eastAsia="Times New Roman" w:hAnsi="Times New Roman" w:cs="Times New Roman"/>
          <w:color w:val="000000" w:themeColor="text1"/>
          <w:sz w:val="24"/>
          <w:szCs w:val="24"/>
        </w:rPr>
        <w:t>were used to carry out gene-based analyses using MAGMA (Multi-marker Analysis of GenoMic Annotation)(</w:t>
      </w:r>
      <w:r w:rsidR="00A62D61" w:rsidRPr="00126B9C">
        <w:rPr>
          <w:rFonts w:ascii="Times New Roman" w:eastAsia="Times New Roman" w:hAnsi="Times New Roman" w:cs="Times New Roman"/>
          <w:color w:val="000000" w:themeColor="text1"/>
          <w:sz w:val="24"/>
          <w:szCs w:val="24"/>
        </w:rPr>
        <w:t>30</w:t>
      </w:r>
      <w:r w:rsidRPr="00126B9C">
        <w:rPr>
          <w:rFonts w:ascii="Times New Roman" w:eastAsia="Times New Roman" w:hAnsi="Times New Roman" w:cs="Times New Roman"/>
          <w:color w:val="000000" w:themeColor="text1"/>
          <w:sz w:val="24"/>
          <w:szCs w:val="24"/>
        </w:rPr>
        <w:t xml:space="preserve">) as implemented in the FUMA platform </w:t>
      </w:r>
      <w:r w:rsidR="00A62D61" w:rsidRPr="00126B9C">
        <w:rPr>
          <w:rFonts w:ascii="Times New Roman" w:eastAsia="Times New Roman" w:hAnsi="Times New Roman" w:cs="Times New Roman"/>
          <w:color w:val="000000" w:themeColor="text1"/>
          <w:sz w:val="24"/>
          <w:szCs w:val="24"/>
        </w:rPr>
        <w:t>(28</w:t>
      </w:r>
      <w:r w:rsidRPr="00126B9C">
        <w:rPr>
          <w:rFonts w:ascii="Times New Roman" w:eastAsia="Times New Roman" w:hAnsi="Times New Roman" w:cs="Times New Roman"/>
          <w:color w:val="000000" w:themeColor="text1"/>
          <w:sz w:val="24"/>
          <w:szCs w:val="24"/>
        </w:rPr>
        <w:t>). Single nucleotide polymorphisms (SNPs) were mapped to 16,113 protein-coding genes based upon physical position</w:t>
      </w:r>
      <w:r w:rsidR="00950EF1" w:rsidRPr="00126B9C">
        <w:rPr>
          <w:rFonts w:ascii="Times New Roman" w:eastAsia="Times New Roman" w:hAnsi="Times New Roman" w:cs="Times New Roman"/>
          <w:color w:val="000000" w:themeColor="text1"/>
          <w:sz w:val="24"/>
          <w:szCs w:val="24"/>
        </w:rPr>
        <w:t xml:space="preserve"> for the OUD gene-based tests, and 15,927 genes for OUD-MTAG </w:t>
      </w:r>
      <w:r w:rsidRPr="00126B9C">
        <w:rPr>
          <w:rFonts w:ascii="Times New Roman" w:eastAsia="Times New Roman" w:hAnsi="Times New Roman" w:cs="Times New Roman"/>
          <w:color w:val="000000" w:themeColor="text1"/>
          <w:sz w:val="24"/>
          <w:szCs w:val="24"/>
        </w:rPr>
        <w:t xml:space="preserve">. GWS for the gene-based tests was defined via Bonferroni correction as </w:t>
      </w:r>
      <w:r w:rsidRPr="00126B9C">
        <w:rPr>
          <w:rFonts w:ascii="Times New Roman" w:eastAsia="Times New Roman" w:hAnsi="Times New Roman" w:cs="Times New Roman"/>
          <w:i/>
          <w:iCs/>
          <w:color w:val="000000" w:themeColor="text1"/>
          <w:sz w:val="24"/>
          <w:szCs w:val="24"/>
        </w:rPr>
        <w:t>p</w:t>
      </w:r>
      <w:r w:rsidR="00950EF1" w:rsidRPr="00126B9C">
        <w:rPr>
          <w:rFonts w:ascii="Times New Roman" w:eastAsia="Times New Roman" w:hAnsi="Times New Roman" w:cs="Times New Roman"/>
          <w:i/>
          <w:iCs/>
          <w:color w:val="000000" w:themeColor="text1"/>
          <w:sz w:val="24"/>
          <w:szCs w:val="24"/>
        </w:rPr>
        <w:t xml:space="preserve"> </w:t>
      </w:r>
      <w:r w:rsidR="00950EF1"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color w:val="000000" w:themeColor="text1"/>
          <w:sz w:val="24"/>
          <w:szCs w:val="24"/>
        </w:rPr>
        <w:t>3.10x10</w:t>
      </w:r>
      <w:r w:rsidRPr="00126B9C">
        <w:rPr>
          <w:rFonts w:ascii="Times New Roman" w:eastAsia="Times New Roman" w:hAnsi="Times New Roman" w:cs="Times New Roman"/>
          <w:color w:val="000000" w:themeColor="text1"/>
          <w:sz w:val="24"/>
          <w:szCs w:val="24"/>
          <w:vertAlign w:val="superscript"/>
        </w:rPr>
        <w:t>-06</w:t>
      </w:r>
      <w:r w:rsidRPr="00126B9C">
        <w:rPr>
          <w:rFonts w:ascii="Times New Roman" w:eastAsia="Times New Roman" w:hAnsi="Times New Roman" w:cs="Times New Roman"/>
          <w:color w:val="000000" w:themeColor="text1"/>
          <w:sz w:val="24"/>
          <w:szCs w:val="24"/>
        </w:rPr>
        <w:t xml:space="preserve"> (0.05/16,113)</w:t>
      </w:r>
      <w:r w:rsidR="00950EF1" w:rsidRPr="00126B9C">
        <w:rPr>
          <w:rFonts w:ascii="Times New Roman" w:eastAsia="Times New Roman" w:hAnsi="Times New Roman" w:cs="Times New Roman"/>
          <w:color w:val="000000" w:themeColor="text1"/>
          <w:sz w:val="24"/>
          <w:szCs w:val="24"/>
        </w:rPr>
        <w:t xml:space="preserve"> for OUD and </w:t>
      </w:r>
      <w:r w:rsidR="00950EF1" w:rsidRPr="00126B9C">
        <w:rPr>
          <w:rFonts w:ascii="Times New Roman" w:eastAsia="Times New Roman" w:hAnsi="Times New Roman" w:cs="Times New Roman"/>
          <w:i/>
          <w:iCs/>
          <w:color w:val="000000" w:themeColor="text1"/>
          <w:sz w:val="24"/>
          <w:szCs w:val="24"/>
        </w:rPr>
        <w:t xml:space="preserve">p </w:t>
      </w:r>
      <w:r w:rsidR="00950EF1" w:rsidRPr="00126B9C">
        <w:rPr>
          <w:rFonts w:ascii="Times New Roman" w:eastAsia="Times New Roman" w:hAnsi="Times New Roman" w:cs="Times New Roman"/>
          <w:color w:val="000000" w:themeColor="text1"/>
          <w:sz w:val="24"/>
          <w:szCs w:val="24"/>
        </w:rPr>
        <w:t>≤ 3.14x10</w:t>
      </w:r>
      <w:r w:rsidR="00950EF1" w:rsidRPr="00126B9C">
        <w:rPr>
          <w:rFonts w:ascii="Times New Roman" w:eastAsia="Times New Roman" w:hAnsi="Times New Roman" w:cs="Times New Roman"/>
          <w:color w:val="000000" w:themeColor="text1"/>
          <w:sz w:val="24"/>
          <w:szCs w:val="24"/>
          <w:vertAlign w:val="superscript"/>
        </w:rPr>
        <w:t>-06</w:t>
      </w:r>
      <w:r w:rsidR="00950EF1" w:rsidRPr="00126B9C">
        <w:rPr>
          <w:rFonts w:ascii="Times New Roman" w:eastAsia="Times New Roman" w:hAnsi="Times New Roman" w:cs="Times New Roman"/>
          <w:color w:val="000000" w:themeColor="text1"/>
          <w:sz w:val="24"/>
          <w:szCs w:val="24"/>
        </w:rPr>
        <w:t xml:space="preserve"> for OUD-MTAG.</w:t>
      </w:r>
    </w:p>
    <w:p w14:paraId="575402D4" w14:textId="7609D6E9" w:rsidR="005403CF" w:rsidRPr="00126B9C" w:rsidRDefault="005403CF" w:rsidP="005403CF">
      <w:pPr>
        <w:spacing w:line="480" w:lineRule="auto"/>
        <w:ind w:firstLine="720"/>
        <w:rPr>
          <w:rFonts w:ascii="Times New Roman" w:eastAsia="Times New Roman" w:hAnsi="Times New Roman" w:cs="Times New Roman"/>
          <w:iCs/>
          <w:color w:val="000000" w:themeColor="text1"/>
          <w:sz w:val="24"/>
          <w:szCs w:val="24"/>
        </w:rPr>
      </w:pPr>
      <w:r w:rsidRPr="00126B9C">
        <w:rPr>
          <w:rFonts w:ascii="Times New Roman" w:eastAsia="Times New Roman" w:hAnsi="Times New Roman" w:cs="Times New Roman"/>
          <w:iCs/>
          <w:color w:val="000000" w:themeColor="text1"/>
          <w:sz w:val="24"/>
          <w:szCs w:val="24"/>
        </w:rPr>
        <w:t>Both</w:t>
      </w:r>
      <w:r w:rsidRPr="00126B9C">
        <w:rPr>
          <w:rFonts w:ascii="Times New Roman" w:eastAsia="Times New Roman" w:hAnsi="Times New Roman" w:cs="Times New Roman"/>
          <w:i/>
          <w:iCs/>
          <w:color w:val="000000" w:themeColor="text1"/>
          <w:sz w:val="24"/>
          <w:szCs w:val="24"/>
        </w:rPr>
        <w:t xml:space="preserve"> FURIN</w:t>
      </w:r>
      <w:r w:rsidRPr="00126B9C">
        <w:rPr>
          <w:rFonts w:ascii="Times New Roman" w:eastAsia="Times New Roman" w:hAnsi="Times New Roman" w:cs="Times New Roman"/>
          <w:iCs/>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iCs/>
          <w:color w:val="000000" w:themeColor="text1"/>
          <w:sz w:val="24"/>
          <w:szCs w:val="24"/>
        </w:rPr>
        <w:t>=3.09x10</w:t>
      </w:r>
      <w:r w:rsidRPr="00126B9C">
        <w:rPr>
          <w:rFonts w:ascii="Times New Roman" w:eastAsia="Times New Roman" w:hAnsi="Times New Roman" w:cs="Times New Roman"/>
          <w:iCs/>
          <w:color w:val="000000" w:themeColor="text1"/>
          <w:sz w:val="24"/>
          <w:szCs w:val="24"/>
          <w:vertAlign w:val="superscript"/>
        </w:rPr>
        <w:t>-07</w:t>
      </w:r>
      <w:r w:rsidRPr="00126B9C">
        <w:rPr>
          <w:rFonts w:ascii="Times New Roman" w:eastAsia="Times New Roman" w:hAnsi="Times New Roman" w:cs="Times New Roman"/>
          <w:iCs/>
          <w:color w:val="000000" w:themeColor="text1"/>
          <w:sz w:val="24"/>
          <w:szCs w:val="24"/>
        </w:rPr>
        <w:t xml:space="preserve">) and </w:t>
      </w:r>
      <w:r w:rsidRPr="00126B9C">
        <w:rPr>
          <w:rFonts w:ascii="Times New Roman" w:eastAsia="Times New Roman" w:hAnsi="Times New Roman" w:cs="Times New Roman"/>
          <w:i/>
          <w:color w:val="000000" w:themeColor="text1"/>
          <w:sz w:val="24"/>
          <w:szCs w:val="24"/>
        </w:rPr>
        <w:t xml:space="preserve">OPRM1 </w:t>
      </w:r>
      <w:r w:rsidRPr="00126B9C">
        <w:rPr>
          <w:rFonts w:ascii="Times New Roman" w:eastAsia="Times New Roman" w:hAnsi="Times New Roman" w:cs="Times New Roman"/>
          <w:iCs/>
          <w:color w:val="000000" w:themeColor="text1"/>
          <w:sz w:val="24"/>
          <w:szCs w:val="24"/>
        </w:rPr>
        <w:t>(</w:t>
      </w:r>
      <w:r w:rsidRPr="00126B9C">
        <w:rPr>
          <w:rFonts w:ascii="Times New Roman" w:eastAsia="Times New Roman" w:hAnsi="Times New Roman" w:cs="Times New Roman"/>
          <w:i/>
          <w:color w:val="000000" w:themeColor="text1"/>
          <w:sz w:val="24"/>
          <w:szCs w:val="24"/>
        </w:rPr>
        <w:t>p</w:t>
      </w:r>
      <w:r w:rsidRPr="00126B9C">
        <w:rPr>
          <w:rFonts w:ascii="Times New Roman" w:eastAsia="Times New Roman" w:hAnsi="Times New Roman" w:cs="Times New Roman"/>
          <w:iCs/>
          <w:color w:val="000000" w:themeColor="text1"/>
          <w:sz w:val="24"/>
          <w:szCs w:val="24"/>
        </w:rPr>
        <w:t>=3.59x10</w:t>
      </w:r>
      <w:r w:rsidRPr="00126B9C">
        <w:rPr>
          <w:rFonts w:ascii="Times New Roman" w:eastAsia="Times New Roman" w:hAnsi="Times New Roman" w:cs="Times New Roman"/>
          <w:iCs/>
          <w:color w:val="000000" w:themeColor="text1"/>
          <w:sz w:val="24"/>
          <w:szCs w:val="24"/>
          <w:vertAlign w:val="superscript"/>
        </w:rPr>
        <w:t>-07</w:t>
      </w:r>
      <w:r w:rsidRPr="00126B9C">
        <w:rPr>
          <w:rFonts w:ascii="Times New Roman" w:eastAsia="Times New Roman" w:hAnsi="Times New Roman" w:cs="Times New Roman"/>
          <w:iCs/>
          <w:color w:val="000000" w:themeColor="text1"/>
          <w:sz w:val="24"/>
          <w:szCs w:val="24"/>
        </w:rPr>
        <w:t>) were significant in EUR gene-based analysis (</w:t>
      </w:r>
      <w:r w:rsidRPr="00126B9C">
        <w:rPr>
          <w:rFonts w:ascii="Times New Roman" w:eastAsia="Times New Roman" w:hAnsi="Times New Roman" w:cs="Times New Roman"/>
          <w:b/>
          <w:bCs/>
          <w:color w:val="000000" w:themeColor="text1"/>
          <w:sz w:val="24"/>
          <w:szCs w:val="24"/>
        </w:rPr>
        <w:t>Supplemental Figure4</w:t>
      </w:r>
      <w:r w:rsidRPr="00126B9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iCs/>
          <w:color w:val="000000" w:themeColor="text1"/>
          <w:sz w:val="24"/>
          <w:szCs w:val="24"/>
        </w:rPr>
        <w:t xml:space="preserve">. No genes were GWS in the smaller AFR-specific analysis. In the cross-ancestry gene-based analysis, </w:t>
      </w:r>
      <w:r w:rsidRPr="00126B9C">
        <w:rPr>
          <w:rFonts w:ascii="Times New Roman" w:eastAsia="Times New Roman" w:hAnsi="Times New Roman" w:cs="Times New Roman"/>
          <w:i/>
          <w:iCs/>
          <w:color w:val="000000" w:themeColor="text1"/>
          <w:sz w:val="24"/>
          <w:szCs w:val="24"/>
        </w:rPr>
        <w:t>FURIN</w:t>
      </w:r>
      <w:r w:rsidRPr="00126B9C">
        <w:rPr>
          <w:rFonts w:ascii="Times New Roman" w:eastAsia="Times New Roman" w:hAnsi="Times New Roman" w:cs="Times New Roman"/>
          <w:iCs/>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iCs/>
          <w:color w:val="000000" w:themeColor="text1"/>
          <w:sz w:val="24"/>
          <w:szCs w:val="24"/>
        </w:rPr>
        <w:t>=6.00x10</w:t>
      </w:r>
      <w:r w:rsidRPr="00126B9C">
        <w:rPr>
          <w:rFonts w:ascii="Times New Roman" w:eastAsia="Times New Roman" w:hAnsi="Times New Roman" w:cs="Times New Roman"/>
          <w:iCs/>
          <w:color w:val="000000" w:themeColor="text1"/>
          <w:sz w:val="24"/>
          <w:szCs w:val="24"/>
          <w:vertAlign w:val="superscript"/>
        </w:rPr>
        <w:t>-08</w:t>
      </w:r>
      <w:r w:rsidRPr="00126B9C">
        <w:rPr>
          <w:rFonts w:ascii="Times New Roman" w:eastAsia="Times New Roman" w:hAnsi="Times New Roman" w:cs="Times New Roman"/>
          <w:iCs/>
          <w:color w:val="000000" w:themeColor="text1"/>
          <w:sz w:val="24"/>
          <w:szCs w:val="24"/>
        </w:rPr>
        <w:t xml:space="preserve">) and </w:t>
      </w:r>
      <w:r w:rsidRPr="00126B9C">
        <w:rPr>
          <w:rFonts w:ascii="Times New Roman" w:eastAsia="Times New Roman" w:hAnsi="Times New Roman" w:cs="Times New Roman"/>
          <w:i/>
          <w:iCs/>
          <w:color w:val="000000" w:themeColor="text1"/>
          <w:sz w:val="24"/>
          <w:szCs w:val="24"/>
        </w:rPr>
        <w:t>OPRM1</w:t>
      </w:r>
      <w:r w:rsidRPr="00126B9C">
        <w:rPr>
          <w:rFonts w:ascii="Times New Roman" w:eastAsia="Times New Roman" w:hAnsi="Times New Roman" w:cs="Times New Roman"/>
          <w:iCs/>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iCs/>
          <w:color w:val="000000" w:themeColor="text1"/>
          <w:sz w:val="24"/>
          <w:szCs w:val="24"/>
        </w:rPr>
        <w:t>=1.12x10</w:t>
      </w:r>
      <w:r w:rsidRPr="00126B9C">
        <w:rPr>
          <w:rFonts w:ascii="Times New Roman" w:eastAsia="Times New Roman" w:hAnsi="Times New Roman" w:cs="Times New Roman"/>
          <w:iCs/>
          <w:color w:val="000000" w:themeColor="text1"/>
          <w:sz w:val="24"/>
          <w:szCs w:val="24"/>
          <w:vertAlign w:val="superscript"/>
        </w:rPr>
        <w:t>-07</w:t>
      </w:r>
      <w:r w:rsidRPr="00126B9C">
        <w:rPr>
          <w:rFonts w:ascii="Times New Roman" w:eastAsia="Times New Roman" w:hAnsi="Times New Roman" w:cs="Times New Roman"/>
          <w:iCs/>
          <w:color w:val="000000" w:themeColor="text1"/>
          <w:sz w:val="24"/>
          <w:szCs w:val="24"/>
        </w:rPr>
        <w:t>) were also significant (</w:t>
      </w:r>
      <w:r w:rsidRPr="00126B9C">
        <w:rPr>
          <w:rFonts w:ascii="Times New Roman" w:eastAsia="Times New Roman" w:hAnsi="Times New Roman" w:cs="Times New Roman"/>
          <w:b/>
          <w:bCs/>
          <w:color w:val="000000" w:themeColor="text1"/>
          <w:sz w:val="24"/>
          <w:szCs w:val="24"/>
        </w:rPr>
        <w:t>Supplemental Figure5</w:t>
      </w:r>
      <w:r w:rsidRPr="00126B9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iCs/>
          <w:color w:val="000000" w:themeColor="text1"/>
          <w:sz w:val="24"/>
          <w:szCs w:val="24"/>
        </w:rPr>
        <w:t xml:space="preserve">. </w:t>
      </w:r>
      <w:r w:rsidRPr="00126B9C">
        <w:rPr>
          <w:rFonts w:ascii="Times New Roman" w:eastAsia="Times New Roman" w:hAnsi="Times New Roman" w:cs="Times New Roman"/>
          <w:iCs/>
          <w:color w:val="000000" w:themeColor="text1"/>
          <w:sz w:val="24"/>
          <w:szCs w:val="24"/>
        </w:rPr>
        <w:tab/>
      </w:r>
    </w:p>
    <w:p w14:paraId="55A4DB37" w14:textId="49648540" w:rsidR="005403CF" w:rsidRPr="00126B9C" w:rsidRDefault="005403CF" w:rsidP="005403CF">
      <w:pPr>
        <w:spacing w:line="480" w:lineRule="auto"/>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ab/>
      </w:r>
      <w:bookmarkStart w:id="6" w:name="_Hlk99353580"/>
      <w:r w:rsidRPr="00126B9C">
        <w:rPr>
          <w:rFonts w:ascii="Times New Roman" w:eastAsia="Times New Roman" w:hAnsi="Times New Roman" w:cs="Times New Roman"/>
          <w:color w:val="000000" w:themeColor="text1"/>
          <w:sz w:val="24"/>
          <w:szCs w:val="24"/>
        </w:rPr>
        <w:t>The OUD-MTAG gene-based analysis resulted in the identification of 66 Bonferroni significant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≤0.05/15,927=3.14x10</w:t>
      </w:r>
      <w:r w:rsidRPr="00126B9C">
        <w:rPr>
          <w:rFonts w:ascii="Times New Roman" w:eastAsia="Times New Roman" w:hAnsi="Times New Roman" w:cs="Times New Roman"/>
          <w:color w:val="000000" w:themeColor="text1"/>
          <w:sz w:val="24"/>
          <w:szCs w:val="24"/>
          <w:vertAlign w:val="superscript"/>
        </w:rPr>
        <w:t>-6</w:t>
      </w:r>
      <w:r w:rsidRPr="00126B9C">
        <w:rPr>
          <w:rFonts w:ascii="Times New Roman" w:eastAsia="Times New Roman" w:hAnsi="Times New Roman" w:cs="Times New Roman"/>
          <w:color w:val="000000" w:themeColor="text1"/>
          <w:sz w:val="24"/>
          <w:szCs w:val="24"/>
        </w:rPr>
        <w:t>) genes (</w:t>
      </w:r>
      <w:r w:rsidR="0012513C">
        <w:rPr>
          <w:rFonts w:ascii="Times New Roman" w:eastAsia="Times New Roman" w:hAnsi="Times New Roman" w:cs="Times New Roman"/>
          <w:b/>
          <w:bCs/>
          <w:color w:val="000000" w:themeColor="text1"/>
          <w:sz w:val="24"/>
          <w:szCs w:val="24"/>
        </w:rPr>
        <w:t xml:space="preserve">Supplemental Figure8; </w:t>
      </w:r>
      <w:r w:rsidRPr="00126B9C">
        <w:rPr>
          <w:rFonts w:ascii="Times New Roman" w:eastAsia="Times New Roman" w:hAnsi="Times New Roman" w:cs="Times New Roman"/>
          <w:b/>
          <w:bCs/>
          <w:color w:val="000000" w:themeColor="text1"/>
          <w:sz w:val="24"/>
          <w:szCs w:val="24"/>
        </w:rPr>
        <w:t>Supplemental Table</w:t>
      </w:r>
      <w:r w:rsidR="0012513C">
        <w:rPr>
          <w:rFonts w:ascii="Times New Roman" w:eastAsia="Times New Roman" w:hAnsi="Times New Roman" w:cs="Times New Roman"/>
          <w:b/>
          <w:bCs/>
          <w:color w:val="000000" w:themeColor="text1"/>
          <w:sz w:val="24"/>
          <w:szCs w:val="24"/>
        </w:rPr>
        <w:t>7</w:t>
      </w:r>
      <w:r w:rsidRPr="0012513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color w:val="000000" w:themeColor="text1"/>
          <w:sz w:val="24"/>
          <w:szCs w:val="24"/>
        </w:rPr>
        <w:t xml:space="preserve">. The top OUD-MTAG gene-based association was with </w:t>
      </w:r>
      <w:r w:rsidRPr="00126B9C">
        <w:rPr>
          <w:rFonts w:ascii="Times New Roman" w:eastAsia="Times New Roman" w:hAnsi="Times New Roman" w:cs="Times New Roman"/>
          <w:i/>
          <w:iCs/>
          <w:color w:val="000000" w:themeColor="text1"/>
          <w:sz w:val="24"/>
          <w:szCs w:val="24"/>
        </w:rPr>
        <w:t>PDE4B</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=3.28x10</w:t>
      </w:r>
      <w:r w:rsidRPr="00126B9C">
        <w:rPr>
          <w:rFonts w:ascii="Times New Roman" w:eastAsia="Times New Roman" w:hAnsi="Times New Roman" w:cs="Times New Roman"/>
          <w:color w:val="000000" w:themeColor="text1"/>
          <w:sz w:val="24"/>
          <w:szCs w:val="24"/>
          <w:vertAlign w:val="superscript"/>
        </w:rPr>
        <w:t>-14</w:t>
      </w:r>
      <w:r w:rsidRPr="00126B9C">
        <w:rPr>
          <w:rFonts w:ascii="Times New Roman" w:eastAsia="Times New Roman" w:hAnsi="Times New Roman" w:cs="Times New Roman"/>
          <w:color w:val="000000" w:themeColor="text1"/>
          <w:sz w:val="24"/>
          <w:szCs w:val="24"/>
        </w:rPr>
        <w:t xml:space="preserve">). Additional significant genes of interest include </w:t>
      </w:r>
      <w:r w:rsidRPr="00126B9C">
        <w:rPr>
          <w:rFonts w:ascii="Times New Roman" w:eastAsia="Times New Roman" w:hAnsi="Times New Roman" w:cs="Times New Roman"/>
          <w:i/>
          <w:iCs/>
          <w:color w:val="000000" w:themeColor="text1"/>
          <w:sz w:val="24"/>
          <w:szCs w:val="24"/>
        </w:rPr>
        <w:t xml:space="preserve">TMX2-CTNND1 </w:t>
      </w:r>
      <w:r w:rsidRPr="00126B9C">
        <w:rPr>
          <w:rFonts w:ascii="Times New Roman" w:eastAsia="Times New Roman" w:hAnsi="Times New Roman" w:cs="Times New Roman"/>
          <w:color w:val="000000" w:themeColor="text1"/>
          <w:sz w:val="24"/>
          <w:szCs w:val="24"/>
        </w:rPr>
        <w:t>(</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=2.93x10</w:t>
      </w:r>
      <w:r w:rsidRPr="00126B9C">
        <w:rPr>
          <w:rFonts w:ascii="Times New Roman" w:eastAsia="Times New Roman" w:hAnsi="Times New Roman" w:cs="Times New Roman"/>
          <w:color w:val="000000" w:themeColor="text1"/>
          <w:sz w:val="24"/>
          <w:szCs w:val="24"/>
          <w:vertAlign w:val="superscript"/>
        </w:rPr>
        <w:t>-11</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HS6ST3 (p</w:t>
      </w:r>
      <w:r w:rsidRPr="00126B9C">
        <w:rPr>
          <w:rFonts w:ascii="Times New Roman" w:eastAsia="Times New Roman" w:hAnsi="Times New Roman" w:cs="Times New Roman"/>
          <w:color w:val="000000" w:themeColor="text1"/>
          <w:sz w:val="24"/>
          <w:szCs w:val="24"/>
        </w:rPr>
        <w:t>=6.85x10</w:t>
      </w:r>
      <w:r w:rsidRPr="00126B9C">
        <w:rPr>
          <w:rFonts w:ascii="Times New Roman" w:eastAsia="Times New Roman" w:hAnsi="Times New Roman" w:cs="Times New Roman"/>
          <w:color w:val="000000" w:themeColor="text1"/>
          <w:sz w:val="24"/>
          <w:szCs w:val="24"/>
          <w:vertAlign w:val="superscript"/>
        </w:rPr>
        <w:t>-09</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CADM2</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=1.04x10</w:t>
      </w:r>
      <w:r w:rsidRPr="00126B9C">
        <w:rPr>
          <w:rFonts w:ascii="Times New Roman" w:eastAsia="Times New Roman" w:hAnsi="Times New Roman" w:cs="Times New Roman"/>
          <w:color w:val="000000" w:themeColor="text1"/>
          <w:sz w:val="24"/>
          <w:szCs w:val="24"/>
          <w:vertAlign w:val="superscript"/>
        </w:rPr>
        <w:t>-08</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FURIN</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=2.30x10</w:t>
      </w:r>
      <w:r w:rsidRPr="00126B9C">
        <w:rPr>
          <w:rFonts w:ascii="Times New Roman" w:eastAsia="Times New Roman" w:hAnsi="Times New Roman" w:cs="Times New Roman"/>
          <w:color w:val="000000" w:themeColor="text1"/>
          <w:sz w:val="24"/>
          <w:szCs w:val="24"/>
          <w:vertAlign w:val="superscript"/>
        </w:rPr>
        <w:t>-08</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FTO</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=4.07x10</w:t>
      </w:r>
      <w:r w:rsidRPr="00126B9C">
        <w:rPr>
          <w:rFonts w:ascii="Times New Roman" w:eastAsia="Times New Roman" w:hAnsi="Times New Roman" w:cs="Times New Roman"/>
          <w:color w:val="000000" w:themeColor="text1"/>
          <w:sz w:val="24"/>
          <w:szCs w:val="24"/>
          <w:vertAlign w:val="superscript"/>
        </w:rPr>
        <w:t>-08</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DRD2</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=6.25x10</w:t>
      </w:r>
      <w:r w:rsidRPr="00126B9C">
        <w:rPr>
          <w:rFonts w:ascii="Times New Roman" w:eastAsia="Times New Roman" w:hAnsi="Times New Roman" w:cs="Times New Roman"/>
          <w:color w:val="000000" w:themeColor="text1"/>
          <w:sz w:val="24"/>
          <w:szCs w:val="24"/>
          <w:vertAlign w:val="superscript"/>
        </w:rPr>
        <w:t>-08</w:t>
      </w:r>
      <w:r w:rsidRPr="00126B9C">
        <w:rPr>
          <w:rFonts w:ascii="Times New Roman" w:eastAsia="Times New Roman" w:hAnsi="Times New Roman" w:cs="Times New Roman"/>
          <w:color w:val="000000" w:themeColor="text1"/>
          <w:sz w:val="24"/>
          <w:szCs w:val="24"/>
        </w:rPr>
        <w:t xml:space="preserve">), and </w:t>
      </w:r>
      <w:r w:rsidRPr="00126B9C">
        <w:rPr>
          <w:rFonts w:ascii="Times New Roman" w:eastAsia="Times New Roman" w:hAnsi="Times New Roman" w:cs="Times New Roman"/>
          <w:i/>
          <w:iCs/>
          <w:color w:val="000000" w:themeColor="text1"/>
          <w:sz w:val="24"/>
          <w:szCs w:val="24"/>
        </w:rPr>
        <w:t>NICN1</w:t>
      </w:r>
      <w:r w:rsidRPr="00126B9C">
        <w:rPr>
          <w:rFonts w:ascii="Times New Roman" w:eastAsia="Times New Roman" w:hAnsi="Times New Roman" w:cs="Times New Roman"/>
          <w:color w:val="000000" w:themeColor="text1"/>
          <w:sz w:val="24"/>
          <w:szCs w:val="24"/>
        </w:rPr>
        <w:t xml:space="preserve"> (</w:t>
      </w:r>
      <w:r w:rsidRPr="00126B9C">
        <w:rPr>
          <w:rFonts w:ascii="Times New Roman" w:eastAsia="Times New Roman" w:hAnsi="Times New Roman" w:cs="Times New Roman"/>
          <w:i/>
          <w:iCs/>
          <w:color w:val="000000" w:themeColor="text1"/>
          <w:sz w:val="24"/>
          <w:szCs w:val="24"/>
        </w:rPr>
        <w:t>p</w:t>
      </w:r>
      <w:r w:rsidRPr="00126B9C">
        <w:rPr>
          <w:rFonts w:ascii="Times New Roman" w:eastAsia="Times New Roman" w:hAnsi="Times New Roman" w:cs="Times New Roman"/>
          <w:color w:val="000000" w:themeColor="text1"/>
          <w:sz w:val="24"/>
          <w:szCs w:val="24"/>
        </w:rPr>
        <w:t>=7.04x10</w:t>
      </w:r>
      <w:r w:rsidRPr="00126B9C">
        <w:rPr>
          <w:rFonts w:ascii="Times New Roman" w:eastAsia="Times New Roman" w:hAnsi="Times New Roman" w:cs="Times New Roman"/>
          <w:color w:val="000000" w:themeColor="text1"/>
          <w:sz w:val="24"/>
          <w:szCs w:val="24"/>
          <w:vertAlign w:val="superscript"/>
        </w:rPr>
        <w:t>-08</w:t>
      </w:r>
      <w:r w:rsidRPr="00126B9C">
        <w:rPr>
          <w:rFonts w:ascii="Times New Roman" w:eastAsia="Times New Roman" w:hAnsi="Times New Roman" w:cs="Times New Roman"/>
          <w:color w:val="000000" w:themeColor="text1"/>
          <w:sz w:val="24"/>
          <w:szCs w:val="24"/>
        </w:rPr>
        <w:t>), among others</w:t>
      </w:r>
      <w:r w:rsidRPr="00126B9C">
        <w:rPr>
          <w:rFonts w:ascii="Times New Roman" w:eastAsia="Times New Roman" w:hAnsi="Times New Roman" w:cs="Times New Roman"/>
          <w:b/>
          <w:bCs/>
          <w:color w:val="000000" w:themeColor="text1"/>
          <w:sz w:val="24"/>
          <w:szCs w:val="24"/>
        </w:rPr>
        <w:t>.</w:t>
      </w:r>
    </w:p>
    <w:bookmarkEnd w:id="5"/>
    <w:bookmarkEnd w:id="6"/>
    <w:p w14:paraId="765208D7" w14:textId="2FC5E311" w:rsidR="005403CF" w:rsidRPr="00126B9C" w:rsidRDefault="005403CF" w:rsidP="00C92444">
      <w:pPr>
        <w:spacing w:line="480" w:lineRule="auto"/>
        <w:rPr>
          <w:rFonts w:ascii="Times New Roman" w:eastAsia="Times New Roman" w:hAnsi="Times New Roman" w:cs="Times New Roman"/>
          <w:color w:val="000000" w:themeColor="text1"/>
          <w:sz w:val="24"/>
          <w:szCs w:val="24"/>
        </w:rPr>
      </w:pPr>
    </w:p>
    <w:p w14:paraId="45D769BB" w14:textId="49A098A3" w:rsidR="00950EF1" w:rsidRPr="00126B9C" w:rsidRDefault="00950EF1" w:rsidP="00C92444">
      <w:pPr>
        <w:spacing w:line="480" w:lineRule="auto"/>
        <w:rPr>
          <w:rFonts w:ascii="Times New Roman" w:eastAsia="Times New Roman" w:hAnsi="Times New Roman" w:cs="Times New Roman"/>
          <w:i/>
          <w:iCs/>
          <w:color w:val="000000" w:themeColor="text1"/>
          <w:sz w:val="24"/>
          <w:szCs w:val="24"/>
        </w:rPr>
      </w:pPr>
      <w:r w:rsidRPr="00126B9C">
        <w:rPr>
          <w:rFonts w:ascii="Times New Roman" w:eastAsia="Times New Roman" w:hAnsi="Times New Roman" w:cs="Times New Roman"/>
          <w:i/>
          <w:iCs/>
          <w:color w:val="000000" w:themeColor="text1"/>
          <w:sz w:val="24"/>
          <w:szCs w:val="24"/>
        </w:rPr>
        <w:lastRenderedPageBreak/>
        <w:t xml:space="preserve">Polygenic risk score analysis </w:t>
      </w:r>
    </w:p>
    <w:p w14:paraId="6730B3C8" w14:textId="04DEE85C" w:rsidR="00676FA7" w:rsidRPr="00126B9C" w:rsidRDefault="00A16271" w:rsidP="00676FA7">
      <w:pPr>
        <w:spacing w:line="480" w:lineRule="auto"/>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ab/>
      </w:r>
      <w:bookmarkStart w:id="7" w:name="_Hlk99356038"/>
      <w:r w:rsidR="00676FA7" w:rsidRPr="00126B9C">
        <w:rPr>
          <w:rFonts w:ascii="Times New Roman" w:eastAsia="Times New Roman" w:hAnsi="Times New Roman" w:cs="Times New Roman"/>
          <w:color w:val="000000" w:themeColor="text1"/>
          <w:sz w:val="24"/>
          <w:szCs w:val="24"/>
        </w:rPr>
        <w:t>A leave-one-out polygenic risk score (PRS) analysis was performed holding out the Yale-Penn 3 (YP3) EUR and AFR cohorts from the respective meta-analyses</w:t>
      </w:r>
      <w:r w:rsidR="00E20A1F" w:rsidRPr="00126B9C">
        <w:rPr>
          <w:rFonts w:ascii="Times New Roman" w:eastAsia="Times New Roman" w:hAnsi="Times New Roman" w:cs="Times New Roman"/>
          <w:color w:val="000000" w:themeColor="text1"/>
          <w:sz w:val="24"/>
          <w:szCs w:val="24"/>
        </w:rPr>
        <w:t>,</w:t>
      </w:r>
      <w:r w:rsidR="00676FA7" w:rsidRPr="00126B9C">
        <w:rPr>
          <w:rFonts w:ascii="Times New Roman" w:eastAsia="Times New Roman" w:hAnsi="Times New Roman" w:cs="Times New Roman"/>
          <w:color w:val="000000" w:themeColor="text1"/>
          <w:sz w:val="24"/>
          <w:szCs w:val="24"/>
        </w:rPr>
        <w:t xml:space="preserve"> allowing for examination of PRS prediction of OUD in the YP3 cohorts. New ancestry-specific OUD meta-analyses and OUD-MTAG were performed without Yale-Penn 3.  </w:t>
      </w:r>
    </w:p>
    <w:p w14:paraId="526DF12C" w14:textId="4BBC50F3" w:rsidR="00676FA7" w:rsidRPr="00126B9C" w:rsidRDefault="00676FA7" w:rsidP="00C21623">
      <w:pPr>
        <w:spacing w:line="480" w:lineRule="auto"/>
        <w:ind w:firstLine="720"/>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Polygenic risk scores (PRS) were then generated from the new OUD and OUD-MTAG GWAS summary statistics using PRS-CS(</w:t>
      </w:r>
      <w:r w:rsidR="00CA7A9F" w:rsidRPr="00126B9C">
        <w:rPr>
          <w:rFonts w:ascii="Times New Roman" w:eastAsia="Times New Roman" w:hAnsi="Times New Roman" w:cs="Times New Roman"/>
          <w:color w:val="000000" w:themeColor="text1"/>
          <w:sz w:val="24"/>
          <w:szCs w:val="24"/>
        </w:rPr>
        <w:t>31</w:t>
      </w:r>
      <w:r w:rsidRPr="00126B9C">
        <w:rPr>
          <w:rFonts w:ascii="Times New Roman" w:eastAsia="Times New Roman" w:hAnsi="Times New Roman" w:cs="Times New Roman"/>
          <w:color w:val="000000" w:themeColor="text1"/>
          <w:sz w:val="24"/>
          <w:szCs w:val="24"/>
        </w:rPr>
        <w:t>) for the YP3 EUR target sample. PRS-CS</w:t>
      </w:r>
      <w:r w:rsidR="002B77FF">
        <w:rPr>
          <w:rFonts w:ascii="Times New Roman" w:eastAsia="Times New Roman" w:hAnsi="Times New Roman" w:cs="Times New Roman"/>
          <w:color w:val="000000" w:themeColor="text1"/>
          <w:sz w:val="24"/>
          <w:szCs w:val="24"/>
        </w:rPr>
        <w:t>(</w:t>
      </w:r>
      <w:r w:rsidR="0014010B" w:rsidRPr="00126B9C">
        <w:rPr>
          <w:rFonts w:ascii="Times New Roman" w:eastAsia="Times New Roman" w:hAnsi="Times New Roman" w:cs="Times New Roman"/>
          <w:color w:val="000000" w:themeColor="text1"/>
          <w:sz w:val="24"/>
          <w:szCs w:val="24"/>
        </w:rPr>
        <w:t>32</w:t>
      </w:r>
      <w:r w:rsidRPr="00126B9C">
        <w:rPr>
          <w:rFonts w:ascii="Times New Roman" w:eastAsia="Times New Roman" w:hAnsi="Times New Roman" w:cs="Times New Roman"/>
          <w:color w:val="000000" w:themeColor="text1"/>
          <w:sz w:val="24"/>
          <w:szCs w:val="24"/>
        </w:rPr>
        <w:t>), an extension of PRS-CS developed to improve power for PRS prediction in diverse ancestral groups, was used for the YP3 AFR target sample. PRS-CSx(</w:t>
      </w:r>
      <w:r w:rsidR="00CA7A9F" w:rsidRPr="00126B9C">
        <w:rPr>
          <w:rFonts w:ascii="Times New Roman" w:eastAsia="Times New Roman" w:hAnsi="Times New Roman" w:cs="Times New Roman"/>
          <w:color w:val="000000" w:themeColor="text1"/>
          <w:sz w:val="24"/>
          <w:szCs w:val="24"/>
        </w:rPr>
        <w:t>32</w:t>
      </w:r>
      <w:r w:rsidRPr="00126B9C">
        <w:rPr>
          <w:rFonts w:ascii="Times New Roman" w:eastAsia="Times New Roman" w:hAnsi="Times New Roman" w:cs="Times New Roman"/>
          <w:color w:val="000000" w:themeColor="text1"/>
          <w:sz w:val="24"/>
          <w:szCs w:val="24"/>
        </w:rPr>
        <w:t xml:space="preserve">) improves statistical power by leveraging GWAS summary statistics and LD-information from multiple ancestries (EUR, AFR) to generate both EUR and AFR derived PRS. </w:t>
      </w:r>
    </w:p>
    <w:p w14:paraId="5ECA05F1" w14:textId="61B64A23" w:rsidR="00676FA7" w:rsidRPr="00126B9C" w:rsidRDefault="00676FA7" w:rsidP="00C21623">
      <w:pPr>
        <w:spacing w:line="480" w:lineRule="auto"/>
        <w:ind w:firstLine="720"/>
        <w:rPr>
          <w:rFonts w:ascii="Times New Roman" w:eastAsia="Times New Roman" w:hAnsi="Times New Roman" w:cs="Times New Roman"/>
          <w:color w:val="000000" w:themeColor="text1"/>
          <w:sz w:val="24"/>
          <w:szCs w:val="24"/>
        </w:rPr>
      </w:pPr>
      <w:r w:rsidRPr="00126B9C">
        <w:rPr>
          <w:rFonts w:ascii="Times New Roman" w:eastAsia="Times New Roman" w:hAnsi="Times New Roman" w:cs="Times New Roman"/>
          <w:color w:val="000000" w:themeColor="text1"/>
          <w:sz w:val="24"/>
          <w:szCs w:val="24"/>
        </w:rPr>
        <w:t>The YP3 AFR and EUR target samples were adjusted for relatedness by removing one related individual from each relationship pair with kinship &gt;0.0884 (second-degree relative). Variants included in the PRS were restricted to HapMap3 variants(</w:t>
      </w:r>
      <w:r w:rsidR="00CA7A9F" w:rsidRPr="00126B9C">
        <w:rPr>
          <w:rFonts w:ascii="Times New Roman" w:eastAsia="Times New Roman" w:hAnsi="Times New Roman" w:cs="Times New Roman"/>
          <w:color w:val="000000" w:themeColor="text1"/>
          <w:sz w:val="24"/>
          <w:szCs w:val="24"/>
        </w:rPr>
        <w:t>33</w:t>
      </w:r>
      <w:r w:rsidRPr="00126B9C">
        <w:rPr>
          <w:rFonts w:ascii="Times New Roman" w:eastAsia="Times New Roman" w:hAnsi="Times New Roman" w:cs="Times New Roman"/>
          <w:color w:val="000000" w:themeColor="text1"/>
          <w:sz w:val="24"/>
          <w:szCs w:val="24"/>
        </w:rPr>
        <w:t xml:space="preserve">). Ancestry-specific 1000 </w:t>
      </w:r>
      <w:r w:rsidR="00E20A1F" w:rsidRPr="00126B9C">
        <w:rPr>
          <w:rFonts w:ascii="Times New Roman" w:eastAsia="Times New Roman" w:hAnsi="Times New Roman" w:cs="Times New Roman"/>
          <w:color w:val="000000" w:themeColor="text1"/>
          <w:sz w:val="24"/>
          <w:szCs w:val="24"/>
        </w:rPr>
        <w:t>G</w:t>
      </w:r>
      <w:r w:rsidRPr="00126B9C">
        <w:rPr>
          <w:rFonts w:ascii="Times New Roman" w:eastAsia="Times New Roman" w:hAnsi="Times New Roman" w:cs="Times New Roman"/>
          <w:color w:val="000000" w:themeColor="text1"/>
          <w:sz w:val="24"/>
          <w:szCs w:val="24"/>
        </w:rPr>
        <w:t>enomes references panels (EUR, AFR) were used(</w:t>
      </w:r>
      <w:r w:rsidR="0014010B" w:rsidRPr="00126B9C">
        <w:rPr>
          <w:rFonts w:ascii="Times New Roman" w:eastAsia="Times New Roman" w:hAnsi="Times New Roman" w:cs="Times New Roman"/>
          <w:color w:val="000000" w:themeColor="text1"/>
          <w:sz w:val="24"/>
          <w:szCs w:val="24"/>
        </w:rPr>
        <w:t>9</w:t>
      </w:r>
      <w:r w:rsidRPr="00126B9C">
        <w:rPr>
          <w:rFonts w:ascii="Times New Roman" w:eastAsia="Times New Roman" w:hAnsi="Times New Roman" w:cs="Times New Roman"/>
          <w:color w:val="000000" w:themeColor="text1"/>
          <w:sz w:val="24"/>
          <w:szCs w:val="24"/>
        </w:rPr>
        <w:t>). PRS were summed across chromosomes and standardized in PLINK(</w:t>
      </w:r>
      <w:r w:rsidR="0014010B" w:rsidRPr="00126B9C">
        <w:rPr>
          <w:rFonts w:ascii="Times New Roman" w:eastAsia="Times New Roman" w:hAnsi="Times New Roman" w:cs="Times New Roman"/>
          <w:color w:val="000000" w:themeColor="text1"/>
          <w:sz w:val="24"/>
          <w:szCs w:val="24"/>
        </w:rPr>
        <w:t>8</w:t>
      </w:r>
      <w:r w:rsidRPr="00126B9C">
        <w:rPr>
          <w:rFonts w:ascii="Times New Roman" w:eastAsia="Times New Roman" w:hAnsi="Times New Roman" w:cs="Times New Roman"/>
          <w:color w:val="000000" w:themeColor="text1"/>
          <w:sz w:val="24"/>
          <w:szCs w:val="24"/>
        </w:rPr>
        <w:t>). PRS were then regressed on OUD case vs. control status in the respective YP3 cohorts, covarying for age, sex, and the first 10 genetic PCs.</w:t>
      </w:r>
    </w:p>
    <w:bookmarkEnd w:id="7"/>
    <w:p w14:paraId="0DBCC964" w14:textId="77777777" w:rsidR="005C3A65" w:rsidRPr="00126B9C" w:rsidRDefault="00AA3194" w:rsidP="005C3A65">
      <w:pPr>
        <w:spacing w:line="240" w:lineRule="auto"/>
        <w:jc w:val="center"/>
        <w:rPr>
          <w:rFonts w:ascii="Times New Roman" w:hAnsi="Times New Roman" w:cs="Times New Roman"/>
          <w:b/>
          <w:bCs/>
          <w:color w:val="000000" w:themeColor="text1"/>
          <w:sz w:val="24"/>
          <w:szCs w:val="24"/>
        </w:rPr>
      </w:pPr>
      <w:r w:rsidRPr="00126B9C">
        <w:rPr>
          <w:rFonts w:ascii="Times New Roman" w:hAnsi="Times New Roman" w:cs="Times New Roman"/>
          <w:color w:val="000000" w:themeColor="text1"/>
          <w:sz w:val="24"/>
          <w:szCs w:val="24"/>
        </w:rPr>
        <w:br w:type="page"/>
      </w:r>
      <w:r w:rsidR="005C3A65" w:rsidRPr="00126B9C">
        <w:rPr>
          <w:rFonts w:ascii="Times New Roman" w:hAnsi="Times New Roman" w:cs="Times New Roman"/>
          <w:b/>
          <w:bCs/>
          <w:color w:val="000000" w:themeColor="text1"/>
          <w:sz w:val="24"/>
          <w:szCs w:val="24"/>
        </w:rPr>
        <w:lastRenderedPageBreak/>
        <w:t>References</w:t>
      </w:r>
    </w:p>
    <w:p w14:paraId="5F65173D" w14:textId="10C7C942" w:rsidR="00752B9E" w:rsidRPr="00126B9C" w:rsidRDefault="00752B9E" w:rsidP="00752B9E">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American Psychiatric Association. Diagnostic and statistical manual of mental disorders: DSM-IV-TR. Washington, DC: American Psychiatric Association</w:t>
      </w:r>
      <w:r w:rsidR="001774AB">
        <w:rPr>
          <w:rFonts w:ascii="Times New Roman" w:hAnsi="Times New Roman" w:cs="Times New Roman"/>
          <w:color w:val="000000" w:themeColor="text1"/>
          <w:sz w:val="24"/>
          <w:szCs w:val="24"/>
        </w:rPr>
        <w:t xml:space="preserve"> </w:t>
      </w:r>
      <w:r w:rsidR="001774AB" w:rsidRPr="00126B9C">
        <w:rPr>
          <w:rFonts w:ascii="Times New Roman" w:hAnsi="Times New Roman" w:cs="Times New Roman"/>
          <w:color w:val="000000" w:themeColor="text1"/>
          <w:sz w:val="24"/>
          <w:szCs w:val="24"/>
        </w:rPr>
        <w:t>2000</w:t>
      </w:r>
      <w:r w:rsidRPr="00126B9C">
        <w:rPr>
          <w:rFonts w:ascii="Times New Roman" w:hAnsi="Times New Roman" w:cs="Times New Roman"/>
          <w:color w:val="000000" w:themeColor="text1"/>
          <w:sz w:val="24"/>
          <w:szCs w:val="24"/>
        </w:rPr>
        <w:t>.</w:t>
      </w:r>
    </w:p>
    <w:p w14:paraId="100A5DEB" w14:textId="77777777" w:rsidR="007A72BB" w:rsidRPr="00126B9C" w:rsidRDefault="007A72BB" w:rsidP="007A72BB">
      <w:pPr>
        <w:pStyle w:val="ListParagraph"/>
        <w:ind w:left="360"/>
        <w:rPr>
          <w:rFonts w:ascii="Times New Roman" w:hAnsi="Times New Roman" w:cs="Times New Roman"/>
          <w:color w:val="000000" w:themeColor="text1"/>
          <w:sz w:val="24"/>
          <w:szCs w:val="24"/>
        </w:rPr>
      </w:pPr>
    </w:p>
    <w:p w14:paraId="5681CB7E" w14:textId="54C66445"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Polimanti R, Walters RK, Johnson EC, Mcclintick JN, Adkins AE, Adkins DE, et al. Leveraging genome-wide data to investigate differences between opioid use vs. opioid dependence in 41,176 individuals from the Psychiatric Genomics Consortium. </w:t>
      </w:r>
      <w:r w:rsidRPr="00126B9C">
        <w:rPr>
          <w:rFonts w:ascii="Times New Roman" w:hAnsi="Times New Roman" w:cs="Times New Roman"/>
          <w:i/>
          <w:iCs/>
          <w:color w:val="000000" w:themeColor="text1"/>
          <w:sz w:val="24"/>
          <w:szCs w:val="24"/>
        </w:rPr>
        <w:t>Molecular Psychiatry</w:t>
      </w:r>
      <w:r w:rsidR="00FB4B1C">
        <w:rPr>
          <w:rFonts w:ascii="Times New Roman" w:hAnsi="Times New Roman" w:cs="Times New Roman"/>
          <w:i/>
          <w:iCs/>
          <w:color w:val="000000" w:themeColor="text1"/>
          <w:sz w:val="24"/>
          <w:szCs w:val="24"/>
        </w:rPr>
        <w:t xml:space="preserve"> </w:t>
      </w:r>
      <w:r w:rsidR="00FB4B1C">
        <w:rPr>
          <w:rFonts w:ascii="Times New Roman" w:hAnsi="Times New Roman" w:cs="Times New Roman"/>
          <w:color w:val="000000" w:themeColor="text1"/>
          <w:sz w:val="24"/>
          <w:szCs w:val="24"/>
        </w:rPr>
        <w:t>2020;</w:t>
      </w:r>
      <w:r w:rsidRPr="00126B9C">
        <w:rPr>
          <w:rFonts w:ascii="Times New Roman" w:hAnsi="Times New Roman" w:cs="Times New Roman"/>
          <w:color w:val="000000" w:themeColor="text1"/>
          <w:sz w:val="24"/>
          <w:szCs w:val="24"/>
        </w:rPr>
        <w:t xml:space="preserve"> 25: 1673–1687.</w:t>
      </w:r>
    </w:p>
    <w:p w14:paraId="5772A0DE" w14:textId="77777777" w:rsidR="007A72BB" w:rsidRPr="00126B9C" w:rsidRDefault="007A72BB" w:rsidP="007A72BB">
      <w:pPr>
        <w:pStyle w:val="ListParagraph"/>
        <w:ind w:left="360"/>
        <w:rPr>
          <w:rFonts w:ascii="Times New Roman" w:hAnsi="Times New Roman" w:cs="Times New Roman"/>
          <w:color w:val="000000" w:themeColor="text1"/>
          <w:sz w:val="24"/>
          <w:szCs w:val="24"/>
        </w:rPr>
      </w:pPr>
    </w:p>
    <w:p w14:paraId="4DC13FA8" w14:textId="13906EAE"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eastAsia="Calibri" w:hAnsi="Times New Roman" w:cs="Times New Roman"/>
          <w:color w:val="000000" w:themeColor="text1"/>
          <w:sz w:val="24"/>
          <w:szCs w:val="24"/>
        </w:rPr>
        <w:t>Roden D, Pulley J, Basford M, Bernard G, Clayton E, Balser J</w:t>
      </w:r>
      <w:r w:rsidR="00657BDF">
        <w:rPr>
          <w:rFonts w:ascii="Times New Roman" w:eastAsia="Calibri" w:hAnsi="Times New Roman" w:cs="Times New Roman"/>
          <w:color w:val="000000" w:themeColor="text1"/>
          <w:sz w:val="24"/>
          <w:szCs w:val="24"/>
        </w:rPr>
        <w:t xml:space="preserve">, </w:t>
      </w:r>
      <w:r w:rsidRPr="00126B9C">
        <w:rPr>
          <w:rFonts w:ascii="Times New Roman" w:eastAsia="Calibri" w:hAnsi="Times New Roman" w:cs="Times New Roman"/>
          <w:color w:val="000000" w:themeColor="text1"/>
          <w:sz w:val="24"/>
          <w:szCs w:val="24"/>
        </w:rPr>
        <w:t>et al. Development of a Large-Scale De-Identified DNA Biobank to Enable Personalized Medicine. </w:t>
      </w:r>
      <w:r w:rsidRPr="00126B9C">
        <w:rPr>
          <w:rFonts w:ascii="Times New Roman" w:eastAsia="Calibri" w:hAnsi="Times New Roman" w:cs="Times New Roman"/>
          <w:i/>
          <w:iCs/>
          <w:color w:val="000000" w:themeColor="text1"/>
          <w:sz w:val="24"/>
          <w:szCs w:val="24"/>
        </w:rPr>
        <w:t>Clinical Pharmacology &amp; Therapeutics</w:t>
      </w:r>
      <w:r w:rsidR="00FB4B1C">
        <w:rPr>
          <w:rFonts w:ascii="Times New Roman" w:eastAsia="Calibri" w:hAnsi="Times New Roman" w:cs="Times New Roman"/>
          <w:color w:val="000000" w:themeColor="text1"/>
          <w:sz w:val="24"/>
          <w:szCs w:val="24"/>
        </w:rPr>
        <w:t xml:space="preserve"> 2008;</w:t>
      </w:r>
      <w:r w:rsidRPr="00126B9C">
        <w:rPr>
          <w:rFonts w:ascii="Times New Roman" w:eastAsia="Calibri" w:hAnsi="Times New Roman" w:cs="Times New Roman"/>
          <w:color w:val="000000" w:themeColor="text1"/>
          <w:sz w:val="24"/>
          <w:szCs w:val="24"/>
        </w:rPr>
        <w:t xml:space="preserve"> 84: 362–369.</w:t>
      </w:r>
    </w:p>
    <w:p w14:paraId="345B6570" w14:textId="77777777" w:rsidR="007A72BB" w:rsidRPr="00126B9C" w:rsidRDefault="007A72BB" w:rsidP="007A72BB">
      <w:pPr>
        <w:pStyle w:val="ListParagraph"/>
        <w:ind w:left="360"/>
        <w:rPr>
          <w:rFonts w:ascii="Times New Roman" w:hAnsi="Times New Roman" w:cs="Times New Roman"/>
          <w:color w:val="000000" w:themeColor="text1"/>
          <w:sz w:val="24"/>
          <w:szCs w:val="24"/>
        </w:rPr>
      </w:pPr>
    </w:p>
    <w:p w14:paraId="27A5A78E" w14:textId="4E84B8E4" w:rsidR="007A72BB" w:rsidRPr="00126B9C" w:rsidRDefault="007A72BB" w:rsidP="007A72BB">
      <w:pPr>
        <w:numPr>
          <w:ilvl w:val="0"/>
          <w:numId w:val="2"/>
        </w:numPr>
        <w:contextualSpacing/>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Pedersen CB, Bybjerg-Grauholm J, Pedersen MG, Grove J, Agerbo E, Bækvad-Hansen M, et al. The iPSYCH2012 case–cohort sample: new directions for unravelling genetic and environmental architectures of severe mental disorders. </w:t>
      </w:r>
      <w:r w:rsidRPr="00126B9C">
        <w:rPr>
          <w:rFonts w:ascii="Times New Roman" w:hAnsi="Times New Roman" w:cs="Times New Roman"/>
          <w:i/>
          <w:iCs/>
          <w:color w:val="000000" w:themeColor="text1"/>
          <w:sz w:val="24"/>
          <w:szCs w:val="24"/>
        </w:rPr>
        <w:t>Molecular Psychiatry</w:t>
      </w:r>
      <w:r w:rsidR="00FB4B1C">
        <w:rPr>
          <w:rFonts w:ascii="Times New Roman" w:hAnsi="Times New Roman" w:cs="Times New Roman"/>
          <w:color w:val="000000" w:themeColor="text1"/>
          <w:sz w:val="24"/>
          <w:szCs w:val="24"/>
        </w:rPr>
        <w:t xml:space="preserve"> 2018;</w:t>
      </w:r>
      <w:r w:rsidRPr="00126B9C">
        <w:rPr>
          <w:rFonts w:ascii="Times New Roman" w:hAnsi="Times New Roman" w:cs="Times New Roman"/>
          <w:color w:val="000000" w:themeColor="text1"/>
          <w:sz w:val="24"/>
          <w:szCs w:val="24"/>
        </w:rPr>
        <w:t xml:space="preserve"> 23: 6–14.</w:t>
      </w:r>
    </w:p>
    <w:p w14:paraId="134B66F9" w14:textId="77777777" w:rsidR="007A72BB" w:rsidRPr="00126B9C" w:rsidRDefault="007A72BB" w:rsidP="007A72BB">
      <w:pPr>
        <w:ind w:left="360"/>
        <w:contextualSpacing/>
        <w:rPr>
          <w:rFonts w:ascii="Times New Roman" w:hAnsi="Times New Roman" w:cs="Times New Roman"/>
          <w:color w:val="000000" w:themeColor="text1"/>
          <w:sz w:val="24"/>
          <w:szCs w:val="24"/>
        </w:rPr>
      </w:pPr>
    </w:p>
    <w:p w14:paraId="03FA9C68" w14:textId="7E8D9FEF" w:rsidR="005C3A65" w:rsidRPr="00126B9C" w:rsidRDefault="007A72BB" w:rsidP="005C3A65">
      <w:pPr>
        <w:numPr>
          <w:ilvl w:val="0"/>
          <w:numId w:val="2"/>
        </w:numPr>
        <w:contextualSpacing/>
        <w:rPr>
          <w:rFonts w:ascii="Times New Roman" w:hAnsi="Times New Roman" w:cs="Times New Roman"/>
          <w:color w:val="000000" w:themeColor="text1"/>
          <w:sz w:val="24"/>
          <w:szCs w:val="24"/>
        </w:rPr>
      </w:pPr>
      <w:bookmarkStart w:id="8" w:name="_Hlk89440315"/>
      <w:r w:rsidRPr="00126B9C">
        <w:rPr>
          <w:rFonts w:ascii="Times New Roman" w:hAnsi="Times New Roman" w:cs="Times New Roman"/>
          <w:color w:val="000000" w:themeColor="text1"/>
          <w:sz w:val="24"/>
          <w:szCs w:val="24"/>
        </w:rPr>
        <w:t>Sherva R, Wang Q, Kranzler H, Zhao H, Koesterer R, Herman A, et al. Genome-wide Association Study of Cannabis Dependence Severity, Novel Risk Variants, and Shared Genetic Risks. </w:t>
      </w:r>
      <w:r w:rsidRPr="00126B9C">
        <w:rPr>
          <w:rFonts w:ascii="Times New Roman" w:hAnsi="Times New Roman" w:cs="Times New Roman"/>
          <w:i/>
          <w:iCs/>
          <w:color w:val="000000" w:themeColor="text1"/>
          <w:sz w:val="24"/>
          <w:szCs w:val="24"/>
        </w:rPr>
        <w:t>JAMA Psychiatry</w:t>
      </w:r>
      <w:r w:rsidR="00FB4B1C">
        <w:rPr>
          <w:rFonts w:ascii="Times New Roman" w:hAnsi="Times New Roman" w:cs="Times New Roman"/>
          <w:color w:val="000000" w:themeColor="text1"/>
          <w:sz w:val="24"/>
          <w:szCs w:val="24"/>
        </w:rPr>
        <w:t xml:space="preserve"> 2016;</w:t>
      </w:r>
      <w:r w:rsidRPr="00126B9C">
        <w:rPr>
          <w:rFonts w:ascii="Times New Roman" w:hAnsi="Times New Roman" w:cs="Times New Roman"/>
          <w:color w:val="000000" w:themeColor="text1"/>
          <w:sz w:val="24"/>
          <w:szCs w:val="24"/>
        </w:rPr>
        <w:t xml:space="preserve"> 73: 472.</w:t>
      </w:r>
    </w:p>
    <w:p w14:paraId="7F4509FC" w14:textId="77777777" w:rsidR="007A72BB" w:rsidRPr="00126B9C" w:rsidRDefault="007A72BB" w:rsidP="007A72BB">
      <w:pPr>
        <w:ind w:left="360"/>
        <w:contextualSpacing/>
        <w:rPr>
          <w:rFonts w:ascii="Times New Roman" w:hAnsi="Times New Roman" w:cs="Times New Roman"/>
          <w:color w:val="000000" w:themeColor="text1"/>
          <w:sz w:val="24"/>
          <w:szCs w:val="24"/>
        </w:rPr>
      </w:pPr>
    </w:p>
    <w:bookmarkEnd w:id="8"/>
    <w:p w14:paraId="044F407A" w14:textId="7740B283"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Zhou H, Rentsch CT, Cheng Z, Kember RL, Nunez YZ, Sherva RM, et al. Association of OPRM1 Functional Coding Variant With Opioid Use Disorder. </w:t>
      </w:r>
      <w:r w:rsidRPr="00126B9C">
        <w:rPr>
          <w:rFonts w:ascii="Times New Roman" w:hAnsi="Times New Roman" w:cs="Times New Roman"/>
          <w:i/>
          <w:iCs/>
          <w:color w:val="000000" w:themeColor="text1"/>
          <w:sz w:val="24"/>
          <w:szCs w:val="24"/>
        </w:rPr>
        <w:t>JAMA Psychiatry</w:t>
      </w:r>
      <w:r w:rsidR="0021756A">
        <w:rPr>
          <w:rFonts w:ascii="Times New Roman" w:hAnsi="Times New Roman" w:cs="Times New Roman"/>
          <w:color w:val="000000" w:themeColor="text1"/>
          <w:sz w:val="24"/>
          <w:szCs w:val="24"/>
        </w:rPr>
        <w:t xml:space="preserve"> </w:t>
      </w:r>
      <w:r w:rsidR="0021756A" w:rsidRPr="0021756A">
        <w:rPr>
          <w:rFonts w:ascii="Times New Roman" w:hAnsi="Times New Roman" w:cs="Times New Roman"/>
          <w:color w:val="000000" w:themeColor="text1"/>
          <w:sz w:val="24"/>
          <w:szCs w:val="24"/>
        </w:rPr>
        <w:t>2020</w:t>
      </w:r>
      <w:r w:rsidR="0021756A">
        <w:rPr>
          <w:rFonts w:ascii="Times New Roman" w:hAnsi="Times New Roman" w:cs="Times New Roman"/>
          <w:color w:val="000000" w:themeColor="text1"/>
          <w:sz w:val="24"/>
          <w:szCs w:val="24"/>
        </w:rPr>
        <w:t>;</w:t>
      </w:r>
      <w:r w:rsidR="0021756A" w:rsidRPr="0021756A">
        <w:rPr>
          <w:rFonts w:ascii="Times New Roman" w:hAnsi="Times New Roman" w:cs="Times New Roman"/>
          <w:color w:val="000000" w:themeColor="text1"/>
          <w:sz w:val="24"/>
          <w:szCs w:val="24"/>
        </w:rPr>
        <w:t xml:space="preserve"> </w:t>
      </w:r>
      <w:r w:rsidRPr="00126B9C">
        <w:rPr>
          <w:rFonts w:ascii="Times New Roman" w:hAnsi="Times New Roman" w:cs="Times New Roman"/>
          <w:color w:val="000000" w:themeColor="text1"/>
          <w:sz w:val="24"/>
          <w:szCs w:val="24"/>
        </w:rPr>
        <w:t>77: 1072.</w:t>
      </w:r>
    </w:p>
    <w:p w14:paraId="4B37FA18" w14:textId="77777777" w:rsidR="007A72BB" w:rsidRPr="00126B9C" w:rsidRDefault="007A72BB" w:rsidP="007A72BB">
      <w:pPr>
        <w:pStyle w:val="ListParagraph"/>
        <w:rPr>
          <w:rFonts w:ascii="Times New Roman" w:hAnsi="Times New Roman" w:cs="Times New Roman"/>
          <w:color w:val="000000" w:themeColor="text1"/>
          <w:sz w:val="24"/>
          <w:szCs w:val="24"/>
        </w:rPr>
      </w:pPr>
    </w:p>
    <w:p w14:paraId="2673A10C" w14:textId="2D42C0A9" w:rsidR="005C3A65"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Dennis JK, Sealock JM, Straub P, Lee YH, Hucks D, Actkins K et al. Clinical laboratory test-wide association scan of polygenic scores identifies biomarkers of complex disease. </w:t>
      </w:r>
      <w:r w:rsidRPr="00126B9C">
        <w:rPr>
          <w:rFonts w:ascii="Times New Roman" w:hAnsi="Times New Roman" w:cs="Times New Roman"/>
          <w:i/>
          <w:iCs/>
          <w:color w:val="000000" w:themeColor="text1"/>
          <w:sz w:val="24"/>
          <w:szCs w:val="24"/>
        </w:rPr>
        <w:t>Genome Medicine</w:t>
      </w:r>
      <w:r w:rsidRPr="00126B9C">
        <w:rPr>
          <w:rFonts w:ascii="Times New Roman" w:hAnsi="Times New Roman" w:cs="Times New Roman"/>
          <w:color w:val="000000" w:themeColor="text1"/>
          <w:sz w:val="24"/>
          <w:szCs w:val="24"/>
        </w:rPr>
        <w:t xml:space="preserve"> </w:t>
      </w:r>
      <w:r w:rsidR="0021756A">
        <w:rPr>
          <w:rFonts w:ascii="Times New Roman" w:hAnsi="Times New Roman" w:cs="Times New Roman"/>
          <w:color w:val="000000" w:themeColor="text1"/>
          <w:sz w:val="24"/>
          <w:szCs w:val="24"/>
        </w:rPr>
        <w:t xml:space="preserve">2021; </w:t>
      </w:r>
      <w:r w:rsidRPr="00126B9C">
        <w:rPr>
          <w:rFonts w:ascii="Times New Roman" w:hAnsi="Times New Roman" w:cs="Times New Roman"/>
          <w:color w:val="000000" w:themeColor="text1"/>
          <w:sz w:val="24"/>
          <w:szCs w:val="24"/>
        </w:rPr>
        <w:t>13. doi: 10.1186/s13073-020-00820-8.</w:t>
      </w:r>
    </w:p>
    <w:p w14:paraId="11AD8AB4" w14:textId="77777777" w:rsidR="007A72BB" w:rsidRPr="00126B9C" w:rsidRDefault="007A72BB" w:rsidP="007A72BB">
      <w:pPr>
        <w:pStyle w:val="ListParagraph"/>
        <w:rPr>
          <w:rFonts w:ascii="Times New Roman" w:hAnsi="Times New Roman" w:cs="Times New Roman"/>
          <w:color w:val="000000" w:themeColor="text1"/>
          <w:sz w:val="24"/>
          <w:szCs w:val="24"/>
        </w:rPr>
      </w:pPr>
    </w:p>
    <w:p w14:paraId="75E9494A" w14:textId="0A537221"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Purcell S, Neale B, Todd-Brown K, Thomas L, Ferreira MAR, Bender D</w:t>
      </w:r>
      <w:r w:rsidR="0021756A">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PLINK: A Tool Set for Whole-Genome Association and Population-Based Linkage Analyses. </w:t>
      </w:r>
      <w:r w:rsidRPr="00126B9C">
        <w:rPr>
          <w:rFonts w:ascii="Times New Roman" w:hAnsi="Times New Roman" w:cs="Times New Roman"/>
          <w:i/>
          <w:iCs/>
          <w:color w:val="000000" w:themeColor="text1"/>
          <w:sz w:val="24"/>
          <w:szCs w:val="24"/>
        </w:rPr>
        <w:t>The American Journal of Human Genetics</w:t>
      </w:r>
      <w:r w:rsidR="0021756A">
        <w:rPr>
          <w:rFonts w:ascii="Times New Roman" w:hAnsi="Times New Roman" w:cs="Times New Roman"/>
          <w:color w:val="000000" w:themeColor="text1"/>
          <w:sz w:val="24"/>
          <w:szCs w:val="24"/>
        </w:rPr>
        <w:t xml:space="preserve"> 2007;</w:t>
      </w:r>
      <w:r w:rsidRPr="00126B9C">
        <w:rPr>
          <w:rFonts w:ascii="Times New Roman" w:hAnsi="Times New Roman" w:cs="Times New Roman"/>
          <w:color w:val="000000" w:themeColor="text1"/>
          <w:sz w:val="24"/>
          <w:szCs w:val="24"/>
        </w:rPr>
        <w:t xml:space="preserve"> 81: 559–575.</w:t>
      </w:r>
    </w:p>
    <w:p w14:paraId="77DF7DA8" w14:textId="77777777" w:rsidR="007A72BB" w:rsidRPr="00126B9C" w:rsidRDefault="007A72BB" w:rsidP="007A72BB">
      <w:pPr>
        <w:pStyle w:val="ListParagraph"/>
        <w:rPr>
          <w:rFonts w:ascii="Times New Roman" w:hAnsi="Times New Roman" w:cs="Times New Roman"/>
          <w:color w:val="000000" w:themeColor="text1"/>
          <w:sz w:val="24"/>
          <w:szCs w:val="24"/>
        </w:rPr>
      </w:pPr>
    </w:p>
    <w:p w14:paraId="04BFC05B" w14:textId="0E440738" w:rsidR="005C3A65"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Auton A, Abecasis GR, Altshuler DM, Durbin RM, Abecasis GR, Bentley DR, et al. A global reference for human genetic variation. </w:t>
      </w:r>
      <w:r w:rsidRPr="00126B9C">
        <w:rPr>
          <w:rFonts w:ascii="Times New Roman" w:hAnsi="Times New Roman" w:cs="Times New Roman"/>
          <w:i/>
          <w:iCs/>
          <w:color w:val="000000" w:themeColor="text1"/>
          <w:sz w:val="24"/>
          <w:szCs w:val="24"/>
        </w:rPr>
        <w:t>Nature</w:t>
      </w:r>
      <w:r w:rsidR="0021756A">
        <w:rPr>
          <w:rFonts w:ascii="Times New Roman" w:hAnsi="Times New Roman" w:cs="Times New Roman"/>
          <w:color w:val="000000" w:themeColor="text1"/>
          <w:sz w:val="24"/>
          <w:szCs w:val="24"/>
        </w:rPr>
        <w:t xml:space="preserve"> 2015;</w:t>
      </w:r>
      <w:r w:rsidRPr="00126B9C">
        <w:rPr>
          <w:rFonts w:ascii="Times New Roman" w:hAnsi="Times New Roman" w:cs="Times New Roman"/>
          <w:color w:val="000000" w:themeColor="text1"/>
          <w:sz w:val="24"/>
          <w:szCs w:val="24"/>
        </w:rPr>
        <w:t xml:space="preserve"> 526: 68–74.</w:t>
      </w:r>
    </w:p>
    <w:p w14:paraId="5BED30D6" w14:textId="77777777" w:rsidR="007A72BB" w:rsidRPr="00126B9C" w:rsidRDefault="007A72BB" w:rsidP="007A72BB">
      <w:pPr>
        <w:pStyle w:val="ListParagraph"/>
        <w:rPr>
          <w:rFonts w:ascii="Times New Roman" w:hAnsi="Times New Roman" w:cs="Times New Roman"/>
          <w:color w:val="000000" w:themeColor="text1"/>
          <w:sz w:val="24"/>
          <w:szCs w:val="24"/>
        </w:rPr>
      </w:pPr>
    </w:p>
    <w:p w14:paraId="3372312F" w14:textId="5783A51E"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Zhou W, Nielsen JB, Fritsche LG, Dey R, Gabrielsen ME, Wolford BN, et al. Efficiently controlling for case-control imbalance and sample relatedness in large-scale genetic association studies. </w:t>
      </w:r>
      <w:r w:rsidRPr="00126B9C">
        <w:rPr>
          <w:rFonts w:ascii="Times New Roman" w:hAnsi="Times New Roman" w:cs="Times New Roman"/>
          <w:i/>
          <w:iCs/>
          <w:color w:val="000000" w:themeColor="text1"/>
          <w:sz w:val="24"/>
          <w:szCs w:val="24"/>
        </w:rPr>
        <w:t>Nature Genetics</w:t>
      </w:r>
      <w:r w:rsidR="001132B0">
        <w:rPr>
          <w:rFonts w:ascii="Times New Roman" w:hAnsi="Times New Roman" w:cs="Times New Roman"/>
          <w:color w:val="000000" w:themeColor="text1"/>
          <w:sz w:val="24"/>
          <w:szCs w:val="24"/>
        </w:rPr>
        <w:t xml:space="preserve"> 2018;</w:t>
      </w:r>
      <w:r w:rsidRPr="00126B9C">
        <w:rPr>
          <w:rFonts w:ascii="Times New Roman" w:hAnsi="Times New Roman" w:cs="Times New Roman"/>
          <w:color w:val="000000" w:themeColor="text1"/>
          <w:sz w:val="24"/>
          <w:szCs w:val="24"/>
        </w:rPr>
        <w:t xml:space="preserve"> 50: 1335–1341.</w:t>
      </w:r>
    </w:p>
    <w:p w14:paraId="773D375F" w14:textId="77777777" w:rsidR="007A72BB" w:rsidRPr="00126B9C" w:rsidRDefault="007A72BB" w:rsidP="007A72BB">
      <w:pPr>
        <w:pStyle w:val="ListParagraph"/>
        <w:rPr>
          <w:rFonts w:ascii="Times New Roman" w:hAnsi="Times New Roman" w:cs="Times New Roman"/>
          <w:color w:val="000000" w:themeColor="text1"/>
          <w:sz w:val="24"/>
          <w:szCs w:val="24"/>
        </w:rPr>
      </w:pPr>
    </w:p>
    <w:p w14:paraId="444DC9A2" w14:textId="52FDACA0"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lastRenderedPageBreak/>
        <w:t>Pierucci-Lagha A, Gelernter J, Chan G, Arias A, Cubells JF, Farrer L, et al. Reliability of DSM-IV diagnostic criteria using the semi-structured assessment for drug dependence and alcoholism (SSADDA). </w:t>
      </w:r>
      <w:r w:rsidRPr="00126B9C">
        <w:rPr>
          <w:rFonts w:ascii="Times New Roman" w:hAnsi="Times New Roman" w:cs="Times New Roman"/>
          <w:i/>
          <w:iCs/>
          <w:color w:val="000000" w:themeColor="text1"/>
          <w:sz w:val="24"/>
          <w:szCs w:val="24"/>
        </w:rPr>
        <w:t>Drug and Alcohol Dependence</w:t>
      </w:r>
      <w:r w:rsidR="001C68AB">
        <w:rPr>
          <w:rFonts w:ascii="Times New Roman" w:hAnsi="Times New Roman" w:cs="Times New Roman"/>
          <w:color w:val="000000" w:themeColor="text1"/>
          <w:sz w:val="24"/>
          <w:szCs w:val="24"/>
        </w:rPr>
        <w:t xml:space="preserve"> 2007;</w:t>
      </w:r>
      <w:r w:rsidRPr="00126B9C">
        <w:rPr>
          <w:rFonts w:ascii="Times New Roman" w:hAnsi="Times New Roman" w:cs="Times New Roman"/>
          <w:color w:val="000000" w:themeColor="text1"/>
          <w:sz w:val="24"/>
          <w:szCs w:val="24"/>
        </w:rPr>
        <w:t xml:space="preserve"> 91: 85–90.</w:t>
      </w:r>
    </w:p>
    <w:p w14:paraId="2F209516" w14:textId="77777777" w:rsidR="007A72BB" w:rsidRPr="00126B9C" w:rsidRDefault="007A72BB" w:rsidP="007A72BB">
      <w:pPr>
        <w:pStyle w:val="ListParagraph"/>
        <w:rPr>
          <w:rFonts w:ascii="Times New Roman" w:hAnsi="Times New Roman" w:cs="Times New Roman"/>
          <w:color w:val="000000" w:themeColor="text1"/>
          <w:sz w:val="24"/>
          <w:szCs w:val="24"/>
        </w:rPr>
      </w:pPr>
    </w:p>
    <w:p w14:paraId="6793E0B6" w14:textId="0D6C0068"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Pierucci-Lagha A, Gelernter J, Feinn R, Cubells JF, Pearson D, Pollastri A, et al. Diagnostic reliability of the Semi-structured Assessment for Drug Dependence and Alcoholism (SSADDA). </w:t>
      </w:r>
      <w:r w:rsidRPr="00126B9C">
        <w:rPr>
          <w:rFonts w:ascii="Times New Roman" w:hAnsi="Times New Roman" w:cs="Times New Roman"/>
          <w:i/>
          <w:iCs/>
          <w:color w:val="000000" w:themeColor="text1"/>
          <w:sz w:val="24"/>
          <w:szCs w:val="24"/>
        </w:rPr>
        <w:t>Drug and Alcohol Dependence</w:t>
      </w:r>
      <w:r w:rsidR="001C68AB">
        <w:rPr>
          <w:rFonts w:ascii="Times New Roman" w:hAnsi="Times New Roman" w:cs="Times New Roman"/>
          <w:color w:val="000000" w:themeColor="text1"/>
          <w:sz w:val="24"/>
          <w:szCs w:val="24"/>
        </w:rPr>
        <w:t xml:space="preserve"> 2005;</w:t>
      </w:r>
      <w:r w:rsidRPr="00126B9C">
        <w:rPr>
          <w:rFonts w:ascii="Times New Roman" w:hAnsi="Times New Roman" w:cs="Times New Roman"/>
          <w:color w:val="000000" w:themeColor="text1"/>
          <w:sz w:val="24"/>
          <w:szCs w:val="24"/>
        </w:rPr>
        <w:t xml:space="preserve"> 80: 303–312.</w:t>
      </w:r>
    </w:p>
    <w:p w14:paraId="5D22DD30" w14:textId="77777777" w:rsidR="007A72BB" w:rsidRPr="00126B9C" w:rsidRDefault="007A72BB" w:rsidP="007A72BB">
      <w:pPr>
        <w:pStyle w:val="ListParagraph"/>
        <w:rPr>
          <w:rFonts w:ascii="Times New Roman" w:hAnsi="Times New Roman" w:cs="Times New Roman"/>
          <w:color w:val="000000" w:themeColor="text1"/>
          <w:sz w:val="24"/>
          <w:szCs w:val="24"/>
        </w:rPr>
      </w:pPr>
    </w:p>
    <w:p w14:paraId="157C5057" w14:textId="60995334"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Das S, Forer L, Schönherr S, Sidore C, Locke AE, Kwong A, et al. Next-generation genotype imputation service and methods. </w:t>
      </w:r>
      <w:r w:rsidRPr="00126B9C">
        <w:rPr>
          <w:rFonts w:ascii="Times New Roman" w:hAnsi="Times New Roman" w:cs="Times New Roman"/>
          <w:i/>
          <w:iCs/>
          <w:color w:val="000000" w:themeColor="text1"/>
          <w:sz w:val="24"/>
          <w:szCs w:val="24"/>
        </w:rPr>
        <w:t>Nature Genetics</w:t>
      </w:r>
      <w:r w:rsidR="008A67AA">
        <w:rPr>
          <w:rFonts w:ascii="Times New Roman" w:hAnsi="Times New Roman" w:cs="Times New Roman"/>
          <w:color w:val="000000" w:themeColor="text1"/>
          <w:sz w:val="24"/>
          <w:szCs w:val="24"/>
        </w:rPr>
        <w:t xml:space="preserve"> 2016;</w:t>
      </w:r>
      <w:r w:rsidRPr="00126B9C">
        <w:rPr>
          <w:rFonts w:ascii="Times New Roman" w:hAnsi="Times New Roman" w:cs="Times New Roman"/>
          <w:color w:val="000000" w:themeColor="text1"/>
          <w:sz w:val="24"/>
          <w:szCs w:val="24"/>
        </w:rPr>
        <w:t xml:space="preserve"> 48: 1284–1287.</w:t>
      </w:r>
    </w:p>
    <w:p w14:paraId="39EB2DE4" w14:textId="77777777" w:rsidR="007A72BB" w:rsidRPr="00126B9C" w:rsidRDefault="007A72BB" w:rsidP="007A72BB">
      <w:pPr>
        <w:pStyle w:val="ListParagraph"/>
        <w:rPr>
          <w:rFonts w:ascii="Times New Roman" w:hAnsi="Times New Roman" w:cs="Times New Roman"/>
          <w:color w:val="000000" w:themeColor="text1"/>
          <w:sz w:val="24"/>
          <w:szCs w:val="24"/>
        </w:rPr>
      </w:pPr>
    </w:p>
    <w:p w14:paraId="44719991" w14:textId="3EF79D7A" w:rsidR="007A72BB" w:rsidRPr="00126B9C" w:rsidRDefault="008F1951" w:rsidP="007A72BB">
      <w:pPr>
        <w:pStyle w:val="ListParagraph"/>
        <w:numPr>
          <w:ilvl w:val="0"/>
          <w:numId w:val="2"/>
        </w:numPr>
        <w:rPr>
          <w:rFonts w:ascii="Times New Roman" w:hAnsi="Times New Roman" w:cs="Times New Roman"/>
          <w:color w:val="000000" w:themeColor="text1"/>
          <w:sz w:val="24"/>
          <w:szCs w:val="24"/>
        </w:rPr>
      </w:pPr>
      <w:r w:rsidRPr="008F1951">
        <w:rPr>
          <w:rFonts w:ascii="Times New Roman" w:hAnsi="Times New Roman" w:cs="Times New Roman"/>
          <w:noProof/>
          <w:color w:val="000000" w:themeColor="text1"/>
          <w:sz w:val="24"/>
          <w:szCs w:val="24"/>
        </w:rPr>
        <w:t xml:space="preserve">McCarthy S, Das S, Kretzschmar W, Delaneau O, Wood AR, Teumer A, </w:t>
      </w:r>
      <w:r>
        <w:rPr>
          <w:rFonts w:ascii="Times New Roman" w:hAnsi="Times New Roman" w:cs="Times New Roman"/>
          <w:noProof/>
          <w:color w:val="000000" w:themeColor="text1"/>
          <w:sz w:val="24"/>
          <w:szCs w:val="24"/>
        </w:rPr>
        <w:t>et al</w:t>
      </w:r>
      <w:r w:rsidR="005C3A65" w:rsidRPr="00126B9C">
        <w:rPr>
          <w:rFonts w:ascii="Times New Roman" w:hAnsi="Times New Roman" w:cs="Times New Roman"/>
          <w:noProof/>
          <w:color w:val="000000" w:themeColor="text1"/>
          <w:sz w:val="24"/>
          <w:szCs w:val="24"/>
        </w:rPr>
        <w:t>.</w:t>
      </w:r>
      <w:r w:rsidR="007A72BB" w:rsidRPr="00126B9C">
        <w:rPr>
          <w:rFonts w:ascii="Times New Roman" w:hAnsi="Times New Roman" w:cs="Times New Roman"/>
          <w:noProof/>
          <w:color w:val="000000" w:themeColor="text1"/>
          <w:sz w:val="24"/>
          <w:szCs w:val="24"/>
        </w:rPr>
        <w:t xml:space="preserve"> A reference panel of 64,976 haplotypes for genotype imputation. </w:t>
      </w:r>
      <w:r w:rsidR="007A72BB" w:rsidRPr="00126B9C">
        <w:rPr>
          <w:rFonts w:ascii="Times New Roman" w:hAnsi="Times New Roman" w:cs="Times New Roman"/>
          <w:i/>
          <w:iCs/>
          <w:noProof/>
          <w:color w:val="000000" w:themeColor="text1"/>
          <w:sz w:val="24"/>
          <w:szCs w:val="24"/>
        </w:rPr>
        <w:t>Nature Genetics</w:t>
      </w:r>
      <w:r w:rsidR="00182901">
        <w:rPr>
          <w:rFonts w:ascii="Times New Roman" w:hAnsi="Times New Roman" w:cs="Times New Roman"/>
          <w:noProof/>
          <w:color w:val="000000" w:themeColor="text1"/>
          <w:sz w:val="24"/>
          <w:szCs w:val="24"/>
        </w:rPr>
        <w:t xml:space="preserve"> 2016;</w:t>
      </w:r>
      <w:r w:rsidR="007A72BB" w:rsidRPr="00126B9C">
        <w:rPr>
          <w:rFonts w:ascii="Times New Roman" w:hAnsi="Times New Roman" w:cs="Times New Roman"/>
          <w:noProof/>
          <w:color w:val="000000" w:themeColor="text1"/>
          <w:sz w:val="24"/>
          <w:szCs w:val="24"/>
        </w:rPr>
        <w:t xml:space="preserve"> 48: 1279–1283.</w:t>
      </w:r>
    </w:p>
    <w:p w14:paraId="5E4ACE13" w14:textId="77777777" w:rsidR="007A72BB" w:rsidRPr="00126B9C" w:rsidRDefault="007A72BB" w:rsidP="007A72BB">
      <w:pPr>
        <w:pStyle w:val="ListParagraph"/>
        <w:rPr>
          <w:rFonts w:ascii="Times New Roman" w:hAnsi="Times New Roman" w:cs="Times New Roman"/>
          <w:color w:val="000000" w:themeColor="text1"/>
          <w:sz w:val="24"/>
          <w:szCs w:val="24"/>
        </w:rPr>
      </w:pPr>
    </w:p>
    <w:p w14:paraId="6757879A" w14:textId="52D642BF" w:rsidR="005C3A65" w:rsidRPr="00126B9C" w:rsidRDefault="005C3A65"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noProof/>
          <w:color w:val="000000" w:themeColor="text1"/>
          <w:sz w:val="24"/>
          <w:szCs w:val="24"/>
        </w:rPr>
        <w:t>Cheng Z, Yang BZ, Zhou H, Nunez Y, Kranzler HR, Gelernter J</w:t>
      </w:r>
      <w:r w:rsidR="007A72BB" w:rsidRPr="00126B9C">
        <w:rPr>
          <w:rFonts w:ascii="Times New Roman" w:hAnsi="Times New Roman" w:cs="Times New Roman"/>
          <w:noProof/>
          <w:color w:val="000000" w:themeColor="text1"/>
          <w:sz w:val="24"/>
          <w:szCs w:val="24"/>
        </w:rPr>
        <w:t>.</w:t>
      </w:r>
      <w:r w:rsidRPr="00126B9C">
        <w:rPr>
          <w:rFonts w:ascii="Times New Roman" w:hAnsi="Times New Roman" w:cs="Times New Roman"/>
          <w:noProof/>
          <w:color w:val="000000" w:themeColor="text1"/>
          <w:sz w:val="24"/>
          <w:szCs w:val="24"/>
        </w:rPr>
        <w:t xml:space="preserve"> Genome-wide scan identifies opioid overdose risk locus close to MCOLN1. </w:t>
      </w:r>
      <w:r w:rsidRPr="00126B9C">
        <w:rPr>
          <w:rFonts w:ascii="Times New Roman" w:hAnsi="Times New Roman" w:cs="Times New Roman"/>
          <w:i/>
          <w:iCs/>
          <w:noProof/>
          <w:color w:val="000000" w:themeColor="text1"/>
          <w:sz w:val="24"/>
          <w:szCs w:val="24"/>
        </w:rPr>
        <w:t>Addiction biology</w:t>
      </w:r>
      <w:r w:rsidR="00986896">
        <w:rPr>
          <w:rFonts w:ascii="Times New Roman" w:hAnsi="Times New Roman" w:cs="Times New Roman"/>
          <w:noProof/>
          <w:color w:val="000000" w:themeColor="text1"/>
          <w:sz w:val="24"/>
          <w:szCs w:val="24"/>
        </w:rPr>
        <w:t xml:space="preserve"> 2020;</w:t>
      </w:r>
      <w:r w:rsidRPr="00126B9C">
        <w:rPr>
          <w:rFonts w:ascii="Times New Roman" w:hAnsi="Times New Roman" w:cs="Times New Roman"/>
          <w:noProof/>
          <w:color w:val="000000" w:themeColor="text1"/>
          <w:sz w:val="24"/>
          <w:szCs w:val="24"/>
        </w:rPr>
        <w:t xml:space="preserve"> 2019:e12811. Epub 2019/07/31.</w:t>
      </w:r>
    </w:p>
    <w:p w14:paraId="7CD3A589" w14:textId="77777777" w:rsidR="007A72BB" w:rsidRPr="00126B9C" w:rsidRDefault="007A72BB" w:rsidP="007A72BB">
      <w:pPr>
        <w:pStyle w:val="ListParagraph"/>
        <w:rPr>
          <w:rFonts w:ascii="Times New Roman" w:hAnsi="Times New Roman" w:cs="Times New Roman"/>
          <w:color w:val="000000" w:themeColor="text1"/>
          <w:sz w:val="24"/>
          <w:szCs w:val="24"/>
        </w:rPr>
      </w:pPr>
    </w:p>
    <w:p w14:paraId="02F7F08B" w14:textId="7EB0ADAA" w:rsidR="007A72BB" w:rsidRPr="00126B9C" w:rsidRDefault="007A72BB"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Cheng Z, Zhou H, Sherva R, Farrer LA, Kranzler HR, Gelernter J</w:t>
      </w:r>
      <w:r w:rsidR="00C03D20">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Genome-wide Association Study Identifies a Regulatory Variant of RGMA Associated With Opioid Dependence in European Americans. </w:t>
      </w:r>
      <w:r w:rsidRPr="00126B9C">
        <w:rPr>
          <w:rFonts w:ascii="Times New Roman" w:hAnsi="Times New Roman" w:cs="Times New Roman"/>
          <w:i/>
          <w:iCs/>
          <w:color w:val="000000" w:themeColor="text1"/>
          <w:sz w:val="24"/>
          <w:szCs w:val="24"/>
        </w:rPr>
        <w:t>Biological Psychiatry</w:t>
      </w:r>
      <w:r w:rsidR="00C03D20">
        <w:rPr>
          <w:rFonts w:ascii="Times New Roman" w:hAnsi="Times New Roman" w:cs="Times New Roman"/>
          <w:color w:val="000000" w:themeColor="text1"/>
          <w:sz w:val="24"/>
          <w:szCs w:val="24"/>
        </w:rPr>
        <w:t xml:space="preserve"> 2018;</w:t>
      </w:r>
      <w:r w:rsidRPr="00126B9C">
        <w:rPr>
          <w:rFonts w:ascii="Times New Roman" w:hAnsi="Times New Roman" w:cs="Times New Roman"/>
          <w:color w:val="000000" w:themeColor="text1"/>
          <w:sz w:val="24"/>
          <w:szCs w:val="24"/>
        </w:rPr>
        <w:t xml:space="preserve"> 84: 762–770.</w:t>
      </w:r>
    </w:p>
    <w:p w14:paraId="0F7C4088" w14:textId="77777777" w:rsidR="008360DD" w:rsidRPr="00126B9C" w:rsidRDefault="008360DD" w:rsidP="00661327">
      <w:pPr>
        <w:pStyle w:val="ListParagraph"/>
        <w:rPr>
          <w:rFonts w:ascii="Times New Roman" w:hAnsi="Times New Roman" w:cs="Times New Roman"/>
          <w:color w:val="000000" w:themeColor="text1"/>
          <w:sz w:val="24"/>
          <w:szCs w:val="24"/>
        </w:rPr>
      </w:pPr>
    </w:p>
    <w:p w14:paraId="10EA81A5" w14:textId="13D26423" w:rsidR="008360DD" w:rsidRPr="00126B9C" w:rsidRDefault="008360DD"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Zhou X, Stephens M</w:t>
      </w:r>
      <w:r w:rsidR="006F262C">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Genome-wide efficient mixed-model analysis for association studies. </w:t>
      </w:r>
      <w:r w:rsidRPr="00126B9C">
        <w:rPr>
          <w:rFonts w:ascii="Times New Roman" w:hAnsi="Times New Roman" w:cs="Times New Roman"/>
          <w:i/>
          <w:iCs/>
          <w:color w:val="000000" w:themeColor="text1"/>
          <w:sz w:val="24"/>
          <w:szCs w:val="24"/>
        </w:rPr>
        <w:t>Nature Genetics</w:t>
      </w:r>
      <w:r w:rsidR="006F262C">
        <w:rPr>
          <w:rFonts w:ascii="Times New Roman" w:hAnsi="Times New Roman" w:cs="Times New Roman"/>
          <w:color w:val="000000" w:themeColor="text1"/>
          <w:sz w:val="24"/>
          <w:szCs w:val="24"/>
        </w:rPr>
        <w:t xml:space="preserve"> 2012;</w:t>
      </w:r>
      <w:r w:rsidRPr="00126B9C">
        <w:rPr>
          <w:rFonts w:ascii="Times New Roman" w:hAnsi="Times New Roman" w:cs="Times New Roman"/>
          <w:color w:val="000000" w:themeColor="text1"/>
          <w:sz w:val="24"/>
          <w:szCs w:val="24"/>
        </w:rPr>
        <w:t xml:space="preserve"> 44: 821–824.</w:t>
      </w:r>
    </w:p>
    <w:p w14:paraId="73D8F28F" w14:textId="77777777" w:rsidR="00661327" w:rsidRPr="00126B9C" w:rsidRDefault="00661327" w:rsidP="00037EF7">
      <w:pPr>
        <w:pStyle w:val="ListParagraph"/>
        <w:rPr>
          <w:rFonts w:ascii="Times New Roman" w:hAnsi="Times New Roman" w:cs="Times New Roman"/>
          <w:color w:val="000000" w:themeColor="text1"/>
          <w:sz w:val="24"/>
          <w:szCs w:val="24"/>
        </w:rPr>
      </w:pPr>
    </w:p>
    <w:p w14:paraId="11FEB7AC" w14:textId="49E1FEA7" w:rsidR="00661327" w:rsidRPr="00126B9C" w:rsidRDefault="0066132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Zhou H, Rentsch CT, Cheng Z, Kember RL, Nunez YZ, Sherva RM, et al. Association of OPRM1 Functional Coding Variant With Opioid Use Disorder. </w:t>
      </w:r>
      <w:r w:rsidRPr="006F262C">
        <w:rPr>
          <w:rFonts w:ascii="Times New Roman" w:hAnsi="Times New Roman" w:cs="Times New Roman"/>
          <w:i/>
          <w:iCs/>
          <w:color w:val="000000" w:themeColor="text1"/>
          <w:sz w:val="24"/>
          <w:szCs w:val="24"/>
        </w:rPr>
        <w:t>JAMA Psychiatry</w:t>
      </w:r>
      <w:r w:rsidR="006F262C">
        <w:rPr>
          <w:rFonts w:ascii="Times New Roman" w:hAnsi="Times New Roman" w:cs="Times New Roman"/>
          <w:color w:val="000000" w:themeColor="text1"/>
          <w:sz w:val="24"/>
          <w:szCs w:val="24"/>
        </w:rPr>
        <w:t xml:space="preserve"> 2020;</w:t>
      </w:r>
      <w:r w:rsidRPr="00126B9C">
        <w:rPr>
          <w:rFonts w:ascii="Times New Roman" w:hAnsi="Times New Roman" w:cs="Times New Roman"/>
          <w:color w:val="000000" w:themeColor="text1"/>
          <w:sz w:val="24"/>
          <w:szCs w:val="24"/>
        </w:rPr>
        <w:t xml:space="preserve"> 77: 1072.</w:t>
      </w:r>
    </w:p>
    <w:p w14:paraId="54F0BF11" w14:textId="77777777" w:rsidR="00661327" w:rsidRPr="00126B9C" w:rsidRDefault="00661327" w:rsidP="00037EF7">
      <w:pPr>
        <w:pStyle w:val="ListParagraph"/>
        <w:rPr>
          <w:rFonts w:ascii="Times New Roman" w:hAnsi="Times New Roman" w:cs="Times New Roman"/>
          <w:color w:val="000000" w:themeColor="text1"/>
          <w:sz w:val="24"/>
          <w:szCs w:val="24"/>
        </w:rPr>
      </w:pPr>
    </w:p>
    <w:p w14:paraId="5CF24292" w14:textId="13D511B1" w:rsidR="00661327" w:rsidRPr="00126B9C" w:rsidRDefault="0066132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Gaziano JM, Concato J, Brophy M, Fiore L, Pyarajan S, Breeling J</w:t>
      </w:r>
      <w:r w:rsidR="00657BDF">
        <w:rPr>
          <w:rFonts w:ascii="Times New Roman" w:hAnsi="Times New Roman" w:cs="Times New Roman"/>
          <w:color w:val="000000" w:themeColor="text1"/>
          <w:sz w:val="24"/>
          <w:szCs w:val="24"/>
        </w:rPr>
        <w:t>, et al</w:t>
      </w:r>
      <w:r w:rsidR="006F262C">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Million Veteran Program: A mega-biobank to study genetic influences on health and disease. </w:t>
      </w:r>
      <w:r w:rsidRPr="00126B9C">
        <w:rPr>
          <w:rFonts w:ascii="Times New Roman" w:hAnsi="Times New Roman" w:cs="Times New Roman"/>
          <w:i/>
          <w:iCs/>
          <w:color w:val="000000" w:themeColor="text1"/>
          <w:sz w:val="24"/>
          <w:szCs w:val="24"/>
        </w:rPr>
        <w:t>Journal of Clinical Epidemiolog</w:t>
      </w:r>
      <w:r w:rsidR="006F262C">
        <w:rPr>
          <w:rFonts w:ascii="Times New Roman" w:hAnsi="Times New Roman" w:cs="Times New Roman"/>
          <w:i/>
          <w:iCs/>
          <w:color w:val="000000" w:themeColor="text1"/>
          <w:sz w:val="24"/>
          <w:szCs w:val="24"/>
        </w:rPr>
        <w:t xml:space="preserve">y </w:t>
      </w:r>
      <w:r w:rsidR="006F262C">
        <w:rPr>
          <w:rFonts w:ascii="Times New Roman" w:hAnsi="Times New Roman" w:cs="Times New Roman"/>
          <w:color w:val="000000" w:themeColor="text1"/>
          <w:sz w:val="24"/>
          <w:szCs w:val="24"/>
        </w:rPr>
        <w:t>2016;</w:t>
      </w:r>
      <w:r w:rsidRPr="00126B9C">
        <w:rPr>
          <w:rFonts w:ascii="Times New Roman" w:hAnsi="Times New Roman" w:cs="Times New Roman"/>
          <w:color w:val="000000" w:themeColor="text1"/>
          <w:sz w:val="24"/>
          <w:szCs w:val="24"/>
        </w:rPr>
        <w:t xml:space="preserve"> 70: 214–223.</w:t>
      </w:r>
    </w:p>
    <w:p w14:paraId="5514516C" w14:textId="77777777" w:rsidR="00881557" w:rsidRPr="00126B9C" w:rsidRDefault="00881557" w:rsidP="00037EF7">
      <w:pPr>
        <w:pStyle w:val="ListParagraph"/>
        <w:rPr>
          <w:rFonts w:ascii="Times New Roman" w:hAnsi="Times New Roman" w:cs="Times New Roman"/>
          <w:color w:val="000000" w:themeColor="text1"/>
          <w:sz w:val="24"/>
          <w:szCs w:val="24"/>
        </w:rPr>
      </w:pPr>
    </w:p>
    <w:p w14:paraId="412C21AA" w14:textId="6CC45521" w:rsidR="00881557" w:rsidRPr="00126B9C" w:rsidRDefault="0088155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 xml:space="preserve">Polimanti R, Walters RK, Johnson EC, Mcclintick JN, Adkins AE, Adkins DE, et al. Leveraging genome-wide data to investigate differences between opioid use vs. opioid dependence in 41,176 individuals from the Psychiatric Genomics Consortium. </w:t>
      </w:r>
      <w:r w:rsidRPr="00126B9C">
        <w:rPr>
          <w:rFonts w:ascii="Times New Roman" w:hAnsi="Times New Roman" w:cs="Times New Roman"/>
          <w:i/>
          <w:iCs/>
          <w:color w:val="000000" w:themeColor="text1"/>
          <w:sz w:val="24"/>
          <w:szCs w:val="24"/>
        </w:rPr>
        <w:t>Molecular Psychiatry</w:t>
      </w:r>
      <w:r w:rsidR="008970B0">
        <w:rPr>
          <w:rFonts w:ascii="Times New Roman" w:hAnsi="Times New Roman" w:cs="Times New Roman"/>
          <w:color w:val="000000" w:themeColor="text1"/>
          <w:sz w:val="24"/>
          <w:szCs w:val="24"/>
        </w:rPr>
        <w:t xml:space="preserve"> 2020;</w:t>
      </w:r>
      <w:r w:rsidRPr="00126B9C">
        <w:rPr>
          <w:rFonts w:ascii="Times New Roman" w:hAnsi="Times New Roman" w:cs="Times New Roman"/>
          <w:color w:val="000000" w:themeColor="text1"/>
          <w:sz w:val="24"/>
          <w:szCs w:val="24"/>
        </w:rPr>
        <w:t xml:space="preserve"> 25: 1673–1687.</w:t>
      </w:r>
    </w:p>
    <w:p w14:paraId="3545287B" w14:textId="77777777" w:rsidR="00881557" w:rsidRPr="00126B9C" w:rsidRDefault="00881557" w:rsidP="00037EF7">
      <w:pPr>
        <w:pStyle w:val="ListParagraph"/>
        <w:rPr>
          <w:rFonts w:ascii="Times New Roman" w:hAnsi="Times New Roman" w:cs="Times New Roman"/>
          <w:color w:val="000000" w:themeColor="text1"/>
          <w:sz w:val="24"/>
          <w:szCs w:val="24"/>
        </w:rPr>
      </w:pPr>
    </w:p>
    <w:p w14:paraId="7C8FD757" w14:textId="2A901A6F" w:rsidR="00881557" w:rsidRPr="00126B9C" w:rsidRDefault="0088155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Lam M, Awasthi S, Watson HJ, Goldstein J, Panagiotaropoulou G, Trubetskoy V</w:t>
      </w:r>
      <w:r w:rsidR="00657BDF">
        <w:rPr>
          <w:rFonts w:ascii="Times New Roman" w:hAnsi="Times New Roman" w:cs="Times New Roman"/>
          <w:color w:val="000000" w:themeColor="text1"/>
          <w:sz w:val="24"/>
          <w:szCs w:val="24"/>
        </w:rPr>
        <w:t>, et al</w:t>
      </w:r>
      <w:r w:rsidR="00A92C79">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RICOPILI: Rapid Imputation for COnsortias PIpeLIne. </w:t>
      </w:r>
      <w:r w:rsidRPr="00126B9C">
        <w:rPr>
          <w:rFonts w:ascii="Times New Roman" w:hAnsi="Times New Roman" w:cs="Times New Roman"/>
          <w:i/>
          <w:iCs/>
          <w:color w:val="000000" w:themeColor="text1"/>
          <w:sz w:val="24"/>
          <w:szCs w:val="24"/>
        </w:rPr>
        <w:t>Bioinformatics</w:t>
      </w:r>
      <w:r w:rsidR="00A92C79">
        <w:rPr>
          <w:rFonts w:ascii="Times New Roman" w:hAnsi="Times New Roman" w:cs="Times New Roman"/>
          <w:color w:val="000000" w:themeColor="text1"/>
          <w:sz w:val="24"/>
          <w:szCs w:val="24"/>
        </w:rPr>
        <w:t xml:space="preserve"> 2020;</w:t>
      </w:r>
      <w:r w:rsidRPr="00126B9C">
        <w:rPr>
          <w:rFonts w:ascii="Times New Roman" w:hAnsi="Times New Roman" w:cs="Times New Roman"/>
          <w:color w:val="000000" w:themeColor="text1"/>
          <w:sz w:val="24"/>
          <w:szCs w:val="24"/>
        </w:rPr>
        <w:t xml:space="preserve"> 36: 930–933.</w:t>
      </w:r>
    </w:p>
    <w:p w14:paraId="7A5DBEE1" w14:textId="77777777" w:rsidR="004B05B9" w:rsidRPr="00126B9C" w:rsidRDefault="004B05B9" w:rsidP="00037EF7">
      <w:pPr>
        <w:pStyle w:val="ListParagraph"/>
        <w:rPr>
          <w:rFonts w:ascii="Times New Roman" w:hAnsi="Times New Roman" w:cs="Times New Roman"/>
          <w:color w:val="000000" w:themeColor="text1"/>
          <w:sz w:val="24"/>
          <w:szCs w:val="24"/>
        </w:rPr>
      </w:pPr>
    </w:p>
    <w:p w14:paraId="436AFC4C" w14:textId="76FAD07A" w:rsidR="004B05B9" w:rsidRPr="00126B9C" w:rsidRDefault="004B05B9"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Willer CJ, Li Y, Abecasis GR</w:t>
      </w:r>
      <w:r w:rsidR="00A92C79">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METAL: fast and efficient meta-analysis of genomewide association scans. </w:t>
      </w:r>
      <w:r w:rsidRPr="00126B9C">
        <w:rPr>
          <w:rFonts w:ascii="Times New Roman" w:hAnsi="Times New Roman" w:cs="Times New Roman"/>
          <w:i/>
          <w:iCs/>
          <w:color w:val="000000" w:themeColor="text1"/>
          <w:sz w:val="24"/>
          <w:szCs w:val="24"/>
        </w:rPr>
        <w:t>Bioinformatics</w:t>
      </w:r>
      <w:r w:rsidR="00A92C79">
        <w:rPr>
          <w:rFonts w:ascii="Times New Roman" w:hAnsi="Times New Roman" w:cs="Times New Roman"/>
          <w:color w:val="000000" w:themeColor="text1"/>
          <w:sz w:val="24"/>
          <w:szCs w:val="24"/>
        </w:rPr>
        <w:t xml:space="preserve"> 2010;</w:t>
      </w:r>
      <w:r w:rsidRPr="00126B9C">
        <w:rPr>
          <w:rFonts w:ascii="Times New Roman" w:hAnsi="Times New Roman" w:cs="Times New Roman"/>
          <w:color w:val="000000" w:themeColor="text1"/>
          <w:sz w:val="24"/>
          <w:szCs w:val="24"/>
        </w:rPr>
        <w:t xml:space="preserve"> 26: 2190–2191.</w:t>
      </w:r>
    </w:p>
    <w:p w14:paraId="542F7920" w14:textId="77777777" w:rsidR="00267A34" w:rsidRPr="00126B9C" w:rsidRDefault="00267A34" w:rsidP="00037EF7">
      <w:pPr>
        <w:pStyle w:val="ListParagraph"/>
        <w:rPr>
          <w:rFonts w:ascii="Times New Roman" w:hAnsi="Times New Roman" w:cs="Times New Roman"/>
          <w:color w:val="000000" w:themeColor="text1"/>
          <w:sz w:val="24"/>
          <w:szCs w:val="24"/>
        </w:rPr>
      </w:pPr>
    </w:p>
    <w:p w14:paraId="5505A248" w14:textId="75BBDE5B" w:rsidR="00267A34" w:rsidRPr="00126B9C" w:rsidRDefault="00267A34"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Song W, Kossowsky J, Torous J, Chen C-Y, Huang H, Mukamal KJ</w:t>
      </w:r>
      <w:r w:rsidR="00657BDF">
        <w:rPr>
          <w:rFonts w:ascii="Times New Roman" w:hAnsi="Times New Roman" w:cs="Times New Roman"/>
          <w:color w:val="000000" w:themeColor="text1"/>
          <w:sz w:val="24"/>
          <w:szCs w:val="24"/>
        </w:rPr>
        <w:t>, et al</w:t>
      </w:r>
      <w:r w:rsidR="00F401BF">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Genome-wide association analysis of opioid use disorder: A novel approach using clinical data. </w:t>
      </w:r>
      <w:r w:rsidRPr="00126B9C">
        <w:rPr>
          <w:rFonts w:ascii="Times New Roman" w:hAnsi="Times New Roman" w:cs="Times New Roman"/>
          <w:i/>
          <w:iCs/>
          <w:color w:val="000000" w:themeColor="text1"/>
          <w:sz w:val="24"/>
          <w:szCs w:val="24"/>
        </w:rPr>
        <w:t>Drug and Alcohol Dependenc</w:t>
      </w:r>
      <w:r w:rsidR="00F401BF">
        <w:rPr>
          <w:rFonts w:ascii="Times New Roman" w:hAnsi="Times New Roman" w:cs="Times New Roman"/>
          <w:i/>
          <w:iCs/>
          <w:color w:val="000000" w:themeColor="text1"/>
          <w:sz w:val="24"/>
          <w:szCs w:val="24"/>
        </w:rPr>
        <w:t xml:space="preserve">e </w:t>
      </w:r>
      <w:r w:rsidR="00F401BF">
        <w:rPr>
          <w:rFonts w:ascii="Times New Roman" w:hAnsi="Times New Roman" w:cs="Times New Roman"/>
          <w:color w:val="000000" w:themeColor="text1"/>
          <w:sz w:val="24"/>
          <w:szCs w:val="24"/>
        </w:rPr>
        <w:t>2020;</w:t>
      </w:r>
      <w:r w:rsidRPr="00126B9C">
        <w:rPr>
          <w:rFonts w:ascii="Times New Roman" w:hAnsi="Times New Roman" w:cs="Times New Roman"/>
          <w:color w:val="000000" w:themeColor="text1"/>
          <w:sz w:val="24"/>
          <w:szCs w:val="24"/>
        </w:rPr>
        <w:t xml:space="preserve"> 217: 108276.</w:t>
      </w:r>
    </w:p>
    <w:p w14:paraId="0A999A31" w14:textId="77777777" w:rsidR="00037EF7" w:rsidRPr="00126B9C" w:rsidRDefault="00037EF7" w:rsidP="00037EF7">
      <w:pPr>
        <w:pStyle w:val="ListParagraph"/>
        <w:ind w:left="360"/>
        <w:rPr>
          <w:rFonts w:ascii="Times New Roman" w:hAnsi="Times New Roman" w:cs="Times New Roman"/>
          <w:color w:val="000000" w:themeColor="text1"/>
          <w:sz w:val="24"/>
          <w:szCs w:val="24"/>
        </w:rPr>
      </w:pPr>
    </w:p>
    <w:p w14:paraId="2C0303E1" w14:textId="3ECA0E09" w:rsidR="009B0125" w:rsidRPr="00126B9C" w:rsidRDefault="009B0125"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Zhou W, Nielsen JB, Fritsche LG, Dey R, Gabrielsen ME, Wolford BN</w:t>
      </w:r>
      <w:r w:rsidR="00657BDF">
        <w:rPr>
          <w:rFonts w:ascii="Times New Roman" w:hAnsi="Times New Roman" w:cs="Times New Roman"/>
          <w:color w:val="000000" w:themeColor="text1"/>
          <w:sz w:val="24"/>
          <w:szCs w:val="24"/>
        </w:rPr>
        <w:t>, et al</w:t>
      </w:r>
      <w:r w:rsidR="00FA6ABE">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Efficiently controlling for case-control imbalance and sample relatedness in large-scale genetic association studies. </w:t>
      </w:r>
      <w:r w:rsidRPr="00126B9C">
        <w:rPr>
          <w:rFonts w:ascii="Times New Roman" w:hAnsi="Times New Roman" w:cs="Times New Roman"/>
          <w:i/>
          <w:iCs/>
          <w:color w:val="000000" w:themeColor="text1"/>
          <w:sz w:val="24"/>
          <w:szCs w:val="24"/>
        </w:rPr>
        <w:t>Nature Genetics</w:t>
      </w:r>
      <w:r w:rsidR="00FA6ABE">
        <w:rPr>
          <w:rFonts w:ascii="Times New Roman" w:hAnsi="Times New Roman" w:cs="Times New Roman"/>
          <w:color w:val="000000" w:themeColor="text1"/>
          <w:sz w:val="24"/>
          <w:szCs w:val="24"/>
        </w:rPr>
        <w:t xml:space="preserve"> 2018;</w:t>
      </w:r>
      <w:r w:rsidRPr="00126B9C">
        <w:rPr>
          <w:rFonts w:ascii="Times New Roman" w:hAnsi="Times New Roman" w:cs="Times New Roman"/>
          <w:color w:val="000000" w:themeColor="text1"/>
          <w:sz w:val="24"/>
          <w:szCs w:val="24"/>
        </w:rPr>
        <w:t xml:space="preserve"> 50: 1335–1341.</w:t>
      </w:r>
    </w:p>
    <w:p w14:paraId="3D49A88B" w14:textId="77777777" w:rsidR="00C80AE6" w:rsidRPr="00126B9C" w:rsidRDefault="00C80AE6" w:rsidP="00037EF7">
      <w:pPr>
        <w:pStyle w:val="ListParagraph"/>
        <w:rPr>
          <w:rFonts w:ascii="Times New Roman" w:hAnsi="Times New Roman" w:cs="Times New Roman"/>
          <w:color w:val="000000" w:themeColor="text1"/>
          <w:sz w:val="24"/>
          <w:szCs w:val="24"/>
        </w:rPr>
      </w:pPr>
    </w:p>
    <w:p w14:paraId="51B58F5C" w14:textId="748A5C8D" w:rsidR="00C80AE6" w:rsidRPr="00126B9C" w:rsidRDefault="00C80AE6"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Lonsdale J, Thomas J, Salvatore M, Phillips R, Lo E, Shad S</w:t>
      </w:r>
      <w:r w:rsidR="00657BDF">
        <w:rPr>
          <w:rFonts w:ascii="Times New Roman" w:hAnsi="Times New Roman" w:cs="Times New Roman"/>
          <w:color w:val="000000" w:themeColor="text1"/>
          <w:sz w:val="24"/>
          <w:szCs w:val="24"/>
        </w:rPr>
        <w:t>, et al</w:t>
      </w:r>
      <w:r w:rsidR="00F96BF4">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The Genotype-Tissue Expression (GTEx) project. </w:t>
      </w:r>
      <w:r w:rsidRPr="00F07A0E">
        <w:rPr>
          <w:rFonts w:ascii="Times New Roman" w:hAnsi="Times New Roman" w:cs="Times New Roman"/>
          <w:i/>
          <w:iCs/>
          <w:color w:val="000000" w:themeColor="text1"/>
          <w:sz w:val="24"/>
          <w:szCs w:val="24"/>
        </w:rPr>
        <w:t>Nature Genetics</w:t>
      </w:r>
      <w:r w:rsidR="00F96BF4">
        <w:rPr>
          <w:rFonts w:ascii="Times New Roman" w:hAnsi="Times New Roman" w:cs="Times New Roman"/>
          <w:color w:val="000000" w:themeColor="text1"/>
          <w:sz w:val="24"/>
          <w:szCs w:val="24"/>
        </w:rPr>
        <w:t xml:space="preserve"> 2013;</w:t>
      </w:r>
      <w:r w:rsidRPr="00126B9C">
        <w:rPr>
          <w:rFonts w:ascii="Times New Roman" w:hAnsi="Times New Roman" w:cs="Times New Roman"/>
          <w:color w:val="000000" w:themeColor="text1"/>
          <w:sz w:val="24"/>
          <w:szCs w:val="24"/>
        </w:rPr>
        <w:t xml:space="preserve"> 45: 580–585.</w:t>
      </w:r>
    </w:p>
    <w:p w14:paraId="53D3F000" w14:textId="77777777" w:rsidR="00C80AE6" w:rsidRPr="00126B9C" w:rsidRDefault="00C80AE6" w:rsidP="00037EF7">
      <w:pPr>
        <w:pStyle w:val="ListParagraph"/>
        <w:rPr>
          <w:rFonts w:ascii="Times New Roman" w:hAnsi="Times New Roman" w:cs="Times New Roman"/>
          <w:color w:val="000000" w:themeColor="text1"/>
          <w:sz w:val="24"/>
          <w:szCs w:val="24"/>
        </w:rPr>
      </w:pPr>
    </w:p>
    <w:p w14:paraId="6FA97AAB" w14:textId="64D8BED6" w:rsidR="00C80AE6" w:rsidRPr="00126B9C" w:rsidRDefault="00C80AE6"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Ramasamy A, Trabzuni D, Guelfi S, Varghese V, Smith C, Walker R</w:t>
      </w:r>
      <w:r w:rsidR="00F366C0">
        <w:rPr>
          <w:rFonts w:ascii="Times New Roman" w:hAnsi="Times New Roman" w:cs="Times New Roman"/>
          <w:color w:val="000000" w:themeColor="text1"/>
          <w:sz w:val="24"/>
          <w:szCs w:val="24"/>
        </w:rPr>
        <w:t>, et al</w:t>
      </w:r>
      <w:r w:rsidR="00F96BF4">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Genetic variability in the regulation of gene expression in ten regions of the human brain. </w:t>
      </w:r>
      <w:r w:rsidRPr="00126B9C">
        <w:rPr>
          <w:rFonts w:ascii="Times New Roman" w:hAnsi="Times New Roman" w:cs="Times New Roman"/>
          <w:i/>
          <w:iCs/>
          <w:color w:val="000000" w:themeColor="text1"/>
          <w:sz w:val="24"/>
          <w:szCs w:val="24"/>
        </w:rPr>
        <w:t>Nature Neuroscience</w:t>
      </w:r>
      <w:r w:rsidR="00F96BF4">
        <w:rPr>
          <w:rFonts w:ascii="Times New Roman" w:hAnsi="Times New Roman" w:cs="Times New Roman"/>
          <w:color w:val="000000" w:themeColor="text1"/>
          <w:sz w:val="24"/>
          <w:szCs w:val="24"/>
        </w:rPr>
        <w:t xml:space="preserve"> 2014;</w:t>
      </w:r>
      <w:r w:rsidRPr="00126B9C">
        <w:rPr>
          <w:rFonts w:ascii="Times New Roman" w:hAnsi="Times New Roman" w:cs="Times New Roman"/>
          <w:color w:val="000000" w:themeColor="text1"/>
          <w:sz w:val="24"/>
          <w:szCs w:val="24"/>
        </w:rPr>
        <w:t xml:space="preserve"> 17: 1418–1428.</w:t>
      </w:r>
    </w:p>
    <w:p w14:paraId="7CB0B742" w14:textId="77777777" w:rsidR="00037EF7" w:rsidRPr="00126B9C" w:rsidRDefault="00037EF7" w:rsidP="00037EF7">
      <w:pPr>
        <w:pStyle w:val="ListParagraph"/>
        <w:rPr>
          <w:rFonts w:ascii="Times New Roman" w:hAnsi="Times New Roman" w:cs="Times New Roman"/>
          <w:color w:val="000000" w:themeColor="text1"/>
          <w:sz w:val="24"/>
          <w:szCs w:val="24"/>
        </w:rPr>
      </w:pPr>
    </w:p>
    <w:p w14:paraId="2AC90425" w14:textId="3C31A443" w:rsidR="00037EF7" w:rsidRPr="00126B9C" w:rsidRDefault="00037EF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Schmitt A, Hu M, Jung I, Xu Z, Qiu Y, Catherine</w:t>
      </w:r>
      <w:r w:rsidR="00F366C0">
        <w:rPr>
          <w:rFonts w:ascii="Times New Roman" w:hAnsi="Times New Roman" w:cs="Times New Roman"/>
          <w:color w:val="000000" w:themeColor="text1"/>
          <w:sz w:val="24"/>
          <w:szCs w:val="24"/>
        </w:rPr>
        <w:t>, et al</w:t>
      </w:r>
      <w:r w:rsidR="00F07A0E">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A Compendium of Chromatin Contact Maps Reveals Spatially Active Regions in the Human Genome. </w:t>
      </w:r>
      <w:r w:rsidRPr="00F07A0E">
        <w:rPr>
          <w:rFonts w:ascii="Times New Roman" w:hAnsi="Times New Roman" w:cs="Times New Roman"/>
          <w:i/>
          <w:iCs/>
          <w:color w:val="000000" w:themeColor="text1"/>
          <w:sz w:val="24"/>
          <w:szCs w:val="24"/>
        </w:rPr>
        <w:t>Cell Reports</w:t>
      </w:r>
      <w:r w:rsidR="00F07A0E">
        <w:rPr>
          <w:rFonts w:ascii="Times New Roman" w:hAnsi="Times New Roman" w:cs="Times New Roman"/>
          <w:color w:val="000000" w:themeColor="text1"/>
          <w:sz w:val="24"/>
          <w:szCs w:val="24"/>
        </w:rPr>
        <w:t xml:space="preserve"> 2016;</w:t>
      </w:r>
      <w:r w:rsidRPr="00126B9C">
        <w:rPr>
          <w:rFonts w:ascii="Times New Roman" w:hAnsi="Times New Roman" w:cs="Times New Roman"/>
          <w:color w:val="000000" w:themeColor="text1"/>
          <w:sz w:val="24"/>
          <w:szCs w:val="24"/>
        </w:rPr>
        <w:t xml:space="preserve"> 17: 2042–2059</w:t>
      </w:r>
      <w:r w:rsidR="00504035">
        <w:rPr>
          <w:rFonts w:ascii="Times New Roman" w:hAnsi="Times New Roman" w:cs="Times New Roman"/>
          <w:color w:val="000000" w:themeColor="text1"/>
          <w:sz w:val="24"/>
          <w:szCs w:val="24"/>
        </w:rPr>
        <w:t>.</w:t>
      </w:r>
    </w:p>
    <w:p w14:paraId="717DDD91" w14:textId="77777777" w:rsidR="00A62D61" w:rsidRPr="00126B9C" w:rsidRDefault="00A62D61" w:rsidP="00A62D61">
      <w:pPr>
        <w:pStyle w:val="ListParagraph"/>
        <w:rPr>
          <w:rFonts w:ascii="Times New Roman" w:hAnsi="Times New Roman" w:cs="Times New Roman"/>
          <w:color w:val="000000" w:themeColor="text1"/>
          <w:sz w:val="24"/>
          <w:szCs w:val="24"/>
        </w:rPr>
      </w:pPr>
    </w:p>
    <w:p w14:paraId="6B3CEE94" w14:textId="7E2AF0A3" w:rsidR="00A62D61" w:rsidRPr="00126B9C" w:rsidRDefault="00A62D61" w:rsidP="00A62D61">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Watanabe K, Taskesen E, Van Bochoven A, Posthuma D</w:t>
      </w:r>
      <w:r w:rsidR="00504035">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Functional mapping and annotation of genetic associations with FUMA. </w:t>
      </w:r>
      <w:r w:rsidRPr="00126B9C">
        <w:rPr>
          <w:rFonts w:ascii="Times New Roman" w:hAnsi="Times New Roman" w:cs="Times New Roman"/>
          <w:i/>
          <w:iCs/>
          <w:color w:val="000000" w:themeColor="text1"/>
          <w:sz w:val="24"/>
          <w:szCs w:val="24"/>
        </w:rPr>
        <w:t>Nature Communications</w:t>
      </w:r>
      <w:r w:rsidR="00504035">
        <w:rPr>
          <w:rFonts w:ascii="Times New Roman" w:hAnsi="Times New Roman" w:cs="Times New Roman"/>
          <w:color w:val="000000" w:themeColor="text1"/>
          <w:sz w:val="24"/>
          <w:szCs w:val="24"/>
        </w:rPr>
        <w:t xml:space="preserve"> 2017;</w:t>
      </w:r>
      <w:r w:rsidRPr="00126B9C">
        <w:rPr>
          <w:rFonts w:ascii="Times New Roman" w:hAnsi="Times New Roman" w:cs="Times New Roman"/>
          <w:color w:val="000000" w:themeColor="text1"/>
          <w:sz w:val="24"/>
          <w:szCs w:val="24"/>
        </w:rPr>
        <w:t xml:space="preserve"> 8. doi: 10.1038/s41467-017-01261-5.</w:t>
      </w:r>
    </w:p>
    <w:p w14:paraId="73A31D51" w14:textId="77777777" w:rsidR="00037EF7" w:rsidRPr="00126B9C" w:rsidRDefault="00037EF7" w:rsidP="00037EF7">
      <w:pPr>
        <w:pStyle w:val="ListParagraph"/>
        <w:rPr>
          <w:rFonts w:ascii="Times New Roman" w:hAnsi="Times New Roman" w:cs="Times New Roman"/>
          <w:color w:val="000000" w:themeColor="text1"/>
          <w:sz w:val="24"/>
          <w:szCs w:val="24"/>
        </w:rPr>
      </w:pPr>
    </w:p>
    <w:p w14:paraId="360B8968" w14:textId="28F5C24C" w:rsidR="00037EF7" w:rsidRPr="00126B9C" w:rsidRDefault="00037EF7" w:rsidP="007A72B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Akbarian S, Liu C, Knowles JA, Vaccarino FM, Farnham PJ, Crawford GE</w:t>
      </w:r>
      <w:r w:rsidR="00F366C0">
        <w:rPr>
          <w:rFonts w:ascii="Times New Roman" w:hAnsi="Times New Roman" w:cs="Times New Roman"/>
          <w:color w:val="000000" w:themeColor="text1"/>
          <w:sz w:val="24"/>
          <w:szCs w:val="24"/>
        </w:rPr>
        <w:t>, et al</w:t>
      </w:r>
      <w:r w:rsidR="00504035">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The PsychENCODE project. </w:t>
      </w:r>
      <w:r w:rsidRPr="00504035">
        <w:rPr>
          <w:rFonts w:ascii="Times New Roman" w:hAnsi="Times New Roman" w:cs="Times New Roman"/>
          <w:i/>
          <w:iCs/>
          <w:color w:val="000000" w:themeColor="text1"/>
          <w:sz w:val="24"/>
          <w:szCs w:val="24"/>
        </w:rPr>
        <w:t>Nature Neuroscience</w:t>
      </w:r>
      <w:r w:rsidR="00504035">
        <w:rPr>
          <w:rFonts w:ascii="Times New Roman" w:hAnsi="Times New Roman" w:cs="Times New Roman"/>
          <w:color w:val="000000" w:themeColor="text1"/>
          <w:sz w:val="24"/>
          <w:szCs w:val="24"/>
        </w:rPr>
        <w:t xml:space="preserve"> 2015;</w:t>
      </w:r>
      <w:r w:rsidRPr="00126B9C">
        <w:rPr>
          <w:rFonts w:ascii="Times New Roman" w:hAnsi="Times New Roman" w:cs="Times New Roman"/>
          <w:color w:val="000000" w:themeColor="text1"/>
          <w:sz w:val="24"/>
          <w:szCs w:val="24"/>
        </w:rPr>
        <w:t xml:space="preserve"> 18: 1707–1712.</w:t>
      </w:r>
    </w:p>
    <w:p w14:paraId="7E301E7A" w14:textId="77777777" w:rsidR="007A72BB" w:rsidRPr="00126B9C" w:rsidRDefault="007A72BB" w:rsidP="007A72BB">
      <w:pPr>
        <w:pStyle w:val="ListParagraph"/>
        <w:rPr>
          <w:rFonts w:ascii="Times New Roman" w:hAnsi="Times New Roman" w:cs="Times New Roman"/>
          <w:color w:val="000000" w:themeColor="text1"/>
          <w:sz w:val="24"/>
          <w:szCs w:val="24"/>
        </w:rPr>
      </w:pPr>
    </w:p>
    <w:p w14:paraId="3EF65560" w14:textId="7D8EE59A" w:rsidR="00E61DCB" w:rsidRPr="00126B9C" w:rsidRDefault="007A72BB" w:rsidP="00E61DCB">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De Leeuw CA, Mooij JM, Heskes T, Posthuma D</w:t>
      </w:r>
      <w:r w:rsidR="00504035">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MAGMA: Generalized Gene-Set Analysis of GWAS Data. </w:t>
      </w:r>
      <w:r w:rsidRPr="00126B9C">
        <w:rPr>
          <w:rFonts w:ascii="Times New Roman" w:hAnsi="Times New Roman" w:cs="Times New Roman"/>
          <w:i/>
          <w:iCs/>
          <w:color w:val="000000" w:themeColor="text1"/>
          <w:sz w:val="24"/>
          <w:szCs w:val="24"/>
        </w:rPr>
        <w:t>PLOS Computational Biology</w:t>
      </w:r>
      <w:r w:rsidR="00504035">
        <w:rPr>
          <w:rFonts w:ascii="Times New Roman" w:hAnsi="Times New Roman" w:cs="Times New Roman"/>
          <w:color w:val="000000" w:themeColor="text1"/>
          <w:sz w:val="24"/>
          <w:szCs w:val="24"/>
        </w:rPr>
        <w:t xml:space="preserve"> 2015;</w:t>
      </w:r>
      <w:r w:rsidRPr="00126B9C">
        <w:rPr>
          <w:rFonts w:ascii="Times New Roman" w:hAnsi="Times New Roman" w:cs="Times New Roman"/>
          <w:color w:val="000000" w:themeColor="text1"/>
          <w:sz w:val="24"/>
          <w:szCs w:val="24"/>
        </w:rPr>
        <w:t xml:space="preserve"> 11: e1004219.</w:t>
      </w:r>
    </w:p>
    <w:p w14:paraId="18ED4DC9" w14:textId="77777777" w:rsidR="00E61DCB" w:rsidRPr="00126B9C" w:rsidRDefault="00E61DCB" w:rsidP="00E61DCB">
      <w:pPr>
        <w:pStyle w:val="ListParagraph"/>
        <w:rPr>
          <w:rFonts w:ascii="Times New Roman" w:hAnsi="Times New Roman" w:cs="Times New Roman"/>
          <w:color w:val="000000" w:themeColor="text1"/>
          <w:sz w:val="24"/>
          <w:szCs w:val="24"/>
        </w:rPr>
      </w:pPr>
    </w:p>
    <w:p w14:paraId="32C769ED" w14:textId="564A3EBA" w:rsidR="00CA7A9F" w:rsidRDefault="00E61DCB" w:rsidP="00CA7A9F">
      <w:pPr>
        <w:pStyle w:val="ListParagraph"/>
        <w:numPr>
          <w:ilvl w:val="0"/>
          <w:numId w:val="2"/>
        </w:numPr>
        <w:rPr>
          <w:rFonts w:ascii="Times New Roman" w:hAnsi="Times New Roman" w:cs="Times New Roman"/>
          <w:color w:val="000000" w:themeColor="text1"/>
          <w:sz w:val="24"/>
          <w:szCs w:val="24"/>
        </w:rPr>
      </w:pPr>
      <w:r w:rsidRPr="00126B9C">
        <w:rPr>
          <w:rFonts w:ascii="Times New Roman" w:hAnsi="Times New Roman" w:cs="Times New Roman"/>
          <w:color w:val="000000" w:themeColor="text1"/>
          <w:sz w:val="24"/>
          <w:szCs w:val="24"/>
        </w:rPr>
        <w:t>Ge T, Chen C-Y, Ni Y, Feng Y-CA, Smoller JW</w:t>
      </w:r>
      <w:r w:rsidR="005D6FD4">
        <w:rPr>
          <w:rFonts w:ascii="Times New Roman" w:hAnsi="Times New Roman" w:cs="Times New Roman"/>
          <w:color w:val="000000" w:themeColor="text1"/>
          <w:sz w:val="24"/>
          <w:szCs w:val="24"/>
        </w:rPr>
        <w:t>.</w:t>
      </w:r>
      <w:r w:rsidRPr="00126B9C">
        <w:rPr>
          <w:rFonts w:ascii="Times New Roman" w:hAnsi="Times New Roman" w:cs="Times New Roman"/>
          <w:color w:val="000000" w:themeColor="text1"/>
          <w:sz w:val="24"/>
          <w:szCs w:val="24"/>
        </w:rPr>
        <w:t xml:space="preserve"> Polygenic prediction via Bayesian regression and continuous shrinkage priors. </w:t>
      </w:r>
      <w:r w:rsidRPr="005D6FD4">
        <w:rPr>
          <w:rFonts w:ascii="Times New Roman" w:hAnsi="Times New Roman" w:cs="Times New Roman"/>
          <w:i/>
          <w:iCs/>
          <w:color w:val="000000" w:themeColor="text1"/>
          <w:sz w:val="24"/>
          <w:szCs w:val="24"/>
        </w:rPr>
        <w:t>Nature Communications</w:t>
      </w:r>
      <w:r w:rsidR="005D6FD4">
        <w:rPr>
          <w:rFonts w:ascii="Times New Roman" w:hAnsi="Times New Roman" w:cs="Times New Roman"/>
          <w:color w:val="000000" w:themeColor="text1"/>
          <w:sz w:val="24"/>
          <w:szCs w:val="24"/>
        </w:rPr>
        <w:t xml:space="preserve"> 2019;</w:t>
      </w:r>
      <w:r w:rsidRPr="00126B9C">
        <w:rPr>
          <w:rFonts w:ascii="Times New Roman" w:hAnsi="Times New Roman" w:cs="Times New Roman"/>
          <w:color w:val="000000" w:themeColor="text1"/>
          <w:sz w:val="24"/>
          <w:szCs w:val="24"/>
        </w:rPr>
        <w:t xml:space="preserve"> 10. doi: 10.1038/s41467-019-09718-5.</w:t>
      </w:r>
    </w:p>
    <w:p w14:paraId="57C1A18E" w14:textId="77777777" w:rsidR="00990C34" w:rsidRPr="00990C34" w:rsidRDefault="00990C34" w:rsidP="00990C34">
      <w:pPr>
        <w:pStyle w:val="ListParagraph"/>
        <w:rPr>
          <w:rFonts w:ascii="Times New Roman" w:hAnsi="Times New Roman" w:cs="Times New Roman"/>
          <w:color w:val="000000" w:themeColor="text1"/>
          <w:sz w:val="24"/>
          <w:szCs w:val="24"/>
        </w:rPr>
      </w:pPr>
    </w:p>
    <w:p w14:paraId="7955483F" w14:textId="404ED95E" w:rsidR="00990C34" w:rsidRPr="00126B9C" w:rsidRDefault="00990C34" w:rsidP="00CA7A9F">
      <w:pPr>
        <w:pStyle w:val="ListParagraph"/>
        <w:numPr>
          <w:ilvl w:val="0"/>
          <w:numId w:val="2"/>
        </w:numPr>
        <w:rPr>
          <w:rFonts w:ascii="Times New Roman" w:hAnsi="Times New Roman" w:cs="Times New Roman"/>
          <w:color w:val="000000" w:themeColor="text1"/>
          <w:sz w:val="24"/>
          <w:szCs w:val="24"/>
        </w:rPr>
      </w:pPr>
      <w:r w:rsidRPr="00990C34">
        <w:rPr>
          <w:rFonts w:ascii="Times New Roman" w:hAnsi="Times New Roman" w:cs="Times New Roman"/>
          <w:color w:val="000000" w:themeColor="text1"/>
          <w:sz w:val="24"/>
          <w:szCs w:val="24"/>
        </w:rPr>
        <w:t>Ruan Y, Lin Y-F, Feng Y-CA, Chen C-Y, Lam M, Guo Z</w:t>
      </w:r>
      <w:r w:rsidR="00F366C0">
        <w:rPr>
          <w:rFonts w:ascii="Times New Roman" w:hAnsi="Times New Roman" w:cs="Times New Roman"/>
          <w:color w:val="000000" w:themeColor="text1"/>
          <w:sz w:val="24"/>
          <w:szCs w:val="24"/>
        </w:rPr>
        <w:t>, et al</w:t>
      </w:r>
      <w:r w:rsidRPr="00990C34">
        <w:rPr>
          <w:rFonts w:ascii="Times New Roman" w:hAnsi="Times New Roman" w:cs="Times New Roman"/>
          <w:color w:val="000000" w:themeColor="text1"/>
          <w:sz w:val="24"/>
          <w:szCs w:val="24"/>
        </w:rPr>
        <w:t xml:space="preserve">. Improving polygenic prediction in ancestrally diverse populations. </w:t>
      </w:r>
      <w:r w:rsidRPr="00990C34">
        <w:rPr>
          <w:rFonts w:ascii="Times New Roman" w:hAnsi="Times New Roman" w:cs="Times New Roman"/>
          <w:i/>
          <w:iCs/>
          <w:color w:val="000000" w:themeColor="text1"/>
          <w:sz w:val="24"/>
          <w:szCs w:val="24"/>
        </w:rPr>
        <w:t>Nature Genetics</w:t>
      </w:r>
      <w:r w:rsidRPr="00990C34">
        <w:rPr>
          <w:rFonts w:ascii="Times New Roman" w:hAnsi="Times New Roman" w:cs="Times New Roman"/>
          <w:color w:val="000000" w:themeColor="text1"/>
          <w:sz w:val="24"/>
          <w:szCs w:val="24"/>
        </w:rPr>
        <w:t xml:space="preserve"> 2022</w:t>
      </w:r>
      <w:r>
        <w:rPr>
          <w:rFonts w:ascii="Times New Roman" w:hAnsi="Times New Roman" w:cs="Times New Roman"/>
          <w:color w:val="000000" w:themeColor="text1"/>
          <w:sz w:val="24"/>
          <w:szCs w:val="24"/>
        </w:rPr>
        <w:t>;</w:t>
      </w:r>
      <w:r w:rsidRPr="00990C34">
        <w:rPr>
          <w:rFonts w:ascii="Times New Roman" w:hAnsi="Times New Roman" w:cs="Times New Roman"/>
          <w:color w:val="000000" w:themeColor="text1"/>
          <w:sz w:val="24"/>
          <w:szCs w:val="24"/>
        </w:rPr>
        <w:t xml:space="preserve"> doi:10.1038/s41588-022-01054-7</w:t>
      </w:r>
    </w:p>
    <w:p w14:paraId="27378470" w14:textId="77777777" w:rsidR="00CA7A9F" w:rsidRPr="00126B9C" w:rsidRDefault="00CA7A9F" w:rsidP="00CA7A9F">
      <w:pPr>
        <w:pStyle w:val="ListParagraph"/>
        <w:rPr>
          <w:rFonts w:ascii="Times New Roman" w:hAnsi="Times New Roman" w:cs="Times New Roman"/>
          <w:color w:val="000000" w:themeColor="text1"/>
          <w:sz w:val="24"/>
          <w:szCs w:val="24"/>
        </w:rPr>
      </w:pPr>
    </w:p>
    <w:p w14:paraId="11EDF8A4" w14:textId="627435A0" w:rsidR="00CA7A9F" w:rsidRPr="00126B9C" w:rsidRDefault="00B35885" w:rsidP="00CA7A9F">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B35885">
        <w:rPr>
          <w:rFonts w:ascii="Times New Roman" w:hAnsi="Times New Roman" w:cs="Times New Roman"/>
          <w:color w:val="000000" w:themeColor="text1"/>
          <w:sz w:val="24"/>
          <w:szCs w:val="24"/>
        </w:rPr>
        <w:t xml:space="preserve">nternational HapMap 3 Consortium. </w:t>
      </w:r>
      <w:r w:rsidR="00CA7A9F" w:rsidRPr="00126B9C">
        <w:rPr>
          <w:rFonts w:ascii="Times New Roman" w:hAnsi="Times New Roman" w:cs="Times New Roman"/>
          <w:color w:val="000000" w:themeColor="text1"/>
          <w:sz w:val="24"/>
          <w:szCs w:val="24"/>
        </w:rPr>
        <w:t xml:space="preserve">Integrating common and rare genetic variation in diverse human populations. </w:t>
      </w:r>
      <w:r w:rsidR="00CA7A9F" w:rsidRPr="00990C34">
        <w:rPr>
          <w:rFonts w:ascii="Times New Roman" w:hAnsi="Times New Roman" w:cs="Times New Roman"/>
          <w:i/>
          <w:iCs/>
          <w:color w:val="000000" w:themeColor="text1"/>
          <w:sz w:val="24"/>
          <w:szCs w:val="24"/>
        </w:rPr>
        <w:t>Nature</w:t>
      </w:r>
      <w:r w:rsidR="00990C34">
        <w:rPr>
          <w:rFonts w:ascii="Times New Roman" w:hAnsi="Times New Roman" w:cs="Times New Roman"/>
          <w:color w:val="000000" w:themeColor="text1"/>
          <w:sz w:val="24"/>
          <w:szCs w:val="24"/>
        </w:rPr>
        <w:t xml:space="preserve"> 2010;</w:t>
      </w:r>
      <w:r w:rsidR="00CA7A9F" w:rsidRPr="00126B9C">
        <w:rPr>
          <w:rFonts w:ascii="Times New Roman" w:hAnsi="Times New Roman" w:cs="Times New Roman"/>
          <w:color w:val="000000" w:themeColor="text1"/>
          <w:sz w:val="24"/>
          <w:szCs w:val="24"/>
        </w:rPr>
        <w:t xml:space="preserve"> 467</w:t>
      </w:r>
      <w:r w:rsidR="007979FE">
        <w:rPr>
          <w:rFonts w:ascii="Times New Roman" w:hAnsi="Times New Roman" w:cs="Times New Roman"/>
          <w:color w:val="000000" w:themeColor="text1"/>
          <w:sz w:val="24"/>
          <w:szCs w:val="24"/>
        </w:rPr>
        <w:t>:</w:t>
      </w:r>
      <w:r w:rsidR="00CA7A9F" w:rsidRPr="00126B9C">
        <w:rPr>
          <w:rFonts w:ascii="Times New Roman" w:hAnsi="Times New Roman" w:cs="Times New Roman"/>
          <w:color w:val="000000" w:themeColor="text1"/>
          <w:sz w:val="24"/>
          <w:szCs w:val="24"/>
        </w:rPr>
        <w:t xml:space="preserve"> 52–58.</w:t>
      </w:r>
    </w:p>
    <w:p w14:paraId="1629CAFC" w14:textId="2B7C1227" w:rsidR="0054609D" w:rsidRPr="00126B9C" w:rsidRDefault="0054609D">
      <w:pPr>
        <w:rPr>
          <w:rFonts w:ascii="Times New Roman" w:hAnsi="Times New Roman" w:cs="Times New Roman"/>
          <w:b/>
          <w:bCs/>
          <w:color w:val="000000" w:themeColor="text1"/>
          <w:sz w:val="24"/>
          <w:szCs w:val="24"/>
        </w:rPr>
      </w:pPr>
      <w:r w:rsidRPr="00126B9C">
        <w:rPr>
          <w:rFonts w:ascii="Times New Roman" w:hAnsi="Times New Roman" w:cs="Times New Roman"/>
          <w:b/>
          <w:bCs/>
          <w:color w:val="000000" w:themeColor="text1"/>
          <w:sz w:val="24"/>
          <w:szCs w:val="24"/>
        </w:rPr>
        <w:br w:type="page"/>
      </w:r>
    </w:p>
    <w:p w14:paraId="5814F23F" w14:textId="5CD8A62D" w:rsidR="002A06D8" w:rsidRDefault="002A06D8" w:rsidP="002A06D8">
      <w:pPr>
        <w:jc w:val="both"/>
        <w:rPr>
          <w:rFonts w:ascii="Times New Roman" w:hAnsi="Times New Roman" w:cs="Times New Roman"/>
          <w:b/>
          <w:bCs/>
          <w:sz w:val="24"/>
          <w:szCs w:val="24"/>
        </w:rPr>
      </w:pPr>
      <w:r>
        <w:rPr>
          <w:rFonts w:ascii="Times New Roman" w:hAnsi="Times New Roman" w:cs="Times New Roman"/>
          <w:b/>
          <w:bCs/>
          <w:sz w:val="24"/>
          <w:szCs w:val="24"/>
        </w:rPr>
        <w:lastRenderedPageBreak/>
        <w:t>Table Legends</w:t>
      </w:r>
    </w:p>
    <w:p w14:paraId="26F64846" w14:textId="77777777" w:rsidR="002A06D8" w:rsidRPr="00721D19" w:rsidRDefault="002A06D8" w:rsidP="002A06D8">
      <w:pPr>
        <w:jc w:val="both"/>
        <w:rPr>
          <w:rFonts w:ascii="Times New Roman" w:hAnsi="Times New Roman" w:cs="Times New Roman"/>
          <w:color w:val="0070C0"/>
          <w:sz w:val="24"/>
          <w:szCs w:val="24"/>
        </w:rPr>
      </w:pPr>
      <w:r w:rsidRPr="00721D19">
        <w:rPr>
          <w:rFonts w:ascii="Times New Roman" w:hAnsi="Times New Roman" w:cs="Times New Roman"/>
          <w:b/>
          <w:bCs/>
          <w:sz w:val="24"/>
          <w:szCs w:val="24"/>
        </w:rPr>
        <w:t xml:space="preserve">Supplemental </w:t>
      </w:r>
      <w:r>
        <w:rPr>
          <w:rFonts w:ascii="Times New Roman" w:hAnsi="Times New Roman" w:cs="Times New Roman"/>
          <w:b/>
          <w:bCs/>
          <w:sz w:val="24"/>
          <w:szCs w:val="24"/>
        </w:rPr>
        <w:t>Materials</w:t>
      </w:r>
      <w:r w:rsidRPr="00721D19">
        <w:rPr>
          <w:rFonts w:ascii="Times New Roman" w:hAnsi="Times New Roman" w:cs="Times New Roman"/>
          <w:b/>
          <w:bCs/>
          <w:sz w:val="24"/>
          <w:szCs w:val="24"/>
        </w:rPr>
        <w:t xml:space="preserve"> Table1. </w:t>
      </w:r>
      <w:r w:rsidRPr="002A06D8">
        <w:rPr>
          <w:rFonts w:ascii="Times New Roman" w:hAnsi="Times New Roman" w:cs="Times New Roman"/>
          <w:sz w:val="24"/>
          <w:szCs w:val="24"/>
        </w:rPr>
        <w:t>IPSYCH GWAS sample sizes split by comorbid diagnoses.</w:t>
      </w:r>
      <w:r w:rsidRPr="00721D19">
        <w:rPr>
          <w:rFonts w:ascii="Times New Roman" w:hAnsi="Times New Roman" w:cs="Times New Roman"/>
          <w:b/>
          <w:bCs/>
          <w:sz w:val="24"/>
          <w:szCs w:val="24"/>
        </w:rPr>
        <w:t xml:space="preserve"> </w:t>
      </w:r>
    </w:p>
    <w:p w14:paraId="7E6BFDA3" w14:textId="513F6D5C" w:rsidR="002A06D8" w:rsidRDefault="002A06D8">
      <w:pPr>
        <w:rPr>
          <w:rFonts w:ascii="Times New Roman" w:hAnsi="Times New Roman" w:cs="Times New Roman"/>
          <w:b/>
          <w:bCs/>
          <w:sz w:val="24"/>
          <w:szCs w:val="24"/>
        </w:rPr>
      </w:pPr>
      <w:r>
        <w:rPr>
          <w:rFonts w:ascii="Times New Roman" w:hAnsi="Times New Roman" w:cs="Times New Roman"/>
          <w:b/>
          <w:bCs/>
          <w:sz w:val="24"/>
          <w:szCs w:val="24"/>
        </w:rPr>
        <w:br w:type="page"/>
      </w:r>
    </w:p>
    <w:p w14:paraId="09534AA7" w14:textId="7DD124C1" w:rsidR="002A06D8" w:rsidRDefault="002A06D8" w:rsidP="002A06D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Legends </w:t>
      </w:r>
    </w:p>
    <w:p w14:paraId="56825F03" w14:textId="77777777" w:rsidR="002A06D8" w:rsidRPr="003F1F1D" w:rsidRDefault="002A06D8" w:rsidP="002A06D8">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Supplemental Materials </w:t>
      </w:r>
      <w:r w:rsidRPr="003F1F1D">
        <w:rPr>
          <w:rFonts w:ascii="Times New Roman" w:hAnsi="Times New Roman" w:cs="Times New Roman"/>
          <w:b/>
          <w:bCs/>
          <w:sz w:val="24"/>
          <w:szCs w:val="24"/>
          <w:lang w:val="fr-FR"/>
        </w:rPr>
        <w:t xml:space="preserve">Figure1. </w:t>
      </w:r>
      <w:r w:rsidRPr="002A06D8">
        <w:rPr>
          <w:rFonts w:ascii="Times New Roman" w:hAnsi="Times New Roman" w:cs="Times New Roman"/>
          <w:sz w:val="24"/>
          <w:szCs w:val="24"/>
          <w:lang w:val="fr-FR"/>
        </w:rPr>
        <w:t xml:space="preserve">IPSYCH GWAS EUR sample inclusion pipeline. </w:t>
      </w:r>
    </w:p>
    <w:p w14:paraId="7BA02200" w14:textId="2AA904B7" w:rsidR="00AA3194" w:rsidRPr="002C1341" w:rsidRDefault="002A06D8" w:rsidP="002A06D8">
      <w:pPr>
        <w:rPr>
          <w:rFonts w:ascii="Times New Roman" w:hAnsi="Times New Roman" w:cs="Times New Roman"/>
          <w:b/>
          <w:bCs/>
          <w:sz w:val="24"/>
          <w:szCs w:val="24"/>
        </w:rPr>
      </w:pPr>
      <w:bookmarkStart w:id="9" w:name="_GoBack"/>
      <w:r w:rsidRPr="002C1341">
        <w:rPr>
          <w:rFonts w:ascii="Times New Roman" w:hAnsi="Times New Roman" w:cs="Times New Roman"/>
          <w:b/>
          <w:bCs/>
          <w:sz w:val="24"/>
          <w:szCs w:val="24"/>
        </w:rPr>
        <w:br w:type="page"/>
      </w:r>
      <w:r w:rsidR="00721D19" w:rsidRPr="002C1341">
        <w:rPr>
          <w:rFonts w:ascii="Times New Roman" w:hAnsi="Times New Roman" w:cs="Times New Roman"/>
          <w:b/>
          <w:bCs/>
          <w:sz w:val="24"/>
          <w:szCs w:val="24"/>
        </w:rPr>
        <w:lastRenderedPageBreak/>
        <w:t xml:space="preserve">Supplemental </w:t>
      </w:r>
      <w:r w:rsidR="00A447E1" w:rsidRPr="002C1341">
        <w:rPr>
          <w:rFonts w:ascii="Times New Roman" w:hAnsi="Times New Roman" w:cs="Times New Roman"/>
          <w:b/>
          <w:bCs/>
          <w:sz w:val="24"/>
          <w:szCs w:val="24"/>
        </w:rPr>
        <w:t>Material</w:t>
      </w:r>
      <w:r w:rsidRPr="002C1341">
        <w:rPr>
          <w:rFonts w:ascii="Times New Roman" w:hAnsi="Times New Roman" w:cs="Times New Roman"/>
          <w:b/>
          <w:bCs/>
          <w:sz w:val="24"/>
          <w:szCs w:val="24"/>
        </w:rPr>
        <w:t>s</w:t>
      </w:r>
      <w:r w:rsidR="00721D19" w:rsidRPr="002C1341">
        <w:rPr>
          <w:rFonts w:ascii="Times New Roman" w:hAnsi="Times New Roman" w:cs="Times New Roman"/>
          <w:b/>
          <w:bCs/>
          <w:sz w:val="24"/>
          <w:szCs w:val="24"/>
        </w:rPr>
        <w:t xml:space="preserve"> </w:t>
      </w:r>
      <w:r w:rsidR="00AA3194" w:rsidRPr="002C1341">
        <w:rPr>
          <w:rFonts w:ascii="Times New Roman" w:hAnsi="Times New Roman" w:cs="Times New Roman"/>
          <w:b/>
          <w:bCs/>
          <w:sz w:val="24"/>
          <w:szCs w:val="24"/>
        </w:rPr>
        <w:t xml:space="preserve">Table1. IPSYCH GWAS sample sizes split by comorbid diagnoses. </w:t>
      </w: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450"/>
        <w:gridCol w:w="1783"/>
        <w:gridCol w:w="2722"/>
        <w:gridCol w:w="2430"/>
      </w:tblGrid>
      <w:tr w:rsidR="00AA3194" w14:paraId="09BC1E5E" w14:textId="77777777" w:rsidTr="0097020C">
        <w:trPr>
          <w:jc w:val="center"/>
        </w:trPr>
        <w:tc>
          <w:tcPr>
            <w:tcW w:w="1870" w:type="dxa"/>
            <w:tcBorders>
              <w:top w:val="single" w:sz="4" w:space="0" w:color="auto"/>
              <w:bottom w:val="single" w:sz="4" w:space="0" w:color="auto"/>
            </w:tcBorders>
          </w:tcPr>
          <w:p w14:paraId="49454718" w14:textId="77777777" w:rsidR="00AA3194" w:rsidRPr="00CD19DA" w:rsidRDefault="00AA3194" w:rsidP="0097020C">
            <w:pPr>
              <w:jc w:val="center"/>
              <w:rPr>
                <w:rFonts w:ascii="Times New Roman" w:hAnsi="Times New Roman" w:cs="Times New Roman"/>
                <w:sz w:val="24"/>
                <w:szCs w:val="24"/>
              </w:rPr>
            </w:pPr>
            <w:bookmarkStart w:id="10" w:name="_Hlk98154218"/>
            <w:bookmarkEnd w:id="9"/>
          </w:p>
        </w:tc>
        <w:tc>
          <w:tcPr>
            <w:tcW w:w="1450" w:type="dxa"/>
            <w:tcBorders>
              <w:top w:val="single" w:sz="4" w:space="0" w:color="auto"/>
              <w:bottom w:val="single" w:sz="4" w:space="0" w:color="auto"/>
            </w:tcBorders>
          </w:tcPr>
          <w:p w14:paraId="01C54F8B" w14:textId="77777777" w:rsidR="00AA3194" w:rsidRDefault="00AA3194" w:rsidP="0097020C">
            <w:pPr>
              <w:jc w:val="center"/>
              <w:rPr>
                <w:rFonts w:ascii="Times New Roman" w:hAnsi="Times New Roman" w:cs="Times New Roman"/>
                <w:b/>
                <w:bCs/>
                <w:sz w:val="24"/>
                <w:szCs w:val="24"/>
              </w:rPr>
            </w:pPr>
            <w:r>
              <w:rPr>
                <w:rFonts w:ascii="Times New Roman" w:hAnsi="Times New Roman" w:cs="Times New Roman"/>
                <w:b/>
                <w:bCs/>
                <w:sz w:val="24"/>
                <w:szCs w:val="24"/>
              </w:rPr>
              <w:t>With OUD</w:t>
            </w:r>
          </w:p>
        </w:tc>
        <w:tc>
          <w:tcPr>
            <w:tcW w:w="1783" w:type="dxa"/>
            <w:tcBorders>
              <w:top w:val="single" w:sz="4" w:space="0" w:color="auto"/>
              <w:bottom w:val="single" w:sz="4" w:space="0" w:color="auto"/>
            </w:tcBorders>
          </w:tcPr>
          <w:p w14:paraId="09894996" w14:textId="77777777" w:rsidR="00AA3194" w:rsidRDefault="00AA3194" w:rsidP="0097020C">
            <w:pPr>
              <w:jc w:val="center"/>
              <w:rPr>
                <w:rFonts w:ascii="Times New Roman" w:hAnsi="Times New Roman" w:cs="Times New Roman"/>
                <w:b/>
                <w:bCs/>
                <w:sz w:val="24"/>
                <w:szCs w:val="24"/>
              </w:rPr>
            </w:pPr>
            <w:r>
              <w:rPr>
                <w:rFonts w:ascii="Times New Roman" w:hAnsi="Times New Roman" w:cs="Times New Roman"/>
                <w:b/>
                <w:bCs/>
                <w:sz w:val="24"/>
                <w:szCs w:val="24"/>
              </w:rPr>
              <w:t>Without OUD</w:t>
            </w:r>
          </w:p>
        </w:tc>
        <w:tc>
          <w:tcPr>
            <w:tcW w:w="2722" w:type="dxa"/>
            <w:tcBorders>
              <w:top w:val="single" w:sz="4" w:space="0" w:color="auto"/>
              <w:bottom w:val="single" w:sz="4" w:space="0" w:color="auto"/>
            </w:tcBorders>
          </w:tcPr>
          <w:p w14:paraId="72D8BAE9" w14:textId="77777777" w:rsidR="00AA3194" w:rsidRDefault="00AA3194" w:rsidP="0097020C">
            <w:pPr>
              <w:jc w:val="center"/>
              <w:rPr>
                <w:rFonts w:ascii="Times New Roman" w:hAnsi="Times New Roman" w:cs="Times New Roman"/>
                <w:b/>
                <w:bCs/>
                <w:sz w:val="24"/>
                <w:szCs w:val="24"/>
              </w:rPr>
            </w:pPr>
            <w:r>
              <w:rPr>
                <w:rFonts w:ascii="Times New Roman" w:hAnsi="Times New Roman" w:cs="Times New Roman"/>
                <w:b/>
                <w:bCs/>
                <w:sz w:val="24"/>
                <w:szCs w:val="24"/>
              </w:rPr>
              <w:t>Down sampled controls</w:t>
            </w:r>
          </w:p>
        </w:tc>
        <w:tc>
          <w:tcPr>
            <w:tcW w:w="2430" w:type="dxa"/>
            <w:tcBorders>
              <w:top w:val="single" w:sz="4" w:space="0" w:color="auto"/>
              <w:bottom w:val="single" w:sz="4" w:space="0" w:color="auto"/>
            </w:tcBorders>
          </w:tcPr>
          <w:p w14:paraId="7F876F0C" w14:textId="77777777" w:rsidR="00AA3194" w:rsidRDefault="00AA3194" w:rsidP="0097020C">
            <w:pPr>
              <w:jc w:val="center"/>
              <w:rPr>
                <w:rFonts w:ascii="Times New Roman" w:hAnsi="Times New Roman" w:cs="Times New Roman"/>
                <w:b/>
                <w:bCs/>
                <w:sz w:val="24"/>
                <w:szCs w:val="24"/>
              </w:rPr>
            </w:pPr>
            <w:r>
              <w:rPr>
                <w:rFonts w:ascii="Times New Roman" w:hAnsi="Times New Roman" w:cs="Times New Roman"/>
                <w:b/>
                <w:bCs/>
                <w:sz w:val="24"/>
                <w:szCs w:val="24"/>
              </w:rPr>
              <w:t>N in full final sample</w:t>
            </w:r>
          </w:p>
        </w:tc>
      </w:tr>
      <w:tr w:rsidR="00AA3194" w14:paraId="35C15DBE" w14:textId="77777777" w:rsidTr="0097020C">
        <w:trPr>
          <w:jc w:val="center"/>
        </w:trPr>
        <w:tc>
          <w:tcPr>
            <w:tcW w:w="1870" w:type="dxa"/>
            <w:tcBorders>
              <w:top w:val="single" w:sz="4" w:space="0" w:color="auto"/>
            </w:tcBorders>
          </w:tcPr>
          <w:p w14:paraId="10E5AB22"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Controls</w:t>
            </w:r>
          </w:p>
        </w:tc>
        <w:tc>
          <w:tcPr>
            <w:tcW w:w="1450" w:type="dxa"/>
            <w:tcBorders>
              <w:top w:val="single" w:sz="4" w:space="0" w:color="auto"/>
            </w:tcBorders>
          </w:tcPr>
          <w:p w14:paraId="55E2E68E"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40</w:t>
            </w:r>
          </w:p>
        </w:tc>
        <w:tc>
          <w:tcPr>
            <w:tcW w:w="1783" w:type="dxa"/>
            <w:tcBorders>
              <w:top w:val="single" w:sz="4" w:space="0" w:color="auto"/>
            </w:tcBorders>
          </w:tcPr>
          <w:p w14:paraId="7CB3C00E"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15580</w:t>
            </w:r>
          </w:p>
        </w:tc>
        <w:tc>
          <w:tcPr>
            <w:tcW w:w="2722" w:type="dxa"/>
            <w:tcBorders>
              <w:top w:val="single" w:sz="4" w:space="0" w:color="auto"/>
            </w:tcBorders>
          </w:tcPr>
          <w:p w14:paraId="16DBDD90"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400</w:t>
            </w:r>
          </w:p>
        </w:tc>
        <w:tc>
          <w:tcPr>
            <w:tcW w:w="2430" w:type="dxa"/>
            <w:tcBorders>
              <w:top w:val="single" w:sz="4" w:space="0" w:color="auto"/>
            </w:tcBorders>
          </w:tcPr>
          <w:p w14:paraId="0BCF9630"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400</w:t>
            </w:r>
          </w:p>
        </w:tc>
      </w:tr>
      <w:tr w:rsidR="00AA3194" w14:paraId="29547055" w14:textId="77777777" w:rsidTr="0097020C">
        <w:trPr>
          <w:jc w:val="center"/>
        </w:trPr>
        <w:tc>
          <w:tcPr>
            <w:tcW w:w="1870" w:type="dxa"/>
          </w:tcPr>
          <w:p w14:paraId="5636259A"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ADHD</w:t>
            </w:r>
          </w:p>
        </w:tc>
        <w:tc>
          <w:tcPr>
            <w:tcW w:w="1450" w:type="dxa"/>
          </w:tcPr>
          <w:p w14:paraId="764D6E24"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121</w:t>
            </w:r>
          </w:p>
        </w:tc>
        <w:tc>
          <w:tcPr>
            <w:tcW w:w="1783" w:type="dxa"/>
          </w:tcPr>
          <w:p w14:paraId="13875C2F"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6131</w:t>
            </w:r>
          </w:p>
        </w:tc>
        <w:tc>
          <w:tcPr>
            <w:tcW w:w="2722" w:type="dxa"/>
          </w:tcPr>
          <w:p w14:paraId="4AE8295A"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1210</w:t>
            </w:r>
          </w:p>
        </w:tc>
        <w:tc>
          <w:tcPr>
            <w:tcW w:w="2430" w:type="dxa"/>
          </w:tcPr>
          <w:p w14:paraId="478736F7"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1468</w:t>
            </w:r>
          </w:p>
        </w:tc>
      </w:tr>
      <w:tr w:rsidR="00AA3194" w14:paraId="462B2256" w14:textId="77777777" w:rsidTr="0097020C">
        <w:trPr>
          <w:jc w:val="center"/>
        </w:trPr>
        <w:tc>
          <w:tcPr>
            <w:tcW w:w="1870" w:type="dxa"/>
          </w:tcPr>
          <w:p w14:paraId="2766351D"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ASD</w:t>
            </w:r>
          </w:p>
        </w:tc>
        <w:tc>
          <w:tcPr>
            <w:tcW w:w="1450" w:type="dxa"/>
          </w:tcPr>
          <w:p w14:paraId="171050E9"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17</w:t>
            </w:r>
          </w:p>
        </w:tc>
        <w:tc>
          <w:tcPr>
            <w:tcW w:w="1783" w:type="dxa"/>
          </w:tcPr>
          <w:p w14:paraId="67FCB709"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3515</w:t>
            </w:r>
          </w:p>
        </w:tc>
        <w:tc>
          <w:tcPr>
            <w:tcW w:w="2722" w:type="dxa"/>
          </w:tcPr>
          <w:p w14:paraId="6506BD8B"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170</w:t>
            </w:r>
          </w:p>
        </w:tc>
        <w:tc>
          <w:tcPr>
            <w:tcW w:w="2430" w:type="dxa"/>
          </w:tcPr>
          <w:p w14:paraId="4EA25F34"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381</w:t>
            </w:r>
          </w:p>
        </w:tc>
      </w:tr>
      <w:tr w:rsidR="00AA3194" w14:paraId="23EF3598" w14:textId="77777777" w:rsidTr="0097020C">
        <w:trPr>
          <w:jc w:val="center"/>
        </w:trPr>
        <w:tc>
          <w:tcPr>
            <w:tcW w:w="1870" w:type="dxa"/>
          </w:tcPr>
          <w:p w14:paraId="7FD10BEA"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Schizophrenia</w:t>
            </w:r>
          </w:p>
        </w:tc>
        <w:tc>
          <w:tcPr>
            <w:tcW w:w="1450" w:type="dxa"/>
          </w:tcPr>
          <w:p w14:paraId="11C30593"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127</w:t>
            </w:r>
          </w:p>
        </w:tc>
        <w:tc>
          <w:tcPr>
            <w:tcW w:w="1783" w:type="dxa"/>
          </w:tcPr>
          <w:p w14:paraId="01B98BBB"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4023</w:t>
            </w:r>
          </w:p>
        </w:tc>
        <w:tc>
          <w:tcPr>
            <w:tcW w:w="2722" w:type="dxa"/>
          </w:tcPr>
          <w:p w14:paraId="463248AB"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1270</w:t>
            </w:r>
          </w:p>
        </w:tc>
        <w:tc>
          <w:tcPr>
            <w:tcW w:w="2430" w:type="dxa"/>
          </w:tcPr>
          <w:p w14:paraId="121AA9C2"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1555</w:t>
            </w:r>
          </w:p>
        </w:tc>
      </w:tr>
      <w:tr w:rsidR="00AA3194" w14:paraId="075B1003" w14:textId="77777777" w:rsidTr="0097020C">
        <w:trPr>
          <w:jc w:val="center"/>
        </w:trPr>
        <w:tc>
          <w:tcPr>
            <w:tcW w:w="1870" w:type="dxa"/>
          </w:tcPr>
          <w:p w14:paraId="2AE7D1F3"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Bipolar</w:t>
            </w:r>
          </w:p>
        </w:tc>
        <w:tc>
          <w:tcPr>
            <w:tcW w:w="1450" w:type="dxa"/>
          </w:tcPr>
          <w:p w14:paraId="1A6E26EE"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34</w:t>
            </w:r>
          </w:p>
        </w:tc>
        <w:tc>
          <w:tcPr>
            <w:tcW w:w="1783" w:type="dxa"/>
          </w:tcPr>
          <w:p w14:paraId="0ED82F29"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2140</w:t>
            </w:r>
          </w:p>
        </w:tc>
        <w:tc>
          <w:tcPr>
            <w:tcW w:w="2722" w:type="dxa"/>
          </w:tcPr>
          <w:p w14:paraId="1696024D"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340</w:t>
            </w:r>
          </w:p>
        </w:tc>
        <w:tc>
          <w:tcPr>
            <w:tcW w:w="2430" w:type="dxa"/>
          </w:tcPr>
          <w:p w14:paraId="13E3059D"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579</w:t>
            </w:r>
          </w:p>
        </w:tc>
      </w:tr>
      <w:tr w:rsidR="00AA3194" w14:paraId="14FDB850" w14:textId="77777777" w:rsidTr="0097020C">
        <w:trPr>
          <w:jc w:val="center"/>
        </w:trPr>
        <w:tc>
          <w:tcPr>
            <w:tcW w:w="1870" w:type="dxa"/>
          </w:tcPr>
          <w:p w14:paraId="4B81EA80"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MDD</w:t>
            </w:r>
          </w:p>
        </w:tc>
        <w:tc>
          <w:tcPr>
            <w:tcW w:w="1450" w:type="dxa"/>
          </w:tcPr>
          <w:p w14:paraId="520E1F2B"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183</w:t>
            </w:r>
          </w:p>
        </w:tc>
        <w:tc>
          <w:tcPr>
            <w:tcW w:w="1783" w:type="dxa"/>
          </w:tcPr>
          <w:p w14:paraId="02CE9954"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20429</w:t>
            </w:r>
          </w:p>
        </w:tc>
        <w:tc>
          <w:tcPr>
            <w:tcW w:w="2722" w:type="dxa"/>
          </w:tcPr>
          <w:p w14:paraId="4ADCE3C9"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1830</w:t>
            </w:r>
          </w:p>
        </w:tc>
        <w:tc>
          <w:tcPr>
            <w:tcW w:w="2430" w:type="dxa"/>
          </w:tcPr>
          <w:p w14:paraId="171B7FAC"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2889</w:t>
            </w:r>
          </w:p>
        </w:tc>
      </w:tr>
      <w:tr w:rsidR="00AA3194" w14:paraId="588334A5" w14:textId="77777777" w:rsidTr="0097020C">
        <w:trPr>
          <w:jc w:val="center"/>
        </w:trPr>
        <w:tc>
          <w:tcPr>
            <w:tcW w:w="1870" w:type="dxa"/>
            <w:tcBorders>
              <w:bottom w:val="single" w:sz="4" w:space="0" w:color="auto"/>
            </w:tcBorders>
          </w:tcPr>
          <w:p w14:paraId="64948BD5" w14:textId="77777777" w:rsidR="00AA3194" w:rsidRPr="00CD19DA" w:rsidRDefault="00AA3194" w:rsidP="0097020C">
            <w:pPr>
              <w:jc w:val="center"/>
              <w:rPr>
                <w:rFonts w:ascii="Times New Roman" w:hAnsi="Times New Roman" w:cs="Times New Roman"/>
                <w:sz w:val="24"/>
                <w:szCs w:val="24"/>
              </w:rPr>
            </w:pPr>
            <w:r w:rsidRPr="00CD19DA">
              <w:rPr>
                <w:rFonts w:ascii="Times New Roman" w:hAnsi="Times New Roman" w:cs="Times New Roman"/>
                <w:sz w:val="24"/>
                <w:szCs w:val="24"/>
              </w:rPr>
              <w:t>Anorexia</w:t>
            </w:r>
          </w:p>
        </w:tc>
        <w:tc>
          <w:tcPr>
            <w:tcW w:w="1450" w:type="dxa"/>
            <w:tcBorders>
              <w:bottom w:val="single" w:sz="4" w:space="0" w:color="auto"/>
            </w:tcBorders>
          </w:tcPr>
          <w:p w14:paraId="31C5621E"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15</w:t>
            </w:r>
          </w:p>
        </w:tc>
        <w:tc>
          <w:tcPr>
            <w:tcW w:w="1783" w:type="dxa"/>
            <w:tcBorders>
              <w:bottom w:val="single" w:sz="4" w:space="0" w:color="auto"/>
            </w:tcBorders>
          </w:tcPr>
          <w:p w14:paraId="7C51D669"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2915</w:t>
            </w:r>
          </w:p>
        </w:tc>
        <w:tc>
          <w:tcPr>
            <w:tcW w:w="2722" w:type="dxa"/>
            <w:tcBorders>
              <w:bottom w:val="single" w:sz="4" w:space="0" w:color="auto"/>
            </w:tcBorders>
          </w:tcPr>
          <w:p w14:paraId="6A9B7F37"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150</w:t>
            </w:r>
          </w:p>
        </w:tc>
        <w:tc>
          <w:tcPr>
            <w:tcW w:w="2430" w:type="dxa"/>
            <w:tcBorders>
              <w:bottom w:val="single" w:sz="4" w:space="0" w:color="auto"/>
            </w:tcBorders>
          </w:tcPr>
          <w:p w14:paraId="6A6C5198" w14:textId="77777777" w:rsidR="00AA3194" w:rsidRPr="0097020C" w:rsidRDefault="0097020C" w:rsidP="0097020C">
            <w:pPr>
              <w:jc w:val="center"/>
              <w:rPr>
                <w:rFonts w:ascii="Times New Roman" w:hAnsi="Times New Roman" w:cs="Times New Roman"/>
                <w:sz w:val="24"/>
                <w:szCs w:val="24"/>
              </w:rPr>
            </w:pPr>
            <w:r w:rsidRPr="0097020C">
              <w:rPr>
                <w:rFonts w:ascii="Times New Roman" w:hAnsi="Times New Roman" w:cs="Times New Roman"/>
                <w:sz w:val="24"/>
                <w:szCs w:val="24"/>
              </w:rPr>
              <w:t>268</w:t>
            </w:r>
          </w:p>
        </w:tc>
      </w:tr>
      <w:bookmarkEnd w:id="10"/>
    </w:tbl>
    <w:p w14:paraId="3C878485" w14:textId="77777777" w:rsidR="00AA3194" w:rsidRDefault="00AA3194" w:rsidP="0097020C">
      <w:pPr>
        <w:jc w:val="center"/>
        <w:rPr>
          <w:rFonts w:ascii="Times New Roman" w:hAnsi="Times New Roman" w:cs="Times New Roman"/>
          <w:b/>
          <w:bCs/>
          <w:sz w:val="24"/>
          <w:szCs w:val="24"/>
        </w:rPr>
      </w:pPr>
    </w:p>
    <w:p w14:paraId="35F3AF58" w14:textId="77777777" w:rsidR="00AA3194" w:rsidRDefault="00AA3194">
      <w:pPr>
        <w:rPr>
          <w:rFonts w:ascii="Times New Roman" w:hAnsi="Times New Roman" w:cs="Times New Roman"/>
          <w:b/>
          <w:bCs/>
          <w:sz w:val="24"/>
          <w:szCs w:val="24"/>
        </w:rPr>
      </w:pPr>
      <w:r>
        <w:rPr>
          <w:rFonts w:ascii="Times New Roman" w:hAnsi="Times New Roman" w:cs="Times New Roman"/>
          <w:b/>
          <w:bCs/>
          <w:sz w:val="24"/>
          <w:szCs w:val="24"/>
        </w:rPr>
        <w:br w:type="page"/>
      </w:r>
    </w:p>
    <w:p w14:paraId="609A9251" w14:textId="4A4C5EDE" w:rsidR="00AA3194" w:rsidRPr="002C1341" w:rsidRDefault="00721D19" w:rsidP="00AA3194">
      <w:pPr>
        <w:rPr>
          <w:rFonts w:ascii="Times New Roman" w:hAnsi="Times New Roman" w:cs="Times New Roman"/>
          <w:b/>
          <w:bCs/>
          <w:sz w:val="24"/>
          <w:szCs w:val="24"/>
          <w:lang w:val="fr-FR"/>
        </w:rPr>
      </w:pPr>
      <w:r w:rsidRPr="002C1341">
        <w:rPr>
          <w:rFonts w:ascii="Times New Roman" w:hAnsi="Times New Roman" w:cs="Times New Roman"/>
          <w:b/>
          <w:bCs/>
          <w:sz w:val="24"/>
          <w:szCs w:val="24"/>
          <w:lang w:val="fr-FR"/>
        </w:rPr>
        <w:lastRenderedPageBreak/>
        <w:t xml:space="preserve">Supplemental </w:t>
      </w:r>
      <w:r w:rsidR="00CF5885" w:rsidRPr="002C1341">
        <w:rPr>
          <w:rFonts w:ascii="Times New Roman" w:hAnsi="Times New Roman" w:cs="Times New Roman"/>
          <w:b/>
          <w:bCs/>
          <w:sz w:val="24"/>
          <w:szCs w:val="24"/>
          <w:lang w:val="fr-FR"/>
        </w:rPr>
        <w:t>Materials</w:t>
      </w:r>
      <w:r w:rsidRPr="002C1341">
        <w:rPr>
          <w:rFonts w:ascii="Times New Roman" w:hAnsi="Times New Roman" w:cs="Times New Roman"/>
          <w:b/>
          <w:bCs/>
          <w:sz w:val="24"/>
          <w:szCs w:val="24"/>
          <w:lang w:val="fr-FR"/>
        </w:rPr>
        <w:t xml:space="preserve"> </w:t>
      </w:r>
      <w:r w:rsidR="00AA3194" w:rsidRPr="002C1341">
        <w:rPr>
          <w:rFonts w:ascii="Times New Roman" w:hAnsi="Times New Roman" w:cs="Times New Roman"/>
          <w:b/>
          <w:bCs/>
          <w:sz w:val="24"/>
          <w:szCs w:val="24"/>
          <w:lang w:val="fr-FR"/>
        </w:rPr>
        <w:t>Figure1. IPSYCH GWAS EUR sample inclusion pipeline</w:t>
      </w:r>
      <w:r w:rsidR="00064D94" w:rsidRPr="002C1341">
        <w:rPr>
          <w:rFonts w:ascii="Times New Roman" w:hAnsi="Times New Roman" w:cs="Times New Roman"/>
          <w:b/>
          <w:bCs/>
          <w:sz w:val="24"/>
          <w:szCs w:val="24"/>
          <w:lang w:val="fr-FR"/>
        </w:rPr>
        <w:t>.</w:t>
      </w:r>
      <w:r w:rsidR="00AA3194" w:rsidRPr="002C1341">
        <w:rPr>
          <w:rFonts w:ascii="Times New Roman" w:hAnsi="Times New Roman" w:cs="Times New Roman"/>
          <w:b/>
          <w:bCs/>
          <w:sz w:val="24"/>
          <w:szCs w:val="24"/>
          <w:lang w:val="fr-FR"/>
        </w:rPr>
        <w:t xml:space="preserve"> </w:t>
      </w:r>
    </w:p>
    <w:p w14:paraId="24EC14FB" w14:textId="77777777" w:rsidR="00AA3194" w:rsidRDefault="00AA3194" w:rsidP="002417B4">
      <w:pPr>
        <w:jc w:val="center"/>
        <w:rPr>
          <w:rFonts w:ascii="Times New Roman" w:hAnsi="Times New Roman" w:cs="Times New Roman"/>
          <w:b/>
          <w:bCs/>
          <w:sz w:val="24"/>
          <w:szCs w:val="24"/>
        </w:rPr>
      </w:pPr>
      <w:r w:rsidRPr="004920D2">
        <w:rPr>
          <w:rFonts w:ascii="Arial" w:hAnsi="Arial" w:cs="Arial"/>
          <w:noProof/>
        </w:rPr>
        <w:drawing>
          <wp:inline distT="0" distB="0" distL="0" distR="0" wp14:anchorId="28952742" wp14:editId="7D0FD508">
            <wp:extent cx="5924550" cy="4320618"/>
            <wp:effectExtent l="0" t="0" r="0" b="381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1832" cy="4347806"/>
                    </a:xfrm>
                    <a:prstGeom prst="rect">
                      <a:avLst/>
                    </a:prstGeom>
                  </pic:spPr>
                </pic:pic>
              </a:graphicData>
            </a:graphic>
          </wp:inline>
        </w:drawing>
      </w:r>
    </w:p>
    <w:p w14:paraId="0FED95B6" w14:textId="6A08EB43" w:rsidR="003569AE" w:rsidRDefault="003569AE">
      <w:pPr>
        <w:rPr>
          <w:rFonts w:ascii="Times New Roman" w:hAnsi="Times New Roman" w:cs="Times New Roman"/>
          <w:b/>
          <w:bCs/>
          <w:sz w:val="24"/>
          <w:szCs w:val="24"/>
        </w:rPr>
      </w:pPr>
    </w:p>
    <w:sectPr w:rsidR="003569AE" w:rsidSect="0011264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C5FDA" w14:textId="77777777" w:rsidR="001676EE" w:rsidRDefault="001676EE" w:rsidP="00AA3194">
      <w:pPr>
        <w:spacing w:after="0" w:line="240" w:lineRule="auto"/>
      </w:pPr>
      <w:r>
        <w:separator/>
      </w:r>
    </w:p>
  </w:endnote>
  <w:endnote w:type="continuationSeparator" w:id="0">
    <w:p w14:paraId="0DD487F8" w14:textId="77777777" w:rsidR="001676EE" w:rsidRDefault="001676EE" w:rsidP="00AA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621773"/>
      <w:docPartObj>
        <w:docPartGallery w:val="Page Numbers (Bottom of Page)"/>
        <w:docPartUnique/>
      </w:docPartObj>
    </w:sdtPr>
    <w:sdtEndPr>
      <w:rPr>
        <w:noProof/>
      </w:rPr>
    </w:sdtEndPr>
    <w:sdtContent>
      <w:p w14:paraId="1EB25DA5" w14:textId="35A809BA" w:rsidR="00F362BA" w:rsidRDefault="00F362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D9B818" w14:textId="77777777" w:rsidR="00F362BA" w:rsidRDefault="00F36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BAA49" w14:textId="77777777" w:rsidR="001676EE" w:rsidRDefault="001676EE" w:rsidP="00AA3194">
      <w:pPr>
        <w:spacing w:after="0" w:line="240" w:lineRule="auto"/>
      </w:pPr>
      <w:r>
        <w:separator/>
      </w:r>
    </w:p>
  </w:footnote>
  <w:footnote w:type="continuationSeparator" w:id="0">
    <w:p w14:paraId="285B4764" w14:textId="77777777" w:rsidR="001676EE" w:rsidRDefault="001676EE" w:rsidP="00AA3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207F4"/>
    <w:multiLevelType w:val="hybridMultilevel"/>
    <w:tmpl w:val="1D2224BE"/>
    <w:lvl w:ilvl="0" w:tplc="83FAA6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1587C"/>
    <w:multiLevelType w:val="hybridMultilevel"/>
    <w:tmpl w:val="BC0CD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9D5380"/>
    <w:multiLevelType w:val="hybridMultilevel"/>
    <w:tmpl w:val="EEF492C8"/>
    <w:lvl w:ilvl="0" w:tplc="5798E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5B7857"/>
    <w:multiLevelType w:val="hybridMultilevel"/>
    <w:tmpl w:val="3732DF4C"/>
    <w:lvl w:ilvl="0" w:tplc="0409000F">
      <w:start w:val="1"/>
      <w:numFmt w:val="decimal"/>
      <w:lvlText w:val="%1."/>
      <w:lvlJc w:val="left"/>
      <w:pPr>
        <w:ind w:left="36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 w15:restartNumberingAfterBreak="0">
    <w:nsid w:val="6A7566C0"/>
    <w:multiLevelType w:val="hybridMultilevel"/>
    <w:tmpl w:val="E48C86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94"/>
    <w:rsid w:val="0001663B"/>
    <w:rsid w:val="00020B3E"/>
    <w:rsid w:val="00037EF7"/>
    <w:rsid w:val="00046354"/>
    <w:rsid w:val="000519A2"/>
    <w:rsid w:val="00054515"/>
    <w:rsid w:val="00064D94"/>
    <w:rsid w:val="000654ED"/>
    <w:rsid w:val="00081CBF"/>
    <w:rsid w:val="000A18E9"/>
    <w:rsid w:val="000B3C2C"/>
    <w:rsid w:val="000D5B09"/>
    <w:rsid w:val="000E1C0C"/>
    <w:rsid w:val="00112640"/>
    <w:rsid w:val="001132B0"/>
    <w:rsid w:val="0012513C"/>
    <w:rsid w:val="00126B9C"/>
    <w:rsid w:val="0014010B"/>
    <w:rsid w:val="001676EE"/>
    <w:rsid w:val="001774AB"/>
    <w:rsid w:val="00181970"/>
    <w:rsid w:val="00182901"/>
    <w:rsid w:val="00184399"/>
    <w:rsid w:val="001C68AB"/>
    <w:rsid w:val="001C7FC3"/>
    <w:rsid w:val="001D7CDA"/>
    <w:rsid w:val="001F3140"/>
    <w:rsid w:val="0020793D"/>
    <w:rsid w:val="00215A02"/>
    <w:rsid w:val="0021756A"/>
    <w:rsid w:val="0023652D"/>
    <w:rsid w:val="002417B4"/>
    <w:rsid w:val="00252C47"/>
    <w:rsid w:val="00267A34"/>
    <w:rsid w:val="002869D5"/>
    <w:rsid w:val="002929A5"/>
    <w:rsid w:val="002A06D8"/>
    <w:rsid w:val="002B77FF"/>
    <w:rsid w:val="002C1341"/>
    <w:rsid w:val="002C4287"/>
    <w:rsid w:val="002D70C5"/>
    <w:rsid w:val="00300B33"/>
    <w:rsid w:val="003046A1"/>
    <w:rsid w:val="00320EFC"/>
    <w:rsid w:val="003569AE"/>
    <w:rsid w:val="003676D9"/>
    <w:rsid w:val="00371D07"/>
    <w:rsid w:val="00385852"/>
    <w:rsid w:val="003A0F17"/>
    <w:rsid w:val="003B0014"/>
    <w:rsid w:val="003C17F2"/>
    <w:rsid w:val="003C4F73"/>
    <w:rsid w:val="003E33E6"/>
    <w:rsid w:val="003F1F1D"/>
    <w:rsid w:val="004373DC"/>
    <w:rsid w:val="0045217A"/>
    <w:rsid w:val="00466BD4"/>
    <w:rsid w:val="00485A9E"/>
    <w:rsid w:val="004946FA"/>
    <w:rsid w:val="004B05B9"/>
    <w:rsid w:val="004D0828"/>
    <w:rsid w:val="004F7745"/>
    <w:rsid w:val="00503664"/>
    <w:rsid w:val="00504035"/>
    <w:rsid w:val="00504D83"/>
    <w:rsid w:val="00505C63"/>
    <w:rsid w:val="005403CF"/>
    <w:rsid w:val="0054609D"/>
    <w:rsid w:val="00547714"/>
    <w:rsid w:val="00553A4A"/>
    <w:rsid w:val="0055598D"/>
    <w:rsid w:val="00574706"/>
    <w:rsid w:val="00594EAD"/>
    <w:rsid w:val="005C3A65"/>
    <w:rsid w:val="005D6FD4"/>
    <w:rsid w:val="005E1867"/>
    <w:rsid w:val="005E3B80"/>
    <w:rsid w:val="00605EC5"/>
    <w:rsid w:val="00614AA1"/>
    <w:rsid w:val="00645B4C"/>
    <w:rsid w:val="00657BDF"/>
    <w:rsid w:val="00661327"/>
    <w:rsid w:val="00661FB1"/>
    <w:rsid w:val="00673DE7"/>
    <w:rsid w:val="00676FA7"/>
    <w:rsid w:val="006770CA"/>
    <w:rsid w:val="006A67F1"/>
    <w:rsid w:val="006C3441"/>
    <w:rsid w:val="006F262C"/>
    <w:rsid w:val="00721D19"/>
    <w:rsid w:val="00732BB8"/>
    <w:rsid w:val="00752B9E"/>
    <w:rsid w:val="007979FE"/>
    <w:rsid w:val="007A4716"/>
    <w:rsid w:val="007A72BB"/>
    <w:rsid w:val="007C02F9"/>
    <w:rsid w:val="007C2A34"/>
    <w:rsid w:val="007E2187"/>
    <w:rsid w:val="007E4960"/>
    <w:rsid w:val="007E70BB"/>
    <w:rsid w:val="007F574B"/>
    <w:rsid w:val="00805FEB"/>
    <w:rsid w:val="008360DD"/>
    <w:rsid w:val="0085394B"/>
    <w:rsid w:val="00881557"/>
    <w:rsid w:val="0088472F"/>
    <w:rsid w:val="008937C5"/>
    <w:rsid w:val="00896DE4"/>
    <w:rsid w:val="008970B0"/>
    <w:rsid w:val="008A363F"/>
    <w:rsid w:val="008A67AA"/>
    <w:rsid w:val="008B3602"/>
    <w:rsid w:val="008F1951"/>
    <w:rsid w:val="00903786"/>
    <w:rsid w:val="0090692D"/>
    <w:rsid w:val="00916884"/>
    <w:rsid w:val="0092554E"/>
    <w:rsid w:val="009434C0"/>
    <w:rsid w:val="00950EF1"/>
    <w:rsid w:val="0097020C"/>
    <w:rsid w:val="00986896"/>
    <w:rsid w:val="00990C34"/>
    <w:rsid w:val="009935DD"/>
    <w:rsid w:val="009956A2"/>
    <w:rsid w:val="009966DE"/>
    <w:rsid w:val="009B0125"/>
    <w:rsid w:val="009C6044"/>
    <w:rsid w:val="009E7245"/>
    <w:rsid w:val="009E7262"/>
    <w:rsid w:val="00A16271"/>
    <w:rsid w:val="00A21CC2"/>
    <w:rsid w:val="00A3150A"/>
    <w:rsid w:val="00A4403F"/>
    <w:rsid w:val="00A447E1"/>
    <w:rsid w:val="00A62D61"/>
    <w:rsid w:val="00A64536"/>
    <w:rsid w:val="00A85CDC"/>
    <w:rsid w:val="00A92C79"/>
    <w:rsid w:val="00AA3194"/>
    <w:rsid w:val="00AD2501"/>
    <w:rsid w:val="00AD7252"/>
    <w:rsid w:val="00AE0EDC"/>
    <w:rsid w:val="00AF0554"/>
    <w:rsid w:val="00AF2C0B"/>
    <w:rsid w:val="00B14BC3"/>
    <w:rsid w:val="00B324C7"/>
    <w:rsid w:val="00B35885"/>
    <w:rsid w:val="00B35ED0"/>
    <w:rsid w:val="00B540FC"/>
    <w:rsid w:val="00B667B5"/>
    <w:rsid w:val="00B90386"/>
    <w:rsid w:val="00BD0593"/>
    <w:rsid w:val="00BE0A86"/>
    <w:rsid w:val="00BF04E8"/>
    <w:rsid w:val="00BF5A13"/>
    <w:rsid w:val="00BF634D"/>
    <w:rsid w:val="00C03D20"/>
    <w:rsid w:val="00C21623"/>
    <w:rsid w:val="00C27FE2"/>
    <w:rsid w:val="00C423AD"/>
    <w:rsid w:val="00C56EA7"/>
    <w:rsid w:val="00C80AE6"/>
    <w:rsid w:val="00C869E9"/>
    <w:rsid w:val="00C92444"/>
    <w:rsid w:val="00C94FB6"/>
    <w:rsid w:val="00CA7A9F"/>
    <w:rsid w:val="00CD19DA"/>
    <w:rsid w:val="00CD63B2"/>
    <w:rsid w:val="00CF5885"/>
    <w:rsid w:val="00D03E23"/>
    <w:rsid w:val="00D07F6C"/>
    <w:rsid w:val="00D11296"/>
    <w:rsid w:val="00D15583"/>
    <w:rsid w:val="00D26F38"/>
    <w:rsid w:val="00D7406D"/>
    <w:rsid w:val="00D81216"/>
    <w:rsid w:val="00D9151C"/>
    <w:rsid w:val="00DA448A"/>
    <w:rsid w:val="00DB7E9E"/>
    <w:rsid w:val="00DE768E"/>
    <w:rsid w:val="00E20A1F"/>
    <w:rsid w:val="00E2375A"/>
    <w:rsid w:val="00E2427D"/>
    <w:rsid w:val="00E4495E"/>
    <w:rsid w:val="00E60645"/>
    <w:rsid w:val="00E61DCB"/>
    <w:rsid w:val="00E900D3"/>
    <w:rsid w:val="00EA1839"/>
    <w:rsid w:val="00EA5D5C"/>
    <w:rsid w:val="00EC6E04"/>
    <w:rsid w:val="00F006F0"/>
    <w:rsid w:val="00F07A0E"/>
    <w:rsid w:val="00F2022A"/>
    <w:rsid w:val="00F22B10"/>
    <w:rsid w:val="00F26F0D"/>
    <w:rsid w:val="00F362BA"/>
    <w:rsid w:val="00F366C0"/>
    <w:rsid w:val="00F401BF"/>
    <w:rsid w:val="00F96BF4"/>
    <w:rsid w:val="00FA5151"/>
    <w:rsid w:val="00FA6ABE"/>
    <w:rsid w:val="00FB00F4"/>
    <w:rsid w:val="00FB4B1C"/>
    <w:rsid w:val="00FB64E9"/>
    <w:rsid w:val="00FD2CD5"/>
    <w:rsid w:val="00FF5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4B14"/>
  <w15:chartTrackingRefBased/>
  <w15:docId w15:val="{1DD92366-7EB7-49A8-A29F-07EC7DC7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194"/>
  </w:style>
  <w:style w:type="paragraph" w:styleId="Footer">
    <w:name w:val="footer"/>
    <w:basedOn w:val="Normal"/>
    <w:link w:val="FooterChar"/>
    <w:uiPriority w:val="99"/>
    <w:unhideWhenUsed/>
    <w:rsid w:val="00AA3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194"/>
  </w:style>
  <w:style w:type="table" w:styleId="TableGrid">
    <w:name w:val="Table Grid"/>
    <w:basedOn w:val="TableNormal"/>
    <w:uiPriority w:val="39"/>
    <w:rsid w:val="00AA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4E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EAD"/>
    <w:rPr>
      <w:rFonts w:ascii="Segoe UI" w:hAnsi="Segoe UI" w:cs="Segoe UI"/>
      <w:sz w:val="18"/>
      <w:szCs w:val="18"/>
    </w:rPr>
  </w:style>
  <w:style w:type="character" w:styleId="CommentReference">
    <w:name w:val="annotation reference"/>
    <w:basedOn w:val="DefaultParagraphFont"/>
    <w:uiPriority w:val="99"/>
    <w:semiHidden/>
    <w:unhideWhenUsed/>
    <w:rsid w:val="00594EAD"/>
    <w:rPr>
      <w:sz w:val="16"/>
      <w:szCs w:val="16"/>
    </w:rPr>
  </w:style>
  <w:style w:type="paragraph" w:styleId="CommentText">
    <w:name w:val="annotation text"/>
    <w:basedOn w:val="Normal"/>
    <w:link w:val="CommentTextChar"/>
    <w:uiPriority w:val="99"/>
    <w:semiHidden/>
    <w:unhideWhenUsed/>
    <w:rsid w:val="00594EAD"/>
    <w:pPr>
      <w:spacing w:line="240" w:lineRule="auto"/>
    </w:pPr>
    <w:rPr>
      <w:sz w:val="20"/>
      <w:szCs w:val="20"/>
    </w:rPr>
  </w:style>
  <w:style w:type="character" w:customStyle="1" w:styleId="CommentTextChar">
    <w:name w:val="Comment Text Char"/>
    <w:basedOn w:val="DefaultParagraphFont"/>
    <w:link w:val="CommentText"/>
    <w:uiPriority w:val="99"/>
    <w:semiHidden/>
    <w:rsid w:val="00594EAD"/>
    <w:rPr>
      <w:sz w:val="20"/>
      <w:szCs w:val="20"/>
    </w:rPr>
  </w:style>
  <w:style w:type="paragraph" w:styleId="CommentSubject">
    <w:name w:val="annotation subject"/>
    <w:basedOn w:val="CommentText"/>
    <w:next w:val="CommentText"/>
    <w:link w:val="CommentSubjectChar"/>
    <w:uiPriority w:val="99"/>
    <w:semiHidden/>
    <w:unhideWhenUsed/>
    <w:rsid w:val="00594EAD"/>
    <w:rPr>
      <w:b/>
      <w:bCs/>
    </w:rPr>
  </w:style>
  <w:style w:type="character" w:customStyle="1" w:styleId="CommentSubjectChar">
    <w:name w:val="Comment Subject Char"/>
    <w:basedOn w:val="CommentTextChar"/>
    <w:link w:val="CommentSubject"/>
    <w:uiPriority w:val="99"/>
    <w:semiHidden/>
    <w:rsid w:val="00594EAD"/>
    <w:rPr>
      <w:b/>
      <w:bCs/>
      <w:sz w:val="20"/>
      <w:szCs w:val="20"/>
    </w:rPr>
  </w:style>
  <w:style w:type="paragraph" w:styleId="ListParagraph">
    <w:name w:val="List Paragraph"/>
    <w:basedOn w:val="Normal"/>
    <w:uiPriority w:val="34"/>
    <w:qFormat/>
    <w:rsid w:val="00EC6E04"/>
    <w:pPr>
      <w:ind w:left="720"/>
      <w:contextualSpacing/>
    </w:pPr>
  </w:style>
  <w:style w:type="character" w:styleId="Hyperlink">
    <w:name w:val="Hyperlink"/>
    <w:basedOn w:val="DefaultParagraphFont"/>
    <w:uiPriority w:val="99"/>
    <w:unhideWhenUsed/>
    <w:rsid w:val="00C423AD"/>
    <w:rPr>
      <w:color w:val="0563C1" w:themeColor="hyperlink"/>
      <w:u w:val="single"/>
    </w:rPr>
  </w:style>
  <w:style w:type="character" w:styleId="UnresolvedMention">
    <w:name w:val="Unresolved Mention"/>
    <w:basedOn w:val="DefaultParagraphFont"/>
    <w:uiPriority w:val="99"/>
    <w:semiHidden/>
    <w:unhideWhenUsed/>
    <w:rsid w:val="00C42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4777">
      <w:bodyDiv w:val="1"/>
      <w:marLeft w:val="0"/>
      <w:marRight w:val="0"/>
      <w:marTop w:val="0"/>
      <w:marBottom w:val="0"/>
      <w:divBdr>
        <w:top w:val="none" w:sz="0" w:space="0" w:color="auto"/>
        <w:left w:val="none" w:sz="0" w:space="0" w:color="auto"/>
        <w:bottom w:val="none" w:sz="0" w:space="0" w:color="auto"/>
        <w:right w:val="none" w:sz="0" w:space="0" w:color="auto"/>
      </w:divBdr>
    </w:div>
    <w:div w:id="81869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ngen.fi/en/abo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inngen.gitbook.io/documentation/meth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AEDE7-5882-4ED3-B3BF-0A1521FF2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3333</Words>
  <Characters>19001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Deak, Joseph</dc:creator>
  <cp:keywords/>
  <dc:description/>
  <cp:lastModifiedBy>Deak, Joseph</cp:lastModifiedBy>
  <cp:revision>4</cp:revision>
  <dcterms:created xsi:type="dcterms:W3CDTF">2022-07-06T18:50:00Z</dcterms:created>
  <dcterms:modified xsi:type="dcterms:W3CDTF">2022-07-06T19:02:00Z</dcterms:modified>
</cp:coreProperties>
</file>