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47636E" w:rsidRPr="0047636E" w14:paraId="37BB0313" w14:textId="77777777" w:rsidTr="000B66B9">
        <w:tc>
          <w:tcPr>
            <w:tcW w:w="9639" w:type="dxa"/>
            <w:tcBorders>
              <w:top w:val="single" w:sz="8" w:space="0" w:color="auto"/>
              <w:bottom w:val="single" w:sz="8" w:space="0" w:color="auto"/>
            </w:tcBorders>
          </w:tcPr>
          <w:p w14:paraId="475A7F0D" w14:textId="77777777" w:rsidR="00670D14" w:rsidRPr="0047636E" w:rsidRDefault="00670D14" w:rsidP="000B66B9">
            <w:pPr>
              <w:spacing w:line="360" w:lineRule="auto"/>
              <w:ind w:rightChars="35" w:right="84"/>
              <w:jc w:val="center"/>
              <w:rPr>
                <w:rFonts w:ascii="Arial" w:hAnsi="Arial" w:cs="Arial"/>
                <w:b/>
                <w:bCs/>
                <w:color w:val="000000" w:themeColor="text1"/>
                <w:sz w:val="20"/>
                <w:szCs w:val="20"/>
                <w:lang w:val="en-US"/>
              </w:rPr>
            </w:pPr>
            <w:r w:rsidRPr="0047636E">
              <w:rPr>
                <w:rFonts w:ascii="Arial" w:hAnsi="Arial" w:cs="Arial"/>
                <w:b/>
                <w:bCs/>
                <w:color w:val="000000" w:themeColor="text1"/>
                <w:sz w:val="20"/>
                <w:szCs w:val="20"/>
                <w:lang w:val="en-US"/>
              </w:rPr>
              <w:t>Supplementary 1</w:t>
            </w:r>
          </w:p>
          <w:p w14:paraId="75C8E9B7" w14:textId="77777777" w:rsidR="00670D14" w:rsidRPr="0047636E" w:rsidRDefault="00670D14" w:rsidP="000B66B9">
            <w:pPr>
              <w:spacing w:line="360" w:lineRule="auto"/>
              <w:ind w:rightChars="35" w:right="84"/>
              <w:jc w:val="center"/>
              <w:rPr>
                <w:rFonts w:ascii="Arial" w:hAnsi="Arial" w:cs="Arial"/>
                <w:b/>
                <w:bCs/>
                <w:color w:val="000000" w:themeColor="text1"/>
                <w:sz w:val="20"/>
                <w:szCs w:val="20"/>
                <w:lang w:val="en-US"/>
              </w:rPr>
            </w:pPr>
            <w:r w:rsidRPr="0047636E">
              <w:rPr>
                <w:rFonts w:ascii="Arial" w:hAnsi="Arial" w:cs="Arial"/>
                <w:b/>
                <w:bCs/>
                <w:color w:val="000000" w:themeColor="text1"/>
                <w:sz w:val="20"/>
                <w:szCs w:val="20"/>
                <w:lang w:val="en-US"/>
              </w:rPr>
              <w:t>Supplemental Methods and Other Relevant Information</w:t>
            </w:r>
          </w:p>
        </w:tc>
      </w:tr>
    </w:tbl>
    <w:p w14:paraId="1C71B178" w14:textId="77777777" w:rsidR="00670D14" w:rsidRPr="0047636E" w:rsidRDefault="00670D14" w:rsidP="00850219">
      <w:pPr>
        <w:spacing w:beforeLines="50" w:before="180" w:line="276" w:lineRule="auto"/>
        <w:ind w:rightChars="35" w:right="84"/>
        <w:jc w:val="center"/>
        <w:rPr>
          <w:rFonts w:ascii="Arial" w:hAnsi="Arial" w:cs="Arial"/>
          <w:b/>
          <w:bCs/>
          <w:color w:val="000000" w:themeColor="text1"/>
          <w:sz w:val="20"/>
          <w:szCs w:val="20"/>
          <w:lang w:val="en-US"/>
        </w:rPr>
      </w:pPr>
      <w:r w:rsidRPr="0047636E">
        <w:rPr>
          <w:rFonts w:ascii="Arial" w:hAnsi="Arial" w:cs="Arial"/>
          <w:b/>
          <w:bCs/>
          <w:color w:val="000000" w:themeColor="text1"/>
          <w:sz w:val="20"/>
          <w:szCs w:val="20"/>
          <w:lang w:val="en-US"/>
        </w:rPr>
        <w:t>High-fat diet induces depression via astrocyte-mediated hyperactivation of the ventral hippocampal glutamatergic afferents to the nucleus accumbens</w:t>
      </w:r>
    </w:p>
    <w:p w14:paraId="50B1F999" w14:textId="77777777" w:rsidR="00670D14" w:rsidRPr="0047636E" w:rsidRDefault="00670D14" w:rsidP="000B66B9">
      <w:pPr>
        <w:spacing w:line="276" w:lineRule="auto"/>
        <w:jc w:val="center"/>
        <w:rPr>
          <w:rFonts w:ascii="Arial" w:hAnsi="Arial" w:cs="Arial"/>
          <w:bCs/>
          <w:color w:val="000000" w:themeColor="text1"/>
          <w:sz w:val="20"/>
          <w:szCs w:val="20"/>
          <w:lang w:val="en-US"/>
        </w:rPr>
      </w:pPr>
    </w:p>
    <w:p w14:paraId="4D071A9D" w14:textId="2542F3FE" w:rsidR="00670D14" w:rsidRPr="0047636E" w:rsidRDefault="00670D14" w:rsidP="001B5954">
      <w:pPr>
        <w:spacing w:line="276" w:lineRule="auto"/>
        <w:jc w:val="center"/>
        <w:rPr>
          <w:rFonts w:ascii="Arial" w:hAnsi="Arial" w:cs="Arial"/>
          <w:bCs/>
          <w:color w:val="000000" w:themeColor="text1"/>
          <w:sz w:val="20"/>
          <w:szCs w:val="20"/>
          <w:lang w:val="en-US"/>
        </w:rPr>
      </w:pPr>
      <w:r w:rsidRPr="0047636E">
        <w:rPr>
          <w:rFonts w:ascii="Arial" w:hAnsi="Arial" w:cs="Arial"/>
          <w:bCs/>
          <w:color w:val="000000" w:themeColor="text1"/>
          <w:sz w:val="20"/>
          <w:szCs w:val="20"/>
          <w:lang w:val="en-US"/>
        </w:rPr>
        <w:t>Sheng-Feng Tsai,</w:t>
      </w:r>
      <w:r w:rsidRPr="0047636E">
        <w:rPr>
          <w:rFonts w:ascii="Arial" w:hAnsi="Arial" w:cs="Arial"/>
          <w:bCs/>
          <w:color w:val="000000" w:themeColor="text1"/>
          <w:sz w:val="20"/>
          <w:szCs w:val="20"/>
          <w:vertAlign w:val="superscript"/>
          <w:lang w:val="en-US"/>
        </w:rPr>
        <w:t>1,2</w:t>
      </w:r>
      <w:r w:rsidRPr="0047636E">
        <w:rPr>
          <w:rFonts w:ascii="Arial" w:hAnsi="Arial" w:cs="Arial"/>
          <w:bCs/>
          <w:color w:val="000000" w:themeColor="text1"/>
          <w:sz w:val="20"/>
          <w:szCs w:val="20"/>
          <w:lang w:val="en-US"/>
        </w:rPr>
        <w:t xml:space="preserve"> Pei-Ling Hsu,</w:t>
      </w:r>
      <w:r w:rsidRPr="0047636E">
        <w:rPr>
          <w:rFonts w:ascii="Arial" w:hAnsi="Arial" w:cs="Arial"/>
          <w:bCs/>
          <w:color w:val="000000" w:themeColor="text1"/>
          <w:sz w:val="20"/>
          <w:szCs w:val="20"/>
          <w:vertAlign w:val="superscript"/>
          <w:lang w:val="en-US"/>
        </w:rPr>
        <w:t>1,3</w:t>
      </w:r>
      <w:r w:rsidR="001B5954" w:rsidRPr="0047636E">
        <w:rPr>
          <w:rFonts w:ascii="Arial" w:hAnsi="Arial" w:cs="Arial"/>
          <w:bCs/>
          <w:color w:val="000000" w:themeColor="text1"/>
          <w:sz w:val="20"/>
          <w:szCs w:val="20"/>
          <w:vertAlign w:val="superscript"/>
          <w:lang w:val="en-US"/>
        </w:rPr>
        <w:t>,4</w:t>
      </w:r>
      <w:r w:rsidRPr="0047636E">
        <w:rPr>
          <w:rFonts w:ascii="Arial" w:hAnsi="Arial" w:cs="Arial"/>
          <w:bCs/>
          <w:color w:val="000000" w:themeColor="text1"/>
          <w:sz w:val="20"/>
          <w:szCs w:val="20"/>
          <w:lang w:val="en-US"/>
        </w:rPr>
        <w:t xml:space="preserve"> </w:t>
      </w:r>
      <w:r w:rsidR="001B5954" w:rsidRPr="0047636E">
        <w:rPr>
          <w:rFonts w:ascii="Arial" w:hAnsi="Arial" w:cs="Arial"/>
          <w:bCs/>
          <w:color w:val="000000" w:themeColor="text1"/>
          <w:sz w:val="20"/>
          <w:szCs w:val="20"/>
          <w:lang w:val="en-US"/>
        </w:rPr>
        <w:t>Yun-Wen Chen,</w:t>
      </w:r>
      <w:r w:rsidR="001B5954" w:rsidRPr="0047636E">
        <w:rPr>
          <w:rFonts w:ascii="Arial" w:hAnsi="Arial" w:cs="Arial"/>
          <w:bCs/>
          <w:color w:val="000000" w:themeColor="text1"/>
          <w:sz w:val="20"/>
          <w:szCs w:val="20"/>
          <w:vertAlign w:val="superscript"/>
          <w:lang w:val="en-US"/>
        </w:rPr>
        <w:t xml:space="preserve">1,5 </w:t>
      </w:r>
      <w:r w:rsidRPr="0047636E">
        <w:rPr>
          <w:rFonts w:ascii="Arial" w:hAnsi="Arial" w:cs="Arial"/>
          <w:bCs/>
          <w:color w:val="000000" w:themeColor="text1"/>
          <w:sz w:val="20"/>
          <w:szCs w:val="20"/>
          <w:lang w:val="en-US"/>
        </w:rPr>
        <w:t>Mohammad Shahadat Hossain,</w:t>
      </w:r>
      <w:r w:rsidRPr="0047636E">
        <w:rPr>
          <w:rFonts w:ascii="Arial" w:hAnsi="Arial" w:cs="Arial"/>
          <w:bCs/>
          <w:color w:val="000000" w:themeColor="text1"/>
          <w:sz w:val="20"/>
          <w:szCs w:val="20"/>
          <w:vertAlign w:val="superscript"/>
          <w:lang w:val="en-US"/>
        </w:rPr>
        <w:t>2,</w:t>
      </w:r>
      <w:r w:rsidR="001B5954" w:rsidRPr="0047636E">
        <w:rPr>
          <w:rFonts w:ascii="Arial" w:hAnsi="Arial" w:cs="Arial"/>
          <w:bCs/>
          <w:color w:val="000000" w:themeColor="text1"/>
          <w:sz w:val="20"/>
          <w:szCs w:val="20"/>
          <w:vertAlign w:val="superscript"/>
          <w:lang w:val="en-US"/>
        </w:rPr>
        <w:t>6</w:t>
      </w:r>
      <w:r w:rsidRPr="0047636E">
        <w:rPr>
          <w:rFonts w:ascii="Arial" w:hAnsi="Arial" w:cs="Arial"/>
          <w:bCs/>
          <w:color w:val="000000" w:themeColor="text1"/>
          <w:sz w:val="20"/>
          <w:szCs w:val="20"/>
          <w:lang w:val="en-US"/>
        </w:rPr>
        <w:t xml:space="preserve"> Pei-Chun Chen,</w:t>
      </w:r>
      <w:r w:rsidRPr="0047636E">
        <w:rPr>
          <w:rFonts w:ascii="Arial" w:hAnsi="Arial" w:cs="Arial"/>
          <w:bCs/>
          <w:color w:val="000000" w:themeColor="text1"/>
          <w:sz w:val="20"/>
          <w:szCs w:val="20"/>
          <w:vertAlign w:val="superscript"/>
          <w:lang w:val="en-US"/>
        </w:rPr>
        <w:t>1,3</w:t>
      </w:r>
      <w:r w:rsidRPr="0047636E">
        <w:rPr>
          <w:rFonts w:ascii="Arial" w:hAnsi="Arial" w:cs="Arial"/>
          <w:bCs/>
          <w:color w:val="000000" w:themeColor="text1"/>
          <w:sz w:val="20"/>
          <w:szCs w:val="20"/>
          <w:lang w:val="en-US"/>
        </w:rPr>
        <w:t xml:space="preserve"> Shun-Fen Tzeng,</w:t>
      </w:r>
      <w:r w:rsidRPr="0047636E">
        <w:rPr>
          <w:rFonts w:ascii="Arial" w:hAnsi="Arial" w:cs="Arial"/>
          <w:bCs/>
          <w:color w:val="000000" w:themeColor="text1"/>
          <w:sz w:val="20"/>
          <w:szCs w:val="20"/>
          <w:vertAlign w:val="superscript"/>
          <w:lang w:val="en-US"/>
        </w:rPr>
        <w:t>1,</w:t>
      </w:r>
      <w:r w:rsidR="001B5954" w:rsidRPr="0047636E">
        <w:rPr>
          <w:rFonts w:ascii="Arial" w:hAnsi="Arial" w:cs="Arial"/>
          <w:bCs/>
          <w:color w:val="000000" w:themeColor="text1"/>
          <w:sz w:val="20"/>
          <w:szCs w:val="20"/>
          <w:vertAlign w:val="superscript"/>
          <w:lang w:val="en-US"/>
        </w:rPr>
        <w:t>7</w:t>
      </w:r>
      <w:r w:rsidRPr="0047636E">
        <w:rPr>
          <w:rFonts w:ascii="Arial" w:hAnsi="Arial" w:cs="Arial"/>
          <w:bCs/>
          <w:color w:val="000000" w:themeColor="text1"/>
          <w:sz w:val="20"/>
          <w:szCs w:val="20"/>
          <w:lang w:val="en-US"/>
        </w:rPr>
        <w:t xml:space="preserve"> Po-See Chen,</w:t>
      </w:r>
      <w:r w:rsidR="001B5954" w:rsidRPr="0047636E">
        <w:rPr>
          <w:rFonts w:ascii="Arial" w:hAnsi="Arial" w:cs="Arial"/>
          <w:bCs/>
          <w:color w:val="000000" w:themeColor="text1"/>
          <w:sz w:val="20"/>
          <w:szCs w:val="20"/>
          <w:vertAlign w:val="superscript"/>
          <w:lang w:val="en-US"/>
        </w:rPr>
        <w:t>8</w:t>
      </w:r>
      <w:r w:rsidRPr="0047636E">
        <w:rPr>
          <w:rFonts w:ascii="Arial" w:hAnsi="Arial" w:cs="Arial"/>
          <w:bCs/>
          <w:color w:val="000000" w:themeColor="text1"/>
          <w:sz w:val="20"/>
          <w:szCs w:val="20"/>
          <w:vertAlign w:val="superscript"/>
          <w:lang w:val="en-US"/>
        </w:rPr>
        <w:t>,</w:t>
      </w:r>
      <w:r w:rsidR="001B5954" w:rsidRPr="0047636E">
        <w:rPr>
          <w:rFonts w:ascii="Arial" w:hAnsi="Arial" w:cs="Arial"/>
          <w:bCs/>
          <w:color w:val="000000" w:themeColor="text1"/>
          <w:sz w:val="20"/>
          <w:szCs w:val="20"/>
          <w:vertAlign w:val="superscript"/>
          <w:lang w:val="en-US"/>
        </w:rPr>
        <w:t>9</w:t>
      </w:r>
      <w:r w:rsidRPr="0047636E">
        <w:rPr>
          <w:rFonts w:ascii="Arial" w:hAnsi="Arial" w:cs="Arial"/>
          <w:bCs/>
          <w:color w:val="000000" w:themeColor="text1"/>
          <w:sz w:val="20"/>
          <w:szCs w:val="20"/>
          <w:lang w:val="en-US"/>
        </w:rPr>
        <w:t xml:space="preserve"> and Yu-Min Kuo</w:t>
      </w:r>
      <w:r w:rsidRPr="0047636E">
        <w:rPr>
          <w:rFonts w:ascii="Arial" w:hAnsi="Arial" w:cs="Arial"/>
          <w:bCs/>
          <w:color w:val="000000" w:themeColor="text1"/>
          <w:sz w:val="20"/>
          <w:szCs w:val="20"/>
          <w:vertAlign w:val="superscript"/>
          <w:lang w:val="en-US"/>
        </w:rPr>
        <w:t>1,</w:t>
      </w:r>
      <w:proofErr w:type="gramStart"/>
      <w:r w:rsidRPr="0047636E">
        <w:rPr>
          <w:rFonts w:ascii="Arial" w:hAnsi="Arial" w:cs="Arial"/>
          <w:bCs/>
          <w:color w:val="000000" w:themeColor="text1"/>
          <w:sz w:val="20"/>
          <w:szCs w:val="20"/>
          <w:vertAlign w:val="superscript"/>
          <w:lang w:val="en-US"/>
        </w:rPr>
        <w:t>2,</w:t>
      </w:r>
      <w:r w:rsidRPr="0047636E">
        <w:rPr>
          <w:rFonts w:ascii="Arial" w:hAnsi="Arial" w:cs="Arial"/>
          <w:bCs/>
          <w:color w:val="000000" w:themeColor="text1"/>
          <w:sz w:val="20"/>
          <w:szCs w:val="20"/>
          <w:lang w:val="en-US"/>
        </w:rPr>
        <w:t>*</w:t>
      </w:r>
      <w:proofErr w:type="gramEnd"/>
    </w:p>
    <w:p w14:paraId="2494E143" w14:textId="77777777" w:rsidR="00670D14" w:rsidRPr="0047636E" w:rsidRDefault="00670D14" w:rsidP="000B66B9">
      <w:pPr>
        <w:jc w:val="both"/>
        <w:rPr>
          <w:rFonts w:ascii="Arial" w:hAnsi="Arial" w:cs="Arial"/>
          <w:bCs/>
          <w:color w:val="000000" w:themeColor="text1"/>
          <w:sz w:val="20"/>
          <w:szCs w:val="20"/>
        </w:rPr>
      </w:pPr>
      <w:r w:rsidRPr="0047636E">
        <w:rPr>
          <w:rFonts w:ascii="Arial" w:hAnsi="Arial" w:cs="Arial"/>
          <w:bCs/>
          <w:color w:val="000000" w:themeColor="text1"/>
          <w:sz w:val="20"/>
          <w:szCs w:val="20"/>
          <w:vertAlign w:val="superscript"/>
        </w:rPr>
        <w:t>1</w:t>
      </w:r>
      <w:r w:rsidRPr="0047636E">
        <w:rPr>
          <w:rFonts w:ascii="Arial" w:hAnsi="Arial" w:cs="Arial"/>
          <w:bCs/>
          <w:color w:val="000000" w:themeColor="text1"/>
          <w:sz w:val="20"/>
          <w:szCs w:val="20"/>
        </w:rPr>
        <w:t>Institute of Basic Medical Sciences, College of Medicine, National Cheng Kung University, Tainan, Taiwan</w:t>
      </w:r>
    </w:p>
    <w:p w14:paraId="7E929436" w14:textId="77777777" w:rsidR="00670D14" w:rsidRPr="0047636E" w:rsidRDefault="00670D14" w:rsidP="000B66B9">
      <w:pPr>
        <w:jc w:val="both"/>
        <w:rPr>
          <w:rFonts w:ascii="Arial" w:hAnsi="Arial" w:cs="Arial"/>
          <w:bCs/>
          <w:color w:val="000000" w:themeColor="text1"/>
          <w:sz w:val="20"/>
          <w:szCs w:val="20"/>
          <w:lang w:val="en-US"/>
        </w:rPr>
      </w:pPr>
      <w:r w:rsidRPr="0047636E">
        <w:rPr>
          <w:rFonts w:ascii="Arial" w:hAnsi="Arial" w:cs="Arial"/>
          <w:bCs/>
          <w:color w:val="000000" w:themeColor="text1"/>
          <w:sz w:val="20"/>
          <w:szCs w:val="20"/>
          <w:vertAlign w:val="superscript"/>
          <w:lang w:val="en-US"/>
        </w:rPr>
        <w:t>2</w:t>
      </w:r>
      <w:r w:rsidRPr="0047636E">
        <w:rPr>
          <w:rFonts w:ascii="Arial" w:hAnsi="Arial" w:cs="Arial"/>
          <w:bCs/>
          <w:color w:val="000000" w:themeColor="text1"/>
          <w:sz w:val="20"/>
          <w:szCs w:val="20"/>
          <w:lang w:val="en-US"/>
        </w:rPr>
        <w:t>Department of Cell Biology and Anatomy, College of Medicine, National Cheng Kung University, Tainan, Taiwan</w:t>
      </w:r>
    </w:p>
    <w:p w14:paraId="584CE9C1" w14:textId="170175AE" w:rsidR="00670D14" w:rsidRPr="0047636E" w:rsidRDefault="00670D14" w:rsidP="000B66B9">
      <w:pPr>
        <w:jc w:val="both"/>
        <w:rPr>
          <w:rFonts w:ascii="Arial" w:hAnsi="Arial" w:cs="Arial"/>
          <w:bCs/>
          <w:color w:val="000000" w:themeColor="text1"/>
          <w:sz w:val="20"/>
          <w:szCs w:val="20"/>
        </w:rPr>
      </w:pPr>
      <w:r w:rsidRPr="0047636E">
        <w:rPr>
          <w:rFonts w:ascii="Arial" w:hAnsi="Arial" w:cs="Arial"/>
          <w:bCs/>
          <w:color w:val="000000" w:themeColor="text1"/>
          <w:sz w:val="20"/>
          <w:szCs w:val="20"/>
          <w:vertAlign w:val="superscript"/>
        </w:rPr>
        <w:t>3</w:t>
      </w:r>
      <w:r w:rsidRPr="0047636E">
        <w:rPr>
          <w:rFonts w:ascii="Arial" w:hAnsi="Arial" w:cs="Arial"/>
          <w:bCs/>
          <w:color w:val="000000" w:themeColor="text1"/>
          <w:sz w:val="20"/>
          <w:szCs w:val="20"/>
        </w:rPr>
        <w:t>Department of Physiology, College of Medicine, National Cheng Kung University, Tainan, Taiwan</w:t>
      </w:r>
    </w:p>
    <w:p w14:paraId="2E0C5B18" w14:textId="0536E02E" w:rsidR="001B5954" w:rsidRPr="0047636E" w:rsidRDefault="001B5954" w:rsidP="000B66B9">
      <w:pPr>
        <w:jc w:val="both"/>
        <w:rPr>
          <w:rFonts w:ascii="Arial" w:hAnsi="Arial" w:cs="Arial"/>
          <w:bCs/>
          <w:color w:val="000000" w:themeColor="text1"/>
          <w:sz w:val="20"/>
          <w:szCs w:val="20"/>
        </w:rPr>
      </w:pPr>
      <w:r w:rsidRPr="0047636E">
        <w:rPr>
          <w:rFonts w:ascii="Arial" w:hAnsi="Arial" w:cs="Arial" w:hint="eastAsia"/>
          <w:bCs/>
          <w:color w:val="000000" w:themeColor="text1"/>
          <w:sz w:val="20"/>
          <w:szCs w:val="20"/>
          <w:vertAlign w:val="superscript"/>
        </w:rPr>
        <w:t>4</w:t>
      </w:r>
      <w:r w:rsidRPr="0047636E">
        <w:rPr>
          <w:rFonts w:ascii="Arial" w:hAnsi="Arial" w:cs="Arial"/>
          <w:bCs/>
          <w:color w:val="000000" w:themeColor="text1"/>
          <w:sz w:val="20"/>
          <w:szCs w:val="20"/>
        </w:rPr>
        <w:t>Department of Anatomy, School of Medicine, College of Medicine, Kaohsiung Medical University, Kaohsiung, Taiwan</w:t>
      </w:r>
    </w:p>
    <w:p w14:paraId="2350FE4B" w14:textId="00B1468F" w:rsidR="00670D14" w:rsidRPr="0047636E" w:rsidRDefault="00670D14" w:rsidP="000B66B9">
      <w:pPr>
        <w:jc w:val="both"/>
        <w:rPr>
          <w:rFonts w:ascii="Arial" w:hAnsi="Arial" w:cs="Arial"/>
          <w:bCs/>
          <w:color w:val="000000" w:themeColor="text1"/>
          <w:sz w:val="20"/>
          <w:szCs w:val="20"/>
        </w:rPr>
      </w:pPr>
      <w:r w:rsidRPr="0047636E">
        <w:rPr>
          <w:rFonts w:ascii="Arial" w:hAnsi="Arial" w:cs="Arial"/>
          <w:bCs/>
          <w:color w:val="000000" w:themeColor="text1"/>
          <w:sz w:val="20"/>
          <w:szCs w:val="20"/>
          <w:vertAlign w:val="superscript"/>
        </w:rPr>
        <w:t>5</w:t>
      </w:r>
      <w:r w:rsidRPr="0047636E">
        <w:rPr>
          <w:rFonts w:ascii="Arial" w:hAnsi="Arial" w:cs="Arial"/>
          <w:bCs/>
          <w:color w:val="000000" w:themeColor="text1"/>
          <w:sz w:val="20"/>
          <w:szCs w:val="20"/>
        </w:rPr>
        <w:t>Department of Pharmacology, College of Medicine, National Cheng Kung University, Tainan,</w:t>
      </w:r>
      <w:r w:rsidRPr="0047636E">
        <w:rPr>
          <w:rFonts w:ascii="Arial" w:hAnsi="Arial" w:cs="Arial"/>
          <w:bCs/>
          <w:color w:val="000000" w:themeColor="text1"/>
          <w:sz w:val="20"/>
          <w:szCs w:val="20"/>
          <w:lang w:val="en-US"/>
        </w:rPr>
        <w:t xml:space="preserve"> </w:t>
      </w:r>
      <w:r w:rsidRPr="0047636E">
        <w:rPr>
          <w:rFonts w:ascii="Arial" w:hAnsi="Arial" w:cs="Arial"/>
          <w:bCs/>
          <w:color w:val="000000" w:themeColor="text1"/>
          <w:sz w:val="20"/>
          <w:szCs w:val="20"/>
        </w:rPr>
        <w:t>Taiwan</w:t>
      </w:r>
    </w:p>
    <w:p w14:paraId="2BEC89F5" w14:textId="41A555F7" w:rsidR="001B5954" w:rsidRPr="0047636E" w:rsidRDefault="001B5954" w:rsidP="000B66B9">
      <w:pPr>
        <w:jc w:val="both"/>
        <w:rPr>
          <w:rFonts w:ascii="Arial" w:hAnsi="Arial" w:cs="Arial"/>
          <w:bCs/>
          <w:color w:val="000000" w:themeColor="text1"/>
          <w:sz w:val="20"/>
          <w:szCs w:val="20"/>
          <w:lang w:val="en-US"/>
        </w:rPr>
      </w:pPr>
      <w:r w:rsidRPr="0047636E">
        <w:rPr>
          <w:rFonts w:ascii="Arial" w:hAnsi="Arial" w:cs="Arial"/>
          <w:bCs/>
          <w:color w:val="000000" w:themeColor="text1"/>
          <w:sz w:val="20"/>
          <w:szCs w:val="20"/>
          <w:vertAlign w:val="superscript"/>
          <w:lang w:val="en-US"/>
        </w:rPr>
        <w:t>6</w:t>
      </w:r>
      <w:r w:rsidRPr="0047636E">
        <w:rPr>
          <w:rFonts w:ascii="Arial" w:hAnsi="Arial" w:cs="Arial"/>
          <w:bCs/>
          <w:color w:val="000000" w:themeColor="text1"/>
          <w:sz w:val="20"/>
          <w:szCs w:val="20"/>
          <w:lang w:val="en-US"/>
        </w:rPr>
        <w:t>Interdisciplinary Neuroscience, Taiwan International Graduate Program, Academia Sinica, National Cheng Kung University, Tainan, Taiwan</w:t>
      </w:r>
    </w:p>
    <w:p w14:paraId="7538464E" w14:textId="6A9B81D1" w:rsidR="00670D14" w:rsidRPr="0047636E" w:rsidRDefault="001B5954" w:rsidP="000B66B9">
      <w:pPr>
        <w:jc w:val="both"/>
        <w:rPr>
          <w:rFonts w:ascii="Arial" w:hAnsi="Arial" w:cs="Arial"/>
          <w:bCs/>
          <w:color w:val="000000" w:themeColor="text1"/>
          <w:sz w:val="20"/>
          <w:szCs w:val="20"/>
        </w:rPr>
      </w:pPr>
      <w:r w:rsidRPr="0047636E">
        <w:rPr>
          <w:rFonts w:ascii="Arial" w:hAnsi="Arial" w:cs="Arial"/>
          <w:bCs/>
          <w:color w:val="000000" w:themeColor="text1"/>
          <w:sz w:val="20"/>
          <w:szCs w:val="20"/>
          <w:vertAlign w:val="superscript"/>
        </w:rPr>
        <w:t>7</w:t>
      </w:r>
      <w:r w:rsidR="00670D14" w:rsidRPr="0047636E">
        <w:rPr>
          <w:rFonts w:ascii="Arial" w:hAnsi="Arial" w:cs="Arial"/>
          <w:bCs/>
          <w:color w:val="000000" w:themeColor="text1"/>
          <w:sz w:val="20"/>
          <w:szCs w:val="20"/>
        </w:rPr>
        <w:t>Department of Life Sciences, College of Bioscience and Biotechnology, National Cheng Kung University, Tainan</w:t>
      </w:r>
      <w:r w:rsidR="00670D14" w:rsidRPr="0047636E">
        <w:rPr>
          <w:rFonts w:ascii="Arial" w:hAnsi="Arial" w:cs="Arial"/>
          <w:bCs/>
          <w:color w:val="000000" w:themeColor="text1"/>
          <w:sz w:val="20"/>
          <w:szCs w:val="20"/>
          <w:lang w:val="en-US"/>
        </w:rPr>
        <w:t xml:space="preserve">, </w:t>
      </w:r>
      <w:r w:rsidR="00670D14" w:rsidRPr="0047636E">
        <w:rPr>
          <w:rFonts w:ascii="Arial" w:hAnsi="Arial" w:cs="Arial"/>
          <w:bCs/>
          <w:color w:val="000000" w:themeColor="text1"/>
          <w:sz w:val="20"/>
          <w:szCs w:val="20"/>
        </w:rPr>
        <w:t>Taiwan</w:t>
      </w:r>
    </w:p>
    <w:p w14:paraId="0AEE0DFC" w14:textId="4F8A5836" w:rsidR="00670D14" w:rsidRPr="0047636E" w:rsidRDefault="001B5954" w:rsidP="000B66B9">
      <w:pPr>
        <w:jc w:val="both"/>
        <w:rPr>
          <w:rFonts w:ascii="Arial" w:hAnsi="Arial" w:cs="Arial"/>
          <w:bCs/>
          <w:color w:val="000000" w:themeColor="text1"/>
          <w:sz w:val="20"/>
          <w:szCs w:val="20"/>
        </w:rPr>
      </w:pPr>
      <w:r w:rsidRPr="0047636E">
        <w:rPr>
          <w:rFonts w:ascii="Arial" w:hAnsi="Arial" w:cs="Arial"/>
          <w:bCs/>
          <w:color w:val="000000" w:themeColor="text1"/>
          <w:sz w:val="20"/>
          <w:szCs w:val="20"/>
          <w:vertAlign w:val="superscript"/>
        </w:rPr>
        <w:t>8</w:t>
      </w:r>
      <w:r w:rsidR="00670D14" w:rsidRPr="0047636E">
        <w:rPr>
          <w:rFonts w:ascii="Arial" w:hAnsi="Arial" w:cs="Arial"/>
          <w:bCs/>
          <w:color w:val="000000" w:themeColor="text1"/>
          <w:sz w:val="20"/>
          <w:szCs w:val="20"/>
        </w:rPr>
        <w:t>Department of Psychiatry, College of Medicine, National Cheng Kung University, Tainan,</w:t>
      </w:r>
      <w:r w:rsidR="00670D14" w:rsidRPr="0047636E">
        <w:rPr>
          <w:rFonts w:ascii="Arial" w:hAnsi="Arial" w:cs="Arial"/>
          <w:bCs/>
          <w:color w:val="000000" w:themeColor="text1"/>
          <w:sz w:val="20"/>
          <w:szCs w:val="20"/>
          <w:lang w:val="en-US"/>
        </w:rPr>
        <w:t xml:space="preserve"> </w:t>
      </w:r>
      <w:r w:rsidR="00670D14" w:rsidRPr="0047636E">
        <w:rPr>
          <w:rFonts w:ascii="Arial" w:hAnsi="Arial" w:cs="Arial"/>
          <w:bCs/>
          <w:color w:val="000000" w:themeColor="text1"/>
          <w:sz w:val="20"/>
          <w:szCs w:val="20"/>
        </w:rPr>
        <w:t>Taiwan</w:t>
      </w:r>
    </w:p>
    <w:p w14:paraId="699B2289" w14:textId="4DB4EC8D" w:rsidR="00670D14" w:rsidRPr="0047636E" w:rsidRDefault="001B5954" w:rsidP="00850219">
      <w:pPr>
        <w:jc w:val="both"/>
        <w:rPr>
          <w:rFonts w:ascii="Arial" w:hAnsi="Arial" w:cs="Arial"/>
          <w:bCs/>
          <w:color w:val="000000" w:themeColor="text1"/>
          <w:sz w:val="20"/>
          <w:szCs w:val="20"/>
        </w:rPr>
      </w:pPr>
      <w:r w:rsidRPr="0047636E">
        <w:rPr>
          <w:rFonts w:ascii="Arial" w:hAnsi="Arial" w:cs="Arial"/>
          <w:bCs/>
          <w:color w:val="000000" w:themeColor="text1"/>
          <w:sz w:val="20"/>
          <w:szCs w:val="20"/>
          <w:vertAlign w:val="superscript"/>
        </w:rPr>
        <w:t>9</w:t>
      </w:r>
      <w:r w:rsidR="00670D14" w:rsidRPr="0047636E">
        <w:rPr>
          <w:rFonts w:ascii="Arial" w:hAnsi="Arial" w:cs="Arial"/>
          <w:bCs/>
          <w:color w:val="000000" w:themeColor="text1"/>
          <w:sz w:val="20"/>
          <w:szCs w:val="20"/>
        </w:rPr>
        <w:t>Addiction Research Center, National Cheng Kung University Hospital, National Cheng Kung University, Tainan, Taiwan</w:t>
      </w:r>
    </w:p>
    <w:p w14:paraId="7F88BF20" w14:textId="77777777" w:rsidR="00670D14" w:rsidRPr="0047636E" w:rsidRDefault="00670D14" w:rsidP="000B66B9">
      <w:pPr>
        <w:spacing w:line="276" w:lineRule="auto"/>
        <w:jc w:val="center"/>
        <w:rPr>
          <w:rFonts w:ascii="Arial" w:hAnsi="Arial" w:cs="Arial"/>
          <w:bCs/>
          <w:i/>
          <w:iCs/>
          <w:color w:val="000000" w:themeColor="text1"/>
          <w:sz w:val="20"/>
          <w:szCs w:val="20"/>
          <w:u w:val="single"/>
          <w:lang w:val="en-US"/>
        </w:rPr>
      </w:pPr>
      <w:r w:rsidRPr="0047636E">
        <w:rPr>
          <w:rFonts w:ascii="Arial" w:hAnsi="Arial" w:cs="Arial"/>
          <w:b/>
          <w:i/>
          <w:iCs/>
          <w:color w:val="000000" w:themeColor="text1"/>
          <w:sz w:val="20"/>
          <w:szCs w:val="20"/>
          <w:u w:val="single"/>
          <w:lang w:val="en-US"/>
        </w:rPr>
        <w:t>*Correspondence</w:t>
      </w:r>
    </w:p>
    <w:p w14:paraId="3C193B44" w14:textId="77777777" w:rsidR="00670D14" w:rsidRPr="0047636E" w:rsidRDefault="00670D14" w:rsidP="000B66B9">
      <w:pPr>
        <w:spacing w:line="276" w:lineRule="auto"/>
        <w:jc w:val="center"/>
        <w:rPr>
          <w:rFonts w:ascii="Arial" w:hAnsi="Arial" w:cs="Arial"/>
          <w:bCs/>
          <w:color w:val="000000" w:themeColor="text1"/>
          <w:sz w:val="20"/>
          <w:szCs w:val="20"/>
          <w:lang w:val="en-US"/>
        </w:rPr>
      </w:pPr>
      <w:r w:rsidRPr="0047636E">
        <w:rPr>
          <w:rFonts w:ascii="Arial" w:hAnsi="Arial" w:cs="Arial"/>
          <w:bCs/>
          <w:color w:val="000000" w:themeColor="text1"/>
          <w:sz w:val="20"/>
          <w:szCs w:val="20"/>
          <w:lang w:val="en-US"/>
        </w:rPr>
        <w:t xml:space="preserve">Yu-Min Kuo, Ph.D. </w:t>
      </w:r>
    </w:p>
    <w:p w14:paraId="2F03774C" w14:textId="77777777" w:rsidR="00670D14" w:rsidRPr="0047636E" w:rsidRDefault="00670D14" w:rsidP="000B66B9">
      <w:pPr>
        <w:spacing w:line="276" w:lineRule="auto"/>
        <w:jc w:val="center"/>
        <w:rPr>
          <w:rFonts w:ascii="Arial" w:hAnsi="Arial" w:cs="Arial"/>
          <w:bCs/>
          <w:color w:val="000000" w:themeColor="text1"/>
          <w:sz w:val="20"/>
          <w:szCs w:val="20"/>
        </w:rPr>
      </w:pPr>
      <w:r w:rsidRPr="0047636E">
        <w:rPr>
          <w:rFonts w:ascii="Arial" w:hAnsi="Arial" w:cs="Arial"/>
          <w:bCs/>
          <w:color w:val="000000" w:themeColor="text1"/>
          <w:sz w:val="20"/>
          <w:szCs w:val="20"/>
        </w:rPr>
        <w:t>Department of Cell Biology and Anatomy</w:t>
      </w:r>
    </w:p>
    <w:p w14:paraId="33045F0C" w14:textId="77777777" w:rsidR="00670D14" w:rsidRPr="0047636E" w:rsidRDefault="00670D14" w:rsidP="000B66B9">
      <w:pPr>
        <w:spacing w:line="276" w:lineRule="auto"/>
        <w:jc w:val="center"/>
        <w:rPr>
          <w:rFonts w:ascii="Arial" w:hAnsi="Arial" w:cs="Arial"/>
          <w:bCs/>
          <w:color w:val="000000" w:themeColor="text1"/>
          <w:sz w:val="20"/>
          <w:szCs w:val="20"/>
        </w:rPr>
      </w:pPr>
      <w:r w:rsidRPr="0047636E">
        <w:rPr>
          <w:rFonts w:ascii="Arial" w:hAnsi="Arial" w:cs="Arial"/>
          <w:bCs/>
          <w:color w:val="000000" w:themeColor="text1"/>
          <w:sz w:val="20"/>
          <w:szCs w:val="20"/>
        </w:rPr>
        <w:t>National Cheng Kung University Medical College</w:t>
      </w:r>
    </w:p>
    <w:p w14:paraId="49BF314A" w14:textId="77777777" w:rsidR="00670D14" w:rsidRPr="0047636E" w:rsidRDefault="00670D14" w:rsidP="000B66B9">
      <w:pPr>
        <w:spacing w:line="276" w:lineRule="auto"/>
        <w:jc w:val="center"/>
        <w:rPr>
          <w:rFonts w:ascii="Arial" w:hAnsi="Arial" w:cs="Arial"/>
          <w:bCs/>
          <w:color w:val="000000" w:themeColor="text1"/>
          <w:sz w:val="20"/>
          <w:szCs w:val="20"/>
        </w:rPr>
      </w:pPr>
      <w:r w:rsidRPr="0047636E">
        <w:rPr>
          <w:rFonts w:ascii="Arial" w:hAnsi="Arial" w:cs="Arial"/>
          <w:bCs/>
          <w:color w:val="000000" w:themeColor="text1"/>
          <w:sz w:val="20"/>
          <w:szCs w:val="20"/>
        </w:rPr>
        <w:t>1 Ta Hsueh Road, Tainan, 70101</w:t>
      </w:r>
    </w:p>
    <w:p w14:paraId="46D2CD3B" w14:textId="77777777" w:rsidR="00670D14" w:rsidRPr="0047636E" w:rsidRDefault="00670D14" w:rsidP="000B66B9">
      <w:pPr>
        <w:spacing w:line="276" w:lineRule="auto"/>
        <w:jc w:val="center"/>
        <w:rPr>
          <w:rFonts w:ascii="Arial" w:hAnsi="Arial" w:cs="Arial"/>
          <w:bCs/>
          <w:color w:val="000000" w:themeColor="text1"/>
          <w:sz w:val="20"/>
          <w:szCs w:val="20"/>
        </w:rPr>
      </w:pPr>
      <w:r w:rsidRPr="0047636E">
        <w:rPr>
          <w:rFonts w:ascii="Arial" w:hAnsi="Arial" w:cs="Arial"/>
          <w:bCs/>
          <w:color w:val="000000" w:themeColor="text1"/>
          <w:sz w:val="20"/>
          <w:szCs w:val="20"/>
        </w:rPr>
        <w:t>Taiwan</w:t>
      </w:r>
    </w:p>
    <w:p w14:paraId="2018391C" w14:textId="77777777" w:rsidR="00670D14" w:rsidRPr="0047636E" w:rsidRDefault="00670D14" w:rsidP="000B66B9">
      <w:pPr>
        <w:spacing w:line="276" w:lineRule="auto"/>
        <w:jc w:val="center"/>
        <w:rPr>
          <w:rFonts w:ascii="Arial" w:hAnsi="Arial" w:cs="Arial"/>
          <w:bCs/>
          <w:color w:val="000000" w:themeColor="text1"/>
          <w:sz w:val="20"/>
          <w:szCs w:val="20"/>
        </w:rPr>
      </w:pPr>
      <w:r w:rsidRPr="0047636E">
        <w:rPr>
          <w:rFonts w:ascii="Arial" w:hAnsi="Arial" w:cs="Arial"/>
          <w:bCs/>
          <w:color w:val="000000" w:themeColor="text1"/>
          <w:sz w:val="20"/>
          <w:szCs w:val="20"/>
        </w:rPr>
        <w:t>E-mail address: kuoym@mail.ncku.edu.tw</w:t>
      </w:r>
    </w:p>
    <w:p w14:paraId="5C53B77E" w14:textId="77777777" w:rsidR="00670D14" w:rsidRPr="0047636E" w:rsidRDefault="00670D14" w:rsidP="00EC6BF9">
      <w:pPr>
        <w:spacing w:line="276" w:lineRule="auto"/>
        <w:jc w:val="center"/>
        <w:rPr>
          <w:rFonts w:ascii="Arial" w:hAnsi="Arial" w:cs="Arial"/>
          <w:bCs/>
          <w:color w:val="000000" w:themeColor="text1"/>
          <w:sz w:val="20"/>
          <w:szCs w:val="20"/>
        </w:rPr>
      </w:pPr>
      <w:r w:rsidRPr="0047636E">
        <w:rPr>
          <w:rFonts w:ascii="Arial" w:hAnsi="Arial" w:cs="Arial"/>
          <w:bCs/>
          <w:color w:val="000000" w:themeColor="text1"/>
          <w:sz w:val="20"/>
          <w:szCs w:val="20"/>
        </w:rPr>
        <w:t xml:space="preserve"> Tel.: +886-6-2353535 ext. 5294; fax: +886-6-2093007. </w:t>
      </w:r>
    </w:p>
    <w:tbl>
      <w:tblPr>
        <w:tblStyle w:val="af3"/>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9730"/>
      </w:tblGrid>
      <w:tr w:rsidR="0047636E" w:rsidRPr="0047636E" w14:paraId="0518266C" w14:textId="77777777" w:rsidTr="000B66B9">
        <w:tc>
          <w:tcPr>
            <w:tcW w:w="9730" w:type="dxa"/>
          </w:tcPr>
          <w:p w14:paraId="12B35230" w14:textId="77777777" w:rsidR="00670D14" w:rsidRPr="0047636E" w:rsidRDefault="00670D14" w:rsidP="00850219">
            <w:pPr>
              <w:spacing w:line="276" w:lineRule="auto"/>
              <w:ind w:rightChars="35" w:right="84"/>
              <w:jc w:val="center"/>
              <w:rPr>
                <w:rFonts w:ascii="Arial" w:hAnsi="Arial" w:cs="Arial"/>
                <w:b/>
                <w:bCs/>
                <w:color w:val="000000" w:themeColor="text1"/>
                <w:sz w:val="20"/>
                <w:szCs w:val="20"/>
                <w:lang w:val="en-US" w:eastAsia="zh-TW"/>
              </w:rPr>
            </w:pPr>
            <w:r w:rsidRPr="0047636E">
              <w:rPr>
                <w:rFonts w:ascii="Arial" w:hAnsi="Arial" w:cs="Arial"/>
                <w:b/>
                <w:bCs/>
                <w:color w:val="000000" w:themeColor="text1"/>
                <w:sz w:val="20"/>
                <w:szCs w:val="20"/>
                <w:lang w:val="en-US"/>
              </w:rPr>
              <w:t>Cont</w:t>
            </w:r>
            <w:r w:rsidRPr="0047636E">
              <w:rPr>
                <w:rFonts w:ascii="Arial" w:hAnsi="Arial" w:cs="Arial"/>
                <w:b/>
                <w:bCs/>
                <w:color w:val="000000" w:themeColor="text1"/>
                <w:sz w:val="20"/>
                <w:szCs w:val="20"/>
                <w:lang w:val="en-US" w:eastAsia="zh-TW"/>
              </w:rPr>
              <w:t>ents of Supplementary 1</w:t>
            </w:r>
          </w:p>
          <w:p w14:paraId="0464C71E" w14:textId="77777777" w:rsidR="00670D14" w:rsidRPr="0047636E" w:rsidRDefault="00670D14" w:rsidP="00850219">
            <w:pPr>
              <w:pStyle w:val="af2"/>
              <w:numPr>
                <w:ilvl w:val="0"/>
                <w:numId w:val="5"/>
              </w:numPr>
              <w:spacing w:line="276" w:lineRule="auto"/>
              <w:ind w:leftChars="1374" w:left="3580" w:rightChars="35" w:right="84" w:hangingChars="141" w:hanging="282"/>
              <w:rPr>
                <w:rFonts w:ascii="Arial" w:hAnsi="Arial" w:cs="Arial"/>
                <w:color w:val="000000" w:themeColor="text1"/>
                <w:sz w:val="20"/>
                <w:szCs w:val="20"/>
                <w:lang w:eastAsia="zh-TW"/>
              </w:rPr>
            </w:pPr>
            <w:r w:rsidRPr="0047636E">
              <w:rPr>
                <w:rFonts w:ascii="Arial" w:hAnsi="Arial" w:cs="Arial"/>
                <w:color w:val="000000" w:themeColor="text1"/>
                <w:sz w:val="20"/>
                <w:szCs w:val="20"/>
                <w:lang w:eastAsia="zh-TW"/>
              </w:rPr>
              <w:t>Supplemental Methods</w:t>
            </w:r>
          </w:p>
          <w:p w14:paraId="29378EE9" w14:textId="77777777" w:rsidR="00670D14" w:rsidRPr="0047636E" w:rsidRDefault="00670D14" w:rsidP="00850219">
            <w:pPr>
              <w:pStyle w:val="af2"/>
              <w:numPr>
                <w:ilvl w:val="0"/>
                <w:numId w:val="5"/>
              </w:numPr>
              <w:spacing w:line="276" w:lineRule="auto"/>
              <w:ind w:leftChars="1374" w:left="3580" w:rightChars="35" w:right="84" w:hangingChars="141" w:hanging="282"/>
              <w:rPr>
                <w:rFonts w:ascii="Arial" w:hAnsi="Arial" w:cs="Arial"/>
                <w:color w:val="000000" w:themeColor="text1"/>
                <w:sz w:val="20"/>
                <w:szCs w:val="20"/>
                <w:lang w:eastAsia="zh-TW"/>
              </w:rPr>
            </w:pPr>
            <w:r w:rsidRPr="0047636E">
              <w:rPr>
                <w:rFonts w:ascii="Arial" w:hAnsi="Arial" w:cs="Arial"/>
                <w:color w:val="000000" w:themeColor="text1"/>
                <w:sz w:val="20"/>
                <w:szCs w:val="20"/>
                <w:lang w:eastAsia="zh-TW"/>
              </w:rPr>
              <w:t>Legends for Supplementary Figures</w:t>
            </w:r>
          </w:p>
          <w:p w14:paraId="53723F49" w14:textId="77777777" w:rsidR="00670D14" w:rsidRPr="0047636E" w:rsidRDefault="00670D14" w:rsidP="00850219">
            <w:pPr>
              <w:pStyle w:val="af2"/>
              <w:numPr>
                <w:ilvl w:val="0"/>
                <w:numId w:val="5"/>
              </w:numPr>
              <w:spacing w:line="276" w:lineRule="auto"/>
              <w:ind w:leftChars="1374" w:left="3580" w:rightChars="35" w:right="84" w:hangingChars="141" w:hanging="282"/>
              <w:rPr>
                <w:rFonts w:ascii="Arial" w:hAnsi="Arial" w:cs="Arial"/>
                <w:color w:val="000000" w:themeColor="text1"/>
                <w:sz w:val="20"/>
                <w:szCs w:val="20"/>
                <w:lang w:eastAsia="zh-TW"/>
              </w:rPr>
            </w:pPr>
            <w:r w:rsidRPr="0047636E">
              <w:rPr>
                <w:rFonts w:ascii="Arial" w:hAnsi="Arial" w:cs="Arial"/>
                <w:color w:val="000000" w:themeColor="text1"/>
                <w:sz w:val="20"/>
                <w:szCs w:val="20"/>
                <w:lang w:eastAsia="zh-TW"/>
              </w:rPr>
              <w:t>Supplementary Table S3</w:t>
            </w:r>
          </w:p>
          <w:p w14:paraId="5816FDEC" w14:textId="7A7717ED" w:rsidR="00670D14" w:rsidRPr="0047636E" w:rsidRDefault="00670D14" w:rsidP="00850219">
            <w:pPr>
              <w:pStyle w:val="af2"/>
              <w:numPr>
                <w:ilvl w:val="0"/>
                <w:numId w:val="5"/>
              </w:numPr>
              <w:spacing w:line="276" w:lineRule="auto"/>
              <w:ind w:leftChars="1374" w:left="3580" w:rightChars="35" w:right="84" w:hangingChars="141" w:hanging="282"/>
              <w:rPr>
                <w:rFonts w:ascii="Arial" w:hAnsi="Arial" w:cs="Arial"/>
                <w:color w:val="000000" w:themeColor="text1"/>
                <w:sz w:val="20"/>
                <w:szCs w:val="20"/>
                <w:lang w:eastAsia="zh-TW"/>
              </w:rPr>
            </w:pPr>
            <w:r w:rsidRPr="0047636E">
              <w:rPr>
                <w:rFonts w:ascii="Arial" w:hAnsi="Arial" w:cs="Arial"/>
                <w:color w:val="000000" w:themeColor="text1"/>
                <w:sz w:val="20"/>
                <w:szCs w:val="20"/>
                <w:lang w:eastAsia="zh-TW"/>
              </w:rPr>
              <w:t>Data and Resource Availability</w:t>
            </w:r>
          </w:p>
        </w:tc>
      </w:tr>
    </w:tbl>
    <w:p w14:paraId="0A86AEFE" w14:textId="77777777" w:rsidR="00670D14" w:rsidRPr="0047636E" w:rsidRDefault="00670D14" w:rsidP="00850219">
      <w:pPr>
        <w:rPr>
          <w:rFonts w:ascii="Arial" w:hAnsi="Arial" w:cs="Arial"/>
          <w:bCs/>
          <w:color w:val="000000" w:themeColor="text1"/>
          <w:sz w:val="20"/>
          <w:szCs w:val="20"/>
        </w:rPr>
      </w:pPr>
      <w:r w:rsidRPr="0047636E">
        <w:rPr>
          <w:rFonts w:ascii="Arial" w:hAnsi="Arial" w:cs="Arial"/>
          <w:bCs/>
          <w:color w:val="000000" w:themeColor="text1"/>
          <w:sz w:val="20"/>
          <w:szCs w:val="20"/>
        </w:rPr>
        <w:br w:type="page"/>
      </w:r>
      <w:r w:rsidRPr="0047636E">
        <w:rPr>
          <w:rFonts w:ascii="Arial" w:hAnsi="Arial" w:cs="Arial"/>
          <w:b/>
          <w:bCs/>
          <w:color w:val="000000" w:themeColor="text1"/>
          <w:sz w:val="20"/>
          <w:szCs w:val="20"/>
          <w:lang w:val="en-US"/>
        </w:rPr>
        <w:lastRenderedPageBreak/>
        <w:t>1. Supplemental Methods</w:t>
      </w:r>
    </w:p>
    <w:p w14:paraId="6BF3EAC3" w14:textId="77777777" w:rsidR="00670D14" w:rsidRPr="0047636E" w:rsidRDefault="00670D14" w:rsidP="00850219">
      <w:pPr>
        <w:spacing w:line="360" w:lineRule="auto"/>
        <w:jc w:val="both"/>
        <w:rPr>
          <w:rFonts w:ascii="Arial" w:hAnsi="Arial" w:cs="Arial"/>
          <w:b/>
          <w:bCs/>
          <w:color w:val="000000" w:themeColor="text1"/>
          <w:sz w:val="20"/>
          <w:szCs w:val="20"/>
          <w:lang w:val="en-US"/>
        </w:rPr>
      </w:pPr>
      <w:r w:rsidRPr="0047636E">
        <w:rPr>
          <w:rFonts w:ascii="Arial" w:hAnsi="Arial" w:cs="Arial"/>
          <w:b/>
          <w:bCs/>
          <w:color w:val="000000" w:themeColor="text1"/>
          <w:sz w:val="20"/>
          <w:szCs w:val="20"/>
          <w:lang w:val="en-US"/>
        </w:rPr>
        <w:t>EXPERIMENTAL MODEL AND SUBJECT DETAILS</w:t>
      </w:r>
    </w:p>
    <w:p w14:paraId="0782264A" w14:textId="77777777" w:rsidR="00670D14" w:rsidRPr="0047636E" w:rsidRDefault="00670D14" w:rsidP="00850219">
      <w:pPr>
        <w:spacing w:line="360" w:lineRule="auto"/>
        <w:jc w:val="both"/>
        <w:rPr>
          <w:rFonts w:ascii="Arial" w:hAnsi="Arial" w:cs="Arial"/>
          <w:b/>
          <w:bCs/>
          <w:color w:val="000000" w:themeColor="text1"/>
          <w:sz w:val="20"/>
          <w:szCs w:val="20"/>
          <w:lang w:val="en-US"/>
        </w:rPr>
      </w:pPr>
      <w:r w:rsidRPr="0047636E">
        <w:rPr>
          <w:rFonts w:ascii="Arial" w:hAnsi="Arial" w:cs="Arial"/>
          <w:b/>
          <w:bCs/>
          <w:color w:val="000000" w:themeColor="text1"/>
          <w:sz w:val="20"/>
          <w:szCs w:val="20"/>
          <w:lang w:val="en-US"/>
        </w:rPr>
        <w:t>Animals</w:t>
      </w:r>
    </w:p>
    <w:p w14:paraId="21049137" w14:textId="77777777" w:rsidR="00F32230" w:rsidRPr="0047636E" w:rsidRDefault="00670D14" w:rsidP="00850219">
      <w:pPr>
        <w:spacing w:line="360" w:lineRule="auto"/>
        <w:jc w:val="both"/>
        <w:rPr>
          <w:rStyle w:val="CharAttribute10"/>
          <w:rFonts w:ascii="Arial" w:hAnsi="Arial" w:cs="Arial"/>
          <w:color w:val="000000" w:themeColor="text1"/>
          <w:sz w:val="20"/>
          <w:szCs w:val="20"/>
          <w:lang w:val="en-US"/>
        </w:rPr>
      </w:pPr>
      <w:r w:rsidRPr="0047636E">
        <w:rPr>
          <w:rFonts w:ascii="Arial" w:hAnsi="Arial" w:cs="Arial"/>
          <w:color w:val="000000" w:themeColor="text1"/>
          <w:sz w:val="20"/>
          <w:szCs w:val="20"/>
          <w:lang w:val="en-US"/>
        </w:rPr>
        <w:t xml:space="preserve">All animal experiments were approved by the National Cheng Kung University Institutional Animal Care and Use Committee (IACUC approval number: 104243, 106057, and 109139) and were in accordance with the </w:t>
      </w:r>
      <w:r w:rsidRPr="0047636E">
        <w:rPr>
          <w:rStyle w:val="CharAttribute10"/>
          <w:rFonts w:ascii="Arial" w:hAnsi="Arial" w:cs="Arial"/>
          <w:color w:val="000000" w:themeColor="text1"/>
          <w:sz w:val="20"/>
          <w:szCs w:val="20"/>
          <w:lang w:val="en-US"/>
        </w:rPr>
        <w:t>National Institutes of Health Guide for the Care and Use of Laboratory Animals. Animals were obtained from and maintained in National Cheng Kung University Laboratory Animal Center (NCKULAC, Tainan, Taiwan) accredited by AAALAC. Mice were housed in ventilated cages (4-5 mice per cage) in a humidity- (55 ± 10%) and temperature-controlled (24 ± 1°C) specific-pathogen-free breeding unit of NCKULAC on a 12-h light/12-h dark cycle (light on at 7 AM). They had free access to water and diet unless food was withdrawn for fasting. The housing environment and animal health were monitored by qualified staff and veterinaries.</w:t>
      </w:r>
      <w:r w:rsidR="00F32230" w:rsidRPr="0047636E">
        <w:rPr>
          <w:rStyle w:val="CharAttribute10"/>
          <w:rFonts w:ascii="Arial" w:hAnsi="Arial" w:cs="Arial"/>
          <w:color w:val="000000" w:themeColor="text1"/>
          <w:sz w:val="20"/>
          <w:szCs w:val="20"/>
          <w:lang w:val="en-US"/>
        </w:rPr>
        <w:t xml:space="preserve"> </w:t>
      </w:r>
    </w:p>
    <w:p w14:paraId="07E36C3D" w14:textId="446EF609" w:rsidR="00F32230" w:rsidRPr="0047636E" w:rsidRDefault="00F32230" w:rsidP="00F32230">
      <w:pPr>
        <w:spacing w:line="360" w:lineRule="auto"/>
        <w:ind w:firstLine="480"/>
        <w:jc w:val="both"/>
        <w:rPr>
          <w:rFonts w:ascii="Arial" w:eastAsia="新細明體" w:hAnsi="Arial" w:cs="Arial"/>
          <w:color w:val="000000" w:themeColor="text1"/>
          <w:sz w:val="20"/>
          <w:szCs w:val="20"/>
          <w:lang w:val="en-US"/>
        </w:rPr>
      </w:pPr>
      <w:r w:rsidRPr="0047636E">
        <w:rPr>
          <w:rStyle w:val="CharAttribute10"/>
          <w:rFonts w:ascii="Arial" w:hAnsi="Arial" w:cs="Arial"/>
          <w:color w:val="000000" w:themeColor="text1"/>
          <w:sz w:val="20"/>
          <w:szCs w:val="20"/>
          <w:lang w:val="en-US"/>
        </w:rPr>
        <w:t>The computer-based randomization [random number generator in Microsoft Excel software (</w:t>
      </w:r>
      <w:r w:rsidRPr="0047636E">
        <w:rPr>
          <w:rFonts w:ascii="Arial" w:hAnsi="Arial" w:cs="Arial"/>
          <w:color w:val="000000" w:themeColor="text1"/>
          <w:sz w:val="20"/>
          <w:szCs w:val="20"/>
        </w:rPr>
        <w:t xml:space="preserve">Microsoft Corporation, </w:t>
      </w:r>
      <w:r w:rsidRPr="0047636E">
        <w:rPr>
          <w:rStyle w:val="CharAttribute10"/>
          <w:rFonts w:ascii="Arial" w:hAnsi="Arial" w:cs="Arial"/>
          <w:color w:val="000000" w:themeColor="text1"/>
          <w:sz w:val="20"/>
          <w:szCs w:val="20"/>
          <w:lang w:val="en-US"/>
        </w:rPr>
        <w:t xml:space="preserve">Redmond, WA, USA)] was used to assign animal groups. </w:t>
      </w:r>
      <w:r w:rsidRPr="0047636E">
        <w:rPr>
          <w:rStyle w:val="CharAttribute10"/>
          <w:rFonts w:ascii="Arial" w:hAnsi="Arial" w:cs="Arial"/>
          <w:color w:val="000000" w:themeColor="text1"/>
          <w:sz w:val="20"/>
          <w:szCs w:val="20"/>
        </w:rPr>
        <w:t>The animal groups were blinded to the investigator</w:t>
      </w:r>
      <w:r w:rsidR="0052316A" w:rsidRPr="0047636E">
        <w:rPr>
          <w:rStyle w:val="CharAttribute10"/>
          <w:rFonts w:ascii="Arial" w:hAnsi="Arial" w:cs="Arial"/>
          <w:color w:val="000000" w:themeColor="text1"/>
          <w:sz w:val="20"/>
          <w:szCs w:val="20"/>
        </w:rPr>
        <w:t>s</w:t>
      </w:r>
      <w:r w:rsidRPr="0047636E">
        <w:rPr>
          <w:rStyle w:val="CharAttribute10"/>
          <w:rFonts w:ascii="Arial" w:hAnsi="Arial" w:cs="Arial"/>
          <w:color w:val="000000" w:themeColor="text1"/>
          <w:sz w:val="20"/>
          <w:szCs w:val="20"/>
        </w:rPr>
        <w:t xml:space="preserve"> during the FST studies; n</w:t>
      </w:r>
      <w:r w:rsidRPr="0047636E">
        <w:rPr>
          <w:rStyle w:val="CharAttribute10"/>
          <w:rFonts w:ascii="Arial" w:hAnsi="Arial" w:cs="Arial"/>
          <w:color w:val="000000" w:themeColor="text1"/>
          <w:sz w:val="20"/>
          <w:szCs w:val="20"/>
          <w:lang w:val="en-US"/>
        </w:rPr>
        <w:t xml:space="preserve">o </w:t>
      </w:r>
      <w:r w:rsidRPr="0047636E">
        <w:rPr>
          <w:rStyle w:val="CharAttribute10"/>
          <w:rFonts w:ascii="Arial" w:hAnsi="Arial" w:cs="Arial"/>
          <w:color w:val="000000" w:themeColor="text1"/>
          <w:sz w:val="20"/>
          <w:szCs w:val="20"/>
        </w:rPr>
        <w:t>o</w:t>
      </w:r>
      <w:r w:rsidRPr="0047636E">
        <w:rPr>
          <w:rStyle w:val="CharAttribute10"/>
          <w:rFonts w:ascii="Arial" w:hAnsi="Arial" w:cs="Arial"/>
          <w:color w:val="000000" w:themeColor="text1"/>
          <w:sz w:val="20"/>
          <w:szCs w:val="20"/>
          <w:lang w:val="en-US"/>
        </w:rPr>
        <w:t>the</w:t>
      </w:r>
      <w:r w:rsidRPr="0047636E">
        <w:rPr>
          <w:rStyle w:val="CharAttribute10"/>
          <w:rFonts w:ascii="Arial" w:hAnsi="Arial" w:cs="Arial"/>
          <w:color w:val="000000" w:themeColor="text1"/>
          <w:sz w:val="20"/>
          <w:szCs w:val="20"/>
        </w:rPr>
        <w:t>r</w:t>
      </w:r>
      <w:r w:rsidRPr="0047636E">
        <w:rPr>
          <w:rStyle w:val="CharAttribute10"/>
          <w:rFonts w:ascii="Arial" w:hAnsi="Arial" w:cs="Arial"/>
          <w:color w:val="000000" w:themeColor="text1"/>
          <w:sz w:val="20"/>
          <w:szCs w:val="20"/>
          <w:lang w:val="en-US"/>
        </w:rPr>
        <w:t xml:space="preserve"> studies w</w:t>
      </w:r>
      <w:r w:rsidRPr="0047636E">
        <w:rPr>
          <w:rStyle w:val="CharAttribute10"/>
          <w:rFonts w:ascii="Arial" w:hAnsi="Arial" w:cs="Arial"/>
          <w:color w:val="000000" w:themeColor="text1"/>
          <w:sz w:val="20"/>
          <w:szCs w:val="20"/>
        </w:rPr>
        <w:t>ere</w:t>
      </w:r>
      <w:r w:rsidRPr="0047636E">
        <w:rPr>
          <w:rStyle w:val="CharAttribute10"/>
          <w:rFonts w:ascii="Arial" w:hAnsi="Arial" w:cs="Arial"/>
          <w:color w:val="000000" w:themeColor="text1"/>
          <w:sz w:val="20"/>
          <w:szCs w:val="20"/>
          <w:lang w:val="en-US"/>
        </w:rPr>
        <w:t xml:space="preserve"> blinded to the i</w:t>
      </w:r>
      <w:r w:rsidRPr="0047636E">
        <w:rPr>
          <w:rFonts w:ascii="Arial" w:eastAsia="新細明體" w:hAnsi="Arial" w:cs="Arial"/>
          <w:color w:val="000000" w:themeColor="text1"/>
          <w:sz w:val="20"/>
          <w:szCs w:val="20"/>
          <w:lang w:val="en-US"/>
        </w:rPr>
        <w:t>nvestigator</w:t>
      </w:r>
      <w:r w:rsidR="0052316A" w:rsidRPr="0047636E">
        <w:rPr>
          <w:rFonts w:ascii="Arial" w:eastAsia="新細明體" w:hAnsi="Arial" w:cs="Arial"/>
          <w:color w:val="000000" w:themeColor="text1"/>
          <w:sz w:val="20"/>
          <w:szCs w:val="20"/>
          <w:lang w:val="en-US"/>
        </w:rPr>
        <w:t>s</w:t>
      </w:r>
      <w:r w:rsidRPr="0047636E">
        <w:rPr>
          <w:rFonts w:ascii="Arial" w:eastAsia="新細明體" w:hAnsi="Arial" w:cs="Arial"/>
          <w:color w:val="000000" w:themeColor="text1"/>
          <w:sz w:val="20"/>
          <w:szCs w:val="20"/>
          <w:lang w:val="en-US"/>
        </w:rPr>
        <w:t>.</w:t>
      </w:r>
    </w:p>
    <w:p w14:paraId="52B6338A" w14:textId="77777777" w:rsidR="00670D14" w:rsidRPr="0047636E" w:rsidRDefault="00670D14" w:rsidP="00850219">
      <w:pPr>
        <w:spacing w:line="360" w:lineRule="auto"/>
        <w:jc w:val="both"/>
        <w:rPr>
          <w:rStyle w:val="CharAttribute10"/>
          <w:rFonts w:ascii="Arial" w:hAnsi="Arial" w:cs="Arial"/>
          <w:color w:val="000000" w:themeColor="text1"/>
          <w:sz w:val="20"/>
          <w:szCs w:val="20"/>
          <w:lang w:val="en-US"/>
        </w:rPr>
      </w:pPr>
    </w:p>
    <w:p w14:paraId="32E4066E" w14:textId="77777777" w:rsidR="00670D14" w:rsidRPr="0047636E" w:rsidRDefault="00670D14" w:rsidP="00850219">
      <w:pPr>
        <w:spacing w:line="360" w:lineRule="auto"/>
        <w:jc w:val="both"/>
        <w:rPr>
          <w:rStyle w:val="CharAttribute10"/>
          <w:rFonts w:ascii="Arial" w:hAnsi="Arial" w:cs="Arial"/>
          <w:b/>
          <w:bCs/>
          <w:color w:val="000000" w:themeColor="text1"/>
          <w:sz w:val="20"/>
          <w:szCs w:val="20"/>
          <w:lang w:val="en-US"/>
        </w:rPr>
      </w:pPr>
      <w:r w:rsidRPr="0047636E">
        <w:rPr>
          <w:rStyle w:val="CharAttribute10"/>
          <w:rFonts w:ascii="Arial" w:hAnsi="Arial" w:cs="Arial"/>
          <w:b/>
          <w:bCs/>
          <w:color w:val="000000" w:themeColor="text1"/>
          <w:sz w:val="20"/>
          <w:szCs w:val="20"/>
          <w:lang w:val="en-US"/>
        </w:rPr>
        <w:t>HFD-induced obesity model</w:t>
      </w:r>
    </w:p>
    <w:p w14:paraId="70D786DF" w14:textId="3A824702" w:rsidR="00670D14" w:rsidRPr="0047636E" w:rsidRDefault="00670D14" w:rsidP="00407D94">
      <w:pPr>
        <w:spacing w:line="360" w:lineRule="auto"/>
        <w:jc w:val="both"/>
        <w:rPr>
          <w:rStyle w:val="CharAttribute10"/>
          <w:rFonts w:ascii="Arial" w:hAnsi="Arial" w:cs="Arial"/>
          <w:color w:val="000000" w:themeColor="text1"/>
          <w:sz w:val="20"/>
          <w:szCs w:val="20"/>
          <w:lang w:val="en-US"/>
        </w:rPr>
      </w:pPr>
      <w:r w:rsidRPr="0047636E">
        <w:rPr>
          <w:rStyle w:val="CharAttribute10"/>
          <w:rFonts w:ascii="Arial" w:hAnsi="Arial" w:cs="Arial"/>
          <w:color w:val="000000" w:themeColor="text1"/>
          <w:sz w:val="20"/>
          <w:szCs w:val="20"/>
          <w:lang w:val="en-US"/>
        </w:rPr>
        <w:t>Male C57BL/6N mice (8-week-old) were randomly assigned to CD and HFD groups with computer-based randomization [random number generator in Microsoft Excel software (</w:t>
      </w:r>
      <w:r w:rsidRPr="0047636E">
        <w:rPr>
          <w:rFonts w:ascii="Arial" w:hAnsi="Arial" w:cs="Arial"/>
          <w:color w:val="000000" w:themeColor="text1"/>
          <w:sz w:val="20"/>
          <w:szCs w:val="20"/>
        </w:rPr>
        <w:t xml:space="preserve">Microsoft Corporation, </w:t>
      </w:r>
      <w:r w:rsidRPr="0047636E">
        <w:rPr>
          <w:rStyle w:val="CharAttribute10"/>
          <w:rFonts w:ascii="Arial" w:hAnsi="Arial" w:cs="Arial"/>
          <w:color w:val="000000" w:themeColor="text1"/>
          <w:sz w:val="20"/>
          <w:szCs w:val="20"/>
          <w:lang w:val="en-US"/>
        </w:rPr>
        <w:t>Redmond, WA, USA)]</w:t>
      </w:r>
      <w:r w:rsidR="00407D94" w:rsidRPr="0047636E">
        <w:rPr>
          <w:rStyle w:val="CharAttribute10"/>
          <w:rFonts w:ascii="Arial" w:hAnsi="Arial" w:cs="Arial"/>
          <w:color w:val="000000" w:themeColor="text1"/>
          <w:sz w:val="20"/>
          <w:szCs w:val="20"/>
          <w:lang w:val="en-US"/>
        </w:rPr>
        <w:t xml:space="preserve">. </w:t>
      </w:r>
      <w:r w:rsidR="008C149C" w:rsidRPr="0047636E">
        <w:rPr>
          <w:rStyle w:val="CharAttribute10"/>
          <w:rFonts w:ascii="Arial" w:hAnsi="Arial" w:cs="Arial"/>
          <w:color w:val="000000" w:themeColor="text1"/>
          <w:sz w:val="20"/>
          <w:szCs w:val="20"/>
          <w:lang w:val="en-US"/>
        </w:rPr>
        <w:t xml:space="preserve">This method was </w:t>
      </w:r>
      <w:r w:rsidR="008C149C" w:rsidRPr="0047636E">
        <w:rPr>
          <w:rStyle w:val="CharAttribute10"/>
          <w:rFonts w:ascii="Arial" w:hAnsi="Arial" w:cs="Arial"/>
          <w:color w:val="000000" w:themeColor="text1"/>
          <w:sz w:val="20"/>
          <w:szCs w:val="20"/>
        </w:rPr>
        <w:t>use</w:t>
      </w:r>
      <w:r w:rsidR="008C149C" w:rsidRPr="0047636E">
        <w:rPr>
          <w:rStyle w:val="CharAttribute10"/>
          <w:rFonts w:ascii="Arial" w:hAnsi="Arial" w:cs="Arial"/>
          <w:color w:val="000000" w:themeColor="text1"/>
          <w:sz w:val="20"/>
          <w:szCs w:val="20"/>
          <w:lang w:val="en-US"/>
        </w:rPr>
        <w:t xml:space="preserve">d </w:t>
      </w:r>
      <w:r w:rsidR="008C149C" w:rsidRPr="0047636E">
        <w:rPr>
          <w:rStyle w:val="CharAttribute10"/>
          <w:rFonts w:ascii="Arial" w:hAnsi="Arial" w:cs="Arial"/>
          <w:color w:val="000000" w:themeColor="text1"/>
          <w:sz w:val="20"/>
          <w:szCs w:val="20"/>
        </w:rPr>
        <w:t>for</w:t>
      </w:r>
      <w:r w:rsidR="008C149C" w:rsidRPr="0047636E">
        <w:rPr>
          <w:rStyle w:val="CharAttribute10"/>
          <w:rFonts w:ascii="Arial" w:hAnsi="Arial" w:cs="Arial"/>
          <w:color w:val="000000" w:themeColor="text1"/>
          <w:sz w:val="20"/>
          <w:szCs w:val="20"/>
          <w:lang w:val="en-US"/>
        </w:rPr>
        <w:t xml:space="preserve"> animal </w:t>
      </w:r>
      <w:r w:rsidR="008C149C" w:rsidRPr="0047636E">
        <w:rPr>
          <w:rStyle w:val="CharAttribute10"/>
          <w:rFonts w:ascii="Arial" w:hAnsi="Arial" w:cs="Arial"/>
          <w:color w:val="000000" w:themeColor="text1"/>
          <w:sz w:val="20"/>
          <w:szCs w:val="20"/>
        </w:rPr>
        <w:t xml:space="preserve">grouping </w:t>
      </w:r>
      <w:r w:rsidR="00737038" w:rsidRPr="0047636E">
        <w:rPr>
          <w:rStyle w:val="CharAttribute10"/>
          <w:rFonts w:ascii="Arial" w:hAnsi="Arial" w:cs="Arial"/>
          <w:color w:val="000000" w:themeColor="text1"/>
          <w:sz w:val="20"/>
          <w:szCs w:val="20"/>
          <w:lang w:val="en-US"/>
        </w:rPr>
        <w:t xml:space="preserve">throughout </w:t>
      </w:r>
      <w:r w:rsidR="00407D94" w:rsidRPr="0047636E">
        <w:rPr>
          <w:rStyle w:val="CharAttribute10"/>
          <w:rFonts w:ascii="Arial" w:hAnsi="Arial" w:cs="Arial"/>
          <w:color w:val="000000" w:themeColor="text1"/>
          <w:sz w:val="20"/>
          <w:szCs w:val="20"/>
          <w:lang w:val="en-US"/>
        </w:rPr>
        <w:t xml:space="preserve">the </w:t>
      </w:r>
      <w:r w:rsidR="00737038" w:rsidRPr="0047636E">
        <w:rPr>
          <w:rStyle w:val="CharAttribute10"/>
          <w:rFonts w:ascii="Arial" w:hAnsi="Arial" w:cs="Arial"/>
          <w:color w:val="000000" w:themeColor="text1"/>
          <w:sz w:val="20"/>
          <w:szCs w:val="20"/>
          <w:lang w:val="en-US"/>
        </w:rPr>
        <w:t>entire study</w:t>
      </w:r>
      <w:r w:rsidRPr="0047636E">
        <w:rPr>
          <w:rStyle w:val="CharAttribute10"/>
          <w:rFonts w:ascii="Arial" w:hAnsi="Arial" w:cs="Arial"/>
          <w:color w:val="000000" w:themeColor="text1"/>
          <w:sz w:val="20"/>
          <w:szCs w:val="20"/>
          <w:lang w:val="en-US"/>
        </w:rPr>
        <w:t>. The CD group mice were fed with an autoclaved regular rodent diet (Cat# 5010, LabDiet, St. Louis, MO, USA), while the HFD group mice were fed with commercial HFD (60% energy from fat, Cat# 58Y1, TestDiet, St. Louis, MO, USA) for 12 weeks (from 8- to 20-week-old). Their food intakes were recorded daily while body weights were recorded weekly.</w:t>
      </w:r>
    </w:p>
    <w:p w14:paraId="175DFBD8" w14:textId="77777777" w:rsidR="00670D14" w:rsidRPr="0047636E" w:rsidRDefault="00670D14" w:rsidP="00850219">
      <w:pPr>
        <w:spacing w:line="360" w:lineRule="auto"/>
        <w:jc w:val="both"/>
        <w:rPr>
          <w:rStyle w:val="CharAttribute10"/>
          <w:rFonts w:ascii="Arial" w:hAnsi="Arial" w:cs="Arial"/>
          <w:color w:val="000000" w:themeColor="text1"/>
          <w:sz w:val="20"/>
          <w:szCs w:val="20"/>
          <w:lang w:val="en-US"/>
        </w:rPr>
      </w:pPr>
    </w:p>
    <w:p w14:paraId="0B93576D" w14:textId="77777777" w:rsidR="00670D14" w:rsidRPr="0047636E" w:rsidRDefault="00670D14" w:rsidP="000D584F">
      <w:pPr>
        <w:spacing w:line="360" w:lineRule="auto"/>
        <w:jc w:val="both"/>
        <w:rPr>
          <w:rFonts w:ascii="Arial" w:eastAsia="新細明體" w:hAnsi="Arial" w:cs="Arial"/>
          <w:b/>
          <w:bCs/>
          <w:color w:val="000000" w:themeColor="text1"/>
          <w:sz w:val="20"/>
          <w:szCs w:val="20"/>
          <w:lang w:val="en-US"/>
        </w:rPr>
      </w:pPr>
      <w:r w:rsidRPr="0047636E">
        <w:rPr>
          <w:rFonts w:ascii="Arial" w:eastAsia="新細明體" w:hAnsi="Arial" w:cs="Arial"/>
          <w:b/>
          <w:bCs/>
          <w:color w:val="000000" w:themeColor="text1"/>
          <w:sz w:val="20"/>
          <w:szCs w:val="20"/>
          <w:lang w:val="en-US"/>
        </w:rPr>
        <w:t>Fasting blood glucose and plasma insulin levels</w:t>
      </w:r>
    </w:p>
    <w:p w14:paraId="2E8DAECA" w14:textId="77777777" w:rsidR="00670D14" w:rsidRPr="0047636E" w:rsidRDefault="00670D14" w:rsidP="000D584F">
      <w:pPr>
        <w:spacing w:line="360" w:lineRule="auto"/>
        <w:jc w:val="both"/>
        <w:rPr>
          <w:rFonts w:ascii="Arial" w:eastAsia="新細明體" w:hAnsi="Arial" w:cs="Arial"/>
          <w:color w:val="000000" w:themeColor="text1"/>
          <w:sz w:val="20"/>
          <w:szCs w:val="20"/>
          <w:lang w:val="en-US"/>
        </w:rPr>
      </w:pPr>
      <w:r w:rsidRPr="0047636E">
        <w:rPr>
          <w:rFonts w:ascii="Arial" w:eastAsia="新細明體" w:hAnsi="Arial" w:cs="Arial"/>
          <w:color w:val="000000" w:themeColor="text1"/>
          <w:sz w:val="20"/>
          <w:szCs w:val="20"/>
          <w:lang w:val="en-US"/>
        </w:rPr>
        <w:t xml:space="preserve">After a 12-h fast, blood specimens were collected from mice by tail incision using heparinized capillary tubes (Cat# 563, Glaswarenfabrik Karl Hecht, Sondheim vor der Rhön, Bavaria, Germany). A small portion of the </w:t>
      </w:r>
      <w:r w:rsidRPr="0047636E">
        <w:rPr>
          <w:rFonts w:ascii="Arial" w:eastAsia="新細明體" w:hAnsi="Arial" w:cs="Arial"/>
          <w:color w:val="000000" w:themeColor="text1"/>
          <w:sz w:val="20"/>
          <w:szCs w:val="20"/>
          <w:lang w:val="en-US"/>
        </w:rPr>
        <w:lastRenderedPageBreak/>
        <w:t>blood was used for detecting glucose levels with a glucose meter (Model: Accu-Chek Active</w:t>
      </w:r>
      <w:r w:rsidRPr="0047636E">
        <w:rPr>
          <w:rFonts w:ascii="Arial" w:eastAsia="新細明體" w:hAnsi="Arial" w:cs="Arial"/>
          <w:color w:val="000000" w:themeColor="text1"/>
          <w:sz w:val="20"/>
          <w:szCs w:val="20"/>
          <w:vertAlign w:val="superscript"/>
          <w:lang w:val="en-US"/>
        </w:rPr>
        <w:t>®</w:t>
      </w:r>
      <w:r w:rsidRPr="0047636E">
        <w:rPr>
          <w:rFonts w:ascii="Arial" w:eastAsia="新細明體" w:hAnsi="Arial" w:cs="Arial"/>
          <w:color w:val="000000" w:themeColor="text1"/>
          <w:sz w:val="20"/>
          <w:szCs w:val="20"/>
          <w:lang w:val="en-US"/>
        </w:rPr>
        <w:t>, Roche). The remaining blood was centrifuged at 3,000 × g for 10 min to collect the plasma. The plasma levels of insulin were measured using a commercial mouse insulin ELISA kit (Cat# 10-1247-01, Mercodia, Uppsala, Sweden).</w:t>
      </w:r>
    </w:p>
    <w:p w14:paraId="0C774C16" w14:textId="77777777" w:rsidR="00670D14" w:rsidRPr="0047636E" w:rsidRDefault="00670D14" w:rsidP="000D584F">
      <w:pPr>
        <w:spacing w:line="360" w:lineRule="auto"/>
        <w:jc w:val="both"/>
        <w:rPr>
          <w:rFonts w:ascii="Arial" w:eastAsia="新細明體" w:hAnsi="Arial" w:cs="Arial"/>
          <w:color w:val="000000" w:themeColor="text1"/>
          <w:sz w:val="20"/>
          <w:szCs w:val="20"/>
          <w:lang w:val="en-US"/>
        </w:rPr>
      </w:pPr>
    </w:p>
    <w:p w14:paraId="57AE8D28" w14:textId="77777777" w:rsidR="00670D14" w:rsidRPr="0047636E" w:rsidRDefault="00670D14" w:rsidP="000D584F">
      <w:pPr>
        <w:spacing w:line="360" w:lineRule="auto"/>
        <w:jc w:val="both"/>
        <w:rPr>
          <w:rFonts w:ascii="Arial" w:eastAsia="新細明體" w:hAnsi="Arial" w:cs="Arial"/>
          <w:b/>
          <w:bCs/>
          <w:color w:val="000000" w:themeColor="text1"/>
          <w:sz w:val="20"/>
          <w:szCs w:val="20"/>
          <w:lang w:val="en-US"/>
        </w:rPr>
      </w:pPr>
      <w:r w:rsidRPr="0047636E">
        <w:rPr>
          <w:rFonts w:ascii="Arial" w:eastAsia="新細明體" w:hAnsi="Arial" w:cs="Arial"/>
          <w:b/>
          <w:bCs/>
          <w:color w:val="000000" w:themeColor="text1"/>
          <w:sz w:val="20"/>
          <w:szCs w:val="20"/>
          <w:lang w:val="en-US"/>
        </w:rPr>
        <w:t>Calculation of HOMA-IR</w:t>
      </w:r>
    </w:p>
    <w:p w14:paraId="5E6A14F7" w14:textId="77777777" w:rsidR="00670D14" w:rsidRPr="0047636E" w:rsidRDefault="00670D14" w:rsidP="000D584F">
      <w:pPr>
        <w:tabs>
          <w:tab w:val="center" w:pos="4150"/>
        </w:tabs>
        <w:spacing w:line="360" w:lineRule="auto"/>
        <w:jc w:val="both"/>
        <w:rPr>
          <w:rFonts w:ascii="Arial" w:eastAsia="新細明體" w:hAnsi="Arial" w:cs="Arial"/>
          <w:color w:val="000000" w:themeColor="text1"/>
          <w:sz w:val="20"/>
          <w:szCs w:val="20"/>
          <w:lang w:val="en-US"/>
        </w:rPr>
      </w:pPr>
      <w:r w:rsidRPr="0047636E">
        <w:rPr>
          <w:rFonts w:ascii="Arial" w:eastAsia="新細明體" w:hAnsi="Arial" w:cs="Arial"/>
          <w:color w:val="000000" w:themeColor="text1"/>
          <w:sz w:val="20"/>
          <w:szCs w:val="20"/>
          <w:lang w:val="en-US"/>
        </w:rPr>
        <w:t xml:space="preserve">HOMA-IR index was calculated using the following formula: </w:t>
      </w:r>
      <w:r w:rsidRPr="0047636E">
        <w:rPr>
          <w:rFonts w:ascii="Arial" w:hAnsi="Arial" w:cs="Arial"/>
          <w:color w:val="000000" w:themeColor="text1"/>
          <w:sz w:val="20"/>
          <w:szCs w:val="20"/>
          <w:lang w:val="en-US"/>
        </w:rPr>
        <w:t>fasting glucose (mM) × fasting insulin (mU/L)/22.5.</w:t>
      </w:r>
    </w:p>
    <w:p w14:paraId="26B334FA" w14:textId="77777777" w:rsidR="00670D14" w:rsidRPr="0047636E" w:rsidRDefault="00670D14" w:rsidP="000D584F">
      <w:pPr>
        <w:spacing w:line="360" w:lineRule="auto"/>
        <w:jc w:val="both"/>
        <w:rPr>
          <w:rFonts w:ascii="Arial" w:eastAsia="新細明體" w:hAnsi="Arial" w:cs="Arial"/>
          <w:color w:val="000000" w:themeColor="text1"/>
          <w:sz w:val="20"/>
          <w:szCs w:val="20"/>
          <w:lang w:val="en-US"/>
        </w:rPr>
      </w:pPr>
    </w:p>
    <w:p w14:paraId="44042E37" w14:textId="77777777" w:rsidR="00670D14" w:rsidRPr="0047636E" w:rsidRDefault="00670D14" w:rsidP="000D584F">
      <w:pPr>
        <w:spacing w:line="360" w:lineRule="auto"/>
        <w:jc w:val="both"/>
        <w:rPr>
          <w:rFonts w:ascii="Arial" w:eastAsia="新細明體" w:hAnsi="Arial" w:cs="Arial"/>
          <w:b/>
          <w:bCs/>
          <w:color w:val="000000" w:themeColor="text1"/>
          <w:sz w:val="20"/>
          <w:szCs w:val="20"/>
          <w:lang w:val="en-US"/>
        </w:rPr>
      </w:pPr>
      <w:r w:rsidRPr="0047636E">
        <w:rPr>
          <w:rFonts w:ascii="Arial" w:eastAsia="新細明體" w:hAnsi="Arial" w:cs="Arial"/>
          <w:b/>
          <w:bCs/>
          <w:color w:val="000000" w:themeColor="text1"/>
          <w:sz w:val="20"/>
          <w:szCs w:val="20"/>
          <w:lang w:val="en-US"/>
        </w:rPr>
        <w:t>Glucose and insulin tolerance tests</w:t>
      </w:r>
    </w:p>
    <w:p w14:paraId="6F6DD430" w14:textId="77777777" w:rsidR="00670D14" w:rsidRPr="0047636E" w:rsidRDefault="00670D14" w:rsidP="000D584F">
      <w:pPr>
        <w:spacing w:line="360" w:lineRule="auto"/>
        <w:jc w:val="both"/>
        <w:rPr>
          <w:rFonts w:ascii="Arial" w:eastAsia="新細明體" w:hAnsi="Arial" w:cs="Arial"/>
          <w:color w:val="000000" w:themeColor="text1"/>
          <w:sz w:val="20"/>
          <w:szCs w:val="20"/>
          <w:lang w:val="en-US"/>
        </w:rPr>
      </w:pPr>
      <w:r w:rsidRPr="0047636E">
        <w:rPr>
          <w:rFonts w:ascii="Arial" w:eastAsia="新細明體" w:hAnsi="Arial" w:cs="Arial"/>
          <w:color w:val="000000" w:themeColor="text1"/>
          <w:sz w:val="20"/>
          <w:szCs w:val="20"/>
          <w:lang w:val="en-US"/>
        </w:rPr>
        <w:t>IPGTT and IPITT were performed in mice after they had fasted for 12 h. The mice were injected (i.p.) with 1.0 g/kg glucose in the IPGTT and 1.0 U/kg insulin in the IPITT. Blood specimens were collected by tail incision before and 30, 60, 90, and 120 min after the injections. The glucose levels of the collected blood were immediately detected with a glucose meter (Model: Accu-Chek Active</w:t>
      </w:r>
      <w:r w:rsidRPr="0047636E">
        <w:rPr>
          <w:rFonts w:ascii="Arial" w:eastAsia="新細明體" w:hAnsi="Arial" w:cs="Arial"/>
          <w:color w:val="000000" w:themeColor="text1"/>
          <w:sz w:val="20"/>
          <w:szCs w:val="20"/>
          <w:vertAlign w:val="superscript"/>
          <w:lang w:val="en-US"/>
        </w:rPr>
        <w:t>®</w:t>
      </w:r>
      <w:r w:rsidRPr="0047636E">
        <w:rPr>
          <w:rFonts w:ascii="Arial" w:eastAsia="新細明體" w:hAnsi="Arial" w:cs="Arial"/>
          <w:color w:val="000000" w:themeColor="text1"/>
          <w:sz w:val="20"/>
          <w:szCs w:val="20"/>
          <w:lang w:val="en-US"/>
        </w:rPr>
        <w:t>, Roche).</w:t>
      </w:r>
    </w:p>
    <w:p w14:paraId="637217F7" w14:textId="77777777" w:rsidR="00670D14" w:rsidRPr="0047636E" w:rsidRDefault="00670D14" w:rsidP="000D584F">
      <w:pPr>
        <w:spacing w:line="360" w:lineRule="auto"/>
        <w:jc w:val="both"/>
        <w:rPr>
          <w:rFonts w:ascii="Arial" w:eastAsia="新細明體" w:hAnsi="Arial" w:cs="Arial"/>
          <w:color w:val="000000" w:themeColor="text1"/>
          <w:sz w:val="20"/>
          <w:szCs w:val="20"/>
          <w:lang w:val="en-US"/>
        </w:rPr>
      </w:pPr>
    </w:p>
    <w:p w14:paraId="2B0E598A" w14:textId="77777777" w:rsidR="00670D14" w:rsidRPr="0047636E" w:rsidRDefault="00670D14" w:rsidP="000D584F">
      <w:pPr>
        <w:spacing w:line="360" w:lineRule="auto"/>
        <w:jc w:val="both"/>
        <w:rPr>
          <w:rFonts w:ascii="Arial" w:eastAsia="新細明體" w:hAnsi="Arial" w:cs="Arial"/>
          <w:b/>
          <w:bCs/>
          <w:color w:val="000000" w:themeColor="text1"/>
          <w:sz w:val="20"/>
          <w:szCs w:val="20"/>
          <w:lang w:val="en-US"/>
        </w:rPr>
      </w:pPr>
      <w:r w:rsidRPr="0047636E">
        <w:rPr>
          <w:rFonts w:ascii="Arial" w:eastAsia="新細明體" w:hAnsi="Arial" w:cs="Arial"/>
          <w:b/>
          <w:bCs/>
          <w:color w:val="000000" w:themeColor="text1"/>
          <w:sz w:val="20"/>
          <w:szCs w:val="20"/>
          <w:lang w:val="en-US"/>
        </w:rPr>
        <w:t>SPT</w:t>
      </w:r>
    </w:p>
    <w:p w14:paraId="608DD1CE" w14:textId="5188D0AC" w:rsidR="00670D14" w:rsidRPr="0047636E" w:rsidRDefault="00670D14" w:rsidP="000D584F">
      <w:pPr>
        <w:spacing w:line="360" w:lineRule="auto"/>
        <w:jc w:val="both"/>
        <w:rPr>
          <w:rFonts w:ascii="Arial" w:eastAsia="新細明體" w:hAnsi="Arial" w:cs="Arial"/>
          <w:color w:val="000000" w:themeColor="text1"/>
          <w:sz w:val="20"/>
          <w:szCs w:val="20"/>
          <w:lang w:val="en-US"/>
        </w:rPr>
      </w:pPr>
      <w:r w:rsidRPr="0047636E">
        <w:rPr>
          <w:rFonts w:ascii="Arial" w:eastAsia="新細明體" w:hAnsi="Arial" w:cs="Arial"/>
          <w:color w:val="000000" w:themeColor="text1"/>
          <w:sz w:val="20"/>
          <w:szCs w:val="20"/>
          <w:lang w:val="en-US"/>
        </w:rPr>
        <w:t>To avoid isolation that may affect the mood, we housed two to three mice in a cage during the test. Three days before the SPT, mice (housed 4–5/cage) were randomly divided into two cages. After a 3-day acclimation for the change of cagemate composition, mice were provided with two identical water bottles, one filled with distilled drinking water and the other with palatable 1% sucrose (Cat# S9378, Sigma-Aldrich</w:t>
      </w:r>
      <w:r w:rsidR="00040471" w:rsidRPr="0047636E">
        <w:rPr>
          <w:rFonts w:ascii="Arial" w:eastAsia="新細明體" w:hAnsi="Arial" w:cs="Arial"/>
          <w:color w:val="000000" w:themeColor="text1"/>
          <w:sz w:val="20"/>
          <w:szCs w:val="20"/>
          <w:lang w:val="en-US"/>
        </w:rPr>
        <w:t>, St. Louis, MO, USA</w:t>
      </w:r>
      <w:r w:rsidRPr="0047636E">
        <w:rPr>
          <w:rFonts w:ascii="Arial" w:eastAsia="新細明體" w:hAnsi="Arial" w:cs="Arial"/>
          <w:color w:val="000000" w:themeColor="text1"/>
          <w:sz w:val="20"/>
          <w:szCs w:val="20"/>
          <w:lang w:val="en-US"/>
        </w:rPr>
        <w:t>) solution for 24 h. To minimize side preference, these two bottles were switched every 12 h. Consumptions of sucrose solution and water were determined by changes in fluid weight. Sucrose preference was defined as the ratio of the consumed weight of sucrose solution to the total consumed weight of sucrose solution and water during the 24 h. The result obtained from each cage was considered one data point.</w:t>
      </w:r>
    </w:p>
    <w:p w14:paraId="3BB6C166" w14:textId="77777777" w:rsidR="00670D14" w:rsidRPr="0047636E" w:rsidRDefault="00670D14" w:rsidP="000D584F">
      <w:pPr>
        <w:spacing w:line="360" w:lineRule="auto"/>
        <w:jc w:val="both"/>
        <w:rPr>
          <w:rFonts w:ascii="Arial" w:eastAsia="新細明體" w:hAnsi="Arial" w:cs="Arial"/>
          <w:color w:val="000000" w:themeColor="text1"/>
          <w:sz w:val="20"/>
          <w:szCs w:val="20"/>
          <w:lang w:val="en-US"/>
        </w:rPr>
      </w:pPr>
    </w:p>
    <w:p w14:paraId="6D263FAB" w14:textId="77777777" w:rsidR="00670D14" w:rsidRPr="0047636E" w:rsidRDefault="00670D14" w:rsidP="000D584F">
      <w:pPr>
        <w:spacing w:line="360" w:lineRule="auto"/>
        <w:jc w:val="both"/>
        <w:rPr>
          <w:rFonts w:ascii="Arial" w:eastAsia="新細明體" w:hAnsi="Arial" w:cs="Arial"/>
          <w:b/>
          <w:bCs/>
          <w:color w:val="000000" w:themeColor="text1"/>
          <w:sz w:val="20"/>
          <w:szCs w:val="20"/>
          <w:lang w:val="en-US"/>
        </w:rPr>
      </w:pPr>
      <w:r w:rsidRPr="0047636E">
        <w:rPr>
          <w:rFonts w:ascii="Arial" w:eastAsia="新細明體" w:hAnsi="Arial" w:cs="Arial"/>
          <w:b/>
          <w:bCs/>
          <w:color w:val="000000" w:themeColor="text1"/>
          <w:sz w:val="20"/>
          <w:szCs w:val="20"/>
          <w:lang w:val="en-US"/>
        </w:rPr>
        <w:t xml:space="preserve">FST </w:t>
      </w:r>
    </w:p>
    <w:p w14:paraId="6F656640" w14:textId="18C93644" w:rsidR="00670D14" w:rsidRPr="0047636E" w:rsidRDefault="00670D14" w:rsidP="000D584F">
      <w:pPr>
        <w:spacing w:line="360" w:lineRule="auto"/>
        <w:jc w:val="both"/>
        <w:rPr>
          <w:rFonts w:ascii="Arial" w:eastAsia="新細明體" w:hAnsi="Arial" w:cs="Arial"/>
          <w:color w:val="000000" w:themeColor="text1"/>
          <w:sz w:val="20"/>
          <w:szCs w:val="20"/>
          <w:lang w:val="en-US"/>
        </w:rPr>
      </w:pPr>
      <w:r w:rsidRPr="0047636E">
        <w:rPr>
          <w:rFonts w:ascii="Arial" w:eastAsia="新細明體" w:hAnsi="Arial" w:cs="Arial"/>
          <w:color w:val="000000" w:themeColor="text1"/>
          <w:sz w:val="20"/>
          <w:szCs w:val="20"/>
          <w:lang w:val="en-US"/>
        </w:rPr>
        <w:t xml:space="preserve">FST was conducted in a glass cylindrical tank (height: 30 cm, diameter: 20 cm) filled with temperature-controlled water (23–25°C) of a 15-cm height. Each mouse was placed in the water tank for 6 min; only the behavior of </w:t>
      </w:r>
      <w:r w:rsidRPr="0047636E">
        <w:rPr>
          <w:rFonts w:ascii="Arial" w:eastAsia="新細明體" w:hAnsi="Arial" w:cs="Arial"/>
          <w:color w:val="000000" w:themeColor="text1"/>
          <w:sz w:val="20"/>
          <w:szCs w:val="20"/>
          <w:lang w:val="en-US"/>
        </w:rPr>
        <w:lastRenderedPageBreak/>
        <w:t>the last 4 min was analyzed by an experienced experimenter blinded to the animal grouping. The immobility time was presented as % of immobility time in 4 min.</w:t>
      </w:r>
    </w:p>
    <w:p w14:paraId="7A338E77" w14:textId="26ED5B2D" w:rsidR="00854B26" w:rsidRPr="0047636E" w:rsidRDefault="00854B26" w:rsidP="000D584F">
      <w:pPr>
        <w:spacing w:line="360" w:lineRule="auto"/>
        <w:jc w:val="both"/>
        <w:rPr>
          <w:rFonts w:ascii="Arial" w:eastAsia="新細明體" w:hAnsi="Arial" w:cs="Arial"/>
          <w:color w:val="000000" w:themeColor="text1"/>
          <w:sz w:val="20"/>
          <w:szCs w:val="20"/>
          <w:lang w:val="en-US"/>
        </w:rPr>
      </w:pPr>
    </w:p>
    <w:p w14:paraId="7ACF8F35" w14:textId="20928AB3" w:rsidR="00854B26" w:rsidRPr="0047636E" w:rsidRDefault="00867D06" w:rsidP="000D584F">
      <w:pPr>
        <w:spacing w:line="360" w:lineRule="auto"/>
        <w:jc w:val="both"/>
        <w:rPr>
          <w:rFonts w:ascii="Arial" w:eastAsia="新細明體" w:hAnsi="Arial" w:cs="Arial"/>
          <w:b/>
          <w:bCs/>
          <w:color w:val="000000" w:themeColor="text1"/>
          <w:sz w:val="20"/>
          <w:szCs w:val="20"/>
          <w:lang w:val="en-US"/>
        </w:rPr>
      </w:pPr>
      <w:r w:rsidRPr="0047636E">
        <w:rPr>
          <w:rFonts w:ascii="Arial" w:eastAsia="新細明體" w:hAnsi="Arial" w:cs="Arial"/>
          <w:b/>
          <w:bCs/>
          <w:color w:val="000000" w:themeColor="text1"/>
          <w:sz w:val="20"/>
          <w:szCs w:val="20"/>
          <w:lang w:val="en-US"/>
        </w:rPr>
        <w:t>Fluoxetine treatment</w:t>
      </w:r>
    </w:p>
    <w:p w14:paraId="20108B14" w14:textId="19EDDB26" w:rsidR="00670D14" w:rsidRPr="0047636E" w:rsidRDefault="00736ACA" w:rsidP="000D584F">
      <w:pPr>
        <w:spacing w:line="360" w:lineRule="auto"/>
        <w:jc w:val="both"/>
        <w:rPr>
          <w:rFonts w:ascii="Arial" w:eastAsia="新細明體" w:hAnsi="Arial" w:cs="Arial"/>
          <w:color w:val="000000" w:themeColor="text1"/>
          <w:sz w:val="20"/>
          <w:szCs w:val="20"/>
          <w:lang w:val="en-US"/>
        </w:rPr>
      </w:pPr>
      <w:r w:rsidRPr="0047636E">
        <w:rPr>
          <w:rFonts w:ascii="Arial" w:eastAsia="新細明體" w:hAnsi="Arial" w:cs="Arial"/>
          <w:color w:val="000000" w:themeColor="text1"/>
          <w:sz w:val="20"/>
          <w:szCs w:val="20"/>
          <w:lang w:val="en-US"/>
        </w:rPr>
        <w:t>Fluoxetine (Cat# 1279804, Sigma-Aldrich) was prepared in normal saline and intraperitoneally injected into mice at dosage of 20 mg/kg/day for 4 weeks in the last phase of the HFD regimen. Vehicle control mice received saline injections of equal volume on the same schedule.</w:t>
      </w:r>
      <w:r w:rsidR="005C1A5A" w:rsidRPr="0047636E">
        <w:rPr>
          <w:rFonts w:ascii="Arial" w:eastAsia="新細明體" w:hAnsi="Arial" w:cs="Arial"/>
          <w:color w:val="000000" w:themeColor="text1"/>
          <w:sz w:val="20"/>
          <w:szCs w:val="20"/>
          <w:lang w:val="en-US"/>
        </w:rPr>
        <w:t xml:space="preserve"> </w:t>
      </w:r>
    </w:p>
    <w:p w14:paraId="722242B0" w14:textId="77777777" w:rsidR="00867D06" w:rsidRPr="0047636E" w:rsidRDefault="00867D06" w:rsidP="000D584F">
      <w:pPr>
        <w:spacing w:line="360" w:lineRule="auto"/>
        <w:jc w:val="both"/>
        <w:rPr>
          <w:rFonts w:ascii="Arial" w:eastAsia="新細明體" w:hAnsi="Arial" w:cs="Arial"/>
          <w:color w:val="000000" w:themeColor="text1"/>
          <w:sz w:val="20"/>
          <w:szCs w:val="20"/>
          <w:lang w:val="en-US"/>
        </w:rPr>
      </w:pPr>
    </w:p>
    <w:p w14:paraId="35B45269" w14:textId="77777777" w:rsidR="00670D14" w:rsidRPr="0047636E" w:rsidRDefault="00670D14" w:rsidP="000D584F">
      <w:pPr>
        <w:spacing w:line="360" w:lineRule="auto"/>
        <w:jc w:val="both"/>
        <w:rPr>
          <w:rFonts w:ascii="Arial" w:eastAsia="新細明體" w:hAnsi="Arial" w:cs="Arial"/>
          <w:b/>
          <w:bCs/>
          <w:color w:val="000000" w:themeColor="text1"/>
          <w:sz w:val="20"/>
          <w:szCs w:val="20"/>
          <w:lang w:val="en-US"/>
        </w:rPr>
      </w:pPr>
      <w:r w:rsidRPr="0047636E">
        <w:rPr>
          <w:rFonts w:ascii="Arial" w:eastAsia="新細明體" w:hAnsi="Arial" w:cs="Arial"/>
          <w:b/>
          <w:bCs/>
          <w:color w:val="000000" w:themeColor="text1"/>
          <w:sz w:val="20"/>
          <w:szCs w:val="20"/>
          <w:lang w:val="en-US"/>
        </w:rPr>
        <w:t>Measurement of extracellular glutamate levels</w:t>
      </w:r>
    </w:p>
    <w:p w14:paraId="61CA5F4F" w14:textId="68B6C686" w:rsidR="00670D14" w:rsidRPr="0047636E" w:rsidRDefault="00670D14" w:rsidP="000D584F">
      <w:pPr>
        <w:spacing w:line="360" w:lineRule="auto"/>
        <w:jc w:val="both"/>
        <w:rPr>
          <w:rFonts w:ascii="Arial" w:eastAsia="新細明體" w:hAnsi="Arial" w:cs="Arial"/>
          <w:color w:val="000000" w:themeColor="text1"/>
          <w:sz w:val="20"/>
          <w:szCs w:val="20"/>
          <w:lang w:val="en-US"/>
        </w:rPr>
      </w:pPr>
      <w:r w:rsidRPr="0047636E">
        <w:rPr>
          <w:rFonts w:ascii="Arial" w:eastAsia="新細明體" w:hAnsi="Arial" w:cs="Arial"/>
          <w:color w:val="000000" w:themeColor="text1"/>
          <w:sz w:val="20"/>
          <w:szCs w:val="20"/>
          <w:lang w:val="en-US"/>
        </w:rPr>
        <w:t>Glutamate biosensors (</w:t>
      </w:r>
      <w:bookmarkStart w:id="0" w:name="OLE_LINK3"/>
      <w:bookmarkStart w:id="1" w:name="OLE_LINK4"/>
      <w:r w:rsidRPr="0047636E">
        <w:rPr>
          <w:rFonts w:ascii="Arial" w:eastAsia="新細明體" w:hAnsi="Arial" w:cs="Arial"/>
          <w:color w:val="000000" w:themeColor="text1"/>
          <w:sz w:val="20"/>
          <w:szCs w:val="20"/>
          <w:lang w:val="en-US"/>
        </w:rPr>
        <w:t>Cat# 7004, Pinnacle Technology</w:t>
      </w:r>
      <w:bookmarkEnd w:id="0"/>
      <w:bookmarkEnd w:id="1"/>
      <w:r w:rsidRPr="0047636E">
        <w:rPr>
          <w:rFonts w:ascii="Arial" w:eastAsia="新細明體" w:hAnsi="Arial" w:cs="Arial"/>
          <w:color w:val="000000" w:themeColor="text1"/>
          <w:sz w:val="20"/>
          <w:szCs w:val="20"/>
          <w:lang w:val="en-US"/>
        </w:rPr>
        <w:t xml:space="preserve">, Lawrence, KS, USA) and a matched recording system (Cat# 8400-K1, Pinnacle Technology) were used to monitor the extracellular concentrations of glutamate in the </w:t>
      </w:r>
      <w:r w:rsidR="00484CDE" w:rsidRPr="0047636E">
        <w:rPr>
          <w:rFonts w:ascii="Arial" w:eastAsia="新細明體" w:hAnsi="Arial" w:cs="Arial"/>
          <w:color w:val="000000" w:themeColor="text1"/>
          <w:sz w:val="20"/>
          <w:szCs w:val="20"/>
          <w:lang w:val="en-US"/>
        </w:rPr>
        <w:t>nucleus accumbens (</w:t>
      </w:r>
      <w:r w:rsidRPr="0047636E">
        <w:rPr>
          <w:rFonts w:ascii="Arial" w:eastAsia="新細明體" w:hAnsi="Arial" w:cs="Arial"/>
          <w:color w:val="000000" w:themeColor="text1"/>
          <w:sz w:val="20"/>
          <w:szCs w:val="20"/>
          <w:lang w:val="en-US"/>
        </w:rPr>
        <w:t>NAc</w:t>
      </w:r>
      <w:r w:rsidR="00484CDE" w:rsidRPr="0047636E">
        <w:rPr>
          <w:rFonts w:ascii="Arial" w:eastAsia="新細明體" w:hAnsi="Arial" w:cs="Arial"/>
          <w:color w:val="000000" w:themeColor="text1"/>
          <w:sz w:val="20"/>
          <w:szCs w:val="20"/>
          <w:lang w:val="en-US"/>
        </w:rPr>
        <w:t>)</w:t>
      </w:r>
      <w:r w:rsidRPr="0047636E">
        <w:rPr>
          <w:rFonts w:ascii="Arial" w:eastAsia="新細明體" w:hAnsi="Arial" w:cs="Arial"/>
          <w:color w:val="000000" w:themeColor="text1"/>
          <w:sz w:val="20"/>
          <w:szCs w:val="20"/>
          <w:lang w:val="en-US"/>
        </w:rPr>
        <w:t xml:space="preserve"> and</w:t>
      </w:r>
      <w:r w:rsidR="00484CDE" w:rsidRPr="0047636E">
        <w:rPr>
          <w:rFonts w:ascii="Arial" w:eastAsia="新細明體" w:hAnsi="Arial" w:cs="Arial"/>
          <w:color w:val="000000" w:themeColor="text1"/>
          <w:sz w:val="20"/>
          <w:szCs w:val="20"/>
          <w:lang w:val="en-US"/>
        </w:rPr>
        <w:t xml:space="preserve"> ventral hippocampus</w:t>
      </w:r>
      <w:r w:rsidRPr="0047636E">
        <w:rPr>
          <w:rFonts w:ascii="Arial" w:eastAsia="新細明體" w:hAnsi="Arial" w:cs="Arial"/>
          <w:color w:val="000000" w:themeColor="text1"/>
          <w:sz w:val="20"/>
          <w:szCs w:val="20"/>
          <w:lang w:val="en-US"/>
        </w:rPr>
        <w:t xml:space="preserve"> </w:t>
      </w:r>
      <w:r w:rsidR="00484CDE" w:rsidRPr="0047636E">
        <w:rPr>
          <w:rFonts w:ascii="Arial" w:eastAsia="新細明體" w:hAnsi="Arial" w:cs="Arial"/>
          <w:color w:val="000000" w:themeColor="text1"/>
          <w:sz w:val="20"/>
          <w:szCs w:val="20"/>
          <w:lang w:val="en-US"/>
        </w:rPr>
        <w:t>(</w:t>
      </w:r>
      <w:r w:rsidRPr="0047636E">
        <w:rPr>
          <w:rFonts w:ascii="Arial" w:eastAsia="新細明體" w:hAnsi="Arial" w:cs="Arial"/>
          <w:color w:val="000000" w:themeColor="text1"/>
          <w:sz w:val="20"/>
          <w:szCs w:val="20"/>
          <w:lang w:val="en-US"/>
        </w:rPr>
        <w:t>vHPC</w:t>
      </w:r>
      <w:r w:rsidR="00484CDE" w:rsidRPr="0047636E">
        <w:rPr>
          <w:rFonts w:ascii="Arial" w:eastAsia="新細明體" w:hAnsi="Arial" w:cs="Arial"/>
          <w:color w:val="000000" w:themeColor="text1"/>
          <w:sz w:val="20"/>
          <w:szCs w:val="20"/>
          <w:lang w:val="en-US"/>
        </w:rPr>
        <w:t>)</w:t>
      </w:r>
      <w:r w:rsidRPr="0047636E">
        <w:rPr>
          <w:rFonts w:ascii="Arial" w:eastAsia="新細明體" w:hAnsi="Arial" w:cs="Arial"/>
          <w:color w:val="000000" w:themeColor="text1"/>
          <w:sz w:val="20"/>
          <w:szCs w:val="20"/>
          <w:lang w:val="en-US"/>
        </w:rPr>
        <w:t xml:space="preserve"> of mice in real time. One week before ending the HFD, each mouse was implanted with a guiding cannula (Cat# 7034, Pinnacle Technology) either into the NAc [anteroposterior (AP): +1.0 mm; mediolateral (ML): +1.0 mm; dorsoventral (DV): -3.6 mm from the bregma] or the vHPC (AP: -3.2 mm; ML: +2.8 mm; DV: -3.8 mm from the bregma). The implanted cannula was tightly fixed on the mouse skull with dental adhesive resin cement (Model: Super-Bond, Sun Medical, Shiga, Japan). One week later, a glutamate biosensor (1 mm longer than the guiding cannula) was inserted into the cannula, and the mouse was allowed to move freely. Recording began after the readings stabilized and lasted for 30 min. Recordings pre- and post-calibration were carried out with the same digital signal amplifier that was used to validate the function of the biosensors and plot the standard curves for estimating the basal extracellular level of glutamate in the NAc and vHPC. Mice were euthanized after the recordings. Further, their brains were removed, and coronal sections were prepared using a vibratome (Model:</w:t>
      </w:r>
      <w:r w:rsidRPr="0047636E">
        <w:rPr>
          <w:rFonts w:ascii="Arial" w:hAnsi="Arial" w:cs="Arial"/>
          <w:color w:val="000000" w:themeColor="text1"/>
          <w:sz w:val="20"/>
          <w:szCs w:val="20"/>
          <w:lang w:val="en-US"/>
        </w:rPr>
        <w:t xml:space="preserve"> </w:t>
      </w:r>
      <w:r w:rsidRPr="0047636E">
        <w:rPr>
          <w:rFonts w:ascii="Arial" w:eastAsia="新細明體" w:hAnsi="Arial" w:cs="Arial"/>
          <w:color w:val="000000" w:themeColor="text1"/>
          <w:sz w:val="20"/>
          <w:szCs w:val="20"/>
          <w:lang w:val="en-US"/>
        </w:rPr>
        <w:t>DTK-1000; DOSAKA, Kyoto, Japan). The trace made by the insertion of a biosensor on the sections was used to mark the recording site.</w:t>
      </w:r>
    </w:p>
    <w:p w14:paraId="2BB73962" w14:textId="64E00AAD" w:rsidR="00670D14" w:rsidRPr="0047636E" w:rsidRDefault="00670D14" w:rsidP="000D584F">
      <w:pPr>
        <w:spacing w:line="360" w:lineRule="auto"/>
        <w:jc w:val="both"/>
        <w:rPr>
          <w:rFonts w:ascii="Arial" w:eastAsia="新細明體" w:hAnsi="Arial" w:cs="Arial"/>
          <w:color w:val="000000" w:themeColor="text1"/>
          <w:sz w:val="20"/>
          <w:szCs w:val="20"/>
          <w:lang w:val="en-US"/>
        </w:rPr>
      </w:pPr>
    </w:p>
    <w:p w14:paraId="02066F6F" w14:textId="7C3381D3" w:rsidR="00417B43" w:rsidRPr="0047636E" w:rsidRDefault="00417B43" w:rsidP="000D584F">
      <w:pPr>
        <w:spacing w:line="360" w:lineRule="auto"/>
        <w:jc w:val="both"/>
        <w:rPr>
          <w:rFonts w:ascii="Arial" w:eastAsia="新細明體" w:hAnsi="Arial" w:cs="Arial"/>
          <w:color w:val="000000" w:themeColor="text1"/>
          <w:sz w:val="20"/>
          <w:szCs w:val="20"/>
          <w:lang w:val="en-US"/>
        </w:rPr>
      </w:pPr>
    </w:p>
    <w:p w14:paraId="5F086779" w14:textId="77777777" w:rsidR="00417B43" w:rsidRPr="0047636E" w:rsidRDefault="00417B43" w:rsidP="000D584F">
      <w:pPr>
        <w:spacing w:line="360" w:lineRule="auto"/>
        <w:jc w:val="both"/>
        <w:rPr>
          <w:rFonts w:ascii="Arial" w:eastAsia="新細明體" w:hAnsi="Arial" w:cs="Arial"/>
          <w:color w:val="000000" w:themeColor="text1"/>
          <w:sz w:val="20"/>
          <w:szCs w:val="20"/>
          <w:lang w:val="en-US"/>
        </w:rPr>
      </w:pPr>
    </w:p>
    <w:p w14:paraId="2F213CB8" w14:textId="77777777" w:rsidR="00670D14" w:rsidRPr="0047636E" w:rsidRDefault="00670D14" w:rsidP="000D584F">
      <w:pPr>
        <w:spacing w:line="360" w:lineRule="auto"/>
        <w:jc w:val="both"/>
        <w:rPr>
          <w:rFonts w:ascii="Arial" w:eastAsia="新細明體" w:hAnsi="Arial" w:cs="Arial"/>
          <w:b/>
          <w:bCs/>
          <w:color w:val="000000" w:themeColor="text1"/>
          <w:sz w:val="20"/>
          <w:szCs w:val="20"/>
          <w:lang w:val="en-US"/>
        </w:rPr>
      </w:pPr>
      <w:r w:rsidRPr="0047636E">
        <w:rPr>
          <w:rFonts w:ascii="Arial" w:eastAsia="新細明體" w:hAnsi="Arial" w:cs="Arial"/>
          <w:b/>
          <w:bCs/>
          <w:color w:val="000000" w:themeColor="text1"/>
          <w:sz w:val="20"/>
          <w:szCs w:val="20"/>
          <w:lang w:val="en-US"/>
        </w:rPr>
        <w:lastRenderedPageBreak/>
        <w:t>Western blot</w:t>
      </w:r>
    </w:p>
    <w:p w14:paraId="292329B3" w14:textId="77777777" w:rsidR="00670D14" w:rsidRPr="0047636E" w:rsidRDefault="00670D14" w:rsidP="000D584F">
      <w:pPr>
        <w:spacing w:line="360" w:lineRule="auto"/>
        <w:jc w:val="both"/>
        <w:rPr>
          <w:rFonts w:ascii="Arial" w:hAnsi="Arial" w:cs="Arial"/>
          <w:color w:val="000000" w:themeColor="text1"/>
          <w:sz w:val="20"/>
          <w:szCs w:val="20"/>
          <w:lang w:val="en-US"/>
        </w:rPr>
      </w:pPr>
      <w:r w:rsidRPr="0047636E">
        <w:rPr>
          <w:rFonts w:ascii="Arial" w:eastAsia="新細明體" w:hAnsi="Arial" w:cs="Arial"/>
          <w:color w:val="000000" w:themeColor="text1"/>
          <w:sz w:val="20"/>
          <w:szCs w:val="20"/>
          <w:lang w:val="en-US"/>
        </w:rPr>
        <w:t xml:space="preserve">Mice were anesthetized with Zoletil 50 (75 mg/kg, </w:t>
      </w:r>
      <w:proofErr w:type="gramStart"/>
      <w:r w:rsidRPr="0047636E">
        <w:rPr>
          <w:rFonts w:ascii="Arial" w:eastAsia="新細明體" w:hAnsi="Arial" w:cs="Arial"/>
          <w:color w:val="000000" w:themeColor="text1"/>
          <w:sz w:val="20"/>
          <w:szCs w:val="20"/>
          <w:lang w:val="en-US"/>
        </w:rPr>
        <w:t>i.p.;</w:t>
      </w:r>
      <w:proofErr w:type="gramEnd"/>
      <w:r w:rsidRPr="0047636E">
        <w:rPr>
          <w:rFonts w:ascii="Arial" w:eastAsia="新細明體" w:hAnsi="Arial" w:cs="Arial"/>
          <w:color w:val="000000" w:themeColor="text1"/>
          <w:sz w:val="20"/>
          <w:szCs w:val="20"/>
          <w:lang w:val="en-US"/>
        </w:rPr>
        <w:t xml:space="preserve"> Virbac, Carros, France) and transcardially perfused with chilled phosphate-buffered saline (PBS, Cat# 10010023, </w:t>
      </w:r>
      <w:r w:rsidRPr="0047636E">
        <w:rPr>
          <w:rFonts w:ascii="Arial" w:hAnsi="Arial" w:cs="Arial"/>
          <w:color w:val="000000" w:themeColor="text1"/>
          <w:sz w:val="20"/>
          <w:szCs w:val="20"/>
          <w:lang w:val="en-US"/>
        </w:rPr>
        <w:t>Thermo Fisher Scientific</w:t>
      </w:r>
      <w:r w:rsidRPr="0047636E">
        <w:rPr>
          <w:rFonts w:ascii="Arial" w:eastAsia="新細明體" w:hAnsi="Arial" w:cs="Arial"/>
          <w:color w:val="000000" w:themeColor="text1"/>
          <w:sz w:val="20"/>
          <w:szCs w:val="20"/>
          <w:lang w:val="en-US"/>
        </w:rPr>
        <w:t>). The brains were quickly dissected out, immediately immersed in liquid nitrogen, and stored at -80</w:t>
      </w:r>
      <w:r w:rsidRPr="0047636E">
        <w:rPr>
          <w:rFonts w:ascii="Arial" w:hAnsi="Arial" w:cs="Arial"/>
          <w:color w:val="000000" w:themeColor="text1"/>
          <w:sz w:val="20"/>
          <w:szCs w:val="20"/>
          <w:lang w:val="en-US"/>
        </w:rPr>
        <w:t xml:space="preserve">°C. The frozen tissues were homogenized with chilled T-PER lysis buffer (Cat# 78510, Thermo Fisher Scientific) containing protease inhibitors (Cat# 04693116001, Roche) and phosphatase inhibitors (Cat# 04906837001, Roche). The cell samples were lysed with chilled RIPA buffer (Cat# 89900, Thermo Fisher Scientific) containing the same protease and phosphatase inhibitors. The homogenates were centrifuged at 15,000 × g </w:t>
      </w:r>
      <w:r w:rsidRPr="0047636E">
        <w:rPr>
          <w:rFonts w:ascii="Arial" w:eastAsia="新細明體" w:hAnsi="Arial" w:cs="Arial"/>
          <w:color w:val="000000" w:themeColor="text1"/>
          <w:sz w:val="20"/>
          <w:szCs w:val="20"/>
          <w:lang w:val="en-US"/>
        </w:rPr>
        <w:t>at 4</w:t>
      </w:r>
      <w:r w:rsidRPr="0047636E">
        <w:rPr>
          <w:rFonts w:ascii="Arial" w:hAnsi="Arial" w:cs="Arial"/>
          <w:color w:val="000000" w:themeColor="text1"/>
          <w:sz w:val="20"/>
          <w:szCs w:val="20"/>
          <w:lang w:val="en-US"/>
        </w:rPr>
        <w:t xml:space="preserve">°C for 15 min, and the supernatants were collected and subjected to protein estimation using a BCA kit (Cat# 23225, Thermo Fisher Scientific) and adjusted to the same concentration. The supernatants (10 μg of total protein) were mixed with a sample buffer (Cat# S3401, Sigma-Aldrich) supplemented with 2% 2-mercaptoethanol (Cat# 19-1335, Sigma-Aldrich), denatured by boiling, and resolved in polyacrylamide gels (8–15%) at 110 V for 2 h. For preparing multiple transmembrane proteins, i.e., GLAST, GLT-1, EAAT3, vGluT-1, GAT1, and GAT3, the samples were dissolved in sample buffer (Cat# S3401, Sigma-Aldrich) with the omission of 2-mercaptoethanol, and the boiling step was skipped to avoid protein aggregation. The separated proteins were transferred to PVDF membranes (Cat# IPVH00010, Merck-Millipore), blocked with 5% skim milk, and hybridized with proper primary antibodies for 16 h at </w:t>
      </w:r>
      <w:r w:rsidRPr="0047636E">
        <w:rPr>
          <w:rFonts w:ascii="Arial" w:eastAsia="新細明體" w:hAnsi="Arial" w:cs="Arial"/>
          <w:color w:val="000000" w:themeColor="text1"/>
          <w:sz w:val="20"/>
          <w:szCs w:val="20"/>
          <w:lang w:val="en-US"/>
        </w:rPr>
        <w:t>4</w:t>
      </w:r>
      <w:r w:rsidRPr="0047636E">
        <w:rPr>
          <w:rFonts w:ascii="Arial" w:hAnsi="Arial" w:cs="Arial"/>
          <w:color w:val="000000" w:themeColor="text1"/>
          <w:sz w:val="20"/>
          <w:szCs w:val="20"/>
          <w:lang w:val="en-US"/>
        </w:rPr>
        <w:t xml:space="preserve">°C. After washing, the membranes were subsequently hybridized with proper </w:t>
      </w:r>
      <w:r w:rsidRPr="0047636E">
        <w:rPr>
          <w:rFonts w:ascii="Arial" w:eastAsia="新細明體" w:hAnsi="Arial" w:cs="Arial"/>
          <w:color w:val="000000" w:themeColor="text1"/>
          <w:sz w:val="20"/>
          <w:szCs w:val="20"/>
          <w:lang w:val="en-US"/>
        </w:rPr>
        <w:t>horseradish peroxidase (HRP)-conjugated</w:t>
      </w:r>
      <w:r w:rsidRPr="0047636E">
        <w:rPr>
          <w:rFonts w:ascii="Arial" w:hAnsi="Arial" w:cs="Arial"/>
          <w:color w:val="000000" w:themeColor="text1"/>
          <w:sz w:val="20"/>
          <w:szCs w:val="20"/>
          <w:lang w:val="en-US"/>
        </w:rPr>
        <w:t xml:space="preserve"> </w:t>
      </w:r>
      <w:r w:rsidRPr="0047636E">
        <w:rPr>
          <w:rFonts w:ascii="Arial" w:eastAsia="新細明體" w:hAnsi="Arial" w:cs="Arial"/>
          <w:color w:val="000000" w:themeColor="text1"/>
          <w:sz w:val="20"/>
          <w:szCs w:val="20"/>
          <w:lang w:val="en-US"/>
        </w:rPr>
        <w:t>secondary antibodies (goat anti-mouse IgG: Cat# 115-035-166; goat anti-rabbit IgG: Cat# 111-035-144, Jackson ImmunoResearch,</w:t>
      </w:r>
      <w:r w:rsidRPr="0047636E">
        <w:rPr>
          <w:rFonts w:ascii="Arial" w:hAnsi="Arial" w:cs="Arial"/>
          <w:color w:val="000000" w:themeColor="text1"/>
          <w:sz w:val="20"/>
          <w:szCs w:val="20"/>
          <w:lang w:val="en-US"/>
        </w:rPr>
        <w:t xml:space="preserve"> </w:t>
      </w:r>
      <w:r w:rsidRPr="0047636E">
        <w:rPr>
          <w:rFonts w:ascii="Arial" w:eastAsia="新細明體" w:hAnsi="Arial" w:cs="Arial"/>
          <w:color w:val="000000" w:themeColor="text1"/>
          <w:sz w:val="20"/>
          <w:szCs w:val="20"/>
          <w:lang w:val="en-US"/>
        </w:rPr>
        <w:t xml:space="preserve">West Grove, PA, USA). The bound antibodies were detected using an enhanced chemiluminescence detection kit (Cat# WBKLS0500, </w:t>
      </w:r>
      <w:r w:rsidRPr="0047636E">
        <w:rPr>
          <w:rFonts w:ascii="Arial" w:hAnsi="Arial" w:cs="Arial"/>
          <w:color w:val="000000" w:themeColor="text1"/>
          <w:sz w:val="20"/>
          <w:szCs w:val="20"/>
          <w:lang w:val="en-US"/>
        </w:rPr>
        <w:t>Merck-Millipore</w:t>
      </w:r>
      <w:r w:rsidRPr="0047636E">
        <w:rPr>
          <w:rFonts w:ascii="Arial" w:eastAsia="新細明體" w:hAnsi="Arial" w:cs="Arial"/>
          <w:color w:val="000000" w:themeColor="text1"/>
          <w:sz w:val="20"/>
          <w:szCs w:val="20"/>
          <w:lang w:val="en-US"/>
        </w:rPr>
        <w:t>) and X-ray film (Cat# Super RX, Fujifilm, Tokyo, Japan). Relative protein expression was estimated by normalizing with the β-actin or α-tubulin level. The band densities were analyzed using ImageJ software (v2.0.0-rc-69/1.52p, U.S. National Institutes of Health, Bethesda, MD, USA). For re-probing, the membranes were incubated with a stripping buffer containing 2% SDS, 62.5 mM Tris, and 0.8% 2-mercaptoethanol for 20 min at 55</w:t>
      </w:r>
      <w:r w:rsidRPr="0047636E">
        <w:rPr>
          <w:rFonts w:ascii="Arial" w:hAnsi="Arial" w:cs="Arial"/>
          <w:color w:val="000000" w:themeColor="text1"/>
          <w:sz w:val="20"/>
          <w:szCs w:val="20"/>
          <w:lang w:val="en-US"/>
        </w:rPr>
        <w:t xml:space="preserve">°C to remove the </w:t>
      </w:r>
      <w:r w:rsidRPr="0047636E">
        <w:rPr>
          <w:rFonts w:ascii="Arial" w:eastAsia="新細明體" w:hAnsi="Arial" w:cs="Arial"/>
          <w:color w:val="000000" w:themeColor="text1"/>
          <w:sz w:val="20"/>
          <w:szCs w:val="20"/>
          <w:lang w:val="en-US"/>
        </w:rPr>
        <w:t xml:space="preserve">bound antibodies. The dilution ratios of antibodies and the image exposure time were tested to confirm that </w:t>
      </w:r>
      <w:r w:rsidRPr="0047636E">
        <w:rPr>
          <w:rFonts w:ascii="Arial" w:eastAsia="新細明體" w:hAnsi="Arial" w:cs="Arial"/>
          <w:color w:val="000000" w:themeColor="text1"/>
          <w:sz w:val="20"/>
          <w:szCs w:val="20"/>
          <w:lang w:val="en-US"/>
        </w:rPr>
        <w:lastRenderedPageBreak/>
        <w:t xml:space="preserve">the luminescence signals were within the linear range of detection. Antibodies used in this study are listed in </w:t>
      </w:r>
      <w:r w:rsidRPr="0047636E">
        <w:rPr>
          <w:rFonts w:ascii="Arial" w:eastAsia="新細明體" w:hAnsi="Arial" w:cs="Arial"/>
          <w:b/>
          <w:bCs/>
          <w:color w:val="000000" w:themeColor="text1"/>
          <w:sz w:val="20"/>
          <w:szCs w:val="20"/>
          <w:lang w:val="en-US"/>
        </w:rPr>
        <w:t>Supplementary Table S3</w:t>
      </w:r>
      <w:r w:rsidRPr="0047636E">
        <w:rPr>
          <w:rFonts w:ascii="Arial" w:eastAsia="新細明體" w:hAnsi="Arial" w:cs="Arial"/>
          <w:color w:val="000000" w:themeColor="text1"/>
          <w:sz w:val="20"/>
          <w:szCs w:val="20"/>
          <w:lang w:val="en-US"/>
        </w:rPr>
        <w:t>.</w:t>
      </w:r>
    </w:p>
    <w:p w14:paraId="45037D1C" w14:textId="77777777" w:rsidR="00670D14" w:rsidRPr="0047636E" w:rsidRDefault="00670D14" w:rsidP="00850219">
      <w:pPr>
        <w:spacing w:line="360" w:lineRule="auto"/>
        <w:jc w:val="both"/>
        <w:rPr>
          <w:rStyle w:val="CharAttribute10"/>
          <w:rFonts w:ascii="Arial" w:hAnsi="Arial" w:cs="Arial"/>
          <w:color w:val="000000" w:themeColor="text1"/>
          <w:sz w:val="20"/>
          <w:szCs w:val="20"/>
          <w:lang w:val="en-US"/>
        </w:rPr>
      </w:pPr>
    </w:p>
    <w:p w14:paraId="31E38725" w14:textId="7FA68FD8" w:rsidR="00670D14" w:rsidRPr="0047636E" w:rsidRDefault="008C52C0" w:rsidP="000D584F">
      <w:pPr>
        <w:spacing w:line="360" w:lineRule="auto"/>
        <w:jc w:val="both"/>
        <w:rPr>
          <w:rFonts w:ascii="Arial" w:eastAsia="新細明體" w:hAnsi="Arial" w:cs="Arial"/>
          <w:b/>
          <w:bCs/>
          <w:color w:val="000000" w:themeColor="text1"/>
          <w:sz w:val="20"/>
          <w:szCs w:val="20"/>
          <w:lang w:val="en-US"/>
        </w:rPr>
      </w:pPr>
      <w:r w:rsidRPr="0047636E">
        <w:rPr>
          <w:rFonts w:ascii="Arial" w:eastAsia="新細明體" w:hAnsi="Arial" w:cs="Arial"/>
          <w:b/>
          <w:bCs/>
          <w:color w:val="000000" w:themeColor="text1"/>
          <w:sz w:val="20"/>
          <w:szCs w:val="20"/>
          <w:lang w:val="en-US"/>
        </w:rPr>
        <w:t>Fluoro-Gold</w:t>
      </w:r>
      <w:r w:rsidR="00670D14" w:rsidRPr="0047636E">
        <w:rPr>
          <w:rFonts w:ascii="Arial" w:eastAsia="新細明體" w:hAnsi="Arial" w:cs="Arial"/>
          <w:b/>
          <w:bCs/>
          <w:color w:val="000000" w:themeColor="text1"/>
          <w:sz w:val="20"/>
          <w:szCs w:val="20"/>
          <w:lang w:val="en-US"/>
        </w:rPr>
        <w:t xml:space="preserve"> retrograde tracing</w:t>
      </w:r>
    </w:p>
    <w:p w14:paraId="00C46678" w14:textId="2B62CE55" w:rsidR="00670D14" w:rsidRPr="0047636E" w:rsidRDefault="00670D14" w:rsidP="000D584F">
      <w:pPr>
        <w:spacing w:line="360" w:lineRule="auto"/>
        <w:jc w:val="both"/>
        <w:rPr>
          <w:rFonts w:ascii="Arial" w:eastAsia="新細明體" w:hAnsi="Arial" w:cs="Arial"/>
          <w:color w:val="000000" w:themeColor="text1"/>
          <w:sz w:val="20"/>
          <w:szCs w:val="20"/>
          <w:lang w:val="en-US"/>
        </w:rPr>
      </w:pPr>
      <w:r w:rsidRPr="0047636E">
        <w:rPr>
          <w:rFonts w:ascii="Arial" w:eastAsia="新細明體" w:hAnsi="Arial" w:cs="Arial"/>
          <w:color w:val="000000" w:themeColor="text1"/>
          <w:sz w:val="20"/>
          <w:szCs w:val="20"/>
          <w:lang w:val="en-US"/>
        </w:rPr>
        <w:t xml:space="preserve">One week before concluding the experiments, the mice were anesthetized with Zoletil 50 (75 mg/kg, i.p.; Virbac), mounted on a stereotaxic apparatus (Model: 51500, </w:t>
      </w:r>
      <w:r w:rsidRPr="0047636E">
        <w:rPr>
          <w:rFonts w:ascii="Arial" w:hAnsi="Arial" w:cs="Arial"/>
          <w:color w:val="000000" w:themeColor="text1"/>
          <w:sz w:val="20"/>
          <w:szCs w:val="20"/>
          <w:lang w:val="en-US"/>
        </w:rPr>
        <w:t>Stoelting, Wood Dale, IL, USA</w:t>
      </w:r>
      <w:r w:rsidRPr="0047636E">
        <w:rPr>
          <w:rFonts w:ascii="Arial" w:eastAsia="新細明體" w:hAnsi="Arial" w:cs="Arial"/>
          <w:color w:val="000000" w:themeColor="text1"/>
          <w:sz w:val="20"/>
          <w:szCs w:val="20"/>
          <w:lang w:val="en-US"/>
        </w:rPr>
        <w:t xml:space="preserve">), and received infusions of </w:t>
      </w:r>
      <w:r w:rsidR="008C52C0" w:rsidRPr="0047636E">
        <w:rPr>
          <w:rFonts w:ascii="Arial" w:eastAsia="新細明體" w:hAnsi="Arial" w:cs="Arial"/>
          <w:color w:val="000000" w:themeColor="text1"/>
          <w:sz w:val="20"/>
          <w:szCs w:val="20"/>
          <w:lang w:val="en-US"/>
        </w:rPr>
        <w:t>Fluoro-Gold (</w:t>
      </w:r>
      <w:r w:rsidRPr="0047636E">
        <w:rPr>
          <w:rFonts w:ascii="Arial" w:eastAsia="新細明體" w:hAnsi="Arial" w:cs="Arial"/>
          <w:color w:val="000000" w:themeColor="text1"/>
          <w:sz w:val="20"/>
          <w:szCs w:val="20"/>
          <w:lang w:val="en-US"/>
        </w:rPr>
        <w:t>FG</w:t>
      </w:r>
      <w:r w:rsidR="008C52C0" w:rsidRPr="0047636E">
        <w:rPr>
          <w:rFonts w:ascii="Arial" w:eastAsia="新細明體" w:hAnsi="Arial" w:cs="Arial"/>
          <w:color w:val="000000" w:themeColor="text1"/>
          <w:sz w:val="20"/>
          <w:szCs w:val="20"/>
          <w:lang w:val="en-US"/>
        </w:rPr>
        <w:t>,</w:t>
      </w:r>
      <w:r w:rsidRPr="0047636E">
        <w:rPr>
          <w:rFonts w:ascii="Arial" w:eastAsia="新細明體" w:hAnsi="Arial" w:cs="Arial"/>
          <w:color w:val="000000" w:themeColor="text1"/>
          <w:sz w:val="20"/>
          <w:szCs w:val="20"/>
          <w:lang w:val="en-US"/>
        </w:rPr>
        <w:t xml:space="preserve"> 5% dissolved in ultrapure water, Cat# sc-358883, Santa Cruz Biotechnology, Dallas, TX, USA) into their bilateral NAc (AP: +1.0 mm; ML: ±1.0 mm; DV: -4.6 mm from the bregma) at the rate of 0.005 µ</w:t>
      </w:r>
      <w:r w:rsidRPr="0047636E">
        <w:rPr>
          <w:rFonts w:ascii="Arial" w:hAnsi="Arial" w:cs="Arial"/>
          <w:color w:val="000000" w:themeColor="text1"/>
          <w:sz w:val="20"/>
          <w:szCs w:val="20"/>
          <w:lang w:val="en-US"/>
        </w:rPr>
        <w:t>L/min via a 30G stainless steel needle connected to a syringe (Model: 80000, Hamilton, Reno, NV, USA) with a PE-10 tube (Cat# BTPE-10, Instech, Plymouth Meeting, PA, USA)</w:t>
      </w:r>
      <w:r w:rsidRPr="0047636E">
        <w:rPr>
          <w:rFonts w:ascii="Arial" w:eastAsia="新細明體" w:hAnsi="Arial" w:cs="Arial"/>
          <w:color w:val="000000" w:themeColor="text1"/>
          <w:sz w:val="20"/>
          <w:szCs w:val="20"/>
          <w:lang w:val="en-US"/>
        </w:rPr>
        <w:t>. The infusion rate was controlled by a microsyringe pump (Model: KDS 210, KD Scientific, Holliston, MA, USA). After completing the infusion, the needle was kept in place for 10 min before withdrawal to prevent reflux. The incisions were closed with Michel suture clips (Cat# BN507R, Aesculap, Center Valley, PA, USA). We compared the diffusion of various volumes of FG (i.e., 0.03, 0.05, and 0.08 µ</w:t>
      </w:r>
      <w:r w:rsidRPr="0047636E">
        <w:rPr>
          <w:rFonts w:ascii="Arial" w:hAnsi="Arial" w:cs="Arial"/>
          <w:color w:val="000000" w:themeColor="text1"/>
          <w:sz w:val="20"/>
          <w:szCs w:val="20"/>
          <w:lang w:val="en-US"/>
        </w:rPr>
        <w:t xml:space="preserve">L) </w:t>
      </w:r>
      <w:r w:rsidRPr="0047636E">
        <w:rPr>
          <w:rFonts w:ascii="Arial" w:eastAsia="新細明體" w:hAnsi="Arial" w:cs="Arial"/>
          <w:color w:val="000000" w:themeColor="text1"/>
          <w:sz w:val="20"/>
          <w:szCs w:val="20"/>
          <w:lang w:val="en-US"/>
        </w:rPr>
        <w:t xml:space="preserve">infused to the NAc </w:t>
      </w:r>
      <w:r w:rsidRPr="0047636E">
        <w:rPr>
          <w:rFonts w:ascii="Arial" w:hAnsi="Arial" w:cs="Arial"/>
          <w:color w:val="000000" w:themeColor="text1"/>
          <w:sz w:val="20"/>
          <w:szCs w:val="20"/>
          <w:lang w:val="en-US"/>
        </w:rPr>
        <w:t xml:space="preserve">and found that an infusion of </w:t>
      </w:r>
      <w:r w:rsidRPr="0047636E">
        <w:rPr>
          <w:rFonts w:ascii="Arial" w:eastAsia="新細明體" w:hAnsi="Arial" w:cs="Arial"/>
          <w:color w:val="000000" w:themeColor="text1"/>
          <w:sz w:val="20"/>
          <w:szCs w:val="20"/>
          <w:lang w:val="en-US"/>
        </w:rPr>
        <w:t>0.03 µ</w:t>
      </w:r>
      <w:r w:rsidRPr="0047636E">
        <w:rPr>
          <w:rFonts w:ascii="Arial" w:hAnsi="Arial" w:cs="Arial"/>
          <w:color w:val="000000" w:themeColor="text1"/>
          <w:sz w:val="20"/>
          <w:szCs w:val="20"/>
          <w:lang w:val="en-US"/>
        </w:rPr>
        <w:t>L resulted in a more restricted diffusion pattern than the other two (</w:t>
      </w:r>
      <w:r w:rsidRPr="0047636E">
        <w:rPr>
          <w:rFonts w:ascii="Arial" w:hAnsi="Arial" w:cs="Arial"/>
          <w:b/>
          <w:bCs/>
          <w:color w:val="000000" w:themeColor="text1"/>
          <w:sz w:val="20"/>
          <w:szCs w:val="20"/>
          <w:lang w:val="en-US"/>
        </w:rPr>
        <w:t>Supplementary Figure S1a</w:t>
      </w:r>
      <w:r w:rsidRPr="0047636E">
        <w:rPr>
          <w:rFonts w:ascii="Arial" w:hAnsi="Arial" w:cs="Arial"/>
          <w:color w:val="000000" w:themeColor="text1"/>
          <w:sz w:val="20"/>
          <w:szCs w:val="20"/>
          <w:lang w:val="en-US"/>
        </w:rPr>
        <w:t xml:space="preserve">). Therefore, </w:t>
      </w:r>
      <w:r w:rsidRPr="0047636E">
        <w:rPr>
          <w:rFonts w:ascii="Arial" w:eastAsia="新細明體" w:hAnsi="Arial" w:cs="Arial"/>
          <w:color w:val="000000" w:themeColor="text1"/>
          <w:sz w:val="20"/>
          <w:szCs w:val="20"/>
          <w:lang w:val="en-US"/>
        </w:rPr>
        <w:t xml:space="preserve">we </w:t>
      </w:r>
      <w:r w:rsidRPr="0047636E">
        <w:rPr>
          <w:rFonts w:ascii="Arial" w:hAnsi="Arial" w:cs="Arial"/>
          <w:color w:val="000000" w:themeColor="text1"/>
          <w:sz w:val="20"/>
          <w:szCs w:val="20"/>
          <w:lang w:val="en-US"/>
        </w:rPr>
        <w:t xml:space="preserve">infused </w:t>
      </w:r>
      <w:r w:rsidRPr="0047636E">
        <w:rPr>
          <w:rFonts w:ascii="Arial" w:eastAsia="新細明體" w:hAnsi="Arial" w:cs="Arial"/>
          <w:color w:val="000000" w:themeColor="text1"/>
          <w:sz w:val="20"/>
          <w:szCs w:val="20"/>
          <w:lang w:val="en-US"/>
        </w:rPr>
        <w:t>0.03 µ</w:t>
      </w:r>
      <w:r w:rsidRPr="0047636E">
        <w:rPr>
          <w:rFonts w:ascii="Arial" w:hAnsi="Arial" w:cs="Arial"/>
          <w:color w:val="000000" w:themeColor="text1"/>
          <w:sz w:val="20"/>
          <w:szCs w:val="20"/>
          <w:lang w:val="en-US"/>
        </w:rPr>
        <w:t>L of FG to each side of the NAc</w:t>
      </w:r>
      <w:r w:rsidRPr="0047636E">
        <w:rPr>
          <w:rFonts w:ascii="Arial" w:eastAsia="新細明體" w:hAnsi="Arial" w:cs="Arial"/>
          <w:color w:val="000000" w:themeColor="text1"/>
          <w:sz w:val="20"/>
          <w:szCs w:val="20"/>
          <w:lang w:val="en-US"/>
        </w:rPr>
        <w:t xml:space="preserve"> to </w:t>
      </w:r>
      <w:r w:rsidRPr="0047636E">
        <w:rPr>
          <w:rFonts w:ascii="Arial" w:hAnsi="Arial" w:cs="Arial"/>
          <w:color w:val="000000" w:themeColor="text1"/>
          <w:sz w:val="20"/>
          <w:szCs w:val="20"/>
          <w:lang w:val="en-US"/>
        </w:rPr>
        <w:t xml:space="preserve">label the NAc-projecting neurons. </w:t>
      </w:r>
    </w:p>
    <w:p w14:paraId="099BBCC6" w14:textId="77777777" w:rsidR="00670D14" w:rsidRPr="0047636E" w:rsidRDefault="00670D14" w:rsidP="00850219">
      <w:pPr>
        <w:spacing w:line="360" w:lineRule="auto"/>
        <w:jc w:val="both"/>
        <w:rPr>
          <w:rStyle w:val="CharAttribute10"/>
          <w:rFonts w:ascii="Arial" w:hAnsi="Arial" w:cs="Arial"/>
          <w:color w:val="000000" w:themeColor="text1"/>
          <w:sz w:val="20"/>
          <w:szCs w:val="20"/>
          <w:lang w:val="en-US"/>
        </w:rPr>
      </w:pPr>
    </w:p>
    <w:p w14:paraId="36A5ADBB" w14:textId="77777777" w:rsidR="00670D14" w:rsidRPr="0047636E" w:rsidRDefault="00670D14" w:rsidP="000D584F">
      <w:pPr>
        <w:spacing w:line="360" w:lineRule="auto"/>
        <w:jc w:val="both"/>
        <w:rPr>
          <w:rFonts w:ascii="Arial" w:hAnsi="Arial" w:cs="Arial"/>
          <w:b/>
          <w:bCs/>
          <w:color w:val="000000" w:themeColor="text1"/>
          <w:sz w:val="20"/>
          <w:szCs w:val="20"/>
          <w:lang w:val="en-US"/>
        </w:rPr>
      </w:pPr>
      <w:r w:rsidRPr="0047636E">
        <w:rPr>
          <w:rFonts w:ascii="Arial" w:hAnsi="Arial" w:cs="Arial"/>
          <w:b/>
          <w:bCs/>
          <w:color w:val="000000" w:themeColor="text1"/>
          <w:sz w:val="20"/>
          <w:szCs w:val="20"/>
          <w:lang w:val="en-US"/>
        </w:rPr>
        <w:t>Immunostaining</w:t>
      </w:r>
    </w:p>
    <w:p w14:paraId="0D06ADF3" w14:textId="77777777" w:rsidR="00670D14" w:rsidRPr="0047636E" w:rsidRDefault="00670D14" w:rsidP="000D584F">
      <w:pPr>
        <w:spacing w:line="360" w:lineRule="auto"/>
        <w:jc w:val="both"/>
        <w:rPr>
          <w:rFonts w:ascii="Arial" w:hAnsi="Arial" w:cs="Arial"/>
          <w:color w:val="000000" w:themeColor="text1"/>
          <w:sz w:val="20"/>
          <w:szCs w:val="20"/>
          <w:lang w:val="en-US"/>
        </w:rPr>
      </w:pPr>
      <w:r w:rsidRPr="0047636E">
        <w:rPr>
          <w:rFonts w:ascii="Arial" w:eastAsia="新細明體" w:hAnsi="Arial" w:cs="Arial"/>
          <w:color w:val="000000" w:themeColor="text1"/>
          <w:sz w:val="20"/>
          <w:szCs w:val="20"/>
          <w:lang w:val="en-US"/>
        </w:rPr>
        <w:t xml:space="preserve">Mice were anesthetized with Zoletil 50 (75 mg/kg, i.p.; Virbac) and transcardially perfused with chilled PBS (Cat# 10010023, </w:t>
      </w:r>
      <w:r w:rsidRPr="0047636E">
        <w:rPr>
          <w:rFonts w:ascii="Arial" w:hAnsi="Arial" w:cs="Arial"/>
          <w:color w:val="000000" w:themeColor="text1"/>
          <w:sz w:val="20"/>
          <w:szCs w:val="20"/>
          <w:lang w:val="en-US"/>
        </w:rPr>
        <w:t>Thermo Fisher Scientific</w:t>
      </w:r>
      <w:r w:rsidRPr="0047636E">
        <w:rPr>
          <w:rFonts w:ascii="Arial" w:eastAsia="新細明體" w:hAnsi="Arial" w:cs="Arial"/>
          <w:color w:val="000000" w:themeColor="text1"/>
          <w:sz w:val="20"/>
          <w:szCs w:val="20"/>
          <w:lang w:val="en-US"/>
        </w:rPr>
        <w:t xml:space="preserve">) and 4% paraformaldehyde (Cat# 158127, Sigma-Aldrich) prepared in 0.1M phosphate buffer (Cat# P3619, Sigma-Aldrich). Their brains were removed, post-fixed with buffered 4% paraformaldehyde for 24 h, and dehydrated daily with gradually increasing concentrations (10, 20, 30, and 35%, twice per concentration) of sucrose (Cat# S9378, Sigma-Aldrich) solutions prepared in 0.1 M phosphate buffer (Cat# P3619, Sigma-Aldrich). The dehydrated brains were embedded in the cutting compound (Cat# 3801480, </w:t>
      </w:r>
      <w:r w:rsidRPr="0047636E">
        <w:rPr>
          <w:rFonts w:ascii="Arial" w:hAnsi="Arial" w:cs="Arial"/>
          <w:color w:val="000000" w:themeColor="text1"/>
          <w:sz w:val="20"/>
          <w:szCs w:val="20"/>
          <w:lang w:val="en-US"/>
        </w:rPr>
        <w:t>Leica Biosystems, Wetzlar, Hessen, Germany</w:t>
      </w:r>
      <w:r w:rsidRPr="0047636E">
        <w:rPr>
          <w:rFonts w:ascii="Arial" w:eastAsia="新細明體" w:hAnsi="Arial" w:cs="Arial"/>
          <w:color w:val="000000" w:themeColor="text1"/>
          <w:sz w:val="20"/>
          <w:szCs w:val="20"/>
          <w:lang w:val="en-US"/>
        </w:rPr>
        <w:t>) and sliced into 25-µ</w:t>
      </w:r>
      <w:r w:rsidRPr="0047636E">
        <w:rPr>
          <w:rFonts w:ascii="Arial" w:hAnsi="Arial" w:cs="Arial"/>
          <w:color w:val="000000" w:themeColor="text1"/>
          <w:sz w:val="20"/>
          <w:szCs w:val="20"/>
          <w:lang w:val="en-US"/>
        </w:rPr>
        <w:t xml:space="preserve">m </w:t>
      </w:r>
      <w:r w:rsidRPr="0047636E">
        <w:rPr>
          <w:rFonts w:ascii="Arial" w:eastAsia="新細明體" w:hAnsi="Arial" w:cs="Arial"/>
          <w:color w:val="000000" w:themeColor="text1"/>
          <w:sz w:val="20"/>
          <w:szCs w:val="20"/>
          <w:lang w:val="en-US"/>
        </w:rPr>
        <w:t>coronal</w:t>
      </w:r>
      <w:r w:rsidRPr="0047636E">
        <w:rPr>
          <w:rFonts w:ascii="Arial" w:hAnsi="Arial" w:cs="Arial"/>
          <w:color w:val="000000" w:themeColor="text1"/>
          <w:sz w:val="20"/>
          <w:szCs w:val="20"/>
          <w:lang w:val="en-US"/>
        </w:rPr>
        <w:t xml:space="preserve"> sections using a cryostat (Model: CM1950, Leica Biosystems). </w:t>
      </w:r>
    </w:p>
    <w:p w14:paraId="544BF853" w14:textId="77777777" w:rsidR="00670D14" w:rsidRPr="0047636E" w:rsidRDefault="00670D14" w:rsidP="000D584F">
      <w:pPr>
        <w:spacing w:line="360" w:lineRule="auto"/>
        <w:ind w:firstLine="480"/>
        <w:jc w:val="both"/>
        <w:rPr>
          <w:rFonts w:ascii="Arial" w:eastAsia="新細明體" w:hAnsi="Arial" w:cs="Arial"/>
          <w:color w:val="000000" w:themeColor="text1"/>
          <w:sz w:val="20"/>
          <w:szCs w:val="20"/>
          <w:lang w:val="en-US"/>
        </w:rPr>
      </w:pPr>
      <w:r w:rsidRPr="0047636E">
        <w:rPr>
          <w:rFonts w:ascii="Arial" w:hAnsi="Arial" w:cs="Arial"/>
          <w:color w:val="000000" w:themeColor="text1"/>
          <w:sz w:val="20"/>
          <w:szCs w:val="20"/>
          <w:lang w:val="en-US"/>
        </w:rPr>
        <w:lastRenderedPageBreak/>
        <w:t xml:space="preserve">Immunohistochemistry of FG and mCherry were performed to determine the spatial distributions of the NAc-projecting neurons in the brain of mice that received bilateral infusions of FG or rAAV into the NAc, respectively. The coronal </w:t>
      </w:r>
      <w:r w:rsidRPr="0047636E">
        <w:rPr>
          <w:rFonts w:ascii="Arial" w:eastAsia="新細明體" w:hAnsi="Arial" w:cs="Arial"/>
          <w:color w:val="000000" w:themeColor="text1"/>
          <w:sz w:val="20"/>
          <w:szCs w:val="20"/>
          <w:lang w:val="en-US"/>
        </w:rPr>
        <w:t xml:space="preserve">brain sections were washed with PBS (Cat# 10010023, </w:t>
      </w:r>
      <w:r w:rsidRPr="0047636E">
        <w:rPr>
          <w:rFonts w:ascii="Arial" w:hAnsi="Arial" w:cs="Arial"/>
          <w:color w:val="000000" w:themeColor="text1"/>
          <w:sz w:val="20"/>
          <w:szCs w:val="20"/>
          <w:lang w:val="en-US"/>
        </w:rPr>
        <w:t>Thermo Fisher Scientific</w:t>
      </w:r>
      <w:r w:rsidRPr="0047636E">
        <w:rPr>
          <w:rFonts w:ascii="Arial" w:eastAsia="新細明體" w:hAnsi="Arial" w:cs="Arial"/>
          <w:color w:val="000000" w:themeColor="text1"/>
          <w:sz w:val="20"/>
          <w:szCs w:val="20"/>
          <w:lang w:val="en-US"/>
        </w:rPr>
        <w:t>) containing 0.3% Triton X-100 (Cat# X100, Sigma-Aldrich) (PBST), incubated with PBST containing 3% H</w:t>
      </w:r>
      <w:r w:rsidRPr="0047636E">
        <w:rPr>
          <w:rFonts w:ascii="Arial" w:eastAsia="新細明體" w:hAnsi="Arial" w:cs="Arial"/>
          <w:color w:val="000000" w:themeColor="text1"/>
          <w:sz w:val="20"/>
          <w:szCs w:val="20"/>
          <w:vertAlign w:val="subscript"/>
          <w:lang w:val="en-US"/>
        </w:rPr>
        <w:t>2</w:t>
      </w:r>
      <w:r w:rsidRPr="0047636E">
        <w:rPr>
          <w:rFonts w:ascii="Arial" w:eastAsia="新細明體" w:hAnsi="Arial" w:cs="Arial"/>
          <w:color w:val="000000" w:themeColor="text1"/>
          <w:sz w:val="20"/>
          <w:szCs w:val="20"/>
          <w:lang w:val="en-US"/>
        </w:rPr>
        <w:t>O</w:t>
      </w:r>
      <w:r w:rsidRPr="0047636E">
        <w:rPr>
          <w:rFonts w:ascii="Arial" w:eastAsia="新細明體" w:hAnsi="Arial" w:cs="Arial"/>
          <w:color w:val="000000" w:themeColor="text1"/>
          <w:sz w:val="20"/>
          <w:szCs w:val="20"/>
          <w:vertAlign w:val="subscript"/>
          <w:lang w:val="en-US"/>
        </w:rPr>
        <w:t>2</w:t>
      </w:r>
      <w:r w:rsidRPr="0047636E">
        <w:rPr>
          <w:rFonts w:ascii="Arial" w:eastAsia="新細明體" w:hAnsi="Arial" w:cs="Arial"/>
          <w:color w:val="000000" w:themeColor="text1"/>
          <w:sz w:val="20"/>
          <w:szCs w:val="20"/>
          <w:lang w:val="en-US"/>
        </w:rPr>
        <w:t xml:space="preserve"> (Cat# H1009, Sigma-Aldrich) for 20 min at room temperature, blocked with 3% normal goat (Cat# S26-M, Sigma-Aldrich, used in staining FG) or donkey serum (Cat# S30-M, Sigma-Aldrich, used in staining mCherry) prepared in PBST for 1 h at room temperature, and probed with primary antibodies against FG (1: 500 dilution, Cat# </w:t>
      </w:r>
      <w:r w:rsidRPr="0047636E">
        <w:rPr>
          <w:rFonts w:ascii="Arial" w:hAnsi="Arial" w:cs="Arial"/>
          <w:color w:val="000000" w:themeColor="text1"/>
          <w:sz w:val="20"/>
          <w:szCs w:val="20"/>
          <w:lang w:val="en-US"/>
        </w:rPr>
        <w:t>AB153-I, Merck-Millipore</w:t>
      </w:r>
      <w:r w:rsidRPr="0047636E">
        <w:rPr>
          <w:rFonts w:ascii="Arial" w:eastAsia="新細明體" w:hAnsi="Arial" w:cs="Arial"/>
          <w:color w:val="000000" w:themeColor="text1"/>
          <w:sz w:val="20"/>
          <w:szCs w:val="20"/>
          <w:lang w:val="en-US"/>
        </w:rPr>
        <w:t>) and mCherry (1: 200 dilution, Cat# AB0040-200, OriGene Technologies, Rockville, MD, USA) for 16 h at room temperature. After washing out unbound antibodies, the brain sections were incubated with HRP-conjugated</w:t>
      </w:r>
      <w:r w:rsidRPr="0047636E">
        <w:rPr>
          <w:rFonts w:ascii="Arial" w:hAnsi="Arial" w:cs="Arial"/>
          <w:color w:val="000000" w:themeColor="text1"/>
          <w:sz w:val="20"/>
          <w:szCs w:val="20"/>
          <w:lang w:val="en-US"/>
        </w:rPr>
        <w:t xml:space="preserve"> </w:t>
      </w:r>
      <w:r w:rsidRPr="0047636E">
        <w:rPr>
          <w:rFonts w:ascii="Arial" w:eastAsia="新細明體" w:hAnsi="Arial" w:cs="Arial"/>
          <w:color w:val="000000" w:themeColor="text1"/>
          <w:sz w:val="20"/>
          <w:szCs w:val="20"/>
          <w:lang w:val="en-US"/>
        </w:rPr>
        <w:t>secondary antibodies (for FG: 1:500 dilution, goat anti-rabbit IgG, Cat# 111-035-144; for mCherry: 1:500 dilution, donkey anti-goat IgG, Cat# 705-035-147, Jackson ImmunoResearch) for 2 h at room temperature, followed by PBST washes, and incubated with the chromogen, 3,3</w:t>
      </w:r>
      <w:r w:rsidRPr="0047636E">
        <w:rPr>
          <w:rFonts w:ascii="Arial" w:hAnsi="Arial" w:cs="Arial"/>
          <w:color w:val="000000" w:themeColor="text1"/>
          <w:sz w:val="20"/>
          <w:szCs w:val="20"/>
          <w:lang w:val="en-US"/>
        </w:rPr>
        <w:t>′</w:t>
      </w:r>
      <w:r w:rsidRPr="0047636E">
        <w:rPr>
          <w:rFonts w:ascii="Arial" w:eastAsia="新細明體" w:hAnsi="Arial" w:cs="Arial"/>
          <w:color w:val="000000" w:themeColor="text1"/>
          <w:sz w:val="20"/>
          <w:szCs w:val="20"/>
          <w:lang w:val="en-US"/>
        </w:rPr>
        <w:t xml:space="preserve">-Diaminobenzidine (Cat# D12384, Sigma-Aldrich). After dehydration, sections were mounted with the xylene-based mounting medium (Cat# 3801730, </w:t>
      </w:r>
      <w:r w:rsidRPr="0047636E">
        <w:rPr>
          <w:rFonts w:ascii="Arial" w:hAnsi="Arial" w:cs="Arial"/>
          <w:color w:val="000000" w:themeColor="text1"/>
          <w:sz w:val="20"/>
          <w:szCs w:val="20"/>
          <w:lang w:val="en-US"/>
        </w:rPr>
        <w:t>Leica Biosystems</w:t>
      </w:r>
      <w:r w:rsidRPr="0047636E">
        <w:rPr>
          <w:rFonts w:ascii="Arial" w:eastAsia="新細明體" w:hAnsi="Arial" w:cs="Arial"/>
          <w:color w:val="000000" w:themeColor="text1"/>
          <w:sz w:val="20"/>
          <w:szCs w:val="20"/>
          <w:lang w:val="en-US"/>
        </w:rPr>
        <w:t>). The FG-immunoreactive (FG</w:t>
      </w:r>
      <w:r w:rsidRPr="0047636E">
        <w:rPr>
          <w:rFonts w:ascii="Arial" w:eastAsia="新細明體" w:hAnsi="Arial" w:cs="Arial"/>
          <w:color w:val="000000" w:themeColor="text1"/>
          <w:sz w:val="20"/>
          <w:szCs w:val="20"/>
          <w:vertAlign w:val="superscript"/>
          <w:lang w:val="en-US"/>
        </w:rPr>
        <w:t>+</w:t>
      </w:r>
      <w:r w:rsidRPr="0047636E">
        <w:rPr>
          <w:rFonts w:ascii="Arial" w:eastAsia="新細明體" w:hAnsi="Arial" w:cs="Arial"/>
          <w:color w:val="000000" w:themeColor="text1"/>
          <w:sz w:val="20"/>
          <w:szCs w:val="20"/>
          <w:lang w:val="en-US"/>
        </w:rPr>
        <w:t>) and mCherry-immunoreactive (mCherry</w:t>
      </w:r>
      <w:r w:rsidRPr="0047636E">
        <w:rPr>
          <w:rFonts w:ascii="Arial" w:eastAsia="新細明體" w:hAnsi="Arial" w:cs="Arial"/>
          <w:color w:val="000000" w:themeColor="text1"/>
          <w:sz w:val="20"/>
          <w:szCs w:val="20"/>
          <w:vertAlign w:val="superscript"/>
          <w:lang w:val="en-US"/>
        </w:rPr>
        <w:t>+</w:t>
      </w:r>
      <w:r w:rsidRPr="0047636E">
        <w:rPr>
          <w:rFonts w:ascii="Arial" w:eastAsia="新細明體" w:hAnsi="Arial" w:cs="Arial"/>
          <w:color w:val="000000" w:themeColor="text1"/>
          <w:sz w:val="20"/>
          <w:szCs w:val="20"/>
          <w:lang w:val="en-US"/>
        </w:rPr>
        <w:t xml:space="preserve">) cells are shown in </w:t>
      </w:r>
      <w:r w:rsidRPr="0047636E">
        <w:rPr>
          <w:rFonts w:ascii="Arial" w:eastAsia="新細明體" w:hAnsi="Arial" w:cs="Arial"/>
          <w:b/>
          <w:bCs/>
          <w:color w:val="000000" w:themeColor="text1"/>
          <w:sz w:val="20"/>
          <w:szCs w:val="20"/>
          <w:lang w:val="en-US"/>
        </w:rPr>
        <w:t>Supplementary Figures S1c</w:t>
      </w:r>
      <w:r w:rsidRPr="0047636E">
        <w:rPr>
          <w:rFonts w:ascii="Arial" w:eastAsia="新細明體" w:hAnsi="Arial" w:cs="Arial"/>
          <w:color w:val="000000" w:themeColor="text1"/>
          <w:sz w:val="20"/>
          <w:szCs w:val="20"/>
          <w:lang w:val="en-US"/>
        </w:rPr>
        <w:t xml:space="preserve"> and </w:t>
      </w:r>
      <w:r w:rsidRPr="0047636E">
        <w:rPr>
          <w:rFonts w:ascii="Arial" w:eastAsia="新細明體" w:hAnsi="Arial" w:cs="Arial"/>
          <w:b/>
          <w:bCs/>
          <w:color w:val="000000" w:themeColor="text1"/>
          <w:sz w:val="20"/>
          <w:szCs w:val="20"/>
          <w:lang w:val="en-US"/>
        </w:rPr>
        <w:t>S3a</w:t>
      </w:r>
      <w:r w:rsidRPr="0047636E">
        <w:rPr>
          <w:rFonts w:ascii="Arial" w:eastAsia="新細明體" w:hAnsi="Arial" w:cs="Arial"/>
          <w:color w:val="000000" w:themeColor="text1"/>
          <w:sz w:val="20"/>
          <w:szCs w:val="20"/>
          <w:lang w:val="en-US"/>
        </w:rPr>
        <w:t>.</w:t>
      </w:r>
    </w:p>
    <w:p w14:paraId="01827913" w14:textId="77777777" w:rsidR="00670D14" w:rsidRPr="0047636E" w:rsidRDefault="00670D14" w:rsidP="000D584F">
      <w:pPr>
        <w:spacing w:line="360" w:lineRule="auto"/>
        <w:ind w:firstLine="480"/>
        <w:jc w:val="both"/>
        <w:rPr>
          <w:rFonts w:ascii="Arial" w:eastAsia="新細明體" w:hAnsi="Arial" w:cs="Arial"/>
          <w:color w:val="000000" w:themeColor="text1"/>
          <w:sz w:val="20"/>
          <w:szCs w:val="20"/>
          <w:lang w:val="en-US"/>
        </w:rPr>
      </w:pPr>
      <w:r w:rsidRPr="0047636E">
        <w:rPr>
          <w:rFonts w:ascii="Arial" w:hAnsi="Arial" w:cs="Arial"/>
          <w:color w:val="000000" w:themeColor="text1"/>
          <w:sz w:val="20"/>
          <w:szCs w:val="20"/>
          <w:lang w:val="en-US"/>
        </w:rPr>
        <w:t xml:space="preserve">Immunofluorescence was used to determine the expression levels of glutaminase and c-Fos in the mPFC, lateral and basolateral amygdala (BLA), and vHPC. The brain sections were washed and blocked as aforementioned and incubated with </w:t>
      </w:r>
      <w:r w:rsidRPr="0047636E">
        <w:rPr>
          <w:rFonts w:ascii="Arial" w:eastAsia="新細明體" w:hAnsi="Arial" w:cs="Arial"/>
          <w:color w:val="000000" w:themeColor="text1"/>
          <w:sz w:val="20"/>
          <w:szCs w:val="20"/>
          <w:lang w:val="en-US"/>
        </w:rPr>
        <w:t xml:space="preserve">primary antibodies against glutaminase (1: 1,000 dilution, Cat# </w:t>
      </w:r>
      <w:r w:rsidRPr="0047636E">
        <w:rPr>
          <w:rFonts w:ascii="Arial" w:hAnsi="Arial" w:cs="Arial"/>
          <w:color w:val="000000" w:themeColor="text1"/>
          <w:sz w:val="20"/>
          <w:szCs w:val="20"/>
          <w:lang w:val="en-US"/>
        </w:rPr>
        <w:t>12855-1-AP, Proteintech, IL, USA</w:t>
      </w:r>
      <w:r w:rsidRPr="0047636E">
        <w:rPr>
          <w:rFonts w:ascii="Arial" w:eastAsia="新細明體" w:hAnsi="Arial" w:cs="Arial"/>
          <w:color w:val="000000" w:themeColor="text1"/>
          <w:sz w:val="20"/>
          <w:szCs w:val="20"/>
          <w:lang w:val="en-US"/>
        </w:rPr>
        <w:t>) and c-Fos (1: 1,000 dilution, Cat# ab190289, Abcam, Cambridge, UK) for 16 h at room temperature. Then, the brain sections were incubated with the Alexa Fluor-conjugated</w:t>
      </w:r>
      <w:r w:rsidRPr="0047636E">
        <w:rPr>
          <w:rFonts w:ascii="Arial" w:hAnsi="Arial" w:cs="Arial"/>
          <w:color w:val="000000" w:themeColor="text1"/>
          <w:sz w:val="20"/>
          <w:szCs w:val="20"/>
          <w:lang w:val="en-US"/>
        </w:rPr>
        <w:t xml:space="preserve"> </w:t>
      </w:r>
      <w:r w:rsidRPr="0047636E">
        <w:rPr>
          <w:rFonts w:ascii="Arial" w:eastAsia="新細明體" w:hAnsi="Arial" w:cs="Arial"/>
          <w:color w:val="000000" w:themeColor="text1"/>
          <w:sz w:val="20"/>
          <w:szCs w:val="20"/>
          <w:lang w:val="en-US"/>
        </w:rPr>
        <w:t xml:space="preserve">secondary antibodies (for glutaminase: 1:1,000 dilution, Alexa Fluor 488-conjugated goat anti-rabbit IgG, Cat# A-11034; for c-Fos: 1:1,000 dilution, Alexa Fluor 488- or Alexa Fluor 594-conjugated goat anti-rabbit IgG, Cat# A-11034 and A-11037, </w:t>
      </w:r>
      <w:r w:rsidRPr="0047636E">
        <w:rPr>
          <w:rFonts w:ascii="Arial" w:hAnsi="Arial" w:cs="Arial"/>
          <w:color w:val="000000" w:themeColor="text1"/>
          <w:sz w:val="20"/>
          <w:szCs w:val="20"/>
          <w:lang w:val="en-US"/>
        </w:rPr>
        <w:t>Thermo Fisher Scientific</w:t>
      </w:r>
      <w:r w:rsidRPr="0047636E">
        <w:rPr>
          <w:rFonts w:ascii="Arial" w:eastAsia="新細明體" w:hAnsi="Arial" w:cs="Arial"/>
          <w:color w:val="000000" w:themeColor="text1"/>
          <w:sz w:val="20"/>
          <w:szCs w:val="20"/>
          <w:lang w:val="en-US"/>
        </w:rPr>
        <w:t xml:space="preserve">) for 2 h at room temperature, washed with PBST, and mounted in media with (Cat# ab104139, Abcam) or without (Cat# 00-4958-02, </w:t>
      </w:r>
      <w:r w:rsidRPr="0047636E">
        <w:rPr>
          <w:rFonts w:ascii="Arial" w:hAnsi="Arial" w:cs="Arial"/>
          <w:color w:val="000000" w:themeColor="text1"/>
          <w:sz w:val="20"/>
          <w:szCs w:val="20"/>
          <w:lang w:val="en-US"/>
        </w:rPr>
        <w:t>Thermo Fisher Scientific</w:t>
      </w:r>
      <w:r w:rsidRPr="0047636E">
        <w:rPr>
          <w:rFonts w:ascii="Arial" w:eastAsia="新細明體" w:hAnsi="Arial" w:cs="Arial"/>
          <w:color w:val="000000" w:themeColor="text1"/>
          <w:sz w:val="20"/>
          <w:szCs w:val="20"/>
          <w:lang w:val="en-US"/>
        </w:rPr>
        <w:t xml:space="preserve">) DAPI. </w:t>
      </w:r>
      <w:r w:rsidRPr="0047636E">
        <w:rPr>
          <w:rFonts w:ascii="Arial" w:hAnsi="Arial" w:cs="Arial"/>
          <w:color w:val="000000" w:themeColor="text1"/>
          <w:sz w:val="20"/>
          <w:szCs w:val="20"/>
          <w:lang w:val="en-US"/>
        </w:rPr>
        <w:t>Omissions of primary antibodies were used for detecting nonspecific binding</w:t>
      </w:r>
      <w:r w:rsidRPr="0047636E">
        <w:rPr>
          <w:rFonts w:ascii="Arial" w:eastAsia="新細明體" w:hAnsi="Arial" w:cs="Arial"/>
          <w:color w:val="000000" w:themeColor="text1"/>
          <w:sz w:val="20"/>
          <w:szCs w:val="20"/>
          <w:lang w:val="en-US"/>
        </w:rPr>
        <w:t xml:space="preserve"> in both </w:t>
      </w:r>
      <w:r w:rsidRPr="0047636E">
        <w:rPr>
          <w:rFonts w:ascii="Arial" w:hAnsi="Arial" w:cs="Arial"/>
          <w:color w:val="000000" w:themeColor="text1"/>
          <w:sz w:val="20"/>
          <w:szCs w:val="20"/>
          <w:lang w:val="en-US"/>
        </w:rPr>
        <w:t>staining methods. Sections of the same experiment were stained together to minimize batch-to-batch variations.</w:t>
      </w:r>
    </w:p>
    <w:p w14:paraId="06C569A2" w14:textId="77777777" w:rsidR="00670D14" w:rsidRPr="0047636E" w:rsidRDefault="00670D14" w:rsidP="000D584F">
      <w:pPr>
        <w:spacing w:line="360" w:lineRule="auto"/>
        <w:jc w:val="both"/>
        <w:rPr>
          <w:rFonts w:ascii="Arial" w:eastAsia="新細明體" w:hAnsi="Arial" w:cs="Arial"/>
          <w:color w:val="000000" w:themeColor="text1"/>
          <w:sz w:val="20"/>
          <w:szCs w:val="20"/>
          <w:lang w:val="en-US"/>
        </w:rPr>
      </w:pPr>
      <w:r w:rsidRPr="0047636E">
        <w:rPr>
          <w:rFonts w:ascii="Arial" w:eastAsia="新細明體" w:hAnsi="Arial" w:cs="Arial"/>
          <w:b/>
          <w:bCs/>
          <w:color w:val="000000" w:themeColor="text1"/>
          <w:sz w:val="20"/>
          <w:szCs w:val="20"/>
          <w:lang w:val="en-US"/>
        </w:rPr>
        <w:lastRenderedPageBreak/>
        <w:t xml:space="preserve">Image capture and analyses </w:t>
      </w:r>
    </w:p>
    <w:p w14:paraId="5E721F82" w14:textId="77777777" w:rsidR="00670D14" w:rsidRPr="0047636E" w:rsidRDefault="00670D14" w:rsidP="000D584F">
      <w:pPr>
        <w:spacing w:line="360" w:lineRule="auto"/>
        <w:jc w:val="both"/>
        <w:rPr>
          <w:rFonts w:ascii="Arial" w:eastAsia="新細明體" w:hAnsi="Arial" w:cs="Arial"/>
          <w:color w:val="000000" w:themeColor="text1"/>
          <w:sz w:val="20"/>
          <w:szCs w:val="20"/>
          <w:lang w:val="en-US"/>
        </w:rPr>
      </w:pPr>
      <w:r w:rsidRPr="0047636E">
        <w:rPr>
          <w:rFonts w:ascii="Arial" w:eastAsia="新細明體" w:hAnsi="Arial" w:cs="Arial"/>
          <w:color w:val="000000" w:themeColor="text1"/>
          <w:sz w:val="20"/>
          <w:szCs w:val="20"/>
          <w:lang w:val="en-US"/>
        </w:rPr>
        <w:t xml:space="preserve">Immunohistochemical images were captured by an optical </w:t>
      </w:r>
      <w:r w:rsidRPr="0047636E">
        <w:rPr>
          <w:rFonts w:ascii="Arial" w:hAnsi="Arial" w:cs="Arial"/>
          <w:color w:val="000000" w:themeColor="text1"/>
          <w:sz w:val="20"/>
          <w:szCs w:val="20"/>
          <w:lang w:val="en-US"/>
        </w:rPr>
        <w:t xml:space="preserve">fluorescence </w:t>
      </w:r>
      <w:r w:rsidRPr="0047636E">
        <w:rPr>
          <w:rFonts w:ascii="Arial" w:eastAsia="新細明體" w:hAnsi="Arial" w:cs="Arial"/>
          <w:color w:val="000000" w:themeColor="text1"/>
          <w:sz w:val="20"/>
          <w:szCs w:val="20"/>
          <w:lang w:val="en-US"/>
        </w:rPr>
        <w:t xml:space="preserve">microscope (Model: Axio Imager A1, Carl Zeiss, Oberkochen, Germany) equipped with a digital camera (Model: Axiocam 305 Color, Carl Zeiss). The </w:t>
      </w:r>
      <w:r w:rsidRPr="0047636E">
        <w:rPr>
          <w:rFonts w:ascii="Arial" w:hAnsi="Arial" w:cs="Arial"/>
          <w:color w:val="000000" w:themeColor="text1"/>
          <w:sz w:val="20"/>
          <w:szCs w:val="20"/>
          <w:lang w:val="en-US"/>
        </w:rPr>
        <w:t xml:space="preserve">immunofluorescent </w:t>
      </w:r>
      <w:r w:rsidRPr="0047636E">
        <w:rPr>
          <w:rFonts w:ascii="Arial" w:eastAsia="新細明體" w:hAnsi="Arial" w:cs="Arial"/>
          <w:color w:val="000000" w:themeColor="text1"/>
          <w:sz w:val="20"/>
          <w:szCs w:val="20"/>
          <w:lang w:val="en-US"/>
        </w:rPr>
        <w:t>images used for quantifying the densities of NAc-projecting and c-Fos</w:t>
      </w:r>
      <w:r w:rsidRPr="0047636E">
        <w:rPr>
          <w:rFonts w:ascii="Arial" w:eastAsia="新細明體" w:hAnsi="Arial" w:cs="Arial"/>
          <w:color w:val="000000" w:themeColor="text1"/>
          <w:sz w:val="20"/>
          <w:szCs w:val="20"/>
          <w:vertAlign w:val="superscript"/>
          <w:lang w:val="en-US"/>
        </w:rPr>
        <w:t>+</w:t>
      </w:r>
      <w:r w:rsidRPr="0047636E">
        <w:rPr>
          <w:rFonts w:ascii="Arial" w:eastAsia="新細明體" w:hAnsi="Arial" w:cs="Arial"/>
          <w:color w:val="000000" w:themeColor="text1"/>
          <w:sz w:val="20"/>
          <w:szCs w:val="20"/>
          <w:lang w:val="en-US"/>
        </w:rPr>
        <w:t xml:space="preserve"> neurons </w:t>
      </w:r>
      <w:r w:rsidRPr="0047636E">
        <w:rPr>
          <w:rFonts w:ascii="Arial" w:hAnsi="Arial" w:cs="Arial"/>
          <w:color w:val="000000" w:themeColor="text1"/>
          <w:sz w:val="20"/>
          <w:szCs w:val="20"/>
          <w:lang w:val="en-US"/>
        </w:rPr>
        <w:t>were captured by the same system. A</w:t>
      </w:r>
      <w:r w:rsidRPr="0047636E">
        <w:rPr>
          <w:rFonts w:ascii="Arial" w:eastAsia="新細明體" w:hAnsi="Arial" w:cs="Arial"/>
          <w:color w:val="000000" w:themeColor="text1"/>
          <w:sz w:val="20"/>
          <w:szCs w:val="20"/>
          <w:lang w:val="en-US"/>
        </w:rPr>
        <w:t xml:space="preserve"> laser confocal microscope system (Model: FV1000, Olympus, Tokyo, Japan) was employed to determine the colocalization of glutaminase and retrograde tracer/reporter. ImageJ software (v2.0.0-rc-69/1.52p, U.S. National Institutes of Health) was used to merge the multiple color channels and analyze the parameters of interest. </w:t>
      </w:r>
    </w:p>
    <w:p w14:paraId="5B2FACE0" w14:textId="77777777" w:rsidR="00670D14" w:rsidRPr="0047636E" w:rsidRDefault="00670D14" w:rsidP="000D584F">
      <w:pPr>
        <w:spacing w:line="360" w:lineRule="auto"/>
        <w:jc w:val="both"/>
        <w:rPr>
          <w:rFonts w:ascii="Arial" w:eastAsia="新細明體" w:hAnsi="Arial" w:cs="Arial"/>
          <w:color w:val="000000" w:themeColor="text1"/>
          <w:sz w:val="20"/>
          <w:szCs w:val="20"/>
          <w:lang w:val="en-US"/>
        </w:rPr>
      </w:pPr>
      <w:r w:rsidRPr="0047636E">
        <w:rPr>
          <w:rFonts w:ascii="Arial" w:eastAsia="新細明體" w:hAnsi="Arial" w:cs="Arial"/>
          <w:color w:val="000000" w:themeColor="text1"/>
          <w:sz w:val="20"/>
          <w:szCs w:val="20"/>
          <w:lang w:val="en-US"/>
        </w:rPr>
        <w:tab/>
        <w:t>The number of FG</w:t>
      </w:r>
      <w:r w:rsidRPr="0047636E">
        <w:rPr>
          <w:rFonts w:ascii="Arial" w:eastAsia="新細明體" w:hAnsi="Arial" w:cs="Arial"/>
          <w:color w:val="000000" w:themeColor="text1"/>
          <w:sz w:val="20"/>
          <w:szCs w:val="20"/>
          <w:vertAlign w:val="superscript"/>
          <w:lang w:val="en-US"/>
        </w:rPr>
        <w:t>+</w:t>
      </w:r>
      <w:r w:rsidRPr="0047636E">
        <w:rPr>
          <w:rFonts w:ascii="Arial" w:eastAsia="新細明體" w:hAnsi="Arial" w:cs="Arial"/>
          <w:color w:val="000000" w:themeColor="text1"/>
          <w:sz w:val="20"/>
          <w:szCs w:val="20"/>
          <w:lang w:val="en-US"/>
        </w:rPr>
        <w:t>, mCherry</w:t>
      </w:r>
      <w:r w:rsidRPr="0047636E">
        <w:rPr>
          <w:rFonts w:ascii="Arial" w:eastAsia="新細明體" w:hAnsi="Arial" w:cs="Arial"/>
          <w:color w:val="000000" w:themeColor="text1"/>
          <w:sz w:val="20"/>
          <w:szCs w:val="20"/>
          <w:vertAlign w:val="superscript"/>
          <w:lang w:val="en-US"/>
        </w:rPr>
        <w:t>+</w:t>
      </w:r>
      <w:r w:rsidRPr="0047636E">
        <w:rPr>
          <w:rFonts w:ascii="Arial" w:eastAsia="新細明體" w:hAnsi="Arial" w:cs="Arial"/>
          <w:color w:val="000000" w:themeColor="text1"/>
          <w:sz w:val="20"/>
          <w:szCs w:val="20"/>
          <w:lang w:val="en-US"/>
        </w:rPr>
        <w:t>, glutaminase</w:t>
      </w:r>
      <w:r w:rsidRPr="0047636E">
        <w:rPr>
          <w:rFonts w:ascii="Arial" w:eastAsia="新細明體" w:hAnsi="Arial" w:cs="Arial"/>
          <w:color w:val="000000" w:themeColor="text1"/>
          <w:sz w:val="20"/>
          <w:szCs w:val="20"/>
          <w:vertAlign w:val="superscript"/>
          <w:lang w:val="en-US"/>
        </w:rPr>
        <w:t>+</w:t>
      </w:r>
      <w:r w:rsidRPr="0047636E">
        <w:rPr>
          <w:rFonts w:ascii="Arial" w:eastAsia="新細明體" w:hAnsi="Arial" w:cs="Arial"/>
          <w:color w:val="000000" w:themeColor="text1"/>
          <w:sz w:val="20"/>
          <w:szCs w:val="20"/>
          <w:lang w:val="en-US"/>
        </w:rPr>
        <w:t>, and c-Fos</w:t>
      </w:r>
      <w:r w:rsidRPr="0047636E">
        <w:rPr>
          <w:rFonts w:ascii="Arial" w:eastAsia="新細明體" w:hAnsi="Arial" w:cs="Arial"/>
          <w:color w:val="000000" w:themeColor="text1"/>
          <w:sz w:val="20"/>
          <w:szCs w:val="20"/>
          <w:vertAlign w:val="superscript"/>
          <w:lang w:val="en-US"/>
        </w:rPr>
        <w:t>+</w:t>
      </w:r>
      <w:r w:rsidRPr="0047636E">
        <w:rPr>
          <w:rFonts w:ascii="Arial" w:eastAsia="新細明體" w:hAnsi="Arial" w:cs="Arial"/>
          <w:color w:val="000000" w:themeColor="text1"/>
          <w:sz w:val="20"/>
          <w:szCs w:val="20"/>
          <w:lang w:val="en-US"/>
        </w:rPr>
        <w:t xml:space="preserve"> cells were examined in the mPFC (AP: +2.0 ~ +1.6 mm from bregma), BLA (AP: -1.7 ~ -2.2 mm from bregma), and vHPC (AP: -3.2 ~ -3.6 mm from bregma). The sampling areas of these brain regions on coronal plans are indicated in </w:t>
      </w:r>
      <w:r w:rsidRPr="0047636E">
        <w:rPr>
          <w:rFonts w:ascii="Arial" w:eastAsia="新細明體" w:hAnsi="Arial" w:cs="Arial"/>
          <w:b/>
          <w:bCs/>
          <w:color w:val="000000" w:themeColor="text1"/>
          <w:sz w:val="20"/>
          <w:szCs w:val="20"/>
          <w:lang w:val="en-US"/>
        </w:rPr>
        <w:t>Fig. 2b</w:t>
      </w:r>
      <w:r w:rsidRPr="0047636E">
        <w:rPr>
          <w:rFonts w:ascii="Arial" w:eastAsia="新細明體" w:hAnsi="Arial" w:cs="Arial"/>
          <w:color w:val="000000" w:themeColor="text1"/>
          <w:sz w:val="20"/>
          <w:szCs w:val="20"/>
          <w:lang w:val="en-US"/>
        </w:rPr>
        <w:t>. A consistent background signal was set and applied to all analyses. Only those cells with over-threshold signals were counted as immunoreactive cells. The analyzers who counted the cells were blinded to the treatment. Five sections from each region of interest of each animal were determined, and the average was presented as a single data point.</w:t>
      </w:r>
    </w:p>
    <w:p w14:paraId="4F07F9F2" w14:textId="77777777" w:rsidR="00670D14" w:rsidRPr="0047636E" w:rsidRDefault="00670D14" w:rsidP="00850219">
      <w:pPr>
        <w:spacing w:line="360" w:lineRule="auto"/>
        <w:jc w:val="both"/>
        <w:rPr>
          <w:rStyle w:val="CharAttribute10"/>
          <w:rFonts w:ascii="Arial" w:hAnsi="Arial" w:cs="Arial"/>
          <w:color w:val="000000" w:themeColor="text1"/>
          <w:sz w:val="20"/>
          <w:szCs w:val="20"/>
          <w:lang w:val="en-US"/>
        </w:rPr>
      </w:pPr>
    </w:p>
    <w:p w14:paraId="000C9A53" w14:textId="77777777" w:rsidR="00670D14" w:rsidRPr="0047636E" w:rsidRDefault="00670D14" w:rsidP="000D584F">
      <w:pPr>
        <w:spacing w:line="360" w:lineRule="auto"/>
        <w:jc w:val="both"/>
        <w:rPr>
          <w:rFonts w:ascii="Arial" w:eastAsia="新細明體" w:hAnsi="Arial" w:cs="Arial"/>
          <w:b/>
          <w:bCs/>
          <w:color w:val="000000" w:themeColor="text1"/>
          <w:sz w:val="20"/>
          <w:szCs w:val="20"/>
          <w:lang w:val="en-US"/>
        </w:rPr>
      </w:pPr>
      <w:r w:rsidRPr="0047636E">
        <w:rPr>
          <w:rFonts w:ascii="Arial" w:eastAsia="新細明體" w:hAnsi="Arial" w:cs="Arial"/>
          <w:b/>
          <w:bCs/>
          <w:color w:val="000000" w:themeColor="text1"/>
          <w:sz w:val="20"/>
          <w:szCs w:val="20"/>
          <w:lang w:val="en-US"/>
        </w:rPr>
        <w:t>Details for chemogenetic inhibition</w:t>
      </w:r>
    </w:p>
    <w:p w14:paraId="7E891AB8" w14:textId="77777777" w:rsidR="00670D14" w:rsidRPr="0047636E" w:rsidRDefault="00670D14" w:rsidP="000D584F">
      <w:pPr>
        <w:spacing w:line="360" w:lineRule="auto"/>
        <w:jc w:val="both"/>
        <w:rPr>
          <w:rFonts w:ascii="Arial" w:eastAsia="新細明體" w:hAnsi="Arial" w:cs="Arial"/>
          <w:color w:val="000000" w:themeColor="text1"/>
          <w:sz w:val="20"/>
          <w:szCs w:val="20"/>
          <w:lang w:val="en-US"/>
        </w:rPr>
      </w:pPr>
      <w:r w:rsidRPr="0047636E">
        <w:rPr>
          <w:rFonts w:ascii="Arial" w:eastAsia="新細明體" w:hAnsi="Arial" w:cs="Arial"/>
          <w:color w:val="000000" w:themeColor="text1"/>
          <w:sz w:val="20"/>
          <w:szCs w:val="20"/>
          <w:lang w:val="en-US"/>
        </w:rPr>
        <w:t xml:space="preserve">Six weeks before ending the HFD, the mice were anesthetized with Zoletil 50 (75 mg/kg, i.p.; Virbac) and mounted on a stereotaxic apparatus (Model: 51500, </w:t>
      </w:r>
      <w:r w:rsidRPr="0047636E">
        <w:rPr>
          <w:rFonts w:ascii="Arial" w:hAnsi="Arial" w:cs="Arial"/>
          <w:color w:val="000000" w:themeColor="text1"/>
          <w:sz w:val="20"/>
          <w:szCs w:val="20"/>
          <w:lang w:val="en-US"/>
        </w:rPr>
        <w:t>Stoelting</w:t>
      </w:r>
      <w:r w:rsidRPr="0047636E">
        <w:rPr>
          <w:rFonts w:ascii="Arial" w:eastAsia="新細明體" w:hAnsi="Arial" w:cs="Arial"/>
          <w:color w:val="000000" w:themeColor="text1"/>
          <w:sz w:val="20"/>
          <w:szCs w:val="20"/>
          <w:lang w:val="en-US"/>
        </w:rPr>
        <w:t xml:space="preserve">). </w:t>
      </w:r>
      <w:r w:rsidRPr="0047636E">
        <w:rPr>
          <w:rFonts w:ascii="Arial" w:hAnsi="Arial" w:cs="Arial"/>
          <w:color w:val="000000" w:themeColor="text1"/>
          <w:sz w:val="20"/>
          <w:szCs w:val="20"/>
          <w:lang w:val="en-US"/>
        </w:rPr>
        <w:t>Viral solutions contained pAAV-hSyn-hM4D</w:t>
      </w:r>
      <w:r w:rsidRPr="0047636E">
        <w:rPr>
          <w:rFonts w:ascii="Arial" w:hAnsi="Arial" w:cs="Arial"/>
          <w:color w:val="000000" w:themeColor="text1"/>
          <w:sz w:val="20"/>
          <w:szCs w:val="20"/>
          <w:vertAlign w:val="subscript"/>
          <w:lang w:val="en-US"/>
        </w:rPr>
        <w:t>Gi</w:t>
      </w:r>
      <w:r w:rsidRPr="0047636E">
        <w:rPr>
          <w:rFonts w:ascii="Arial" w:hAnsi="Arial" w:cs="Arial"/>
          <w:color w:val="000000" w:themeColor="text1"/>
          <w:sz w:val="20"/>
          <w:szCs w:val="20"/>
          <w:lang w:val="en-US"/>
        </w:rPr>
        <w:t xml:space="preserve">-mCherry (titer ≥ 7×10¹² vg/mL; Cat# 50475-AAVrg, Addgene) or pAAV-hSyn-mCherry (titer ≥ 7×10¹² vg/mL; Cat# 114472-AAVrg, Addgene) were bilaterally infused into NAc </w:t>
      </w:r>
      <w:r w:rsidRPr="0047636E">
        <w:rPr>
          <w:rFonts w:ascii="Arial" w:eastAsia="新細明體" w:hAnsi="Arial" w:cs="Arial"/>
          <w:color w:val="000000" w:themeColor="text1"/>
          <w:sz w:val="20"/>
          <w:szCs w:val="20"/>
          <w:lang w:val="en-US"/>
        </w:rPr>
        <w:t xml:space="preserve">(0.6 µL/side, AP: +1.0 mm; ML: ±1.0 mm; DV: -4.6 mm from the bregma) </w:t>
      </w:r>
      <w:r w:rsidRPr="0047636E">
        <w:rPr>
          <w:rFonts w:ascii="Arial" w:hAnsi="Arial" w:cs="Arial"/>
          <w:color w:val="000000" w:themeColor="text1"/>
          <w:sz w:val="20"/>
          <w:szCs w:val="20"/>
          <w:lang w:val="en-US"/>
        </w:rPr>
        <w:t xml:space="preserve">of mice via a 30G stainless steel needle connected to a syringe (Model: 80000, Hamilton) at </w:t>
      </w:r>
      <w:r w:rsidRPr="0047636E">
        <w:rPr>
          <w:rFonts w:ascii="Arial" w:eastAsia="新細明體" w:hAnsi="Arial" w:cs="Arial"/>
          <w:color w:val="000000" w:themeColor="text1"/>
          <w:sz w:val="20"/>
          <w:szCs w:val="20"/>
          <w:lang w:val="en-US"/>
        </w:rPr>
        <w:t>the rate of 0.02 µ</w:t>
      </w:r>
      <w:r w:rsidRPr="0047636E">
        <w:rPr>
          <w:rFonts w:ascii="Arial" w:hAnsi="Arial" w:cs="Arial"/>
          <w:color w:val="000000" w:themeColor="text1"/>
          <w:sz w:val="20"/>
          <w:szCs w:val="20"/>
          <w:lang w:val="en-US"/>
        </w:rPr>
        <w:t xml:space="preserve">L/min. </w:t>
      </w:r>
      <w:r w:rsidRPr="0047636E">
        <w:rPr>
          <w:rFonts w:ascii="Arial" w:eastAsia="新細明體" w:hAnsi="Arial" w:cs="Arial"/>
          <w:color w:val="000000" w:themeColor="text1"/>
          <w:sz w:val="20"/>
          <w:szCs w:val="20"/>
          <w:lang w:val="en-US"/>
        </w:rPr>
        <w:t>The infusion rate was controlled by a microsyringe pump (Model: KDS 210, KD Scientific). The injecting needle was withdrawn 10 min after the infusion was completed. The incisions were closed with Michel suture clips (Cat# BN507R, Aesculap).</w:t>
      </w:r>
    </w:p>
    <w:p w14:paraId="6CD30A5D" w14:textId="77777777" w:rsidR="00670D14" w:rsidRPr="0047636E" w:rsidRDefault="00670D14" w:rsidP="000D584F">
      <w:pPr>
        <w:spacing w:line="360" w:lineRule="auto"/>
        <w:ind w:firstLine="480"/>
        <w:jc w:val="both"/>
        <w:rPr>
          <w:rFonts w:ascii="Arial" w:eastAsia="新細明體" w:hAnsi="Arial" w:cs="Arial"/>
          <w:color w:val="000000" w:themeColor="text1"/>
          <w:sz w:val="20"/>
          <w:szCs w:val="20"/>
          <w:lang w:val="en-US"/>
        </w:rPr>
      </w:pPr>
      <w:r w:rsidRPr="0047636E">
        <w:rPr>
          <w:rFonts w:ascii="Arial" w:eastAsia="新細明體" w:hAnsi="Arial" w:cs="Arial"/>
          <w:color w:val="000000" w:themeColor="text1"/>
          <w:sz w:val="20"/>
          <w:szCs w:val="20"/>
          <w:lang w:val="en-US"/>
        </w:rPr>
        <w:t xml:space="preserve">Three days before ending the HFD, the mice were anesthetized with Zoletil 50 (75 mg/kg, i.p.; Virbac) and mounted on a stereotaxic apparatus (Model: 51500, </w:t>
      </w:r>
      <w:r w:rsidRPr="0047636E">
        <w:rPr>
          <w:rFonts w:ascii="Arial" w:hAnsi="Arial" w:cs="Arial"/>
          <w:color w:val="000000" w:themeColor="text1"/>
          <w:sz w:val="20"/>
          <w:szCs w:val="20"/>
          <w:lang w:val="en-US"/>
        </w:rPr>
        <w:t>Stoelting</w:t>
      </w:r>
      <w:r w:rsidRPr="0047636E">
        <w:rPr>
          <w:rFonts w:ascii="Arial" w:eastAsia="新細明體" w:hAnsi="Arial" w:cs="Arial"/>
          <w:color w:val="000000" w:themeColor="text1"/>
          <w:sz w:val="20"/>
          <w:szCs w:val="20"/>
          <w:lang w:val="en-US"/>
        </w:rPr>
        <w:t xml:space="preserve">). Guiding cannulas (Cat# C315GS-4/SP 26G, </w:t>
      </w:r>
      <w:bookmarkStart w:id="2" w:name="OLE_LINK9"/>
      <w:bookmarkStart w:id="3" w:name="OLE_LINK10"/>
      <w:r w:rsidRPr="0047636E">
        <w:rPr>
          <w:rFonts w:ascii="Arial" w:eastAsia="新細明體" w:hAnsi="Arial" w:cs="Arial"/>
          <w:color w:val="000000" w:themeColor="text1"/>
          <w:sz w:val="20"/>
          <w:szCs w:val="20"/>
          <w:lang w:val="en-US"/>
        </w:rPr>
        <w:t xml:space="preserve">P1 </w:t>
      </w:r>
      <w:r w:rsidRPr="0047636E">
        <w:rPr>
          <w:rFonts w:ascii="Arial" w:eastAsia="新細明體" w:hAnsi="Arial" w:cs="Arial"/>
          <w:color w:val="000000" w:themeColor="text1"/>
          <w:sz w:val="20"/>
          <w:szCs w:val="20"/>
          <w:lang w:val="en-US"/>
        </w:rPr>
        <w:lastRenderedPageBreak/>
        <w:t>Technologies, Roanoke, VA, USA</w:t>
      </w:r>
      <w:bookmarkEnd w:id="2"/>
      <w:bookmarkEnd w:id="3"/>
      <w:r w:rsidRPr="0047636E">
        <w:rPr>
          <w:rFonts w:ascii="Arial" w:eastAsia="新細明體" w:hAnsi="Arial" w:cs="Arial"/>
          <w:color w:val="000000" w:themeColor="text1"/>
          <w:sz w:val="20"/>
          <w:szCs w:val="20"/>
          <w:lang w:val="en-US"/>
        </w:rPr>
        <w:t>) were bilaterally implanted into the vHPC (AP: -3.2 mm; ML: ±2.8 mm; DV: -3.8 mm from the bregma) of the mouse and tightly fixed on its skull with dental adhesive resin cement (Model: Super-Bond, Sun Medical).</w:t>
      </w:r>
    </w:p>
    <w:p w14:paraId="774193A2" w14:textId="77777777" w:rsidR="00670D14" w:rsidRPr="0047636E" w:rsidRDefault="00670D14" w:rsidP="000D584F">
      <w:pPr>
        <w:spacing w:line="360" w:lineRule="auto"/>
        <w:ind w:firstLine="480"/>
        <w:jc w:val="both"/>
        <w:rPr>
          <w:rFonts w:ascii="Arial" w:eastAsia="新細明體" w:hAnsi="Arial" w:cs="Arial"/>
          <w:color w:val="000000" w:themeColor="text1"/>
          <w:sz w:val="20"/>
          <w:szCs w:val="20"/>
          <w:lang w:val="en-US"/>
        </w:rPr>
      </w:pPr>
      <w:r w:rsidRPr="0047636E">
        <w:rPr>
          <w:rFonts w:ascii="Arial" w:eastAsia="新細明體" w:hAnsi="Arial" w:cs="Arial"/>
          <w:color w:val="000000" w:themeColor="text1"/>
          <w:sz w:val="20"/>
          <w:szCs w:val="20"/>
          <w:lang w:val="en-US"/>
        </w:rPr>
        <w:t xml:space="preserve">On the experiment day, CNO (Cat# 6329, Tocris Bioscience) was bilaterally infused into the vHPC (2 µg/µL dissolved in saline, 1 µL/side) of free-moving mice via stainless steel infusing needles (1 mm longer than the guiding cannula; Cat# C315IS-4/SP 33G, P1 Technologies) connected to a syringe </w:t>
      </w:r>
      <w:r w:rsidRPr="0047636E">
        <w:rPr>
          <w:rFonts w:ascii="Arial" w:hAnsi="Arial" w:cs="Arial"/>
          <w:color w:val="000000" w:themeColor="text1"/>
          <w:sz w:val="20"/>
          <w:szCs w:val="20"/>
          <w:lang w:val="en-US"/>
        </w:rPr>
        <w:t>(Model: 80365, Hamilton).</w:t>
      </w:r>
      <w:r w:rsidRPr="0047636E">
        <w:rPr>
          <w:rFonts w:ascii="Arial" w:eastAsia="新細明體" w:hAnsi="Arial" w:cs="Arial"/>
          <w:color w:val="000000" w:themeColor="text1"/>
          <w:sz w:val="20"/>
          <w:szCs w:val="20"/>
          <w:lang w:val="en-US"/>
        </w:rPr>
        <w:t xml:space="preserve"> The infusion rate (0.1 µ</w:t>
      </w:r>
      <w:r w:rsidRPr="0047636E">
        <w:rPr>
          <w:rFonts w:ascii="Arial" w:hAnsi="Arial" w:cs="Arial"/>
          <w:color w:val="000000" w:themeColor="text1"/>
          <w:sz w:val="20"/>
          <w:szCs w:val="20"/>
          <w:lang w:val="en-US"/>
        </w:rPr>
        <w:t>L/min)</w:t>
      </w:r>
      <w:r w:rsidRPr="0047636E">
        <w:rPr>
          <w:rFonts w:ascii="Arial" w:eastAsia="新細明體" w:hAnsi="Arial" w:cs="Arial"/>
          <w:color w:val="000000" w:themeColor="text1"/>
          <w:sz w:val="20"/>
          <w:szCs w:val="20"/>
          <w:lang w:val="en-US"/>
        </w:rPr>
        <w:t xml:space="preserve"> was controlled by a microsyringe pump (Model: KDS 210, KD Scientific). The injecting needle was withdrawn 10 min after the infusion was completed. The mice were subjected to FST 30 min after the CNO infusion and sacrificed 120 min after completing the CNO infusions. Mice that received bilateral infusions of an equal volume of saline into the vHPC served as control. The procedures of euthanasia and brain sample collection were as described in those for immunostaining. </w:t>
      </w:r>
    </w:p>
    <w:p w14:paraId="29C9A5D0" w14:textId="77777777" w:rsidR="00670D14" w:rsidRPr="0047636E" w:rsidRDefault="00670D14" w:rsidP="00850219">
      <w:pPr>
        <w:spacing w:line="360" w:lineRule="auto"/>
        <w:jc w:val="both"/>
        <w:rPr>
          <w:rFonts w:ascii="Arial" w:eastAsia="新細明體" w:hAnsi="Arial" w:cs="Arial"/>
          <w:color w:val="000000" w:themeColor="text1"/>
          <w:sz w:val="20"/>
          <w:szCs w:val="20"/>
          <w:lang w:val="en-US"/>
        </w:rPr>
      </w:pPr>
    </w:p>
    <w:p w14:paraId="37EAEF0F" w14:textId="77777777" w:rsidR="00670D14" w:rsidRPr="0047636E" w:rsidRDefault="00670D14" w:rsidP="00850219">
      <w:pPr>
        <w:spacing w:line="360" w:lineRule="auto"/>
        <w:jc w:val="both"/>
        <w:rPr>
          <w:rFonts w:ascii="Arial" w:eastAsia="新細明體" w:hAnsi="Arial" w:cs="Arial"/>
          <w:b/>
          <w:bCs/>
          <w:color w:val="000000" w:themeColor="text1"/>
          <w:sz w:val="20"/>
          <w:szCs w:val="20"/>
          <w:lang w:val="en-US"/>
        </w:rPr>
      </w:pPr>
      <w:r w:rsidRPr="0047636E">
        <w:rPr>
          <w:rFonts w:ascii="Arial" w:eastAsia="新細明體" w:hAnsi="Arial" w:cs="Arial"/>
          <w:b/>
          <w:bCs/>
          <w:color w:val="000000" w:themeColor="text1"/>
          <w:sz w:val="20"/>
          <w:szCs w:val="20"/>
          <w:lang w:val="en-US"/>
        </w:rPr>
        <w:t>Production of LVs</w:t>
      </w:r>
    </w:p>
    <w:p w14:paraId="4AE1EBC3" w14:textId="77777777" w:rsidR="00670D14" w:rsidRPr="0047636E" w:rsidRDefault="00670D14" w:rsidP="00850219">
      <w:pPr>
        <w:spacing w:line="360" w:lineRule="auto"/>
        <w:jc w:val="both"/>
        <w:rPr>
          <w:rFonts w:ascii="Arial" w:eastAsia="新細明體" w:hAnsi="Arial" w:cs="Arial"/>
          <w:color w:val="000000" w:themeColor="text1"/>
          <w:sz w:val="20"/>
          <w:szCs w:val="20"/>
          <w:lang w:val="en-US"/>
        </w:rPr>
      </w:pPr>
      <w:r w:rsidRPr="0047636E">
        <w:rPr>
          <w:rFonts w:ascii="Arial" w:eastAsia="新細明體" w:hAnsi="Arial" w:cs="Arial"/>
          <w:color w:val="000000" w:themeColor="text1"/>
          <w:sz w:val="20"/>
          <w:szCs w:val="20"/>
          <w:lang w:val="en-US"/>
        </w:rPr>
        <w:t xml:space="preserve">The Lenti-X™ 293T cell line (Cat# 632180, Takara Bio, Shiga, Japan), a highly transfectable subclone of the human embryonic kidney HEK 293 cell line, was used to produce LVs. Cells were cultured with Dulbecco's Modified Eagle Medium (Cat# 11965092, Thermo Fisher Scientific) supplemented with 4 mM L-glutamine (Cat# 35050061, Thermo Fisher Scientific), 10% fetal bovine serum </w:t>
      </w:r>
      <w:r w:rsidRPr="0047636E">
        <w:rPr>
          <w:rFonts w:ascii="Arial" w:hAnsi="Arial" w:cs="Arial"/>
          <w:color w:val="000000" w:themeColor="text1"/>
          <w:sz w:val="20"/>
          <w:szCs w:val="20"/>
          <w:lang w:val="en-US"/>
        </w:rPr>
        <w:t xml:space="preserve">(Cat# TMS-013-BKR, Merck-Millipore), </w:t>
      </w:r>
      <w:r w:rsidRPr="0047636E">
        <w:rPr>
          <w:rFonts w:ascii="Arial" w:eastAsia="新細明體" w:hAnsi="Arial" w:cs="Arial"/>
          <w:color w:val="000000" w:themeColor="text1"/>
          <w:sz w:val="20"/>
          <w:szCs w:val="20"/>
          <w:lang w:val="en-US"/>
        </w:rPr>
        <w:t>and penicillin-streptomycin (Cat# 15140122, Thermo Fisher Scientific) and maintained in a humidified atmosphere of 5% CO</w:t>
      </w:r>
      <w:r w:rsidRPr="0047636E">
        <w:rPr>
          <w:rFonts w:ascii="Arial" w:eastAsia="新細明體" w:hAnsi="Arial" w:cs="Arial"/>
          <w:color w:val="000000" w:themeColor="text1"/>
          <w:sz w:val="20"/>
          <w:szCs w:val="20"/>
          <w:vertAlign w:val="subscript"/>
          <w:lang w:val="en-US"/>
        </w:rPr>
        <w:t>2</w:t>
      </w:r>
      <w:r w:rsidRPr="0047636E">
        <w:rPr>
          <w:rFonts w:ascii="Arial" w:eastAsia="新細明體" w:hAnsi="Arial" w:cs="Arial"/>
          <w:color w:val="000000" w:themeColor="text1"/>
          <w:sz w:val="20"/>
          <w:szCs w:val="20"/>
          <w:lang w:val="en-US"/>
        </w:rPr>
        <w:t xml:space="preserve"> and 95% air at 37°C. </w:t>
      </w:r>
    </w:p>
    <w:p w14:paraId="581E8575" w14:textId="77777777" w:rsidR="00670D14" w:rsidRPr="0047636E" w:rsidRDefault="00670D14" w:rsidP="000D584F">
      <w:pPr>
        <w:spacing w:line="360" w:lineRule="auto"/>
        <w:ind w:firstLineChars="200" w:firstLine="400"/>
        <w:jc w:val="both"/>
        <w:rPr>
          <w:rFonts w:ascii="Arial" w:hAnsi="Arial" w:cs="Arial"/>
          <w:color w:val="000000" w:themeColor="text1"/>
          <w:sz w:val="20"/>
          <w:szCs w:val="20"/>
          <w:lang w:val="en-US"/>
        </w:rPr>
      </w:pPr>
      <w:r w:rsidRPr="0047636E">
        <w:rPr>
          <w:rFonts w:ascii="Arial" w:eastAsia="新細明體" w:hAnsi="Arial" w:cs="Arial"/>
          <w:color w:val="000000" w:themeColor="text1"/>
          <w:sz w:val="20"/>
          <w:szCs w:val="20"/>
          <w:lang w:val="en-US"/>
        </w:rPr>
        <w:t xml:space="preserve">To enhance the tropism to astrocytes, the LVs were </w:t>
      </w:r>
      <w:bookmarkStart w:id="4" w:name="OLE_LINK11"/>
      <w:bookmarkStart w:id="5" w:name="OLE_LINK12"/>
      <w:r w:rsidRPr="0047636E">
        <w:rPr>
          <w:rFonts w:ascii="Arial" w:eastAsia="新細明體" w:hAnsi="Arial" w:cs="Arial"/>
          <w:color w:val="000000" w:themeColor="text1"/>
          <w:sz w:val="20"/>
          <w:szCs w:val="20"/>
          <w:lang w:val="en-US"/>
        </w:rPr>
        <w:t xml:space="preserve">pseudotyped </w:t>
      </w:r>
      <w:bookmarkEnd w:id="4"/>
      <w:bookmarkEnd w:id="5"/>
      <w:r w:rsidRPr="0047636E">
        <w:rPr>
          <w:rFonts w:ascii="Arial" w:eastAsia="新細明體" w:hAnsi="Arial" w:cs="Arial"/>
          <w:color w:val="000000" w:themeColor="text1"/>
          <w:sz w:val="20"/>
          <w:szCs w:val="20"/>
          <w:lang w:val="en-US"/>
        </w:rPr>
        <w:t xml:space="preserve">with the glycoprotein of Mokola virus </w:t>
      </w:r>
      <w:r w:rsidRPr="0047636E">
        <w:rPr>
          <w:rFonts w:ascii="Arial" w:eastAsia="新細明體" w:hAnsi="Arial" w:cs="Arial"/>
          <w:noProof/>
          <w:color w:val="000000" w:themeColor="text1"/>
          <w:sz w:val="20"/>
          <w:szCs w:val="20"/>
          <w:vertAlign w:val="superscript"/>
          <w:lang w:val="en-US"/>
        </w:rPr>
        <w:t>1</w:t>
      </w:r>
      <w:r w:rsidRPr="0047636E">
        <w:rPr>
          <w:rFonts w:ascii="Arial" w:eastAsia="新細明體" w:hAnsi="Arial" w:cs="Arial"/>
          <w:color w:val="000000" w:themeColor="text1"/>
          <w:sz w:val="20"/>
          <w:szCs w:val="20"/>
          <w:lang w:val="en-US"/>
        </w:rPr>
        <w:t xml:space="preserve">. For each 6-cm dish of Lenti-X™ 293T cells, a 500-µL of Opti-MEM (Cat# 31985070, </w:t>
      </w:r>
      <w:r w:rsidRPr="0047636E">
        <w:rPr>
          <w:rFonts w:ascii="Arial" w:hAnsi="Arial" w:cs="Arial"/>
          <w:color w:val="000000" w:themeColor="text1"/>
          <w:sz w:val="20"/>
          <w:szCs w:val="20"/>
          <w:lang w:val="en-US"/>
        </w:rPr>
        <w:t>Thermo Fisher Scientific</w:t>
      </w:r>
      <w:r w:rsidRPr="0047636E">
        <w:rPr>
          <w:rFonts w:ascii="Arial" w:eastAsia="新細明體" w:hAnsi="Arial" w:cs="Arial"/>
          <w:color w:val="000000" w:themeColor="text1"/>
          <w:sz w:val="20"/>
          <w:szCs w:val="20"/>
          <w:lang w:val="en-US"/>
        </w:rPr>
        <w:t xml:space="preserve">)-based transfection mixture containing 15 µL of TranIT-LT1 transfection reagent (Cat# </w:t>
      </w:r>
      <w:r w:rsidRPr="0047636E">
        <w:rPr>
          <w:rFonts w:ascii="Arial" w:hAnsi="Arial" w:cs="Arial"/>
          <w:color w:val="000000" w:themeColor="text1"/>
          <w:sz w:val="20"/>
          <w:szCs w:val="20"/>
          <w:lang w:val="en-US"/>
        </w:rPr>
        <w:t>MIR2300, Mirus Bio, Madison, WI, USA</w:t>
      </w:r>
      <w:r w:rsidRPr="0047636E">
        <w:rPr>
          <w:rFonts w:ascii="Arial" w:eastAsia="新細明體" w:hAnsi="Arial" w:cs="Arial"/>
          <w:color w:val="000000" w:themeColor="text1"/>
          <w:sz w:val="20"/>
          <w:szCs w:val="20"/>
          <w:lang w:val="en-US"/>
        </w:rPr>
        <w:t xml:space="preserve">), 2.25 µg of </w:t>
      </w:r>
      <w:r w:rsidRPr="0047636E">
        <w:rPr>
          <w:rFonts w:ascii="Arial" w:hAnsi="Arial" w:cs="Arial"/>
          <w:color w:val="000000" w:themeColor="text1"/>
          <w:sz w:val="20"/>
          <w:szCs w:val="20"/>
          <w:lang w:val="en-US"/>
        </w:rPr>
        <w:t>pCMV-</w:t>
      </w:r>
      <w:r w:rsidRPr="0047636E">
        <w:rPr>
          <w:rFonts w:ascii="Arial" w:eastAsia="YuMincho +36p Kana Extrabold" w:hAnsi="Arial" w:cs="Arial"/>
          <w:color w:val="000000" w:themeColor="text1"/>
          <w:sz w:val="20"/>
          <w:szCs w:val="20"/>
          <w:lang w:val="en-US"/>
        </w:rPr>
        <w:t>Δ</w:t>
      </w:r>
      <w:r w:rsidRPr="0047636E">
        <w:rPr>
          <w:rFonts w:ascii="Arial" w:hAnsi="Arial" w:cs="Arial"/>
          <w:color w:val="000000" w:themeColor="text1"/>
          <w:sz w:val="20"/>
          <w:szCs w:val="20"/>
          <w:lang w:val="en-US"/>
        </w:rPr>
        <w:t xml:space="preserve">R8.91 </w:t>
      </w:r>
      <w:r w:rsidRPr="0047636E">
        <w:rPr>
          <w:rFonts w:ascii="Arial" w:eastAsia="新細明體" w:hAnsi="Arial" w:cs="Arial"/>
          <w:color w:val="000000" w:themeColor="text1"/>
          <w:sz w:val="20"/>
          <w:szCs w:val="20"/>
          <w:lang w:val="en-US"/>
        </w:rPr>
        <w:t>packaging plasmid</w:t>
      </w:r>
      <w:r w:rsidRPr="0047636E">
        <w:rPr>
          <w:rFonts w:ascii="Arial" w:hAnsi="Arial" w:cs="Arial"/>
          <w:color w:val="000000" w:themeColor="text1"/>
          <w:sz w:val="20"/>
          <w:szCs w:val="20"/>
          <w:lang w:val="en-US"/>
        </w:rPr>
        <w:t xml:space="preserve"> (RNAi core in Academia Sinica, Nangang, Taipei, Taiwan), 0.25 </w:t>
      </w:r>
      <w:r w:rsidRPr="0047636E">
        <w:rPr>
          <w:rFonts w:ascii="Arial" w:eastAsia="新細明體" w:hAnsi="Arial" w:cs="Arial"/>
          <w:color w:val="000000" w:themeColor="text1"/>
          <w:sz w:val="20"/>
          <w:szCs w:val="20"/>
          <w:lang w:val="en-US"/>
        </w:rPr>
        <w:t>µg of pHCMV-MokolaG plasmid (Cat#</w:t>
      </w:r>
      <w:r w:rsidRPr="0047636E">
        <w:rPr>
          <w:rFonts w:ascii="Arial" w:hAnsi="Arial" w:cs="Arial"/>
          <w:color w:val="000000" w:themeColor="text1"/>
          <w:sz w:val="20"/>
          <w:szCs w:val="20"/>
          <w:lang w:val="en-US"/>
        </w:rPr>
        <w:t xml:space="preserve"> 15811, Addgene</w:t>
      </w:r>
      <w:r w:rsidRPr="0047636E">
        <w:rPr>
          <w:rFonts w:ascii="Arial" w:eastAsia="新細明體" w:hAnsi="Arial" w:cs="Arial"/>
          <w:color w:val="000000" w:themeColor="text1"/>
          <w:sz w:val="20"/>
          <w:szCs w:val="20"/>
          <w:lang w:val="en-US"/>
        </w:rPr>
        <w:t xml:space="preserve">), and 2.5 µg of </w:t>
      </w:r>
      <w:r w:rsidRPr="0047636E">
        <w:rPr>
          <w:rFonts w:ascii="Arial" w:hAnsi="Arial" w:cs="Arial"/>
          <w:color w:val="000000" w:themeColor="text1"/>
          <w:sz w:val="20"/>
          <w:szCs w:val="20"/>
          <w:lang w:val="en-US"/>
        </w:rPr>
        <w:t xml:space="preserve">pLKO.1 shRNA-expressing plasmid (shLacZ: Cat# TRCN0000231722, target sequence: 5′-CGCGATCGTAATCACCCGAGT-3′; shGLAST: Cat# TRCN0000009923, target sequence: 5′-TGCCTATCCAGTCCAACGAAA-3′; shGLT-1: Cat# </w:t>
      </w:r>
      <w:r w:rsidRPr="0047636E">
        <w:rPr>
          <w:rFonts w:ascii="Arial" w:hAnsi="Arial" w:cs="Arial"/>
          <w:color w:val="000000" w:themeColor="text1"/>
          <w:sz w:val="20"/>
          <w:szCs w:val="20"/>
          <w:lang w:val="en-US"/>
        </w:rPr>
        <w:lastRenderedPageBreak/>
        <w:t>TRCN0000079845, target sequence: 5′-CGCACACAACTCTGTCGTAAT-3′, RNAi core in Academia Sinica) or protein-expressing plasmid (GFP: Cat# LV590; GLAST-GFP: Cat# LV478055; GLT-1-GFP: Cat# LV476303, Applied Biological Materials, Richmond, BC, Canada] was added and incubated for 18 h. Then, t</w:t>
      </w:r>
      <w:r w:rsidRPr="0047636E">
        <w:rPr>
          <w:rFonts w:ascii="Arial" w:eastAsia="新細明體" w:hAnsi="Arial" w:cs="Arial"/>
          <w:color w:val="000000" w:themeColor="text1"/>
          <w:sz w:val="20"/>
          <w:szCs w:val="20"/>
          <w:lang w:val="en-US"/>
        </w:rPr>
        <w:t xml:space="preserve">he medium containing transfection mixtures was replaced with 5 mL fresh growth medium supplemented with 1% (W/V) bovine serum albumin (BSA, Cat# A8806, Sigma-Aldrich). The conditioned media containing LV particles were harvested every day for 3 days, centrifuged at 3,000 × g for 15 min to remove cell debris, concentrated with virus precipitation reagent (Cat# LV825A-1, System Biosciences, Palo Alto, CA, USA), re-suspended in PBS (Cat# 10010023, </w:t>
      </w:r>
      <w:r w:rsidRPr="0047636E">
        <w:rPr>
          <w:rFonts w:ascii="Arial" w:hAnsi="Arial" w:cs="Arial"/>
          <w:color w:val="000000" w:themeColor="text1"/>
          <w:sz w:val="20"/>
          <w:szCs w:val="20"/>
          <w:lang w:val="en-US"/>
        </w:rPr>
        <w:t>Thermo Fisher Scientific</w:t>
      </w:r>
      <w:r w:rsidRPr="0047636E">
        <w:rPr>
          <w:rFonts w:ascii="Arial" w:eastAsia="新細明體" w:hAnsi="Arial" w:cs="Arial"/>
          <w:color w:val="000000" w:themeColor="text1"/>
          <w:sz w:val="20"/>
          <w:szCs w:val="20"/>
          <w:lang w:val="en-US"/>
        </w:rPr>
        <w:t>), and stored at -80</w:t>
      </w:r>
      <w:r w:rsidRPr="0047636E">
        <w:rPr>
          <w:rFonts w:ascii="Arial" w:hAnsi="Arial" w:cs="Arial"/>
          <w:color w:val="000000" w:themeColor="text1"/>
          <w:sz w:val="20"/>
          <w:szCs w:val="20"/>
          <w:lang w:val="en-US"/>
        </w:rPr>
        <w:t>°C</w:t>
      </w:r>
      <w:r w:rsidRPr="0047636E">
        <w:rPr>
          <w:rFonts w:ascii="Arial" w:eastAsia="新細明體" w:hAnsi="Arial" w:cs="Arial"/>
          <w:color w:val="000000" w:themeColor="text1"/>
          <w:sz w:val="20"/>
          <w:szCs w:val="20"/>
          <w:lang w:val="en-US"/>
        </w:rPr>
        <w:t xml:space="preserve">. Lenti-X GoStix Plus test (Cat# 631280, Takara Bio) was used to determine the titer of each LV solution. An LV with a known titer was used as a reference virus to calculate the actual titer of LVs. The final titers of the generated LVs were higher than </w:t>
      </w:r>
      <w:r w:rsidRPr="0047636E">
        <w:rPr>
          <w:rFonts w:ascii="Arial" w:hAnsi="Arial" w:cs="Arial"/>
          <w:color w:val="000000" w:themeColor="text1"/>
          <w:sz w:val="20"/>
          <w:szCs w:val="20"/>
          <w:lang w:val="en-US"/>
        </w:rPr>
        <w:t>10</w:t>
      </w:r>
      <w:r w:rsidRPr="0047636E">
        <w:rPr>
          <w:rFonts w:ascii="Arial" w:hAnsi="Arial" w:cs="Arial"/>
          <w:color w:val="000000" w:themeColor="text1"/>
          <w:sz w:val="20"/>
          <w:szCs w:val="20"/>
          <w:vertAlign w:val="superscript"/>
          <w:lang w:val="en-US"/>
        </w:rPr>
        <w:t>9</w:t>
      </w:r>
      <w:r w:rsidRPr="0047636E">
        <w:rPr>
          <w:rFonts w:ascii="Arial" w:hAnsi="Arial" w:cs="Arial"/>
          <w:color w:val="000000" w:themeColor="text1"/>
          <w:sz w:val="20"/>
          <w:szCs w:val="20"/>
          <w:lang w:val="en-US"/>
        </w:rPr>
        <w:t xml:space="preserve"> IFU/mL.</w:t>
      </w:r>
    </w:p>
    <w:p w14:paraId="25F2CFBE" w14:textId="77777777" w:rsidR="00670D14" w:rsidRPr="0047636E" w:rsidRDefault="00670D14" w:rsidP="00850219">
      <w:pPr>
        <w:spacing w:line="360" w:lineRule="auto"/>
        <w:jc w:val="both"/>
        <w:rPr>
          <w:rFonts w:ascii="Arial" w:hAnsi="Arial" w:cs="Arial"/>
          <w:color w:val="000000" w:themeColor="text1"/>
          <w:sz w:val="20"/>
          <w:szCs w:val="20"/>
          <w:lang w:val="en-US"/>
        </w:rPr>
      </w:pPr>
    </w:p>
    <w:p w14:paraId="6F1877A0" w14:textId="77777777" w:rsidR="00670D14" w:rsidRPr="0047636E" w:rsidRDefault="00670D14" w:rsidP="00850219">
      <w:pPr>
        <w:spacing w:line="360" w:lineRule="auto"/>
        <w:jc w:val="both"/>
        <w:rPr>
          <w:rFonts w:ascii="Arial" w:hAnsi="Arial" w:cs="Arial"/>
          <w:b/>
          <w:bCs/>
          <w:color w:val="000000" w:themeColor="text1"/>
          <w:sz w:val="20"/>
          <w:szCs w:val="20"/>
          <w:lang w:val="en-US"/>
        </w:rPr>
      </w:pPr>
      <w:r w:rsidRPr="0047636E">
        <w:rPr>
          <w:rFonts w:ascii="Arial" w:hAnsi="Arial" w:cs="Arial"/>
          <w:b/>
          <w:bCs/>
          <w:color w:val="000000" w:themeColor="text1"/>
          <w:sz w:val="20"/>
          <w:szCs w:val="20"/>
          <w:lang w:val="en-US"/>
        </w:rPr>
        <w:t>Intra-vHPC infusion of LVs</w:t>
      </w:r>
    </w:p>
    <w:p w14:paraId="18B21988" w14:textId="77777777" w:rsidR="00670D14" w:rsidRPr="0047636E" w:rsidRDefault="00670D14" w:rsidP="00850219">
      <w:pPr>
        <w:spacing w:line="360" w:lineRule="auto"/>
        <w:jc w:val="both"/>
        <w:rPr>
          <w:rFonts w:ascii="Arial" w:eastAsia="新細明體" w:hAnsi="Arial" w:cs="Arial"/>
          <w:color w:val="000000" w:themeColor="text1"/>
          <w:sz w:val="20"/>
          <w:szCs w:val="20"/>
          <w:lang w:val="en-US"/>
        </w:rPr>
      </w:pPr>
      <w:r w:rsidRPr="0047636E">
        <w:rPr>
          <w:rFonts w:ascii="Arial" w:eastAsia="新細明體" w:hAnsi="Arial" w:cs="Arial"/>
          <w:color w:val="000000" w:themeColor="text1"/>
          <w:sz w:val="20"/>
          <w:szCs w:val="20"/>
          <w:lang w:val="en-US"/>
        </w:rPr>
        <w:t>To investigate the effects of knockdown of vHPC GLAST and GLT-1 on the NAc-vHPC glutamatergic transmission and the exhibition of depression-like behaviors, the naïve 8-week-old male C57BL/6N mice were infused with shRNA-expressing LVs into their bilateral vHPC for 4 weeks. To study the effects of restoring vHPC GLAST and GLT-1 on the HFD-induced deficits, the CD and HFD mice were bilaterally infused with GLAST- and GLT-1-expressing LVs into their vHPC 4 weeks before concluding the HFD.</w:t>
      </w:r>
    </w:p>
    <w:p w14:paraId="038A392C" w14:textId="77777777" w:rsidR="00670D14" w:rsidRPr="0047636E" w:rsidRDefault="00670D14" w:rsidP="00850219">
      <w:pPr>
        <w:spacing w:line="360" w:lineRule="auto"/>
        <w:jc w:val="both"/>
        <w:rPr>
          <w:rFonts w:ascii="Arial" w:eastAsia="新細明體" w:hAnsi="Arial" w:cs="Arial"/>
          <w:color w:val="000000" w:themeColor="text1"/>
          <w:sz w:val="20"/>
          <w:szCs w:val="20"/>
          <w:lang w:val="en-US"/>
        </w:rPr>
      </w:pPr>
      <w:r w:rsidRPr="0047636E">
        <w:rPr>
          <w:rFonts w:ascii="Arial" w:eastAsia="新細明體" w:hAnsi="Arial" w:cs="Arial"/>
          <w:color w:val="000000" w:themeColor="text1"/>
          <w:sz w:val="20"/>
          <w:szCs w:val="20"/>
          <w:lang w:val="en-US"/>
        </w:rPr>
        <w:tab/>
        <w:t xml:space="preserve">On the surgery day, mice were anesthetized with Zoletil 50 (75 mg/kg, i.p.; Virbac) and mounted on a stereotaxic apparatus (Model: 51500, </w:t>
      </w:r>
      <w:r w:rsidRPr="0047636E">
        <w:rPr>
          <w:rFonts w:ascii="Arial" w:hAnsi="Arial" w:cs="Arial"/>
          <w:color w:val="000000" w:themeColor="text1"/>
          <w:sz w:val="20"/>
          <w:szCs w:val="20"/>
          <w:lang w:val="en-US"/>
        </w:rPr>
        <w:t>Stoelting</w:t>
      </w:r>
      <w:r w:rsidRPr="0047636E">
        <w:rPr>
          <w:rFonts w:ascii="Arial" w:eastAsia="新細明體" w:hAnsi="Arial" w:cs="Arial"/>
          <w:color w:val="000000" w:themeColor="text1"/>
          <w:sz w:val="20"/>
          <w:szCs w:val="20"/>
          <w:lang w:val="en-US"/>
        </w:rPr>
        <w:t xml:space="preserve">). A total of 1.5 µL (for knockdown: 1.5 µL of LV expressing shLacZ or 0.75 µL of LV expressing shGLAST + 0.75 µL of LV expressing shGLT-1; for overexpression: 1.5 µL of LV expressing GFP or 0.75 µL of LV expressing </w:t>
      </w:r>
      <w:proofErr w:type="gramStart"/>
      <w:r w:rsidRPr="0047636E">
        <w:rPr>
          <w:rFonts w:ascii="Arial" w:eastAsia="新細明體" w:hAnsi="Arial" w:cs="Arial"/>
          <w:color w:val="000000" w:themeColor="text1"/>
          <w:sz w:val="20"/>
          <w:szCs w:val="20"/>
          <w:lang w:val="en-US"/>
        </w:rPr>
        <w:t>GLAST;GFP</w:t>
      </w:r>
      <w:proofErr w:type="gramEnd"/>
      <w:r w:rsidRPr="0047636E">
        <w:rPr>
          <w:rFonts w:ascii="Arial" w:eastAsia="新細明體" w:hAnsi="Arial" w:cs="Arial"/>
          <w:color w:val="000000" w:themeColor="text1"/>
          <w:sz w:val="20"/>
          <w:szCs w:val="20"/>
          <w:lang w:val="en-US"/>
        </w:rPr>
        <w:t xml:space="preserve"> + 0.75 µL of LV expressing GLT-1;GFP) of LV was infused in three locations (0.5 µL/site, AP: -3.1, -3.3, and -3.6 mm; ML: ±2.8 mm; DV: -4.8 mm from the bregma) in each vHPC. </w:t>
      </w:r>
      <w:r w:rsidRPr="0047636E">
        <w:rPr>
          <w:rFonts w:ascii="Arial" w:hAnsi="Arial" w:cs="Arial"/>
          <w:color w:val="000000" w:themeColor="text1"/>
          <w:sz w:val="20"/>
          <w:szCs w:val="20"/>
          <w:lang w:val="en-US"/>
        </w:rPr>
        <w:t>The viral solutions were infused via a 30G stainless steel needle connected to a syringe (Model: 80000, Hamilton) with a PE-10 tube (Cat# BTPE-10, Instech)</w:t>
      </w:r>
      <w:r w:rsidRPr="0047636E">
        <w:rPr>
          <w:rFonts w:ascii="Arial" w:eastAsia="新細明體" w:hAnsi="Arial" w:cs="Arial"/>
          <w:color w:val="000000" w:themeColor="text1"/>
          <w:sz w:val="20"/>
          <w:szCs w:val="20"/>
          <w:lang w:val="en-US"/>
        </w:rPr>
        <w:t xml:space="preserve"> </w:t>
      </w:r>
      <w:r w:rsidRPr="0047636E">
        <w:rPr>
          <w:rFonts w:ascii="Arial" w:hAnsi="Arial" w:cs="Arial"/>
          <w:color w:val="000000" w:themeColor="text1"/>
          <w:sz w:val="20"/>
          <w:szCs w:val="20"/>
          <w:lang w:val="en-US"/>
        </w:rPr>
        <w:t xml:space="preserve">at </w:t>
      </w:r>
      <w:r w:rsidRPr="0047636E">
        <w:rPr>
          <w:rFonts w:ascii="Arial" w:eastAsia="新細明體" w:hAnsi="Arial" w:cs="Arial"/>
          <w:color w:val="000000" w:themeColor="text1"/>
          <w:sz w:val="20"/>
          <w:szCs w:val="20"/>
          <w:lang w:val="en-US"/>
        </w:rPr>
        <w:t>the rate of 0.05 µ</w:t>
      </w:r>
      <w:r w:rsidRPr="0047636E">
        <w:rPr>
          <w:rFonts w:ascii="Arial" w:hAnsi="Arial" w:cs="Arial"/>
          <w:color w:val="000000" w:themeColor="text1"/>
          <w:sz w:val="20"/>
          <w:szCs w:val="20"/>
          <w:lang w:val="en-US"/>
        </w:rPr>
        <w:t xml:space="preserve">L/min. </w:t>
      </w:r>
      <w:r w:rsidRPr="0047636E">
        <w:rPr>
          <w:rFonts w:ascii="Arial" w:eastAsia="新細明體" w:hAnsi="Arial" w:cs="Arial"/>
          <w:color w:val="000000" w:themeColor="text1"/>
          <w:sz w:val="20"/>
          <w:szCs w:val="20"/>
          <w:lang w:val="en-US"/>
        </w:rPr>
        <w:t xml:space="preserve">The infusion rate was controlled by a microsyringe pump (Model: KDS 210, KD Scientific). The needle was withdrawn 10 min after ending the infusion. The incisions were closed with Michel suture clips (Cat# BN507R, Aesculap). By </w:t>
      </w:r>
      <w:r w:rsidRPr="0047636E">
        <w:rPr>
          <w:rFonts w:ascii="Arial" w:eastAsia="新細明體" w:hAnsi="Arial" w:cs="Arial"/>
          <w:color w:val="000000" w:themeColor="text1"/>
          <w:sz w:val="20"/>
          <w:szCs w:val="20"/>
          <w:lang w:val="en-US"/>
        </w:rPr>
        <w:lastRenderedPageBreak/>
        <w:t>comparing the temporal knockdown efficiencies of various shRNAs for each target, we adopted a recipe (i.e., #1 shRNA for GLAST and 3# shRNA for GLT-1, infection time: 4 weeks) for related experiments (</w:t>
      </w:r>
      <w:r w:rsidRPr="0047636E">
        <w:rPr>
          <w:rFonts w:ascii="Arial" w:eastAsia="新細明體" w:hAnsi="Arial" w:cs="Arial"/>
          <w:b/>
          <w:bCs/>
          <w:color w:val="000000" w:themeColor="text1"/>
          <w:sz w:val="20"/>
          <w:szCs w:val="20"/>
          <w:lang w:val="en-US"/>
        </w:rPr>
        <w:t xml:space="preserve">Supplementary Figures S6a </w:t>
      </w:r>
      <w:r w:rsidRPr="0047636E">
        <w:rPr>
          <w:rFonts w:ascii="Arial" w:eastAsia="新細明體" w:hAnsi="Arial" w:cs="Arial"/>
          <w:bCs/>
          <w:color w:val="000000" w:themeColor="text1"/>
          <w:sz w:val="20"/>
          <w:szCs w:val="20"/>
          <w:lang w:val="en-US"/>
        </w:rPr>
        <w:t>and</w:t>
      </w:r>
      <w:r w:rsidRPr="0047636E">
        <w:rPr>
          <w:rFonts w:ascii="Arial" w:eastAsia="新細明體" w:hAnsi="Arial" w:cs="Arial"/>
          <w:b/>
          <w:bCs/>
          <w:color w:val="000000" w:themeColor="text1"/>
          <w:sz w:val="20"/>
          <w:szCs w:val="20"/>
          <w:lang w:val="en-US"/>
        </w:rPr>
        <w:t xml:space="preserve"> b</w:t>
      </w:r>
      <w:r w:rsidRPr="0047636E">
        <w:rPr>
          <w:rFonts w:ascii="Arial" w:eastAsia="新細明體" w:hAnsi="Arial" w:cs="Arial"/>
          <w:color w:val="000000" w:themeColor="text1"/>
          <w:sz w:val="20"/>
          <w:szCs w:val="20"/>
          <w:lang w:val="en-US"/>
        </w:rPr>
        <w:t>).</w:t>
      </w:r>
    </w:p>
    <w:p w14:paraId="68BFFA64" w14:textId="39D0F0AB" w:rsidR="00670D14" w:rsidRPr="0047636E" w:rsidRDefault="00670D14" w:rsidP="00BA4E04">
      <w:pPr>
        <w:spacing w:line="360" w:lineRule="auto"/>
        <w:jc w:val="both"/>
        <w:rPr>
          <w:rFonts w:ascii="Arial" w:eastAsia="新細明體" w:hAnsi="Arial" w:cs="Arial"/>
          <w:b/>
          <w:bCs/>
          <w:color w:val="000000" w:themeColor="text1"/>
          <w:sz w:val="20"/>
          <w:szCs w:val="20"/>
          <w:lang w:val="en-US"/>
        </w:rPr>
      </w:pPr>
    </w:p>
    <w:p w14:paraId="62F06933" w14:textId="181E3453" w:rsidR="000D2690" w:rsidRPr="0047636E" w:rsidRDefault="00040471" w:rsidP="000D2690">
      <w:pPr>
        <w:spacing w:line="360" w:lineRule="auto"/>
        <w:jc w:val="both"/>
        <w:rPr>
          <w:rFonts w:ascii="Arial" w:hAnsi="Arial" w:cs="Arial"/>
          <w:b/>
          <w:bCs/>
          <w:color w:val="000000" w:themeColor="text1"/>
          <w:sz w:val="20"/>
          <w:szCs w:val="20"/>
          <w:lang w:val="en-US"/>
        </w:rPr>
      </w:pPr>
      <w:r w:rsidRPr="0047636E">
        <w:rPr>
          <w:rFonts w:ascii="Arial" w:eastAsia="新細明體" w:hAnsi="Arial" w:cs="Arial"/>
          <w:b/>
          <w:bCs/>
          <w:color w:val="000000" w:themeColor="text1"/>
          <w:sz w:val="20"/>
          <w:szCs w:val="20"/>
          <w:lang w:val="en-US"/>
        </w:rPr>
        <w:t xml:space="preserve">Details for </w:t>
      </w:r>
      <w:r w:rsidRPr="0047636E">
        <w:rPr>
          <w:rFonts w:ascii="Arial" w:hAnsi="Arial" w:cs="Arial"/>
          <w:b/>
          <w:bCs/>
          <w:color w:val="000000" w:themeColor="text1"/>
          <w:sz w:val="20"/>
          <w:szCs w:val="20"/>
          <w:lang w:val="en-US"/>
        </w:rPr>
        <w:t>i</w:t>
      </w:r>
      <w:r w:rsidR="000D2690" w:rsidRPr="0047636E">
        <w:rPr>
          <w:rFonts w:ascii="Arial" w:hAnsi="Arial" w:cs="Arial"/>
          <w:b/>
          <w:bCs/>
          <w:color w:val="000000" w:themeColor="text1"/>
          <w:sz w:val="20"/>
          <w:szCs w:val="20"/>
          <w:lang w:val="en-US"/>
        </w:rPr>
        <w:t>ntra-vHPC infusion of riluzole</w:t>
      </w:r>
    </w:p>
    <w:p w14:paraId="2C38B19E" w14:textId="52101ECE" w:rsidR="00B841FC" w:rsidRPr="0047636E" w:rsidRDefault="00F47867" w:rsidP="00040471">
      <w:pPr>
        <w:spacing w:line="360" w:lineRule="auto"/>
        <w:jc w:val="both"/>
        <w:rPr>
          <w:rFonts w:ascii="Arial" w:eastAsia="新細明體" w:hAnsi="Arial" w:cs="Arial"/>
          <w:color w:val="000000" w:themeColor="text1"/>
          <w:sz w:val="20"/>
          <w:szCs w:val="20"/>
          <w:lang w:val="en-US"/>
        </w:rPr>
      </w:pPr>
      <w:r w:rsidRPr="0047636E">
        <w:rPr>
          <w:rFonts w:ascii="Arial" w:eastAsia="新細明體" w:hAnsi="Arial" w:cs="Arial"/>
          <w:color w:val="000000" w:themeColor="text1"/>
          <w:sz w:val="20"/>
          <w:szCs w:val="20"/>
          <w:lang w:val="en-US" w:eastAsia="zh-TW"/>
        </w:rPr>
        <w:t>Ten days before the end of the HFD feeding period, mice were anesthetized with Zoletil 50 (75 mg/kg, i.p.; Virbac) and mounted on a stereotaxic apparatus (Model: 51500, Stoelting). Guiding cannulas (Cat# C315GS-4/SP 26G, P1 Technologies) were bilaterally implanted into the vHPC (AP: -3.2 mm; ML: ±2.8 mm; DV: -3.8 mm from the bregma) and tightly fixed on the skull with dental adhesive resin cement (Model: Super-Bond, Sun Medical). After a 3-day recovery period, riluzole (RLZ, Cat# 1604337, Sigma-Aldrich) was bilaterally infused daily into the vHPC (0.5, 1, or 2 nmol dissolved in 0.5 µL artificial cerebrospinal fluid containing 1% DMSO/side) of free-moving mice via stainless steel infusing needles (1 mm longer than the guiding cannula; Cat# C315IS-4/SP 33G, P1 Technologies) connected to a syringe (Model: 80365, Hamilton) for 7 days. The infusion rate (0.05 µL/min) was controlled by a microsyringe pump (Model: KDS 210, KD Scientific). The injecting needle was withdrawn 10 min after the infusion was completed. Vehicle control mice received bilateral infusions of an equal volume of artificial cerebrospinal fluid containing 1% DMSO into the vHPC. In the groups of mice used for FG retrograde tracing, the bilateral intra-NAc infusion of FG was conducted at the same time as the bilateral intra-vHPC implantation of cannulas.</w:t>
      </w:r>
    </w:p>
    <w:p w14:paraId="0DFAE802" w14:textId="77777777" w:rsidR="00F32230" w:rsidRPr="0047636E" w:rsidRDefault="00F32230" w:rsidP="002E3686">
      <w:pPr>
        <w:spacing w:line="360" w:lineRule="auto"/>
        <w:jc w:val="both"/>
        <w:rPr>
          <w:rFonts w:ascii="Arial" w:eastAsia="新細明體" w:hAnsi="Arial" w:cs="Arial"/>
          <w:color w:val="000000" w:themeColor="text1"/>
          <w:sz w:val="20"/>
          <w:szCs w:val="20"/>
          <w:lang w:val="en-US"/>
        </w:rPr>
      </w:pPr>
    </w:p>
    <w:p w14:paraId="4AAFC408" w14:textId="77777777" w:rsidR="00F32230" w:rsidRPr="0047636E" w:rsidRDefault="00F32230" w:rsidP="00F32230">
      <w:pPr>
        <w:spacing w:line="360" w:lineRule="auto"/>
        <w:jc w:val="both"/>
        <w:rPr>
          <w:rFonts w:ascii="Arial" w:eastAsia="新細明體" w:hAnsi="Arial" w:cs="Arial"/>
          <w:b/>
          <w:bCs/>
          <w:color w:val="000000" w:themeColor="text1"/>
          <w:sz w:val="20"/>
          <w:szCs w:val="20"/>
          <w:lang w:val="en-US"/>
        </w:rPr>
      </w:pPr>
      <w:r w:rsidRPr="0047636E">
        <w:rPr>
          <w:rFonts w:ascii="Arial" w:eastAsia="新細明體" w:hAnsi="Arial" w:cs="Arial"/>
          <w:b/>
          <w:bCs/>
          <w:color w:val="000000" w:themeColor="text1"/>
          <w:sz w:val="20"/>
          <w:szCs w:val="20"/>
          <w:lang w:val="en-US"/>
        </w:rPr>
        <w:t>Details for statistical analysis</w:t>
      </w:r>
    </w:p>
    <w:p w14:paraId="16AE8662" w14:textId="2D3C83D6" w:rsidR="00670D14" w:rsidRPr="0047636E" w:rsidRDefault="00670D14" w:rsidP="002E3686">
      <w:pPr>
        <w:spacing w:line="360" w:lineRule="auto"/>
        <w:jc w:val="both"/>
        <w:rPr>
          <w:rFonts w:ascii="Arial" w:eastAsia="新細明體" w:hAnsi="Arial" w:cs="Arial"/>
          <w:color w:val="000000" w:themeColor="text1"/>
          <w:sz w:val="20"/>
          <w:szCs w:val="20"/>
          <w:lang w:val="en-US"/>
        </w:rPr>
      </w:pPr>
      <w:r w:rsidRPr="0047636E">
        <w:rPr>
          <w:rFonts w:ascii="Arial" w:eastAsia="新細明體" w:hAnsi="Arial" w:cs="Arial"/>
          <w:color w:val="000000" w:themeColor="text1"/>
          <w:sz w:val="20"/>
          <w:szCs w:val="20"/>
          <w:lang w:val="en-US"/>
        </w:rPr>
        <w:t xml:space="preserve">All numerical data are expressed as mean ± standard deviation. Statistical analyses and graph plotting were performed using the Prism software (v. 7.0a, GraphPad Software Inc., San Diego, CA, USA). Significance was set at </w:t>
      </w:r>
      <w:r w:rsidRPr="0047636E">
        <w:rPr>
          <w:rFonts w:ascii="Arial" w:eastAsia="新細明體" w:hAnsi="Arial" w:cs="Arial"/>
          <w:i/>
          <w:iCs/>
          <w:color w:val="000000" w:themeColor="text1"/>
          <w:sz w:val="20"/>
          <w:szCs w:val="20"/>
          <w:lang w:val="en-US"/>
        </w:rPr>
        <w:t>P</w:t>
      </w:r>
      <w:r w:rsidRPr="0047636E">
        <w:rPr>
          <w:rFonts w:ascii="Arial" w:eastAsia="新細明體" w:hAnsi="Arial" w:cs="Arial"/>
          <w:color w:val="000000" w:themeColor="text1"/>
          <w:sz w:val="20"/>
          <w:szCs w:val="20"/>
          <w:lang w:val="en-US"/>
        </w:rPr>
        <w:t xml:space="preserve"> &lt; 0.05. </w:t>
      </w:r>
      <w:r w:rsidR="009A5050" w:rsidRPr="0047636E">
        <w:rPr>
          <w:rFonts w:ascii="Arial" w:eastAsia="新細明體" w:hAnsi="Arial" w:cs="Arial"/>
          <w:color w:val="000000" w:themeColor="text1"/>
          <w:sz w:val="20"/>
          <w:szCs w:val="20"/>
          <w:lang w:val="en-US"/>
        </w:rPr>
        <w:t>To faithfully report our results, we presented all acquired data points without removing any data. Our statistical analysis revealed a high effect size (</w:t>
      </w:r>
      <w:r w:rsidR="009A5050" w:rsidRPr="0047636E">
        <w:rPr>
          <w:rFonts w:ascii="Arial" w:eastAsia="新細明體" w:hAnsi="Arial" w:cs="Arial"/>
          <w:b/>
          <w:color w:val="000000" w:themeColor="text1"/>
          <w:sz w:val="20"/>
          <w:szCs w:val="20"/>
          <w:lang w:val="en-US"/>
        </w:rPr>
        <w:t>Supplementary Table S2</w:t>
      </w:r>
      <w:r w:rsidR="009A5050" w:rsidRPr="0047636E">
        <w:rPr>
          <w:rFonts w:ascii="Arial" w:eastAsia="新細明體" w:hAnsi="Arial" w:cs="Arial"/>
          <w:color w:val="000000" w:themeColor="text1"/>
          <w:sz w:val="20"/>
          <w:szCs w:val="20"/>
          <w:lang w:val="en-US"/>
        </w:rPr>
        <w:t xml:space="preserve">). </w:t>
      </w:r>
      <w:r w:rsidR="005875D8" w:rsidRPr="0047636E">
        <w:rPr>
          <w:rFonts w:ascii="Arial" w:eastAsia="新細明體" w:hAnsi="Arial" w:cs="Arial"/>
          <w:color w:val="000000" w:themeColor="text1"/>
          <w:sz w:val="20"/>
          <w:szCs w:val="20"/>
          <w:lang w:val="en-US"/>
        </w:rPr>
        <w:t>For the estimation of sample size, we used MedCalc® software (version 20.109, MedCalc Software Ltd, Ostend, Belgium) with the following settings: type I error = 0.05, type II error = 0.20, ratio of sample sizes in group 1/group 2 = 0.8-1.</w:t>
      </w:r>
      <w:r w:rsidR="005875D8" w:rsidRPr="0047636E">
        <w:rPr>
          <w:rFonts w:ascii="Arial" w:eastAsia="新細明體" w:hAnsi="Arial" w:cs="Arial" w:hint="eastAsia"/>
          <w:color w:val="000000" w:themeColor="text1"/>
          <w:sz w:val="20"/>
          <w:szCs w:val="20"/>
          <w:lang w:val="en-US" w:eastAsia="zh-TW"/>
        </w:rPr>
        <w:t xml:space="preserve"> </w:t>
      </w:r>
      <w:r w:rsidR="005875D8" w:rsidRPr="0047636E">
        <w:rPr>
          <w:rFonts w:ascii="Arial" w:eastAsia="新細明體" w:hAnsi="Arial" w:cs="Arial"/>
          <w:color w:val="000000" w:themeColor="text1"/>
          <w:sz w:val="20"/>
          <w:szCs w:val="20"/>
          <w:lang w:val="en-US" w:eastAsia="zh-TW"/>
        </w:rPr>
        <w:t>Based on t</w:t>
      </w:r>
      <w:r w:rsidR="009A5050" w:rsidRPr="0047636E">
        <w:rPr>
          <w:rFonts w:ascii="Arial" w:eastAsia="新細明體" w:hAnsi="Arial" w:cs="Arial"/>
          <w:color w:val="000000" w:themeColor="text1"/>
          <w:sz w:val="20"/>
          <w:szCs w:val="20"/>
          <w:lang w:val="en-US"/>
        </w:rPr>
        <w:t xml:space="preserve">he </w:t>
      </w:r>
      <w:r w:rsidR="009A5050" w:rsidRPr="0047636E">
        <w:rPr>
          <w:rFonts w:ascii="Arial" w:eastAsia="新細明體" w:hAnsi="Arial" w:cs="Arial"/>
          <w:color w:val="000000" w:themeColor="text1"/>
          <w:sz w:val="20"/>
          <w:szCs w:val="20"/>
          <w:lang w:val="en-US"/>
        </w:rPr>
        <w:lastRenderedPageBreak/>
        <w:t>means and standard deviations of CD and HFD groups</w:t>
      </w:r>
      <w:r w:rsidR="005875D8" w:rsidRPr="0047636E">
        <w:rPr>
          <w:rFonts w:ascii="Arial" w:eastAsia="新細明體" w:hAnsi="Arial" w:cs="Arial"/>
          <w:color w:val="000000" w:themeColor="text1"/>
          <w:sz w:val="20"/>
          <w:szCs w:val="20"/>
          <w:lang w:val="en-US"/>
        </w:rPr>
        <w:t xml:space="preserve"> (difference of means = 25.81, standard deviation in CD group = 18.84, standard deviation in HFD group = 19.96) (</w:t>
      </w:r>
      <w:r w:rsidR="005875D8" w:rsidRPr="0047636E">
        <w:rPr>
          <w:rFonts w:ascii="Arial" w:eastAsia="新細明體" w:hAnsi="Arial" w:cs="Arial"/>
          <w:b/>
          <w:color w:val="000000" w:themeColor="text1"/>
          <w:sz w:val="20"/>
          <w:szCs w:val="20"/>
          <w:lang w:val="en-US"/>
        </w:rPr>
        <w:t>Fig. 1k</w:t>
      </w:r>
      <w:r w:rsidR="005875D8" w:rsidRPr="0047636E">
        <w:rPr>
          <w:rFonts w:ascii="Arial" w:eastAsia="新細明體" w:hAnsi="Arial" w:cs="Arial"/>
          <w:color w:val="000000" w:themeColor="text1"/>
          <w:sz w:val="20"/>
          <w:szCs w:val="20"/>
          <w:lang w:val="en-US"/>
        </w:rPr>
        <w:t>), t</w:t>
      </w:r>
      <w:r w:rsidR="009A5050" w:rsidRPr="0047636E">
        <w:rPr>
          <w:rFonts w:ascii="Arial" w:eastAsia="新細明體" w:hAnsi="Arial" w:cs="Arial"/>
          <w:color w:val="000000" w:themeColor="text1"/>
          <w:sz w:val="20"/>
          <w:szCs w:val="20"/>
          <w:lang w:val="en-US"/>
        </w:rPr>
        <w:t>he minimal sample size for FST was 8-10</w:t>
      </w:r>
      <w:r w:rsidR="005875D8" w:rsidRPr="0047636E">
        <w:rPr>
          <w:rFonts w:ascii="Arial" w:eastAsia="新細明體" w:hAnsi="Arial" w:cs="Arial"/>
          <w:color w:val="000000" w:themeColor="text1"/>
          <w:sz w:val="20"/>
          <w:szCs w:val="20"/>
          <w:lang w:val="en-US"/>
        </w:rPr>
        <w:t>. W</w:t>
      </w:r>
      <w:r w:rsidR="009A5050" w:rsidRPr="0047636E">
        <w:rPr>
          <w:rFonts w:ascii="Arial" w:eastAsia="新細明體" w:hAnsi="Arial" w:cs="Arial"/>
          <w:color w:val="000000" w:themeColor="text1"/>
          <w:sz w:val="20"/>
          <w:szCs w:val="20"/>
          <w:lang w:val="en-US"/>
        </w:rPr>
        <w:t>e followed this estimation to carry out subsequent studies.</w:t>
      </w:r>
      <w:r w:rsidR="005875D8" w:rsidRPr="0047636E">
        <w:rPr>
          <w:rFonts w:ascii="Arial" w:eastAsia="新細明體" w:hAnsi="Arial" w:cs="Arial"/>
          <w:color w:val="000000" w:themeColor="text1"/>
          <w:sz w:val="20"/>
          <w:szCs w:val="20"/>
          <w:lang w:val="en-US"/>
        </w:rPr>
        <w:t xml:space="preserve"> </w:t>
      </w:r>
      <w:r w:rsidRPr="0047636E">
        <w:rPr>
          <w:rFonts w:ascii="Arial" w:eastAsia="新細明體" w:hAnsi="Arial" w:cs="Arial"/>
          <w:color w:val="000000" w:themeColor="text1"/>
          <w:sz w:val="20"/>
          <w:szCs w:val="20"/>
          <w:lang w:val="en-US"/>
        </w:rPr>
        <w:t xml:space="preserve">The D’Agostino-Pearson normality test was adopted to estimate the assumption of normality. </w:t>
      </w:r>
      <w:r w:rsidR="00816356" w:rsidRPr="0047636E">
        <w:rPr>
          <w:rFonts w:ascii="Arial" w:eastAsia="新細明體" w:hAnsi="Arial" w:cs="Arial"/>
          <w:color w:val="000000" w:themeColor="text1"/>
          <w:sz w:val="20"/>
          <w:szCs w:val="20"/>
          <w:lang w:val="en-US"/>
        </w:rPr>
        <w:t xml:space="preserve">For datasets with normal distributions, unpaired, two-tailed Student’s </w:t>
      </w:r>
      <w:r w:rsidR="00816356" w:rsidRPr="0047636E">
        <w:rPr>
          <w:rFonts w:ascii="Arial" w:eastAsia="新細明體" w:hAnsi="Arial" w:cs="Arial"/>
          <w:i/>
          <w:color w:val="000000" w:themeColor="text1"/>
          <w:sz w:val="20"/>
          <w:szCs w:val="20"/>
          <w:lang w:val="en-US"/>
        </w:rPr>
        <w:t>t</w:t>
      </w:r>
      <w:r w:rsidR="00816356" w:rsidRPr="0047636E">
        <w:rPr>
          <w:rFonts w:ascii="Arial" w:eastAsia="新細明體" w:hAnsi="Arial" w:cs="Arial"/>
          <w:color w:val="000000" w:themeColor="text1"/>
          <w:sz w:val="20"/>
          <w:szCs w:val="20"/>
          <w:lang w:val="en-US"/>
        </w:rPr>
        <w:t xml:space="preserve">-test was used to compare means in experiments with two groups, while one-way ANOVA followed by Tukey’s multiple comparisons was used to analyze differences between more than two independent groups. For non-normal distributed datasets, the Mann-Whitney </w:t>
      </w:r>
      <w:r w:rsidR="00816356" w:rsidRPr="0047636E">
        <w:rPr>
          <w:rFonts w:ascii="Arial" w:eastAsia="新細明體" w:hAnsi="Arial" w:cs="Arial"/>
          <w:i/>
          <w:color w:val="000000" w:themeColor="text1"/>
          <w:sz w:val="20"/>
          <w:szCs w:val="20"/>
          <w:lang w:val="en-US"/>
        </w:rPr>
        <w:t>U</w:t>
      </w:r>
      <w:r w:rsidR="00816356" w:rsidRPr="0047636E">
        <w:rPr>
          <w:rFonts w:ascii="Arial" w:eastAsia="新細明體" w:hAnsi="Arial" w:cs="Arial"/>
          <w:color w:val="000000" w:themeColor="text1"/>
          <w:sz w:val="20"/>
          <w:szCs w:val="20"/>
          <w:lang w:val="en-US"/>
        </w:rPr>
        <w:t xml:space="preserve"> test was used for comparisons of two groups, and the Kruskal-Wallis test followed by Dunn’s multiple comparisons was used to analyze differences between more than two independent groups.</w:t>
      </w:r>
      <w:r w:rsidRPr="0047636E">
        <w:rPr>
          <w:rFonts w:ascii="Arial" w:eastAsia="新細明體" w:hAnsi="Arial" w:cs="Arial"/>
          <w:color w:val="000000" w:themeColor="text1"/>
          <w:sz w:val="20"/>
          <w:szCs w:val="20"/>
          <w:lang w:val="en-US"/>
        </w:rPr>
        <w:t xml:space="preserve"> Designs with two independent variables were analyzed by two-way ANOVA followed by Tukey’s multiple comparison tests if the main effects or interactions were significant. Repeated measures two-way ANOVA followed by Sidak’s multiple comparisons was used to analyze the body weights of mice. The area under the curve calculation analyzed the performance of IPGTT and IPITT. The effect size was measured with Cohen’s d value calculated by the following formula:</w:t>
      </w:r>
    </w:p>
    <w:p w14:paraId="40660D7B" w14:textId="77777777" w:rsidR="00670D14" w:rsidRPr="0047636E" w:rsidRDefault="00670D14" w:rsidP="002E3686">
      <w:pPr>
        <w:spacing w:line="360" w:lineRule="auto"/>
        <w:jc w:val="both"/>
        <w:rPr>
          <w:rFonts w:ascii="Arial" w:eastAsia="新細明體" w:hAnsi="Arial" w:cs="Arial"/>
          <w:color w:val="000000" w:themeColor="text1"/>
          <w:sz w:val="20"/>
          <w:szCs w:val="20"/>
          <w:lang w:val="en-US"/>
        </w:rPr>
      </w:pPr>
      <w:r w:rsidRPr="0047636E">
        <w:rPr>
          <w:rFonts w:ascii="Arial" w:eastAsia="新細明體" w:hAnsi="Arial" w:cs="Arial"/>
          <w:color w:val="000000" w:themeColor="text1"/>
          <w:sz w:val="20"/>
          <w:szCs w:val="20"/>
          <w:lang w:val="en-US"/>
        </w:rPr>
        <w:t>(mean of group A - mean of group B)/</w:t>
      </w:r>
      <w:proofErr w:type="gramStart"/>
      <w:r w:rsidRPr="0047636E">
        <w:rPr>
          <w:rFonts w:ascii="Arial" w:eastAsia="新細明體" w:hAnsi="Arial" w:cs="Arial"/>
          <w:color w:val="000000" w:themeColor="text1"/>
          <w:sz w:val="20"/>
          <w:szCs w:val="20"/>
          <w:lang w:val="en-US"/>
        </w:rPr>
        <w:t>√[</w:t>
      </w:r>
      <w:proofErr w:type="gramEnd"/>
      <w:r w:rsidRPr="0047636E">
        <w:rPr>
          <w:rFonts w:ascii="Arial" w:eastAsia="新細明體" w:hAnsi="Arial" w:cs="Arial"/>
          <w:color w:val="000000" w:themeColor="text1"/>
          <w:sz w:val="20"/>
          <w:szCs w:val="20"/>
          <w:lang w:val="en-US"/>
        </w:rPr>
        <w:t>(standard deviation of group A2 + standard deviation of group B2)/2)</w:t>
      </w:r>
    </w:p>
    <w:p w14:paraId="26200426" w14:textId="77777777" w:rsidR="00670D14" w:rsidRPr="0047636E" w:rsidRDefault="00670D14" w:rsidP="002E3686">
      <w:pPr>
        <w:spacing w:line="360" w:lineRule="auto"/>
        <w:jc w:val="both"/>
        <w:rPr>
          <w:rFonts w:ascii="Arial" w:eastAsia="新細明體" w:hAnsi="Arial" w:cs="Arial"/>
          <w:color w:val="000000" w:themeColor="text1"/>
          <w:sz w:val="20"/>
          <w:szCs w:val="20"/>
          <w:lang w:val="en-US"/>
        </w:rPr>
      </w:pPr>
      <w:r w:rsidRPr="0047636E">
        <w:rPr>
          <w:rFonts w:ascii="Arial" w:eastAsia="新細明體" w:hAnsi="Arial" w:cs="Arial"/>
          <w:color w:val="000000" w:themeColor="text1"/>
          <w:sz w:val="20"/>
          <w:szCs w:val="20"/>
          <w:lang w:val="en-US"/>
        </w:rPr>
        <w:t xml:space="preserve">if the difference between the two groups was significant. The details of statistical analysis are described in </w:t>
      </w:r>
      <w:r w:rsidRPr="0047636E">
        <w:rPr>
          <w:rFonts w:ascii="Arial" w:eastAsia="新細明體" w:hAnsi="Arial" w:cs="Arial"/>
          <w:b/>
          <w:bCs/>
          <w:color w:val="000000" w:themeColor="text1"/>
          <w:sz w:val="20"/>
          <w:szCs w:val="20"/>
          <w:lang w:val="en-US"/>
        </w:rPr>
        <w:t>Supplementary Table S2</w:t>
      </w:r>
      <w:r w:rsidRPr="0047636E">
        <w:rPr>
          <w:rFonts w:ascii="Arial" w:eastAsia="新細明體" w:hAnsi="Arial" w:cs="Arial"/>
          <w:color w:val="000000" w:themeColor="text1"/>
          <w:sz w:val="20"/>
          <w:szCs w:val="20"/>
          <w:lang w:val="en-US"/>
        </w:rPr>
        <w:t>.</w:t>
      </w:r>
    </w:p>
    <w:p w14:paraId="354BDED3" w14:textId="77777777" w:rsidR="00670D14" w:rsidRPr="0047636E" w:rsidRDefault="00670D14" w:rsidP="00BA4E04">
      <w:pPr>
        <w:spacing w:line="360" w:lineRule="auto"/>
        <w:jc w:val="both"/>
        <w:rPr>
          <w:rFonts w:ascii="Arial" w:eastAsia="新細明體" w:hAnsi="Arial" w:cs="Arial"/>
          <w:b/>
          <w:bCs/>
          <w:color w:val="000000" w:themeColor="text1"/>
          <w:sz w:val="20"/>
          <w:szCs w:val="20"/>
          <w:lang w:val="en-US"/>
        </w:rPr>
      </w:pPr>
      <w:r w:rsidRPr="0047636E">
        <w:rPr>
          <w:rFonts w:ascii="Arial" w:eastAsia="新細明體" w:hAnsi="Arial" w:cs="Arial"/>
          <w:b/>
          <w:bCs/>
          <w:color w:val="000000" w:themeColor="text1"/>
          <w:sz w:val="20"/>
          <w:szCs w:val="20"/>
          <w:lang w:val="en-US"/>
        </w:rPr>
        <w:t xml:space="preserve"> </w:t>
      </w:r>
      <w:r w:rsidRPr="0047636E">
        <w:rPr>
          <w:rFonts w:ascii="Arial" w:hAnsi="Arial" w:cs="Arial"/>
          <w:b/>
          <w:bCs/>
          <w:color w:val="000000" w:themeColor="text1"/>
          <w:sz w:val="20"/>
          <w:szCs w:val="20"/>
          <w:lang w:val="en-US"/>
        </w:rPr>
        <w:br w:type="page"/>
      </w:r>
    </w:p>
    <w:p w14:paraId="3AB02742" w14:textId="77777777" w:rsidR="00670D14" w:rsidRPr="0047636E" w:rsidRDefault="00670D14" w:rsidP="00850219">
      <w:pPr>
        <w:spacing w:line="360" w:lineRule="auto"/>
        <w:jc w:val="both"/>
        <w:rPr>
          <w:rFonts w:ascii="Arial" w:eastAsia="新細明體" w:hAnsi="Arial" w:cs="Arial"/>
          <w:b/>
          <w:bCs/>
          <w:color w:val="000000" w:themeColor="text1"/>
          <w:sz w:val="20"/>
          <w:szCs w:val="20"/>
        </w:rPr>
      </w:pPr>
      <w:r w:rsidRPr="0047636E">
        <w:rPr>
          <w:rFonts w:ascii="Arial" w:eastAsia="新細明體" w:hAnsi="Arial" w:cs="Arial"/>
          <w:b/>
          <w:bCs/>
          <w:color w:val="000000" w:themeColor="text1"/>
          <w:sz w:val="20"/>
          <w:szCs w:val="20"/>
        </w:rPr>
        <w:lastRenderedPageBreak/>
        <w:t>2. Legends for Supplementary Figures</w:t>
      </w:r>
    </w:p>
    <w:p w14:paraId="3C36C726" w14:textId="742ECB91" w:rsidR="00254C96" w:rsidRPr="0047636E" w:rsidRDefault="00B80D7E" w:rsidP="00850219">
      <w:pPr>
        <w:spacing w:line="360" w:lineRule="auto"/>
        <w:jc w:val="both"/>
        <w:rPr>
          <w:rFonts w:ascii="Arial" w:eastAsia="新細明體" w:hAnsi="Arial" w:cs="Arial"/>
          <w:color w:val="000000" w:themeColor="text1"/>
          <w:sz w:val="20"/>
          <w:szCs w:val="20"/>
        </w:rPr>
      </w:pPr>
      <w:r w:rsidRPr="0047636E">
        <w:rPr>
          <w:rFonts w:ascii="Arial" w:eastAsia="新細明體" w:hAnsi="Arial" w:cs="Arial"/>
          <w:b/>
          <w:bCs/>
          <w:color w:val="000000" w:themeColor="text1"/>
          <w:sz w:val="20"/>
          <w:szCs w:val="20"/>
        </w:rPr>
        <w:t>Supplementary Fig. S1 Four weeks of fluoxetine treatment alleviates HFD-induced exhibition of depression-like behaviors in mice</w:t>
      </w:r>
      <w:r w:rsidRPr="0047636E">
        <w:rPr>
          <w:rFonts w:ascii="Arial" w:eastAsia="新細明體" w:hAnsi="Arial" w:cs="Arial"/>
          <w:bCs/>
          <w:color w:val="000000" w:themeColor="text1"/>
          <w:sz w:val="20"/>
          <w:szCs w:val="20"/>
        </w:rPr>
        <w:t>.</w:t>
      </w:r>
      <w:r w:rsidRPr="0047636E">
        <w:rPr>
          <w:rFonts w:ascii="Arial" w:eastAsia="新細明體" w:hAnsi="Arial" w:cs="Arial"/>
          <w:b/>
          <w:bCs/>
          <w:color w:val="000000" w:themeColor="text1"/>
          <w:sz w:val="20"/>
          <w:szCs w:val="20"/>
        </w:rPr>
        <w:t xml:space="preserve"> a </w:t>
      </w:r>
      <w:r w:rsidRPr="0047636E">
        <w:rPr>
          <w:rFonts w:ascii="Arial" w:eastAsia="新細明體" w:hAnsi="Arial" w:cs="Arial"/>
          <w:bCs/>
          <w:color w:val="000000" w:themeColor="text1"/>
          <w:sz w:val="20"/>
          <w:szCs w:val="20"/>
        </w:rPr>
        <w:t xml:space="preserve">Results of SPT. n = 5 cages per group. </w:t>
      </w:r>
      <w:r w:rsidRPr="0047636E">
        <w:rPr>
          <w:rFonts w:ascii="Arial" w:eastAsia="新細明體" w:hAnsi="Arial" w:cs="Arial"/>
          <w:b/>
          <w:bCs/>
          <w:color w:val="000000" w:themeColor="text1"/>
          <w:sz w:val="20"/>
          <w:szCs w:val="20"/>
        </w:rPr>
        <w:t>b</w:t>
      </w:r>
      <w:r w:rsidRPr="0047636E">
        <w:rPr>
          <w:rFonts w:ascii="Arial" w:eastAsia="新細明體" w:hAnsi="Arial" w:cs="Arial"/>
          <w:bCs/>
          <w:color w:val="000000" w:themeColor="text1"/>
          <w:sz w:val="20"/>
          <w:szCs w:val="20"/>
        </w:rPr>
        <w:t xml:space="preserve"> Results of FST. n = 10 mice per group. All data are represented as mean ± SD. n.s., not significant. See also Supplementary Table S1 and S2 for details of animal usage and statistical test results</w:t>
      </w:r>
      <w:r w:rsidR="002351C6" w:rsidRPr="0047636E">
        <w:rPr>
          <w:rFonts w:ascii="Arial" w:eastAsia="新細明體" w:hAnsi="Arial" w:cs="Arial"/>
          <w:color w:val="000000" w:themeColor="text1"/>
          <w:sz w:val="20"/>
          <w:szCs w:val="20"/>
        </w:rPr>
        <w:t>.</w:t>
      </w:r>
    </w:p>
    <w:p w14:paraId="5F2FAF1E" w14:textId="77777777" w:rsidR="00254C96" w:rsidRPr="0047636E" w:rsidRDefault="00254C96" w:rsidP="00850219">
      <w:pPr>
        <w:spacing w:line="360" w:lineRule="auto"/>
        <w:jc w:val="both"/>
        <w:rPr>
          <w:rFonts w:ascii="Arial" w:eastAsia="新細明體" w:hAnsi="Arial" w:cs="Arial"/>
          <w:b/>
          <w:bCs/>
          <w:color w:val="000000" w:themeColor="text1"/>
          <w:sz w:val="20"/>
          <w:szCs w:val="20"/>
        </w:rPr>
      </w:pPr>
    </w:p>
    <w:p w14:paraId="12DEEA51" w14:textId="1C82C0EB" w:rsidR="00670D14" w:rsidRPr="0047636E" w:rsidRDefault="00670D14" w:rsidP="00850219">
      <w:pPr>
        <w:spacing w:line="360" w:lineRule="auto"/>
        <w:jc w:val="both"/>
        <w:rPr>
          <w:rFonts w:ascii="Arial" w:eastAsia="新細明體" w:hAnsi="Arial" w:cs="Arial"/>
          <w:b/>
          <w:bCs/>
          <w:color w:val="000000" w:themeColor="text1"/>
          <w:sz w:val="20"/>
          <w:szCs w:val="20"/>
        </w:rPr>
      </w:pPr>
      <w:r w:rsidRPr="0047636E">
        <w:rPr>
          <w:rFonts w:ascii="Arial" w:eastAsia="新細明體" w:hAnsi="Arial" w:cs="Arial"/>
          <w:b/>
          <w:bCs/>
          <w:color w:val="000000" w:themeColor="text1"/>
          <w:sz w:val="20"/>
          <w:szCs w:val="20"/>
        </w:rPr>
        <w:t>Supplementary Fig. S</w:t>
      </w:r>
      <w:r w:rsidR="004C0390" w:rsidRPr="0047636E">
        <w:rPr>
          <w:rFonts w:ascii="Arial" w:eastAsia="新細明體" w:hAnsi="Arial" w:cs="Arial"/>
          <w:b/>
          <w:bCs/>
          <w:color w:val="000000" w:themeColor="text1"/>
          <w:sz w:val="20"/>
          <w:szCs w:val="20"/>
        </w:rPr>
        <w:t>2</w:t>
      </w:r>
      <w:r w:rsidRPr="0047636E">
        <w:rPr>
          <w:rFonts w:ascii="Arial" w:eastAsia="新細明體" w:hAnsi="Arial" w:cs="Arial"/>
          <w:b/>
          <w:bCs/>
          <w:color w:val="000000" w:themeColor="text1"/>
          <w:sz w:val="20"/>
          <w:szCs w:val="20"/>
        </w:rPr>
        <w:t xml:space="preserve"> Optimization of procedures of retrograde tracing using FG infused in the NAc of mice and determination its </w:t>
      </w:r>
      <w:r w:rsidR="005243CC" w:rsidRPr="0047636E">
        <w:rPr>
          <w:rFonts w:ascii="Arial" w:eastAsia="新細明體" w:hAnsi="Arial" w:cs="Arial"/>
          <w:b/>
          <w:bCs/>
          <w:color w:val="000000" w:themeColor="text1"/>
          <w:sz w:val="20"/>
          <w:szCs w:val="20"/>
        </w:rPr>
        <w:t>labelling</w:t>
      </w:r>
      <w:r w:rsidRPr="0047636E">
        <w:rPr>
          <w:rFonts w:ascii="Arial" w:eastAsia="新細明體" w:hAnsi="Arial" w:cs="Arial"/>
          <w:b/>
          <w:bCs/>
          <w:color w:val="000000" w:themeColor="text1"/>
          <w:sz w:val="20"/>
          <w:szCs w:val="20"/>
        </w:rPr>
        <w:t xml:space="preserve"> patterns. a</w:t>
      </w:r>
      <w:r w:rsidRPr="0047636E">
        <w:rPr>
          <w:rFonts w:ascii="Arial" w:eastAsia="新細明體" w:hAnsi="Arial" w:cs="Arial"/>
          <w:color w:val="000000" w:themeColor="text1"/>
          <w:sz w:val="20"/>
          <w:szCs w:val="20"/>
        </w:rPr>
        <w:t xml:space="preserve"> Diffusing areas of FG at different administrated volumes around the infusing site (NAc), which was detected at 1 week after infusion. The outer yellow dash circle indicates the area of core of NAc and the inner white dash circle indicates the areas of anterior commissure. </w:t>
      </w:r>
      <w:r w:rsidRPr="0047636E">
        <w:rPr>
          <w:rFonts w:ascii="Arial" w:eastAsia="新細明體" w:hAnsi="Arial" w:cs="Arial"/>
          <w:b/>
          <w:bCs/>
          <w:color w:val="000000" w:themeColor="text1"/>
          <w:sz w:val="20"/>
          <w:szCs w:val="20"/>
        </w:rPr>
        <w:t>b</w:t>
      </w:r>
      <w:r w:rsidRPr="0047636E">
        <w:rPr>
          <w:rFonts w:ascii="Arial" w:eastAsia="新細明體" w:hAnsi="Arial" w:cs="Arial"/>
          <w:color w:val="000000" w:themeColor="text1"/>
          <w:sz w:val="20"/>
          <w:szCs w:val="20"/>
        </w:rPr>
        <w:t xml:space="preserve"> Images of original fluorescence signal and immunohistochemistry signal of FG on the same brain section. The signals of these two pictures were highly similar to each other, validating the accuracy of antibody against FG used in this study. </w:t>
      </w:r>
      <w:r w:rsidRPr="0047636E">
        <w:rPr>
          <w:rFonts w:ascii="Arial" w:eastAsia="新細明體" w:hAnsi="Arial" w:cs="Arial"/>
          <w:b/>
          <w:bCs/>
          <w:color w:val="000000" w:themeColor="text1"/>
          <w:sz w:val="20"/>
          <w:szCs w:val="20"/>
        </w:rPr>
        <w:t>c</w:t>
      </w:r>
      <w:r w:rsidRPr="0047636E">
        <w:rPr>
          <w:rFonts w:ascii="Arial" w:eastAsia="新細明體" w:hAnsi="Arial" w:cs="Arial"/>
          <w:color w:val="000000" w:themeColor="text1"/>
          <w:sz w:val="20"/>
          <w:szCs w:val="20"/>
        </w:rPr>
        <w:t xml:space="preserve"> Images of immunohistochemistry of FG showing the defined regions retrogradely traced by the intra-NAc infused FG in the mouse brain, including the mPFC, piriform area, thalamus, BLA, vHPC and VTA.</w:t>
      </w:r>
      <w:r w:rsidRPr="0047636E">
        <w:rPr>
          <w:rFonts w:ascii="Arial" w:eastAsia="新細明體" w:hAnsi="Arial" w:cs="Arial"/>
          <w:b/>
          <w:bCs/>
          <w:color w:val="000000" w:themeColor="text1"/>
          <w:sz w:val="20"/>
          <w:szCs w:val="20"/>
        </w:rPr>
        <w:t xml:space="preserve"> d</w:t>
      </w:r>
      <w:r w:rsidRPr="0047636E">
        <w:rPr>
          <w:rFonts w:ascii="Arial" w:eastAsia="新細明體" w:hAnsi="Arial" w:cs="Arial"/>
          <w:color w:val="000000" w:themeColor="text1"/>
          <w:sz w:val="20"/>
          <w:szCs w:val="20"/>
        </w:rPr>
        <w:t xml:space="preserve"> Confocal fluorescence images showing colocalizations of FG and glutaminase, a marker for glutamatergic neurons, in the mPFC, BLA, vHPC of mice received intra-NAc infusion of FG. Scale bar, 50 µm.</w:t>
      </w:r>
    </w:p>
    <w:p w14:paraId="0CCFE904" w14:textId="77777777" w:rsidR="00670D14" w:rsidRPr="0047636E" w:rsidRDefault="00670D14" w:rsidP="00850219">
      <w:pPr>
        <w:spacing w:line="360" w:lineRule="auto"/>
        <w:jc w:val="both"/>
        <w:rPr>
          <w:rFonts w:ascii="Arial" w:eastAsia="新細明體" w:hAnsi="Arial" w:cs="Arial"/>
          <w:color w:val="000000" w:themeColor="text1"/>
          <w:sz w:val="20"/>
          <w:szCs w:val="20"/>
          <w:lang w:val="en-US"/>
        </w:rPr>
      </w:pPr>
    </w:p>
    <w:p w14:paraId="1F2AEBC9" w14:textId="1D6C0CE5" w:rsidR="00670D14" w:rsidRPr="0047636E" w:rsidRDefault="00670D14" w:rsidP="00850219">
      <w:pPr>
        <w:spacing w:line="360" w:lineRule="auto"/>
        <w:jc w:val="both"/>
        <w:rPr>
          <w:rFonts w:ascii="Arial" w:eastAsia="新細明體" w:hAnsi="Arial" w:cs="Arial"/>
          <w:b/>
          <w:bCs/>
          <w:color w:val="000000" w:themeColor="text1"/>
          <w:sz w:val="20"/>
          <w:szCs w:val="20"/>
        </w:rPr>
      </w:pPr>
      <w:r w:rsidRPr="0047636E">
        <w:rPr>
          <w:rFonts w:ascii="Arial" w:eastAsia="新細明體" w:hAnsi="Arial" w:cs="Arial"/>
          <w:b/>
          <w:bCs/>
          <w:color w:val="000000" w:themeColor="text1"/>
          <w:sz w:val="20"/>
          <w:szCs w:val="20"/>
        </w:rPr>
        <w:t>Supplementary Fig. S</w:t>
      </w:r>
      <w:r w:rsidR="00254C96" w:rsidRPr="0047636E">
        <w:rPr>
          <w:rFonts w:ascii="Arial" w:eastAsia="新細明體" w:hAnsi="Arial" w:cs="Arial"/>
          <w:b/>
          <w:bCs/>
          <w:color w:val="000000" w:themeColor="text1"/>
          <w:sz w:val="20"/>
          <w:szCs w:val="20"/>
          <w:lang w:val="en-US"/>
        </w:rPr>
        <w:t>3</w:t>
      </w:r>
      <w:r w:rsidRPr="0047636E">
        <w:rPr>
          <w:rFonts w:ascii="Arial" w:eastAsia="新細明體" w:hAnsi="Arial" w:cs="Arial"/>
          <w:b/>
          <w:bCs/>
          <w:color w:val="000000" w:themeColor="text1"/>
          <w:sz w:val="20"/>
          <w:szCs w:val="20"/>
        </w:rPr>
        <w:t xml:space="preserve"> Determination of labeling patterns of mCherry-expressing rAAV infused in the NAc of mice. a </w:t>
      </w:r>
      <w:r w:rsidRPr="0047636E">
        <w:rPr>
          <w:rFonts w:ascii="Arial" w:eastAsia="新細明體" w:hAnsi="Arial" w:cs="Arial"/>
          <w:color w:val="000000" w:themeColor="text1"/>
          <w:sz w:val="20"/>
          <w:szCs w:val="20"/>
        </w:rPr>
        <w:t>Images of fluorescence signals of mCherry in the NAc, mPFC, BLA and vHPC of mice received intra-NAc infusion of rAAV expressing mCherry 6 weeks ago.</w:t>
      </w:r>
      <w:r w:rsidRPr="0047636E">
        <w:rPr>
          <w:rFonts w:ascii="Arial" w:eastAsia="新細明體" w:hAnsi="Arial" w:cs="Arial"/>
          <w:b/>
          <w:bCs/>
          <w:color w:val="000000" w:themeColor="text1"/>
          <w:sz w:val="20"/>
          <w:szCs w:val="20"/>
        </w:rPr>
        <w:t xml:space="preserve"> b</w:t>
      </w:r>
      <w:r w:rsidRPr="0047636E">
        <w:rPr>
          <w:rFonts w:ascii="Arial" w:eastAsia="新細明體" w:hAnsi="Arial" w:cs="Arial"/>
          <w:color w:val="000000" w:themeColor="text1"/>
          <w:sz w:val="20"/>
          <w:szCs w:val="20"/>
        </w:rPr>
        <w:t xml:space="preserve"> Images of immunohistochemistry of mCherry showing the defined regions retrogradely traced by the intra-NAc infused mCherry-expressing rAAV in the mouse brain, including the mPFC, piriform area, thalamus, BLA and vHPC. </w:t>
      </w:r>
      <w:r w:rsidRPr="0047636E">
        <w:rPr>
          <w:rFonts w:ascii="Arial" w:eastAsia="新細明體" w:hAnsi="Arial" w:cs="Arial"/>
          <w:b/>
          <w:bCs/>
          <w:color w:val="000000" w:themeColor="text1"/>
          <w:sz w:val="20"/>
          <w:szCs w:val="20"/>
        </w:rPr>
        <w:t>c</w:t>
      </w:r>
      <w:r w:rsidRPr="0047636E">
        <w:rPr>
          <w:rFonts w:ascii="Arial" w:eastAsia="新細明體" w:hAnsi="Arial" w:cs="Arial"/>
          <w:color w:val="000000" w:themeColor="text1"/>
          <w:sz w:val="20"/>
          <w:szCs w:val="20"/>
        </w:rPr>
        <w:t xml:space="preserve"> Confocal fluorescence images showing colocalizations of mCherry and glutaminase, in the mPFC, BLA, vHPC of mice received intra-NAc infusion of mCherry-expressing rAAV. Scale bar, 50 µm.</w:t>
      </w:r>
    </w:p>
    <w:p w14:paraId="4CA453BD" w14:textId="77777777" w:rsidR="00670D14" w:rsidRPr="0047636E" w:rsidRDefault="00670D14" w:rsidP="00850219">
      <w:pPr>
        <w:spacing w:line="360" w:lineRule="auto"/>
        <w:jc w:val="both"/>
        <w:rPr>
          <w:rFonts w:ascii="Arial" w:eastAsia="新細明體" w:hAnsi="Arial" w:cs="Arial"/>
          <w:color w:val="000000" w:themeColor="text1"/>
          <w:sz w:val="20"/>
          <w:szCs w:val="20"/>
          <w:lang w:val="en-US"/>
        </w:rPr>
      </w:pPr>
    </w:p>
    <w:p w14:paraId="572D4BB5" w14:textId="2B61CC09" w:rsidR="00670D14" w:rsidRPr="0047636E" w:rsidRDefault="00670D14" w:rsidP="00850219">
      <w:pPr>
        <w:spacing w:line="360" w:lineRule="auto"/>
        <w:jc w:val="both"/>
        <w:rPr>
          <w:rFonts w:ascii="Arial" w:eastAsia="新細明體" w:hAnsi="Arial" w:cs="Arial"/>
          <w:b/>
          <w:bCs/>
          <w:color w:val="000000" w:themeColor="text1"/>
          <w:sz w:val="20"/>
          <w:szCs w:val="20"/>
        </w:rPr>
      </w:pPr>
      <w:r w:rsidRPr="0047636E">
        <w:rPr>
          <w:rFonts w:ascii="Arial" w:eastAsia="新細明體" w:hAnsi="Arial" w:cs="Arial"/>
          <w:b/>
          <w:bCs/>
          <w:color w:val="000000" w:themeColor="text1"/>
          <w:sz w:val="20"/>
          <w:szCs w:val="20"/>
        </w:rPr>
        <w:lastRenderedPageBreak/>
        <w:t>Supplementary Fig. S</w:t>
      </w:r>
      <w:r w:rsidR="00254C96" w:rsidRPr="0047636E">
        <w:rPr>
          <w:rFonts w:ascii="Arial" w:eastAsia="新細明體" w:hAnsi="Arial" w:cs="Arial"/>
          <w:b/>
          <w:bCs/>
          <w:color w:val="000000" w:themeColor="text1"/>
          <w:sz w:val="20"/>
          <w:szCs w:val="20"/>
        </w:rPr>
        <w:t>4</w:t>
      </w:r>
      <w:r w:rsidRPr="0047636E">
        <w:rPr>
          <w:rFonts w:ascii="Arial" w:eastAsia="新細明體" w:hAnsi="Arial" w:cs="Arial"/>
          <w:b/>
          <w:bCs/>
          <w:color w:val="000000" w:themeColor="text1"/>
          <w:sz w:val="20"/>
          <w:szCs w:val="20"/>
        </w:rPr>
        <w:t xml:space="preserve"> Detailed fluorescence images incorporating DAPI signals for the vHPC of mice used in chemogenetic inhibition and effects of chemogenetic inhibition of the NAc-projecting vHPC neurons on c-Fos expression in the NAc-projecting mPFC and BLA neurons. a</w:t>
      </w:r>
      <w:r w:rsidRPr="0047636E">
        <w:rPr>
          <w:rFonts w:ascii="Arial" w:eastAsia="新細明體" w:hAnsi="Arial" w:cs="Arial"/>
          <w:color w:val="000000" w:themeColor="text1"/>
          <w:sz w:val="20"/>
          <w:szCs w:val="20"/>
        </w:rPr>
        <w:t xml:space="preserve"> Detailed fluorescence images incorporating DAPI signals for the vHPC of mice subjected in experiments of chemogenetic inhibition.</w:t>
      </w:r>
      <w:r w:rsidRPr="0047636E">
        <w:rPr>
          <w:rFonts w:ascii="Arial" w:eastAsia="新細明體" w:hAnsi="Arial" w:cs="Arial"/>
          <w:b/>
          <w:bCs/>
          <w:color w:val="000000" w:themeColor="text1"/>
          <w:sz w:val="20"/>
          <w:szCs w:val="20"/>
        </w:rPr>
        <w:t xml:space="preserve"> b</w:t>
      </w:r>
      <w:r w:rsidRPr="0047636E">
        <w:rPr>
          <w:rFonts w:ascii="Arial" w:eastAsia="新細明體" w:hAnsi="Arial" w:cs="Arial"/>
          <w:color w:val="000000" w:themeColor="text1"/>
          <w:sz w:val="20"/>
          <w:szCs w:val="20"/>
        </w:rPr>
        <w:t>-</w:t>
      </w:r>
      <w:r w:rsidRPr="0047636E">
        <w:rPr>
          <w:rFonts w:ascii="Arial" w:eastAsia="新細明體" w:hAnsi="Arial" w:cs="Arial"/>
          <w:b/>
          <w:bCs/>
          <w:color w:val="000000" w:themeColor="text1"/>
          <w:sz w:val="20"/>
          <w:szCs w:val="20"/>
        </w:rPr>
        <w:t>d</w:t>
      </w:r>
      <w:r w:rsidRPr="0047636E">
        <w:rPr>
          <w:rFonts w:ascii="Arial" w:eastAsia="新細明體" w:hAnsi="Arial" w:cs="Arial"/>
          <w:color w:val="000000" w:themeColor="text1"/>
          <w:sz w:val="20"/>
          <w:szCs w:val="20"/>
        </w:rPr>
        <w:t xml:space="preserve"> Effects of chemogenetic inhibition of the NAc-projecting vHPC neurons on c-Fos expression in the NAc-projecting mPFC neurons in mice. </w:t>
      </w:r>
      <w:r w:rsidRPr="0047636E">
        <w:rPr>
          <w:rFonts w:ascii="Arial" w:eastAsia="新細明體" w:hAnsi="Arial" w:cs="Arial"/>
          <w:b/>
          <w:bCs/>
          <w:color w:val="000000" w:themeColor="text1"/>
          <w:sz w:val="20"/>
          <w:szCs w:val="20"/>
        </w:rPr>
        <w:t>b</w:t>
      </w:r>
      <w:r w:rsidRPr="0047636E">
        <w:rPr>
          <w:rFonts w:ascii="Arial" w:eastAsia="新細明體" w:hAnsi="Arial" w:cs="Arial"/>
          <w:color w:val="000000" w:themeColor="text1"/>
          <w:sz w:val="20"/>
          <w:szCs w:val="20"/>
        </w:rPr>
        <w:t xml:space="preserve"> Representative fluorescence images for c-Fos (green), mCherry (red) and DAPI (blue). Scale bar, 100 µm. </w:t>
      </w:r>
      <w:r w:rsidRPr="0047636E">
        <w:rPr>
          <w:rFonts w:ascii="Arial" w:eastAsia="新細明體" w:hAnsi="Arial" w:cs="Arial"/>
          <w:b/>
          <w:bCs/>
          <w:color w:val="000000" w:themeColor="text1"/>
          <w:sz w:val="20"/>
          <w:szCs w:val="20"/>
        </w:rPr>
        <w:t>c</w:t>
      </w:r>
      <w:r w:rsidRPr="0047636E">
        <w:rPr>
          <w:rFonts w:ascii="Arial" w:eastAsia="新細明體" w:hAnsi="Arial" w:cs="Arial"/>
          <w:color w:val="000000" w:themeColor="text1"/>
          <w:sz w:val="20"/>
          <w:szCs w:val="20"/>
        </w:rPr>
        <w:t xml:space="preserve"> Number of mCherry-expressing NAc-projecting mPFC neurons. </w:t>
      </w:r>
      <w:r w:rsidRPr="0047636E">
        <w:rPr>
          <w:rFonts w:ascii="Arial" w:eastAsia="新細明體" w:hAnsi="Arial" w:cs="Arial"/>
          <w:b/>
          <w:bCs/>
          <w:color w:val="000000" w:themeColor="text1"/>
          <w:sz w:val="20"/>
          <w:szCs w:val="20"/>
        </w:rPr>
        <w:t>d</w:t>
      </w:r>
      <w:r w:rsidRPr="0047636E">
        <w:rPr>
          <w:rFonts w:ascii="Arial" w:eastAsia="新細明體" w:hAnsi="Arial" w:cs="Arial"/>
          <w:color w:val="000000" w:themeColor="text1"/>
          <w:sz w:val="20"/>
          <w:szCs w:val="20"/>
        </w:rPr>
        <w:t xml:space="preserve"> Fraction of c-Fos-expressing neurons in the mCherry-expressing ones. n = 17 mice in CD-Saline group; n = 17 mice in CD-CNO group; n = 20 mice in HFD-Saline group; n = 19 in HFD-CNO group.</w:t>
      </w:r>
      <w:r w:rsidRPr="0047636E">
        <w:rPr>
          <w:rFonts w:ascii="Arial" w:eastAsia="新細明體" w:hAnsi="Arial" w:cs="Arial"/>
          <w:b/>
          <w:bCs/>
          <w:color w:val="000000" w:themeColor="text1"/>
          <w:sz w:val="20"/>
          <w:szCs w:val="20"/>
        </w:rPr>
        <w:t xml:space="preserve"> e</w:t>
      </w:r>
      <w:r w:rsidRPr="0047636E">
        <w:rPr>
          <w:rFonts w:ascii="Arial" w:eastAsia="新細明體" w:hAnsi="Arial" w:cs="Arial"/>
          <w:color w:val="000000" w:themeColor="text1"/>
          <w:sz w:val="20"/>
          <w:szCs w:val="20"/>
        </w:rPr>
        <w:t>-</w:t>
      </w:r>
      <w:r w:rsidRPr="0047636E">
        <w:rPr>
          <w:rFonts w:ascii="Arial" w:eastAsia="新細明體" w:hAnsi="Arial" w:cs="Arial"/>
          <w:b/>
          <w:bCs/>
          <w:color w:val="000000" w:themeColor="text1"/>
          <w:sz w:val="20"/>
          <w:szCs w:val="20"/>
        </w:rPr>
        <w:t>g</w:t>
      </w:r>
      <w:r w:rsidRPr="0047636E">
        <w:rPr>
          <w:rFonts w:ascii="Arial" w:eastAsia="新細明體" w:hAnsi="Arial" w:cs="Arial"/>
          <w:color w:val="000000" w:themeColor="text1"/>
          <w:sz w:val="20"/>
          <w:szCs w:val="20"/>
        </w:rPr>
        <w:t xml:space="preserve"> Effects of chemogenetic inhibition of the NAc-projecting vHPC neurons on c-Fos expression in the NAc-projecting BLA neurons in mice. </w:t>
      </w:r>
      <w:r w:rsidRPr="0047636E">
        <w:rPr>
          <w:rFonts w:ascii="Arial" w:eastAsia="新細明體" w:hAnsi="Arial" w:cs="Arial"/>
          <w:b/>
          <w:bCs/>
          <w:color w:val="000000" w:themeColor="text1"/>
          <w:sz w:val="20"/>
          <w:szCs w:val="20"/>
        </w:rPr>
        <w:t>e</w:t>
      </w:r>
      <w:r w:rsidRPr="0047636E">
        <w:rPr>
          <w:rFonts w:ascii="Arial" w:eastAsia="新細明體" w:hAnsi="Arial" w:cs="Arial"/>
          <w:color w:val="000000" w:themeColor="text1"/>
          <w:sz w:val="20"/>
          <w:szCs w:val="20"/>
        </w:rPr>
        <w:t xml:space="preserve"> Representative fluorescence images for c-Fos (green), mCherry (red) and DAPI (blue). Scale bar, 100 µm. </w:t>
      </w:r>
      <w:r w:rsidRPr="0047636E">
        <w:rPr>
          <w:rFonts w:ascii="Arial" w:eastAsia="新細明體" w:hAnsi="Arial" w:cs="Arial"/>
          <w:b/>
          <w:bCs/>
          <w:color w:val="000000" w:themeColor="text1"/>
          <w:sz w:val="20"/>
          <w:szCs w:val="20"/>
        </w:rPr>
        <w:t>f</w:t>
      </w:r>
      <w:r w:rsidRPr="0047636E">
        <w:rPr>
          <w:rFonts w:ascii="Arial" w:eastAsia="新細明體" w:hAnsi="Arial" w:cs="Arial"/>
          <w:color w:val="000000" w:themeColor="text1"/>
          <w:sz w:val="20"/>
          <w:szCs w:val="20"/>
        </w:rPr>
        <w:t xml:space="preserve"> Number of mCherry-expressing NAc-projecting BLA neurons. </w:t>
      </w:r>
      <w:r w:rsidRPr="0047636E">
        <w:rPr>
          <w:rFonts w:ascii="Arial" w:eastAsia="新細明體" w:hAnsi="Arial" w:cs="Arial"/>
          <w:b/>
          <w:bCs/>
          <w:color w:val="000000" w:themeColor="text1"/>
          <w:sz w:val="20"/>
          <w:szCs w:val="20"/>
        </w:rPr>
        <w:t>g</w:t>
      </w:r>
      <w:r w:rsidRPr="0047636E">
        <w:rPr>
          <w:rFonts w:ascii="Arial" w:eastAsia="新細明體" w:hAnsi="Arial" w:cs="Arial"/>
          <w:color w:val="000000" w:themeColor="text1"/>
          <w:sz w:val="20"/>
          <w:szCs w:val="20"/>
        </w:rPr>
        <w:t xml:space="preserve"> Fraction of c-Fos-expressing neurons in the mCherry-expressing ones. n = 17 mice in CD-Saline group; n = 17 mice in CD-CNO group; n = 20 mice in HFD-Saline group; n = 19 in HFD-CNO group.</w:t>
      </w:r>
      <w:r w:rsidRPr="0047636E">
        <w:rPr>
          <w:rFonts w:ascii="Arial" w:eastAsia="新細明體" w:hAnsi="Arial" w:cs="Arial"/>
          <w:b/>
          <w:bCs/>
          <w:color w:val="000000" w:themeColor="text1"/>
          <w:sz w:val="20"/>
          <w:szCs w:val="20"/>
        </w:rPr>
        <w:t xml:space="preserve"> </w:t>
      </w:r>
      <w:r w:rsidRPr="0047636E">
        <w:rPr>
          <w:rFonts w:ascii="Arial" w:eastAsia="新細明體" w:hAnsi="Arial" w:cs="Arial"/>
          <w:color w:val="000000" w:themeColor="text1"/>
          <w:sz w:val="20"/>
          <w:szCs w:val="20"/>
        </w:rPr>
        <w:t>All data are represented as mean ± SD.</w:t>
      </w:r>
      <w:r w:rsidR="00AB6A90" w:rsidRPr="0047636E">
        <w:rPr>
          <w:rFonts w:ascii="Arial" w:eastAsia="新細明體" w:hAnsi="Arial" w:cs="Arial"/>
          <w:color w:val="000000" w:themeColor="text1"/>
          <w:sz w:val="20"/>
          <w:szCs w:val="20"/>
        </w:rPr>
        <w:t xml:space="preserve"> </w:t>
      </w:r>
      <w:r w:rsidRPr="0047636E">
        <w:rPr>
          <w:rFonts w:ascii="Arial" w:eastAsia="新細明體" w:hAnsi="Arial" w:cs="Arial"/>
          <w:color w:val="000000" w:themeColor="text1"/>
          <w:sz w:val="20"/>
          <w:szCs w:val="20"/>
        </w:rPr>
        <w:t xml:space="preserve">n.s., not significant. See also Supplementary Table S1 and S2 for details of </w:t>
      </w:r>
      <w:r w:rsidR="00E25B1F" w:rsidRPr="0047636E">
        <w:rPr>
          <w:rFonts w:ascii="Arial" w:eastAsia="新細明體" w:hAnsi="Arial" w:cs="Arial"/>
          <w:color w:val="000000" w:themeColor="text1"/>
          <w:sz w:val="20"/>
          <w:szCs w:val="20"/>
        </w:rPr>
        <w:t>animal usage and statistical test results</w:t>
      </w:r>
      <w:r w:rsidRPr="0047636E">
        <w:rPr>
          <w:rFonts w:ascii="Arial" w:eastAsia="新細明體" w:hAnsi="Arial" w:cs="Arial"/>
          <w:color w:val="000000" w:themeColor="text1"/>
          <w:sz w:val="20"/>
          <w:szCs w:val="20"/>
        </w:rPr>
        <w:t>.</w:t>
      </w:r>
    </w:p>
    <w:p w14:paraId="7FBE349E" w14:textId="77777777" w:rsidR="00670D14" w:rsidRPr="0047636E" w:rsidRDefault="00670D14" w:rsidP="00850219">
      <w:pPr>
        <w:spacing w:line="360" w:lineRule="auto"/>
        <w:jc w:val="both"/>
        <w:rPr>
          <w:rFonts w:ascii="Arial" w:eastAsia="新細明體" w:hAnsi="Arial" w:cs="Arial"/>
          <w:color w:val="000000" w:themeColor="text1"/>
          <w:sz w:val="20"/>
          <w:szCs w:val="20"/>
        </w:rPr>
      </w:pPr>
    </w:p>
    <w:p w14:paraId="3EF597BF" w14:textId="07E59BEA" w:rsidR="00670D14" w:rsidRPr="0047636E" w:rsidRDefault="00670D14" w:rsidP="00BA4E04">
      <w:pPr>
        <w:spacing w:line="360" w:lineRule="auto"/>
        <w:jc w:val="both"/>
        <w:rPr>
          <w:rFonts w:ascii="Arial" w:eastAsia="新細明體" w:hAnsi="Arial" w:cs="Arial"/>
          <w:b/>
          <w:bCs/>
          <w:color w:val="000000" w:themeColor="text1"/>
          <w:sz w:val="20"/>
          <w:szCs w:val="20"/>
        </w:rPr>
      </w:pPr>
      <w:r w:rsidRPr="0047636E">
        <w:rPr>
          <w:rFonts w:ascii="Arial" w:eastAsia="新細明體" w:hAnsi="Arial" w:cs="Arial"/>
          <w:b/>
          <w:bCs/>
          <w:color w:val="000000" w:themeColor="text1"/>
          <w:sz w:val="20"/>
          <w:szCs w:val="20"/>
        </w:rPr>
        <w:t>Supplementary Fig. S</w:t>
      </w:r>
      <w:r w:rsidR="00254C96" w:rsidRPr="0047636E">
        <w:rPr>
          <w:rFonts w:ascii="Arial" w:eastAsia="新細明體" w:hAnsi="Arial" w:cs="Arial"/>
          <w:b/>
          <w:bCs/>
          <w:color w:val="000000" w:themeColor="text1"/>
          <w:sz w:val="20"/>
          <w:szCs w:val="20"/>
        </w:rPr>
        <w:t>5</w:t>
      </w:r>
      <w:r w:rsidRPr="0047636E">
        <w:rPr>
          <w:rFonts w:ascii="Arial" w:eastAsia="新細明體" w:hAnsi="Arial" w:cs="Arial"/>
          <w:b/>
          <w:bCs/>
          <w:color w:val="000000" w:themeColor="text1"/>
          <w:sz w:val="20"/>
          <w:szCs w:val="20"/>
        </w:rPr>
        <w:t xml:space="preserve"> Intra-vHPC infusion of CNO failed to silence the NAc-projecting vHPC glutamatergic neurons and alleviate depressive phenotype in HFD mice received intra-NAc infusion of rAAV lacking expression of hM4D</w:t>
      </w:r>
      <w:r w:rsidRPr="0047636E">
        <w:rPr>
          <w:rFonts w:ascii="Arial" w:eastAsia="新細明體" w:hAnsi="Arial" w:cs="Arial"/>
          <w:b/>
          <w:bCs/>
          <w:color w:val="000000" w:themeColor="text1"/>
          <w:sz w:val="20"/>
          <w:szCs w:val="20"/>
          <w:vertAlign w:val="subscript"/>
        </w:rPr>
        <w:t>Gi</w:t>
      </w:r>
      <w:r w:rsidRPr="0047636E">
        <w:rPr>
          <w:rFonts w:ascii="Arial" w:eastAsia="新細明體" w:hAnsi="Arial" w:cs="Arial"/>
          <w:b/>
          <w:bCs/>
          <w:color w:val="000000" w:themeColor="text1"/>
          <w:sz w:val="20"/>
          <w:szCs w:val="20"/>
        </w:rPr>
        <w:t xml:space="preserve">. a </w:t>
      </w:r>
      <w:r w:rsidRPr="0047636E">
        <w:rPr>
          <w:rFonts w:ascii="Arial" w:eastAsia="新細明體" w:hAnsi="Arial" w:cs="Arial"/>
          <w:color w:val="000000" w:themeColor="text1"/>
          <w:sz w:val="20"/>
          <w:szCs w:val="20"/>
        </w:rPr>
        <w:t>Representative fluorescence images for c-Fos (green), mCherry (red) and DAPI (blue). Scale bar, 100 µm.</w:t>
      </w:r>
      <w:r w:rsidRPr="0047636E">
        <w:rPr>
          <w:rFonts w:ascii="Arial" w:eastAsia="新細明體" w:hAnsi="Arial" w:cs="Arial"/>
          <w:b/>
          <w:bCs/>
          <w:color w:val="000000" w:themeColor="text1"/>
          <w:sz w:val="20"/>
          <w:szCs w:val="20"/>
        </w:rPr>
        <w:t xml:space="preserve"> b</w:t>
      </w:r>
      <w:r w:rsidRPr="0047636E">
        <w:rPr>
          <w:rFonts w:ascii="Arial" w:eastAsia="新細明體" w:hAnsi="Arial" w:cs="Arial"/>
          <w:color w:val="000000" w:themeColor="text1"/>
          <w:sz w:val="20"/>
          <w:szCs w:val="20"/>
        </w:rPr>
        <w:t xml:space="preserve"> Number of mCherry-expressing NAc-projecting vHPC neurons. </w:t>
      </w:r>
      <w:r w:rsidRPr="0047636E">
        <w:rPr>
          <w:rFonts w:ascii="Arial" w:eastAsia="新細明體" w:hAnsi="Arial" w:cs="Arial"/>
          <w:b/>
          <w:bCs/>
          <w:color w:val="000000" w:themeColor="text1"/>
          <w:sz w:val="20"/>
          <w:szCs w:val="20"/>
        </w:rPr>
        <w:t>c</w:t>
      </w:r>
      <w:r w:rsidRPr="0047636E">
        <w:rPr>
          <w:rFonts w:ascii="Arial" w:eastAsia="新細明體" w:hAnsi="Arial" w:cs="Arial"/>
          <w:color w:val="000000" w:themeColor="text1"/>
          <w:sz w:val="20"/>
          <w:szCs w:val="20"/>
        </w:rPr>
        <w:t xml:space="preserve"> Fraction of c-Fos-expressing neurons in the mCherry-expressing neurons.</w:t>
      </w:r>
      <w:r w:rsidRPr="0047636E">
        <w:rPr>
          <w:rFonts w:ascii="Arial" w:eastAsia="新細明體" w:hAnsi="Arial" w:cs="Arial"/>
          <w:b/>
          <w:bCs/>
          <w:color w:val="000000" w:themeColor="text1"/>
          <w:sz w:val="20"/>
          <w:szCs w:val="20"/>
        </w:rPr>
        <w:t xml:space="preserve"> d</w:t>
      </w:r>
      <w:r w:rsidRPr="0047636E">
        <w:rPr>
          <w:rFonts w:ascii="Arial" w:eastAsia="新細明體" w:hAnsi="Arial" w:cs="Arial"/>
          <w:color w:val="000000" w:themeColor="text1"/>
          <w:sz w:val="20"/>
          <w:szCs w:val="20"/>
        </w:rPr>
        <w:t xml:space="preserve"> Results of FST.</w:t>
      </w:r>
      <w:r w:rsidRPr="0047636E">
        <w:rPr>
          <w:rFonts w:ascii="Arial" w:eastAsia="新細明體" w:hAnsi="Arial" w:cs="Arial"/>
          <w:b/>
          <w:bCs/>
          <w:color w:val="000000" w:themeColor="text1"/>
          <w:sz w:val="20"/>
          <w:szCs w:val="20"/>
        </w:rPr>
        <w:t xml:space="preserve"> e</w:t>
      </w:r>
      <w:r w:rsidRPr="0047636E">
        <w:rPr>
          <w:rFonts w:ascii="Arial" w:eastAsia="新細明體" w:hAnsi="Arial" w:cs="Arial"/>
          <w:color w:val="000000" w:themeColor="text1"/>
          <w:sz w:val="20"/>
          <w:szCs w:val="20"/>
        </w:rPr>
        <w:t xml:space="preserve"> Body weights of mice before FST.</w:t>
      </w:r>
      <w:r w:rsidRPr="0047636E">
        <w:rPr>
          <w:rFonts w:ascii="Arial" w:eastAsia="新細明體" w:hAnsi="Arial" w:cs="Arial"/>
          <w:b/>
          <w:bCs/>
          <w:color w:val="000000" w:themeColor="text1"/>
          <w:sz w:val="20"/>
          <w:szCs w:val="20"/>
        </w:rPr>
        <w:t xml:space="preserve"> </w:t>
      </w:r>
      <w:r w:rsidRPr="0047636E">
        <w:rPr>
          <w:rFonts w:ascii="Arial" w:eastAsia="新細明體" w:hAnsi="Arial" w:cs="Arial"/>
          <w:color w:val="000000" w:themeColor="text1"/>
          <w:sz w:val="20"/>
          <w:szCs w:val="20"/>
        </w:rPr>
        <w:t>n = 20 mice in HFD(+)-hM4D</w:t>
      </w:r>
      <w:r w:rsidRPr="0047636E">
        <w:rPr>
          <w:rFonts w:ascii="Arial" w:eastAsia="新細明體" w:hAnsi="Arial" w:cs="Arial"/>
          <w:color w:val="000000" w:themeColor="text1"/>
          <w:sz w:val="20"/>
          <w:szCs w:val="20"/>
          <w:vertAlign w:val="subscript"/>
        </w:rPr>
        <w:t>Gi</w:t>
      </w:r>
      <w:r w:rsidRPr="0047636E">
        <w:rPr>
          <w:rFonts w:ascii="Arial" w:eastAsia="新細明體" w:hAnsi="Arial" w:cs="Arial"/>
          <w:color w:val="000000" w:themeColor="text1"/>
          <w:sz w:val="20"/>
          <w:szCs w:val="20"/>
        </w:rPr>
        <w:t>-mCherry(+)-mCherry(-)-CNO(-) group; n = 19 mice in HFD(+)-hM4D</w:t>
      </w:r>
      <w:r w:rsidRPr="0047636E">
        <w:rPr>
          <w:rFonts w:ascii="Arial" w:eastAsia="新細明體" w:hAnsi="Arial" w:cs="Arial"/>
          <w:color w:val="000000" w:themeColor="text1"/>
          <w:sz w:val="20"/>
          <w:szCs w:val="20"/>
          <w:vertAlign w:val="subscript"/>
        </w:rPr>
        <w:t>Gi</w:t>
      </w:r>
      <w:r w:rsidRPr="0047636E">
        <w:rPr>
          <w:rFonts w:ascii="Arial" w:eastAsia="新細明體" w:hAnsi="Arial" w:cs="Arial"/>
          <w:color w:val="000000" w:themeColor="text1"/>
          <w:sz w:val="20"/>
          <w:szCs w:val="20"/>
        </w:rPr>
        <w:t>-mCherry(+)-mCherry(-)-CNO(+) group; n = 9 mice in HFD(+)-hM4D</w:t>
      </w:r>
      <w:r w:rsidRPr="0047636E">
        <w:rPr>
          <w:rFonts w:ascii="Arial" w:eastAsia="新細明體" w:hAnsi="Arial" w:cs="Arial"/>
          <w:color w:val="000000" w:themeColor="text1"/>
          <w:sz w:val="20"/>
          <w:szCs w:val="20"/>
          <w:vertAlign w:val="subscript"/>
        </w:rPr>
        <w:t>Gi</w:t>
      </w:r>
      <w:r w:rsidRPr="0047636E">
        <w:rPr>
          <w:rFonts w:ascii="Arial" w:eastAsia="新細明體" w:hAnsi="Arial" w:cs="Arial"/>
          <w:color w:val="000000" w:themeColor="text1"/>
          <w:sz w:val="20"/>
          <w:szCs w:val="20"/>
        </w:rPr>
        <w:t>-mCherry(-)-mCherry(+)-CNO(+) group. The datasets of HFD(+)-hM4D</w:t>
      </w:r>
      <w:r w:rsidRPr="0047636E">
        <w:rPr>
          <w:rFonts w:ascii="Arial" w:eastAsia="新細明體" w:hAnsi="Arial" w:cs="Arial"/>
          <w:color w:val="000000" w:themeColor="text1"/>
          <w:sz w:val="20"/>
          <w:szCs w:val="20"/>
          <w:vertAlign w:val="subscript"/>
        </w:rPr>
        <w:t>Gi</w:t>
      </w:r>
      <w:r w:rsidRPr="0047636E">
        <w:rPr>
          <w:rFonts w:ascii="Arial" w:eastAsia="新細明體" w:hAnsi="Arial" w:cs="Arial"/>
          <w:color w:val="000000" w:themeColor="text1"/>
          <w:sz w:val="20"/>
          <w:szCs w:val="20"/>
        </w:rPr>
        <w:t>-mCherry(+)-mCherry(-)-CNO(-) and HFD(+)-hM4D</w:t>
      </w:r>
      <w:r w:rsidRPr="0047636E">
        <w:rPr>
          <w:rFonts w:ascii="Arial" w:eastAsia="新細明體" w:hAnsi="Arial" w:cs="Arial"/>
          <w:color w:val="000000" w:themeColor="text1"/>
          <w:sz w:val="20"/>
          <w:szCs w:val="20"/>
          <w:vertAlign w:val="subscript"/>
        </w:rPr>
        <w:t>Gi</w:t>
      </w:r>
      <w:r w:rsidRPr="0047636E">
        <w:rPr>
          <w:rFonts w:ascii="Arial" w:eastAsia="新細明體" w:hAnsi="Arial" w:cs="Arial"/>
          <w:color w:val="000000" w:themeColor="text1"/>
          <w:sz w:val="20"/>
          <w:szCs w:val="20"/>
        </w:rPr>
        <w:t xml:space="preserve">-mCherry(+)-mCherry(-)-CNO(+) groups are the same as those of HFD-Saline and HFD-CNO groups shown in Figure 2, </w:t>
      </w:r>
      <w:r w:rsidRPr="0047636E">
        <w:rPr>
          <w:rFonts w:ascii="Arial" w:eastAsia="新細明體" w:hAnsi="Arial" w:cs="Arial"/>
          <w:color w:val="000000" w:themeColor="text1"/>
          <w:sz w:val="20"/>
          <w:szCs w:val="20"/>
        </w:rPr>
        <w:lastRenderedPageBreak/>
        <w:t>respectively.</w:t>
      </w:r>
      <w:r w:rsidRPr="0047636E">
        <w:rPr>
          <w:rFonts w:ascii="Arial" w:eastAsia="新細明體" w:hAnsi="Arial" w:cs="Arial"/>
          <w:b/>
          <w:bCs/>
          <w:color w:val="000000" w:themeColor="text1"/>
          <w:sz w:val="20"/>
          <w:szCs w:val="20"/>
        </w:rPr>
        <w:t xml:space="preserve"> </w:t>
      </w:r>
      <w:r w:rsidRPr="0047636E">
        <w:rPr>
          <w:rFonts w:ascii="Arial" w:eastAsia="新細明體" w:hAnsi="Arial" w:cs="Arial"/>
          <w:color w:val="000000" w:themeColor="text1"/>
          <w:sz w:val="20"/>
          <w:szCs w:val="20"/>
        </w:rPr>
        <w:t xml:space="preserve">All data are represented as mean ± SD. n.s., not significant. See also Supplementary Table S1 and S2 for details of </w:t>
      </w:r>
      <w:r w:rsidR="00E25B1F" w:rsidRPr="0047636E">
        <w:rPr>
          <w:rFonts w:ascii="Arial" w:eastAsia="新細明體" w:hAnsi="Arial" w:cs="Arial"/>
          <w:color w:val="000000" w:themeColor="text1"/>
          <w:sz w:val="20"/>
          <w:szCs w:val="20"/>
        </w:rPr>
        <w:t>animal usage and statistical test results</w:t>
      </w:r>
      <w:r w:rsidRPr="0047636E">
        <w:rPr>
          <w:rFonts w:ascii="Arial" w:eastAsia="新細明體" w:hAnsi="Arial" w:cs="Arial"/>
          <w:color w:val="000000" w:themeColor="text1"/>
          <w:sz w:val="20"/>
          <w:szCs w:val="20"/>
        </w:rPr>
        <w:t>.</w:t>
      </w:r>
    </w:p>
    <w:p w14:paraId="215F7E21" w14:textId="77777777" w:rsidR="00670D14" w:rsidRPr="0047636E" w:rsidRDefault="00670D14" w:rsidP="00850219">
      <w:pPr>
        <w:spacing w:line="360" w:lineRule="auto"/>
        <w:jc w:val="both"/>
        <w:rPr>
          <w:rFonts w:ascii="Arial" w:eastAsia="新細明體" w:hAnsi="Arial" w:cs="Arial"/>
          <w:color w:val="000000" w:themeColor="text1"/>
          <w:sz w:val="20"/>
          <w:szCs w:val="20"/>
        </w:rPr>
      </w:pPr>
    </w:p>
    <w:p w14:paraId="67766FE2" w14:textId="75EFCF57" w:rsidR="00670D14" w:rsidRPr="0047636E" w:rsidRDefault="00670D14" w:rsidP="00BA4E04">
      <w:pPr>
        <w:spacing w:line="360" w:lineRule="auto"/>
        <w:jc w:val="both"/>
        <w:rPr>
          <w:rFonts w:ascii="Arial" w:eastAsia="新細明體" w:hAnsi="Arial" w:cs="Arial"/>
          <w:b/>
          <w:bCs/>
          <w:color w:val="000000" w:themeColor="text1"/>
          <w:sz w:val="20"/>
          <w:szCs w:val="20"/>
        </w:rPr>
      </w:pPr>
      <w:r w:rsidRPr="0047636E">
        <w:rPr>
          <w:rFonts w:ascii="Arial" w:eastAsia="新細明體" w:hAnsi="Arial" w:cs="Arial"/>
          <w:b/>
          <w:bCs/>
          <w:color w:val="000000" w:themeColor="text1"/>
          <w:sz w:val="20"/>
          <w:szCs w:val="20"/>
        </w:rPr>
        <w:t>Supplementary Fig. S</w:t>
      </w:r>
      <w:r w:rsidR="00254C96" w:rsidRPr="0047636E">
        <w:rPr>
          <w:rFonts w:ascii="Arial" w:eastAsia="新細明體" w:hAnsi="Arial" w:cs="Arial"/>
          <w:b/>
          <w:bCs/>
          <w:color w:val="000000" w:themeColor="text1"/>
          <w:sz w:val="20"/>
          <w:szCs w:val="20"/>
        </w:rPr>
        <w:t>6</w:t>
      </w:r>
      <w:r w:rsidRPr="0047636E">
        <w:rPr>
          <w:rFonts w:ascii="Arial" w:eastAsia="新細明體" w:hAnsi="Arial" w:cs="Arial"/>
          <w:b/>
          <w:bCs/>
          <w:color w:val="000000" w:themeColor="text1"/>
          <w:sz w:val="20"/>
          <w:szCs w:val="20"/>
        </w:rPr>
        <w:t xml:space="preserve"> HFD did not affect expression of GLAST and GLT-1 in the mPFC and BLA. a </w:t>
      </w:r>
      <w:r w:rsidRPr="0047636E">
        <w:rPr>
          <w:rFonts w:ascii="Arial" w:eastAsia="新細明體" w:hAnsi="Arial" w:cs="Arial"/>
          <w:color w:val="000000" w:themeColor="text1"/>
          <w:sz w:val="20"/>
          <w:szCs w:val="20"/>
        </w:rPr>
        <w:t xml:space="preserve">Measurements of expression of GLAST in the mPFC of mice. </w:t>
      </w:r>
      <w:r w:rsidRPr="0047636E">
        <w:rPr>
          <w:rFonts w:ascii="Arial" w:hAnsi="Arial" w:cs="Arial"/>
          <w:color w:val="000000" w:themeColor="text1"/>
          <w:sz w:val="20"/>
          <w:szCs w:val="20"/>
        </w:rPr>
        <w:t>Left panels show the representative micrographs for Western blots. Right panel shows quantitative results.</w:t>
      </w:r>
      <w:r w:rsidRPr="0047636E">
        <w:rPr>
          <w:rFonts w:ascii="Arial" w:eastAsia="新細明體" w:hAnsi="Arial" w:cs="Arial"/>
          <w:b/>
          <w:bCs/>
          <w:color w:val="000000" w:themeColor="text1"/>
          <w:sz w:val="20"/>
          <w:szCs w:val="20"/>
        </w:rPr>
        <w:t xml:space="preserve"> b </w:t>
      </w:r>
      <w:r w:rsidRPr="0047636E">
        <w:rPr>
          <w:rFonts w:ascii="Arial" w:eastAsia="新細明體" w:hAnsi="Arial" w:cs="Arial"/>
          <w:color w:val="000000" w:themeColor="text1"/>
          <w:sz w:val="20"/>
          <w:szCs w:val="20"/>
        </w:rPr>
        <w:t xml:space="preserve">Measurements of expression of GLT-1 in the mPFC of mice. </w:t>
      </w:r>
      <w:r w:rsidRPr="0047636E">
        <w:rPr>
          <w:rFonts w:ascii="Arial" w:hAnsi="Arial" w:cs="Arial"/>
          <w:color w:val="000000" w:themeColor="text1"/>
          <w:sz w:val="20"/>
          <w:szCs w:val="20"/>
        </w:rPr>
        <w:t>Left panels show the representative micrographs for Western blots. Right panel shows quantitative results.</w:t>
      </w:r>
      <w:r w:rsidRPr="0047636E">
        <w:rPr>
          <w:rFonts w:ascii="Arial" w:eastAsia="新細明體" w:hAnsi="Arial" w:cs="Arial"/>
          <w:b/>
          <w:bCs/>
          <w:color w:val="000000" w:themeColor="text1"/>
          <w:sz w:val="20"/>
          <w:szCs w:val="20"/>
        </w:rPr>
        <w:t xml:space="preserve"> c</w:t>
      </w:r>
      <w:r w:rsidRPr="0047636E">
        <w:rPr>
          <w:rFonts w:ascii="Arial" w:eastAsia="新細明體" w:hAnsi="Arial" w:cs="Arial"/>
          <w:color w:val="000000" w:themeColor="text1"/>
          <w:sz w:val="20"/>
          <w:szCs w:val="20"/>
        </w:rPr>
        <w:t xml:space="preserve"> Measurements of expression of GLAST in the BLA of mice. </w:t>
      </w:r>
      <w:r w:rsidRPr="0047636E">
        <w:rPr>
          <w:rFonts w:ascii="Arial" w:hAnsi="Arial" w:cs="Arial"/>
          <w:color w:val="000000" w:themeColor="text1"/>
          <w:sz w:val="20"/>
          <w:szCs w:val="20"/>
        </w:rPr>
        <w:t xml:space="preserve">Left panels show the representative micrographs for Western blots. Right panel shows quantitative results. </w:t>
      </w:r>
      <w:r w:rsidRPr="0047636E">
        <w:rPr>
          <w:rFonts w:ascii="Arial" w:eastAsia="新細明體" w:hAnsi="Arial" w:cs="Arial"/>
          <w:b/>
          <w:bCs/>
          <w:color w:val="000000" w:themeColor="text1"/>
          <w:sz w:val="20"/>
          <w:szCs w:val="20"/>
        </w:rPr>
        <w:t>d</w:t>
      </w:r>
      <w:r w:rsidRPr="0047636E">
        <w:rPr>
          <w:rFonts w:ascii="Arial" w:eastAsia="新細明體" w:hAnsi="Arial" w:cs="Arial"/>
          <w:color w:val="000000" w:themeColor="text1"/>
          <w:sz w:val="20"/>
          <w:szCs w:val="20"/>
        </w:rPr>
        <w:t xml:space="preserve"> Measurements of expression of GLT-1 in the BLA</w:t>
      </w:r>
      <w:r w:rsidR="00A6766A" w:rsidRPr="0047636E">
        <w:rPr>
          <w:rFonts w:ascii="Arial" w:eastAsia="新細明體" w:hAnsi="Arial" w:cs="Arial"/>
          <w:color w:val="000000" w:themeColor="text1"/>
          <w:sz w:val="20"/>
          <w:szCs w:val="20"/>
        </w:rPr>
        <w:t xml:space="preserve"> </w:t>
      </w:r>
      <w:r w:rsidRPr="0047636E">
        <w:rPr>
          <w:rFonts w:ascii="Arial" w:eastAsia="新細明體" w:hAnsi="Arial" w:cs="Arial"/>
          <w:color w:val="000000" w:themeColor="text1"/>
          <w:sz w:val="20"/>
          <w:szCs w:val="20"/>
        </w:rPr>
        <w:t xml:space="preserve">of mice. </w:t>
      </w:r>
      <w:r w:rsidRPr="0047636E">
        <w:rPr>
          <w:rFonts w:ascii="Arial" w:hAnsi="Arial" w:cs="Arial"/>
          <w:color w:val="000000" w:themeColor="text1"/>
          <w:sz w:val="20"/>
          <w:szCs w:val="20"/>
        </w:rPr>
        <w:t xml:space="preserve">Left panels show the representative micrographs for Western blots. Right panel shows quantitative results. </w:t>
      </w:r>
      <w:r w:rsidRPr="0047636E">
        <w:rPr>
          <w:rFonts w:ascii="Arial" w:eastAsia="新細明體" w:hAnsi="Arial" w:cs="Arial"/>
          <w:color w:val="000000" w:themeColor="text1"/>
          <w:sz w:val="20"/>
          <w:szCs w:val="20"/>
        </w:rPr>
        <w:t>n = 10 mice per group.</w:t>
      </w:r>
      <w:r w:rsidRPr="0047636E">
        <w:rPr>
          <w:rFonts w:ascii="Arial" w:eastAsia="新細明體" w:hAnsi="Arial" w:cs="Arial"/>
          <w:b/>
          <w:bCs/>
          <w:color w:val="000000" w:themeColor="text1"/>
          <w:sz w:val="20"/>
          <w:szCs w:val="20"/>
        </w:rPr>
        <w:t xml:space="preserve"> </w:t>
      </w:r>
      <w:r w:rsidRPr="0047636E">
        <w:rPr>
          <w:rFonts w:ascii="Arial" w:eastAsia="新細明體" w:hAnsi="Arial" w:cs="Arial"/>
          <w:color w:val="000000" w:themeColor="text1"/>
          <w:sz w:val="20"/>
          <w:szCs w:val="20"/>
        </w:rPr>
        <w:t xml:space="preserve">All data are represented as mean ± SD. n.s., not significant. See also Supplementary Table S1 and S2 for details of </w:t>
      </w:r>
      <w:r w:rsidR="00E25B1F" w:rsidRPr="0047636E">
        <w:rPr>
          <w:rFonts w:ascii="Arial" w:eastAsia="新細明體" w:hAnsi="Arial" w:cs="Arial"/>
          <w:color w:val="000000" w:themeColor="text1"/>
          <w:sz w:val="20"/>
          <w:szCs w:val="20"/>
        </w:rPr>
        <w:t>animal usage and statistical test results</w:t>
      </w:r>
      <w:r w:rsidRPr="0047636E">
        <w:rPr>
          <w:rFonts w:ascii="Arial" w:eastAsia="新細明體" w:hAnsi="Arial" w:cs="Arial"/>
          <w:color w:val="000000" w:themeColor="text1"/>
          <w:sz w:val="20"/>
          <w:szCs w:val="20"/>
        </w:rPr>
        <w:t>.</w:t>
      </w:r>
    </w:p>
    <w:p w14:paraId="45AF1E46" w14:textId="77777777" w:rsidR="00670D14" w:rsidRPr="0047636E" w:rsidRDefault="00670D14" w:rsidP="00850219">
      <w:pPr>
        <w:spacing w:line="360" w:lineRule="auto"/>
        <w:jc w:val="both"/>
        <w:rPr>
          <w:rFonts w:ascii="Arial" w:eastAsia="新細明體" w:hAnsi="Arial" w:cs="Arial"/>
          <w:color w:val="000000" w:themeColor="text1"/>
          <w:sz w:val="20"/>
          <w:szCs w:val="20"/>
        </w:rPr>
      </w:pPr>
    </w:p>
    <w:p w14:paraId="5787109D" w14:textId="27E83044" w:rsidR="002C6891" w:rsidRPr="0047636E" w:rsidRDefault="00670D14" w:rsidP="00BA4E04">
      <w:pPr>
        <w:spacing w:line="360" w:lineRule="auto"/>
        <w:jc w:val="both"/>
        <w:rPr>
          <w:rFonts w:ascii="Arial" w:eastAsia="新細明體" w:hAnsi="Arial" w:cs="Arial"/>
          <w:color w:val="000000" w:themeColor="text1"/>
          <w:sz w:val="20"/>
          <w:szCs w:val="20"/>
        </w:rPr>
      </w:pPr>
      <w:r w:rsidRPr="0047636E">
        <w:rPr>
          <w:rFonts w:ascii="Arial" w:eastAsia="新細明體" w:hAnsi="Arial" w:cs="Arial"/>
          <w:b/>
          <w:bCs/>
          <w:color w:val="000000" w:themeColor="text1"/>
          <w:sz w:val="20"/>
          <w:szCs w:val="20"/>
        </w:rPr>
        <w:t>Supplementary Fig. S</w:t>
      </w:r>
      <w:r w:rsidR="00B841FC" w:rsidRPr="0047636E">
        <w:rPr>
          <w:rFonts w:ascii="Arial" w:eastAsia="新細明體" w:hAnsi="Arial" w:cs="Arial"/>
          <w:b/>
          <w:bCs/>
          <w:color w:val="000000" w:themeColor="text1"/>
          <w:sz w:val="20"/>
          <w:szCs w:val="20"/>
        </w:rPr>
        <w:t>7</w:t>
      </w:r>
      <w:r w:rsidRPr="0047636E">
        <w:rPr>
          <w:rFonts w:ascii="Arial" w:eastAsia="新細明體" w:hAnsi="Arial" w:cs="Arial"/>
          <w:b/>
          <w:bCs/>
          <w:color w:val="000000" w:themeColor="text1"/>
          <w:sz w:val="20"/>
          <w:szCs w:val="20"/>
        </w:rPr>
        <w:t xml:space="preserve"> Validations of procedures of LV production. a</w:t>
      </w:r>
      <w:r w:rsidRPr="0047636E">
        <w:rPr>
          <w:rFonts w:ascii="Arial" w:eastAsia="新細明體" w:hAnsi="Arial" w:cs="Arial"/>
          <w:color w:val="000000" w:themeColor="text1"/>
          <w:sz w:val="20"/>
          <w:szCs w:val="20"/>
        </w:rPr>
        <w:t xml:space="preserve"> Determinations of effects of pseudotyping [vesicular stomatitis virus (VSV) vs. Mokola virus] and infectious period on efficacy of LVs expressing shGLASTs with different targeting sequences. Relative expression of the vHPC GLAST was detected by Western blot. The red frame indicates the chosen conditions of production and infectious period of LV expressing shGLAST. n = 2 mice per group.</w:t>
      </w:r>
      <w:r w:rsidRPr="0047636E">
        <w:rPr>
          <w:rFonts w:ascii="Arial" w:eastAsia="新細明體" w:hAnsi="Arial" w:cs="Arial"/>
          <w:b/>
          <w:bCs/>
          <w:color w:val="000000" w:themeColor="text1"/>
          <w:sz w:val="20"/>
          <w:szCs w:val="20"/>
        </w:rPr>
        <w:t xml:space="preserve"> b </w:t>
      </w:r>
      <w:r w:rsidRPr="0047636E">
        <w:rPr>
          <w:rFonts w:ascii="Arial" w:eastAsia="新細明體" w:hAnsi="Arial" w:cs="Arial"/>
          <w:color w:val="000000" w:themeColor="text1"/>
          <w:sz w:val="20"/>
          <w:szCs w:val="20"/>
        </w:rPr>
        <w:t>Determinations of effects of pseudotyping (VSV vs. Mokola virus) and infectious period on efficacy of LVs expressing shGLT-1s with different targeting sequences. Relative expression of the vHPC GLT-1 was detected by Western blot. The red frame indicates the chosen conditions of production and infectious period of LV expressing shGLT-1. n = 2 mice per group.</w:t>
      </w:r>
      <w:r w:rsidRPr="0047636E">
        <w:rPr>
          <w:rFonts w:ascii="Arial" w:eastAsia="新細明體" w:hAnsi="Arial" w:cs="Arial"/>
          <w:b/>
          <w:bCs/>
          <w:color w:val="000000" w:themeColor="text1"/>
          <w:sz w:val="20"/>
          <w:szCs w:val="20"/>
        </w:rPr>
        <w:t xml:space="preserve"> c </w:t>
      </w:r>
      <w:r w:rsidRPr="0047636E">
        <w:rPr>
          <w:rFonts w:ascii="Arial" w:eastAsia="新細明體" w:hAnsi="Arial" w:cs="Arial"/>
          <w:color w:val="000000" w:themeColor="text1"/>
          <w:sz w:val="20"/>
          <w:szCs w:val="20"/>
        </w:rPr>
        <w:t>Fluorescence images of 293T cultures infected with high-titer LVs expressing GFP, GLAST:GFP, and GLT-1:GFP for 2 days. Scale bar, 100 µm.</w:t>
      </w:r>
      <w:r w:rsidRPr="0047636E">
        <w:rPr>
          <w:rFonts w:ascii="Arial" w:eastAsia="新細明體" w:hAnsi="Arial" w:cs="Arial"/>
          <w:b/>
          <w:bCs/>
          <w:color w:val="000000" w:themeColor="text1"/>
          <w:sz w:val="20"/>
          <w:szCs w:val="20"/>
        </w:rPr>
        <w:t xml:space="preserve"> d</w:t>
      </w:r>
      <w:r w:rsidRPr="0047636E">
        <w:rPr>
          <w:rFonts w:ascii="Arial" w:eastAsia="新細明體" w:hAnsi="Arial" w:cs="Arial"/>
          <w:color w:val="000000" w:themeColor="text1"/>
          <w:sz w:val="20"/>
          <w:szCs w:val="20"/>
        </w:rPr>
        <w:t xml:space="preserve"> Micrographs of Western blots for measurements of expression of GLAST and GLT-1 in the 293T cultures infected with high-titer LVs expressing GFP, GLAST:GFP, and GLT-1:GFP for 2 days.</w:t>
      </w:r>
      <w:r w:rsidRPr="0047636E">
        <w:rPr>
          <w:rFonts w:ascii="Arial" w:eastAsia="新細明體" w:hAnsi="Arial" w:cs="Arial"/>
          <w:b/>
          <w:bCs/>
          <w:color w:val="000000" w:themeColor="text1"/>
          <w:sz w:val="20"/>
          <w:szCs w:val="20"/>
        </w:rPr>
        <w:t xml:space="preserve"> </w:t>
      </w:r>
      <w:r w:rsidRPr="0047636E">
        <w:rPr>
          <w:rFonts w:ascii="Arial" w:eastAsia="新細明體" w:hAnsi="Arial" w:cs="Arial"/>
          <w:color w:val="000000" w:themeColor="text1"/>
          <w:sz w:val="20"/>
          <w:szCs w:val="20"/>
        </w:rPr>
        <w:t xml:space="preserve">All data are represented as mean ± SD. See also Supplementary Table S1 and S2 for details of </w:t>
      </w:r>
      <w:r w:rsidR="00E25B1F" w:rsidRPr="0047636E">
        <w:rPr>
          <w:rFonts w:ascii="Arial" w:eastAsia="新細明體" w:hAnsi="Arial" w:cs="Arial"/>
          <w:color w:val="000000" w:themeColor="text1"/>
          <w:sz w:val="20"/>
          <w:szCs w:val="20"/>
        </w:rPr>
        <w:t>animal usage and statistical test results</w:t>
      </w:r>
      <w:r w:rsidRPr="0047636E">
        <w:rPr>
          <w:rFonts w:ascii="Arial" w:eastAsia="新細明體" w:hAnsi="Arial" w:cs="Arial"/>
          <w:color w:val="000000" w:themeColor="text1"/>
          <w:sz w:val="20"/>
          <w:szCs w:val="20"/>
        </w:rPr>
        <w:t>.</w:t>
      </w:r>
    </w:p>
    <w:p w14:paraId="3C9DBD44" w14:textId="77777777" w:rsidR="002C6891" w:rsidRPr="0047636E" w:rsidRDefault="002C6891" w:rsidP="00BA4E04">
      <w:pPr>
        <w:spacing w:line="360" w:lineRule="auto"/>
        <w:jc w:val="both"/>
        <w:rPr>
          <w:rFonts w:ascii="Arial" w:eastAsia="新細明體" w:hAnsi="Arial" w:cs="Arial"/>
          <w:color w:val="000000" w:themeColor="text1"/>
          <w:sz w:val="20"/>
          <w:szCs w:val="20"/>
        </w:rPr>
      </w:pPr>
    </w:p>
    <w:p w14:paraId="0CCBEC26" w14:textId="6A6E1F5F" w:rsidR="0091586A" w:rsidRPr="0047636E" w:rsidRDefault="002C6891" w:rsidP="00BA4E04">
      <w:pPr>
        <w:spacing w:line="360" w:lineRule="auto"/>
        <w:jc w:val="both"/>
        <w:rPr>
          <w:color w:val="000000" w:themeColor="text1"/>
        </w:rPr>
      </w:pPr>
      <w:r w:rsidRPr="0047636E">
        <w:rPr>
          <w:rFonts w:ascii="Arial" w:eastAsia="新細明體" w:hAnsi="Arial" w:cs="Arial" w:hint="eastAsia"/>
          <w:b/>
          <w:bCs/>
          <w:color w:val="000000" w:themeColor="text1"/>
          <w:sz w:val="20"/>
          <w:szCs w:val="20"/>
        </w:rPr>
        <w:t>S</w:t>
      </w:r>
      <w:r w:rsidRPr="0047636E">
        <w:rPr>
          <w:rFonts w:ascii="Arial" w:eastAsia="新細明體" w:hAnsi="Arial" w:cs="Arial"/>
          <w:b/>
          <w:bCs/>
          <w:color w:val="000000" w:themeColor="text1"/>
          <w:sz w:val="20"/>
          <w:szCs w:val="20"/>
        </w:rPr>
        <w:t xml:space="preserve">upplementary Fig. S8 </w:t>
      </w:r>
      <w:r w:rsidR="00816356" w:rsidRPr="0047636E">
        <w:rPr>
          <w:rFonts w:ascii="Arial" w:eastAsia="新細明體" w:hAnsi="Arial" w:cs="Arial"/>
          <w:b/>
          <w:bCs/>
          <w:color w:val="000000" w:themeColor="text1"/>
          <w:sz w:val="20"/>
          <w:szCs w:val="20"/>
        </w:rPr>
        <w:t xml:space="preserve">Determining the effective dose for the intra-vHPC infusion of RLZ. a </w:t>
      </w:r>
      <w:r w:rsidR="00816356" w:rsidRPr="0047636E">
        <w:rPr>
          <w:rFonts w:ascii="Arial" w:eastAsia="新細明體" w:hAnsi="Arial" w:cs="Arial"/>
          <w:bCs/>
          <w:color w:val="000000" w:themeColor="text1"/>
          <w:sz w:val="20"/>
          <w:szCs w:val="20"/>
        </w:rPr>
        <w:t>Local GLAST levels after 7-day daily intra-vHPC infusions of RLZ at dosages of 0.5, 1, and 2 nmol/side. Upper panels show representative Western blots. Lower panel shows quantitative results.</w:t>
      </w:r>
      <w:r w:rsidR="00816356" w:rsidRPr="0047636E">
        <w:rPr>
          <w:rFonts w:ascii="Arial" w:eastAsia="新細明體" w:hAnsi="Arial" w:cs="Arial"/>
          <w:b/>
          <w:bCs/>
          <w:color w:val="000000" w:themeColor="text1"/>
          <w:sz w:val="20"/>
          <w:szCs w:val="20"/>
        </w:rPr>
        <w:t xml:space="preserve"> b </w:t>
      </w:r>
      <w:r w:rsidR="00816356" w:rsidRPr="0047636E">
        <w:rPr>
          <w:rFonts w:ascii="Arial" w:eastAsia="新細明體" w:hAnsi="Arial" w:cs="Arial"/>
          <w:bCs/>
          <w:color w:val="000000" w:themeColor="text1"/>
          <w:sz w:val="20"/>
          <w:szCs w:val="20"/>
        </w:rPr>
        <w:t xml:space="preserve">Local GLT-1 levels after 7-day daily intra-vHPC infusions of RLZ at dosages of 0.5, 1, and 2 nmol/side. Upper panels show representative Western blots. Lower panel shows quantitative results. n = 5 mice per group. All data are represented as mean ± SD. n.s., not significant. See also Supplementary Table S1 and S2 for details of </w:t>
      </w:r>
      <w:r w:rsidR="00E25B1F" w:rsidRPr="0047636E">
        <w:rPr>
          <w:rFonts w:ascii="Arial" w:eastAsia="新細明體" w:hAnsi="Arial" w:cs="Arial"/>
          <w:bCs/>
          <w:color w:val="000000" w:themeColor="text1"/>
          <w:sz w:val="20"/>
          <w:szCs w:val="20"/>
        </w:rPr>
        <w:t>animal usage and statistical test results</w:t>
      </w:r>
      <w:r w:rsidR="00816356" w:rsidRPr="0047636E">
        <w:rPr>
          <w:rFonts w:ascii="Arial" w:eastAsia="新細明體" w:hAnsi="Arial" w:cs="Arial"/>
          <w:bCs/>
          <w:color w:val="000000" w:themeColor="text1"/>
          <w:sz w:val="20"/>
          <w:szCs w:val="20"/>
        </w:rPr>
        <w:t>.</w:t>
      </w:r>
    </w:p>
    <w:p w14:paraId="59BAB1B7" w14:textId="0F24E3A8" w:rsidR="0091586A" w:rsidRPr="0047636E" w:rsidRDefault="0091586A" w:rsidP="00BA4E04">
      <w:pPr>
        <w:spacing w:line="360" w:lineRule="auto"/>
        <w:jc w:val="both"/>
        <w:rPr>
          <w:rFonts w:ascii="Arial" w:eastAsia="新細明體" w:hAnsi="Arial" w:cs="Arial"/>
          <w:color w:val="000000" w:themeColor="text1"/>
          <w:sz w:val="20"/>
          <w:szCs w:val="20"/>
        </w:rPr>
      </w:pPr>
    </w:p>
    <w:p w14:paraId="153E63E0" w14:textId="5387359C" w:rsidR="004637A3" w:rsidRPr="0047636E" w:rsidRDefault="0069442A" w:rsidP="00BA4E04">
      <w:pPr>
        <w:spacing w:line="360" w:lineRule="auto"/>
        <w:jc w:val="both"/>
        <w:rPr>
          <w:rFonts w:ascii="Arial" w:eastAsia="新細明體" w:hAnsi="Arial" w:cs="Arial"/>
          <w:color w:val="000000" w:themeColor="text1"/>
          <w:sz w:val="20"/>
          <w:szCs w:val="20"/>
        </w:rPr>
      </w:pPr>
      <w:r w:rsidRPr="0047636E">
        <w:rPr>
          <w:rFonts w:ascii="Arial" w:eastAsia="新細明體" w:hAnsi="Arial" w:cs="Arial" w:hint="eastAsia"/>
          <w:b/>
          <w:bCs/>
          <w:color w:val="000000" w:themeColor="text1"/>
          <w:sz w:val="20"/>
          <w:szCs w:val="20"/>
        </w:rPr>
        <w:t>S</w:t>
      </w:r>
      <w:r w:rsidRPr="0047636E">
        <w:rPr>
          <w:rFonts w:ascii="Arial" w:eastAsia="新細明體" w:hAnsi="Arial" w:cs="Arial"/>
          <w:b/>
          <w:bCs/>
          <w:color w:val="000000" w:themeColor="text1"/>
          <w:sz w:val="20"/>
          <w:szCs w:val="20"/>
        </w:rPr>
        <w:t xml:space="preserve">upplementary Fig. S9 </w:t>
      </w:r>
      <w:r w:rsidR="00AD5907" w:rsidRPr="0047636E">
        <w:rPr>
          <w:rFonts w:ascii="Arial" w:eastAsia="新細明體" w:hAnsi="Arial" w:cs="Arial"/>
          <w:b/>
          <w:bCs/>
          <w:color w:val="000000" w:themeColor="text1"/>
          <w:sz w:val="20"/>
          <w:szCs w:val="20"/>
        </w:rPr>
        <w:t xml:space="preserve">Three weeks of intraperitoneal RLZ did not affect HFD-induced obesity or systemic insulin resistance in mice. a </w:t>
      </w:r>
      <w:r w:rsidR="00AD5907" w:rsidRPr="0047636E">
        <w:rPr>
          <w:rFonts w:ascii="Arial" w:eastAsia="新細明體" w:hAnsi="Arial" w:cs="Arial"/>
          <w:bCs/>
          <w:color w:val="000000" w:themeColor="text1"/>
          <w:sz w:val="20"/>
          <w:szCs w:val="20"/>
        </w:rPr>
        <w:t xml:space="preserve">Body weight of mice during the experimental period. n = 20 mice in CD-Veh group; n = 19 mice in CD-RLZ group; n = 20 mice in HFD-Veh group; n = 22 mice in HFD-RLZ group. </w:t>
      </w:r>
      <w:r w:rsidR="00AD5907" w:rsidRPr="0047636E">
        <w:rPr>
          <w:rFonts w:ascii="Arial" w:eastAsia="新細明體" w:hAnsi="Arial" w:cs="Arial"/>
          <w:b/>
          <w:bCs/>
          <w:color w:val="000000" w:themeColor="text1"/>
          <w:sz w:val="20"/>
          <w:szCs w:val="20"/>
        </w:rPr>
        <w:t>b</w:t>
      </w:r>
      <w:r w:rsidR="00AD5907" w:rsidRPr="0047636E">
        <w:rPr>
          <w:rFonts w:ascii="Arial" w:eastAsia="新細明體" w:hAnsi="Arial" w:cs="Arial"/>
          <w:bCs/>
          <w:color w:val="000000" w:themeColor="text1"/>
          <w:sz w:val="20"/>
          <w:szCs w:val="20"/>
        </w:rPr>
        <w:t>-</w:t>
      </w:r>
      <w:r w:rsidR="00AD5907" w:rsidRPr="0047636E">
        <w:rPr>
          <w:rFonts w:ascii="Arial" w:eastAsia="新細明體" w:hAnsi="Arial" w:cs="Arial"/>
          <w:b/>
          <w:bCs/>
          <w:color w:val="000000" w:themeColor="text1"/>
          <w:sz w:val="20"/>
          <w:szCs w:val="20"/>
        </w:rPr>
        <w:t>d</w:t>
      </w:r>
      <w:r w:rsidR="00AD5907" w:rsidRPr="0047636E">
        <w:rPr>
          <w:rFonts w:ascii="Arial" w:eastAsia="新細明體" w:hAnsi="Arial" w:cs="Arial"/>
          <w:bCs/>
          <w:color w:val="000000" w:themeColor="text1"/>
          <w:sz w:val="20"/>
          <w:szCs w:val="20"/>
        </w:rPr>
        <w:t xml:space="preserve"> Measurements of </w:t>
      </w:r>
      <w:r w:rsidR="00AD5907" w:rsidRPr="0047636E">
        <w:rPr>
          <w:rFonts w:ascii="Arial" w:eastAsia="新細明體" w:hAnsi="Arial" w:cs="Arial"/>
          <w:b/>
          <w:bCs/>
          <w:color w:val="000000" w:themeColor="text1"/>
          <w:sz w:val="20"/>
          <w:szCs w:val="20"/>
        </w:rPr>
        <w:t>b</w:t>
      </w:r>
      <w:r w:rsidR="00AD5907" w:rsidRPr="0047636E">
        <w:rPr>
          <w:rFonts w:ascii="Arial" w:eastAsia="新細明體" w:hAnsi="Arial" w:cs="Arial"/>
          <w:bCs/>
          <w:color w:val="000000" w:themeColor="text1"/>
          <w:sz w:val="20"/>
          <w:szCs w:val="20"/>
        </w:rPr>
        <w:t xml:space="preserve"> fasting blood glucose levels, </w:t>
      </w:r>
      <w:r w:rsidR="00AD5907" w:rsidRPr="0047636E">
        <w:rPr>
          <w:rFonts w:ascii="Arial" w:eastAsia="新細明體" w:hAnsi="Arial" w:cs="Arial"/>
          <w:b/>
          <w:bCs/>
          <w:color w:val="000000" w:themeColor="text1"/>
          <w:sz w:val="20"/>
          <w:szCs w:val="20"/>
        </w:rPr>
        <w:t>c</w:t>
      </w:r>
      <w:r w:rsidR="00AD5907" w:rsidRPr="0047636E">
        <w:rPr>
          <w:rFonts w:ascii="Arial" w:eastAsia="新細明體" w:hAnsi="Arial" w:cs="Arial"/>
          <w:bCs/>
          <w:color w:val="000000" w:themeColor="text1"/>
          <w:sz w:val="20"/>
          <w:szCs w:val="20"/>
        </w:rPr>
        <w:t xml:space="preserve"> fasting plasma insulin levels, and </w:t>
      </w:r>
      <w:r w:rsidR="00AD5907" w:rsidRPr="0047636E">
        <w:rPr>
          <w:rFonts w:ascii="Arial" w:eastAsia="新細明體" w:hAnsi="Arial" w:cs="Arial"/>
          <w:b/>
          <w:bCs/>
          <w:color w:val="000000" w:themeColor="text1"/>
          <w:sz w:val="20"/>
          <w:szCs w:val="20"/>
        </w:rPr>
        <w:t>d</w:t>
      </w:r>
      <w:r w:rsidR="00AD5907" w:rsidRPr="0047636E">
        <w:rPr>
          <w:rFonts w:ascii="Arial" w:eastAsia="新細明體" w:hAnsi="Arial" w:cs="Arial"/>
          <w:bCs/>
          <w:color w:val="000000" w:themeColor="text1"/>
          <w:sz w:val="20"/>
          <w:szCs w:val="20"/>
        </w:rPr>
        <w:t xml:space="preserve"> HOMA-IR index in mice. n = 11 mice in CD-Veh group; n = 10 mice in CD-RLZ group; n = 11 mice in HFD-Veh group; n = 13 mice in HFD-RLZ group. </w:t>
      </w:r>
      <w:r w:rsidR="00AD5907" w:rsidRPr="0047636E">
        <w:rPr>
          <w:rFonts w:ascii="Arial" w:eastAsia="新細明體" w:hAnsi="Arial" w:cs="Arial"/>
          <w:b/>
          <w:bCs/>
          <w:color w:val="000000" w:themeColor="text1"/>
          <w:sz w:val="20"/>
          <w:szCs w:val="20"/>
        </w:rPr>
        <w:t>e</w:t>
      </w:r>
      <w:r w:rsidR="00AD5907" w:rsidRPr="0047636E">
        <w:rPr>
          <w:rFonts w:ascii="Arial" w:eastAsia="新細明體" w:hAnsi="Arial" w:cs="Arial"/>
          <w:bCs/>
          <w:color w:val="000000" w:themeColor="text1"/>
          <w:sz w:val="20"/>
          <w:szCs w:val="20"/>
        </w:rPr>
        <w:t xml:space="preserve"> and</w:t>
      </w:r>
      <w:r w:rsidR="00AD5907" w:rsidRPr="0047636E">
        <w:rPr>
          <w:rFonts w:ascii="Arial" w:eastAsia="新細明體" w:hAnsi="Arial" w:cs="Arial"/>
          <w:b/>
          <w:bCs/>
          <w:color w:val="000000" w:themeColor="text1"/>
          <w:sz w:val="20"/>
          <w:szCs w:val="20"/>
        </w:rPr>
        <w:t xml:space="preserve"> f</w:t>
      </w:r>
      <w:r w:rsidR="00AD5907" w:rsidRPr="0047636E">
        <w:rPr>
          <w:rFonts w:ascii="Arial" w:eastAsia="新細明體" w:hAnsi="Arial" w:cs="Arial"/>
          <w:bCs/>
          <w:color w:val="000000" w:themeColor="text1"/>
          <w:sz w:val="20"/>
          <w:szCs w:val="20"/>
        </w:rPr>
        <w:t xml:space="preserve"> Results of IPGTT. </w:t>
      </w:r>
      <w:r w:rsidR="00AD5907" w:rsidRPr="0047636E">
        <w:rPr>
          <w:rFonts w:ascii="Arial" w:eastAsia="新細明體" w:hAnsi="Arial" w:cs="Arial"/>
          <w:b/>
          <w:bCs/>
          <w:color w:val="000000" w:themeColor="text1"/>
          <w:sz w:val="20"/>
          <w:szCs w:val="20"/>
        </w:rPr>
        <w:t>e</w:t>
      </w:r>
      <w:r w:rsidR="00AD5907" w:rsidRPr="0047636E">
        <w:rPr>
          <w:rFonts w:ascii="Arial" w:eastAsia="新細明體" w:hAnsi="Arial" w:cs="Arial"/>
          <w:bCs/>
          <w:color w:val="000000" w:themeColor="text1"/>
          <w:sz w:val="20"/>
          <w:szCs w:val="20"/>
        </w:rPr>
        <w:t xml:space="preserve"> Blood glucose levels during IPGTT in mice. </w:t>
      </w:r>
      <w:r w:rsidR="00AD5907" w:rsidRPr="0047636E">
        <w:rPr>
          <w:rFonts w:ascii="Arial" w:eastAsia="新細明體" w:hAnsi="Arial" w:cs="Arial"/>
          <w:b/>
          <w:bCs/>
          <w:color w:val="000000" w:themeColor="text1"/>
          <w:sz w:val="20"/>
          <w:szCs w:val="20"/>
        </w:rPr>
        <w:t>f</w:t>
      </w:r>
      <w:r w:rsidR="00AD5907" w:rsidRPr="0047636E">
        <w:rPr>
          <w:rFonts w:ascii="Arial" w:eastAsia="新細明體" w:hAnsi="Arial" w:cs="Arial"/>
          <w:bCs/>
          <w:color w:val="000000" w:themeColor="text1"/>
          <w:sz w:val="20"/>
          <w:szCs w:val="20"/>
        </w:rPr>
        <w:t xml:space="preserve"> AUC of IPGTT results. n = 11 mice in CD-Veh group; n = 10 mice in CD-RLZ group; n = 11 mice in HFD-Veh group; n = 13 mice in HFD-RLZ group. </w:t>
      </w:r>
      <w:r w:rsidR="00AD5907" w:rsidRPr="0047636E">
        <w:rPr>
          <w:rFonts w:ascii="Arial" w:eastAsia="新細明體" w:hAnsi="Arial" w:cs="Arial"/>
          <w:b/>
          <w:bCs/>
          <w:color w:val="000000" w:themeColor="text1"/>
          <w:sz w:val="20"/>
          <w:szCs w:val="20"/>
        </w:rPr>
        <w:t>g</w:t>
      </w:r>
      <w:r w:rsidR="00AD5907" w:rsidRPr="0047636E">
        <w:rPr>
          <w:rFonts w:ascii="Arial" w:eastAsia="新細明體" w:hAnsi="Arial" w:cs="Arial"/>
          <w:bCs/>
          <w:color w:val="000000" w:themeColor="text1"/>
          <w:sz w:val="20"/>
          <w:szCs w:val="20"/>
        </w:rPr>
        <w:t xml:space="preserve"> and </w:t>
      </w:r>
      <w:r w:rsidR="00AD5907" w:rsidRPr="0047636E">
        <w:rPr>
          <w:rFonts w:ascii="Arial" w:eastAsia="新細明體" w:hAnsi="Arial" w:cs="Arial"/>
          <w:b/>
          <w:bCs/>
          <w:color w:val="000000" w:themeColor="text1"/>
          <w:sz w:val="20"/>
          <w:szCs w:val="20"/>
        </w:rPr>
        <w:t>h</w:t>
      </w:r>
      <w:r w:rsidR="00AD5907" w:rsidRPr="0047636E">
        <w:rPr>
          <w:rFonts w:ascii="Arial" w:eastAsia="新細明體" w:hAnsi="Arial" w:cs="Arial"/>
          <w:bCs/>
          <w:color w:val="000000" w:themeColor="text1"/>
          <w:sz w:val="20"/>
          <w:szCs w:val="20"/>
        </w:rPr>
        <w:t xml:space="preserve"> Results of IPITT. </w:t>
      </w:r>
      <w:r w:rsidR="00AD5907" w:rsidRPr="0047636E">
        <w:rPr>
          <w:rFonts w:ascii="Arial" w:eastAsia="新細明體" w:hAnsi="Arial" w:cs="Arial"/>
          <w:b/>
          <w:bCs/>
          <w:color w:val="000000" w:themeColor="text1"/>
          <w:sz w:val="20"/>
          <w:szCs w:val="20"/>
        </w:rPr>
        <w:t>g</w:t>
      </w:r>
      <w:r w:rsidR="00AD5907" w:rsidRPr="0047636E">
        <w:rPr>
          <w:rFonts w:ascii="Arial" w:eastAsia="新細明體" w:hAnsi="Arial" w:cs="Arial"/>
          <w:bCs/>
          <w:color w:val="000000" w:themeColor="text1"/>
          <w:sz w:val="20"/>
          <w:szCs w:val="20"/>
        </w:rPr>
        <w:t xml:space="preserve"> Blood glucose levels during IPITT in mice, and </w:t>
      </w:r>
      <w:r w:rsidR="00AD5907" w:rsidRPr="0047636E">
        <w:rPr>
          <w:rFonts w:ascii="Arial" w:eastAsia="新細明體" w:hAnsi="Arial" w:cs="Arial"/>
          <w:b/>
          <w:bCs/>
          <w:color w:val="000000" w:themeColor="text1"/>
          <w:sz w:val="20"/>
          <w:szCs w:val="20"/>
        </w:rPr>
        <w:t>h</w:t>
      </w:r>
      <w:r w:rsidR="00AD5907" w:rsidRPr="0047636E">
        <w:rPr>
          <w:rFonts w:ascii="Arial" w:eastAsia="新細明體" w:hAnsi="Arial" w:cs="Arial"/>
          <w:bCs/>
          <w:color w:val="000000" w:themeColor="text1"/>
          <w:sz w:val="20"/>
          <w:szCs w:val="20"/>
        </w:rPr>
        <w:t xml:space="preserve"> AUC of IPITT results. n = 11 mice in CD-Veh group; n = 10 mice in CD-RLZ group; n = 11 mice in HFD-Veh group; n = 13 mice in HFD-RLZ group. All data are expressed as mean ± SD. n.s., not significant. See also Supplementary Table S1 and S2 for details of animal usage and statistical test results</w:t>
      </w:r>
      <w:r w:rsidR="00AB6A90" w:rsidRPr="0047636E">
        <w:rPr>
          <w:rFonts w:ascii="Arial" w:eastAsia="新細明體" w:hAnsi="Arial" w:cs="Arial"/>
          <w:color w:val="000000" w:themeColor="text1"/>
          <w:sz w:val="20"/>
          <w:szCs w:val="20"/>
        </w:rPr>
        <w:t>.</w:t>
      </w:r>
    </w:p>
    <w:p w14:paraId="4AD65D29" w14:textId="77777777" w:rsidR="0091586A" w:rsidRPr="0047636E" w:rsidRDefault="0091586A" w:rsidP="00BA4E04">
      <w:pPr>
        <w:spacing w:line="360" w:lineRule="auto"/>
        <w:jc w:val="both"/>
        <w:rPr>
          <w:rFonts w:ascii="Arial" w:eastAsia="新細明體" w:hAnsi="Arial" w:cs="Arial"/>
          <w:b/>
          <w:bCs/>
          <w:color w:val="000000" w:themeColor="text1"/>
          <w:sz w:val="20"/>
          <w:szCs w:val="20"/>
        </w:rPr>
      </w:pPr>
    </w:p>
    <w:p w14:paraId="6A292FDB" w14:textId="22710804" w:rsidR="00670D14" w:rsidRPr="0047636E" w:rsidRDefault="00677F1B" w:rsidP="00BA4E04">
      <w:pPr>
        <w:spacing w:line="360" w:lineRule="auto"/>
        <w:jc w:val="both"/>
        <w:rPr>
          <w:rFonts w:ascii="Arial" w:eastAsia="新細明體" w:hAnsi="Arial" w:cs="Arial"/>
          <w:color w:val="000000" w:themeColor="text1"/>
          <w:sz w:val="20"/>
          <w:szCs w:val="20"/>
        </w:rPr>
      </w:pPr>
      <w:r w:rsidRPr="0047636E">
        <w:rPr>
          <w:rFonts w:ascii="Arial" w:eastAsia="新細明體" w:hAnsi="Arial" w:cs="Arial" w:hint="eastAsia"/>
          <w:b/>
          <w:bCs/>
          <w:color w:val="000000" w:themeColor="text1"/>
          <w:sz w:val="20"/>
          <w:szCs w:val="20"/>
        </w:rPr>
        <w:t>S</w:t>
      </w:r>
      <w:r w:rsidRPr="0047636E">
        <w:rPr>
          <w:rFonts w:ascii="Arial" w:eastAsia="新細明體" w:hAnsi="Arial" w:cs="Arial"/>
          <w:b/>
          <w:bCs/>
          <w:color w:val="000000" w:themeColor="text1"/>
          <w:sz w:val="20"/>
          <w:szCs w:val="20"/>
        </w:rPr>
        <w:t xml:space="preserve">upplementary Fig. S10 </w:t>
      </w:r>
      <w:r w:rsidR="00AD5907" w:rsidRPr="0047636E">
        <w:rPr>
          <w:rFonts w:ascii="Arial" w:eastAsia="新細明體" w:hAnsi="Arial" w:cs="Arial"/>
          <w:b/>
          <w:bCs/>
          <w:color w:val="000000" w:themeColor="text1"/>
          <w:sz w:val="20"/>
          <w:szCs w:val="20"/>
        </w:rPr>
        <w:t>Seven days of intra-vHPC RLZ did not affect HFD-induced obesity or systemic insulin resistance in mice</w:t>
      </w:r>
      <w:r w:rsidR="00AD5907" w:rsidRPr="0047636E">
        <w:rPr>
          <w:rFonts w:ascii="Arial" w:eastAsia="新細明體" w:hAnsi="Arial" w:cs="Arial"/>
          <w:bCs/>
          <w:color w:val="000000" w:themeColor="text1"/>
          <w:sz w:val="20"/>
          <w:szCs w:val="20"/>
        </w:rPr>
        <w:t>.</w:t>
      </w:r>
      <w:r w:rsidR="00AD5907" w:rsidRPr="0047636E">
        <w:rPr>
          <w:rFonts w:ascii="Arial" w:eastAsia="新細明體" w:hAnsi="Arial" w:cs="Arial"/>
          <w:b/>
          <w:bCs/>
          <w:color w:val="000000" w:themeColor="text1"/>
          <w:sz w:val="20"/>
          <w:szCs w:val="20"/>
        </w:rPr>
        <w:t xml:space="preserve"> a </w:t>
      </w:r>
      <w:r w:rsidR="00AD5907" w:rsidRPr="0047636E">
        <w:rPr>
          <w:rFonts w:ascii="Arial" w:eastAsia="新細明體" w:hAnsi="Arial" w:cs="Arial"/>
          <w:bCs/>
          <w:color w:val="000000" w:themeColor="text1"/>
          <w:sz w:val="20"/>
          <w:szCs w:val="20"/>
        </w:rPr>
        <w:t xml:space="preserve">Body weight of mice during the experimental period. n = 20 mice per group. </w:t>
      </w:r>
      <w:r w:rsidR="00AD5907" w:rsidRPr="0047636E">
        <w:rPr>
          <w:rFonts w:ascii="Arial" w:eastAsia="新細明體" w:hAnsi="Arial" w:cs="Arial"/>
          <w:b/>
          <w:bCs/>
          <w:color w:val="000000" w:themeColor="text1"/>
          <w:sz w:val="20"/>
          <w:szCs w:val="20"/>
        </w:rPr>
        <w:t>b-d</w:t>
      </w:r>
      <w:r w:rsidR="00AD5907" w:rsidRPr="0047636E">
        <w:rPr>
          <w:rFonts w:ascii="Arial" w:eastAsia="新細明體" w:hAnsi="Arial" w:cs="Arial"/>
          <w:bCs/>
          <w:color w:val="000000" w:themeColor="text1"/>
          <w:sz w:val="20"/>
          <w:szCs w:val="20"/>
        </w:rPr>
        <w:t xml:space="preserve"> Measurements of </w:t>
      </w:r>
      <w:r w:rsidR="00AD5907" w:rsidRPr="0047636E">
        <w:rPr>
          <w:rFonts w:ascii="Arial" w:eastAsia="新細明體" w:hAnsi="Arial" w:cs="Arial"/>
          <w:b/>
          <w:bCs/>
          <w:color w:val="000000" w:themeColor="text1"/>
          <w:sz w:val="20"/>
          <w:szCs w:val="20"/>
        </w:rPr>
        <w:t>b</w:t>
      </w:r>
      <w:r w:rsidR="00AD5907" w:rsidRPr="0047636E">
        <w:rPr>
          <w:rFonts w:ascii="Arial" w:eastAsia="新細明體" w:hAnsi="Arial" w:cs="Arial"/>
          <w:bCs/>
          <w:color w:val="000000" w:themeColor="text1"/>
          <w:sz w:val="20"/>
          <w:szCs w:val="20"/>
        </w:rPr>
        <w:t xml:space="preserve"> fasting blood glucose levels, </w:t>
      </w:r>
      <w:r w:rsidR="00AD5907" w:rsidRPr="0047636E">
        <w:rPr>
          <w:rFonts w:ascii="Arial" w:eastAsia="新細明體" w:hAnsi="Arial" w:cs="Arial"/>
          <w:b/>
          <w:bCs/>
          <w:color w:val="000000" w:themeColor="text1"/>
          <w:sz w:val="20"/>
          <w:szCs w:val="20"/>
        </w:rPr>
        <w:t>c</w:t>
      </w:r>
      <w:r w:rsidR="00AD5907" w:rsidRPr="0047636E">
        <w:rPr>
          <w:rFonts w:ascii="Arial" w:eastAsia="新細明體" w:hAnsi="Arial" w:cs="Arial"/>
          <w:bCs/>
          <w:color w:val="000000" w:themeColor="text1"/>
          <w:sz w:val="20"/>
          <w:szCs w:val="20"/>
        </w:rPr>
        <w:t xml:space="preserve"> fasting plasma insulin levels, and </w:t>
      </w:r>
      <w:r w:rsidR="00AD5907" w:rsidRPr="0047636E">
        <w:rPr>
          <w:rFonts w:ascii="Arial" w:eastAsia="新細明體" w:hAnsi="Arial" w:cs="Arial"/>
          <w:b/>
          <w:bCs/>
          <w:color w:val="000000" w:themeColor="text1"/>
          <w:sz w:val="20"/>
          <w:szCs w:val="20"/>
        </w:rPr>
        <w:t>d</w:t>
      </w:r>
      <w:r w:rsidR="00AD5907" w:rsidRPr="0047636E">
        <w:rPr>
          <w:rFonts w:ascii="Arial" w:eastAsia="新細明體" w:hAnsi="Arial" w:cs="Arial"/>
          <w:bCs/>
          <w:color w:val="000000" w:themeColor="text1"/>
          <w:sz w:val="20"/>
          <w:szCs w:val="20"/>
        </w:rPr>
        <w:t xml:space="preserve"> HOMA-IR index in mice. n = 10 mice per group. </w:t>
      </w:r>
      <w:r w:rsidR="00AD5907" w:rsidRPr="0047636E">
        <w:rPr>
          <w:rFonts w:ascii="Arial" w:eastAsia="新細明體" w:hAnsi="Arial" w:cs="Arial"/>
          <w:b/>
          <w:bCs/>
          <w:color w:val="000000" w:themeColor="text1"/>
          <w:sz w:val="20"/>
          <w:szCs w:val="20"/>
        </w:rPr>
        <w:t>e</w:t>
      </w:r>
      <w:r w:rsidR="00AD5907" w:rsidRPr="0047636E">
        <w:rPr>
          <w:rFonts w:ascii="Arial" w:eastAsia="新細明體" w:hAnsi="Arial" w:cs="Arial"/>
          <w:bCs/>
          <w:color w:val="000000" w:themeColor="text1"/>
          <w:sz w:val="20"/>
          <w:szCs w:val="20"/>
        </w:rPr>
        <w:t xml:space="preserve"> and </w:t>
      </w:r>
      <w:r w:rsidR="00AD5907" w:rsidRPr="0047636E">
        <w:rPr>
          <w:rFonts w:ascii="Arial" w:eastAsia="新細明體" w:hAnsi="Arial" w:cs="Arial"/>
          <w:b/>
          <w:bCs/>
          <w:color w:val="000000" w:themeColor="text1"/>
          <w:sz w:val="20"/>
          <w:szCs w:val="20"/>
        </w:rPr>
        <w:t xml:space="preserve">f </w:t>
      </w:r>
      <w:r w:rsidR="00AD5907" w:rsidRPr="0047636E">
        <w:rPr>
          <w:rFonts w:ascii="Arial" w:eastAsia="新細明體" w:hAnsi="Arial" w:cs="Arial"/>
          <w:bCs/>
          <w:color w:val="000000" w:themeColor="text1"/>
          <w:sz w:val="20"/>
          <w:szCs w:val="20"/>
        </w:rPr>
        <w:t xml:space="preserve">Results of IPGTT. </w:t>
      </w:r>
      <w:r w:rsidR="00AD5907" w:rsidRPr="0047636E">
        <w:rPr>
          <w:rFonts w:ascii="Arial" w:eastAsia="新細明體" w:hAnsi="Arial" w:cs="Arial"/>
          <w:b/>
          <w:bCs/>
          <w:color w:val="000000" w:themeColor="text1"/>
          <w:sz w:val="20"/>
          <w:szCs w:val="20"/>
        </w:rPr>
        <w:t>e</w:t>
      </w:r>
      <w:r w:rsidR="00AD5907" w:rsidRPr="0047636E">
        <w:rPr>
          <w:rFonts w:ascii="Arial" w:eastAsia="新細明體" w:hAnsi="Arial" w:cs="Arial"/>
          <w:bCs/>
          <w:color w:val="000000" w:themeColor="text1"/>
          <w:sz w:val="20"/>
          <w:szCs w:val="20"/>
        </w:rPr>
        <w:t xml:space="preserve"> Blood glucose levels during IPGTT in mice. </w:t>
      </w:r>
      <w:r w:rsidR="00AD5907" w:rsidRPr="0047636E">
        <w:rPr>
          <w:rFonts w:ascii="Arial" w:eastAsia="新細明體" w:hAnsi="Arial" w:cs="Arial"/>
          <w:b/>
          <w:bCs/>
          <w:color w:val="000000" w:themeColor="text1"/>
          <w:sz w:val="20"/>
          <w:szCs w:val="20"/>
        </w:rPr>
        <w:t>f</w:t>
      </w:r>
      <w:r w:rsidR="00AD5907" w:rsidRPr="0047636E">
        <w:rPr>
          <w:rFonts w:ascii="Arial" w:eastAsia="新細明體" w:hAnsi="Arial" w:cs="Arial"/>
          <w:bCs/>
          <w:color w:val="000000" w:themeColor="text1"/>
          <w:sz w:val="20"/>
          <w:szCs w:val="20"/>
        </w:rPr>
        <w:t xml:space="preserve"> AUC of IPGTT results. n = 10 mice per group. </w:t>
      </w:r>
      <w:r w:rsidR="00AD5907" w:rsidRPr="0047636E">
        <w:rPr>
          <w:rFonts w:ascii="Arial" w:eastAsia="新細明體" w:hAnsi="Arial" w:cs="Arial"/>
          <w:b/>
          <w:bCs/>
          <w:color w:val="000000" w:themeColor="text1"/>
          <w:sz w:val="20"/>
          <w:szCs w:val="20"/>
        </w:rPr>
        <w:t>g</w:t>
      </w:r>
      <w:r w:rsidR="00AD5907" w:rsidRPr="0047636E">
        <w:rPr>
          <w:rFonts w:ascii="Arial" w:eastAsia="新細明體" w:hAnsi="Arial" w:cs="Arial"/>
          <w:bCs/>
          <w:color w:val="000000" w:themeColor="text1"/>
          <w:sz w:val="20"/>
          <w:szCs w:val="20"/>
        </w:rPr>
        <w:t xml:space="preserve"> and h Results of IPITT. </w:t>
      </w:r>
      <w:r w:rsidR="00AD5907" w:rsidRPr="0047636E">
        <w:rPr>
          <w:rFonts w:ascii="Arial" w:eastAsia="新細明體" w:hAnsi="Arial" w:cs="Arial"/>
          <w:b/>
          <w:bCs/>
          <w:color w:val="000000" w:themeColor="text1"/>
          <w:sz w:val="20"/>
          <w:szCs w:val="20"/>
        </w:rPr>
        <w:t>g</w:t>
      </w:r>
      <w:r w:rsidR="00AD5907" w:rsidRPr="0047636E">
        <w:rPr>
          <w:rFonts w:ascii="Arial" w:eastAsia="新細明體" w:hAnsi="Arial" w:cs="Arial"/>
          <w:bCs/>
          <w:color w:val="000000" w:themeColor="text1"/>
          <w:sz w:val="20"/>
          <w:szCs w:val="20"/>
        </w:rPr>
        <w:t xml:space="preserve"> Blood glucose levels during IPITT in mice, and </w:t>
      </w:r>
      <w:r w:rsidR="00AD5907" w:rsidRPr="0047636E">
        <w:rPr>
          <w:rFonts w:ascii="Arial" w:eastAsia="新細明體" w:hAnsi="Arial" w:cs="Arial"/>
          <w:b/>
          <w:bCs/>
          <w:color w:val="000000" w:themeColor="text1"/>
          <w:sz w:val="20"/>
          <w:szCs w:val="20"/>
        </w:rPr>
        <w:t>h</w:t>
      </w:r>
      <w:r w:rsidR="00AD5907" w:rsidRPr="0047636E">
        <w:rPr>
          <w:rFonts w:ascii="Arial" w:eastAsia="新細明體" w:hAnsi="Arial" w:cs="Arial"/>
          <w:bCs/>
          <w:color w:val="000000" w:themeColor="text1"/>
          <w:sz w:val="20"/>
          <w:szCs w:val="20"/>
        </w:rPr>
        <w:t xml:space="preserve"> </w:t>
      </w:r>
      <w:r w:rsidR="00AD5907" w:rsidRPr="0047636E">
        <w:rPr>
          <w:rFonts w:ascii="Arial" w:eastAsia="新細明體" w:hAnsi="Arial" w:cs="Arial"/>
          <w:bCs/>
          <w:color w:val="000000" w:themeColor="text1"/>
          <w:sz w:val="20"/>
          <w:szCs w:val="20"/>
        </w:rPr>
        <w:lastRenderedPageBreak/>
        <w:t>AUC of IPITT results. n = 10 mice per group. All data are expressed as mean ± SD. n.s., not significant. See also Supplementary Table S1 and S2 for details of animal usage and statistical test results.</w:t>
      </w:r>
      <w:r w:rsidR="00670D14" w:rsidRPr="0047636E">
        <w:rPr>
          <w:rFonts w:ascii="Arial" w:hAnsi="Arial" w:cs="Arial"/>
          <w:b/>
          <w:bCs/>
          <w:color w:val="000000" w:themeColor="text1"/>
          <w:sz w:val="20"/>
          <w:szCs w:val="20"/>
          <w:lang w:val="en-US"/>
        </w:rPr>
        <w:br w:type="page"/>
      </w:r>
    </w:p>
    <w:p w14:paraId="491DC8E3" w14:textId="77777777" w:rsidR="00670D14" w:rsidRPr="0047636E" w:rsidRDefault="00670D14" w:rsidP="00EC6BF9">
      <w:pPr>
        <w:spacing w:line="360" w:lineRule="auto"/>
        <w:rPr>
          <w:rFonts w:ascii="Arial" w:hAnsi="Arial" w:cs="Arial"/>
          <w:b/>
          <w:bCs/>
          <w:color w:val="000000" w:themeColor="text1"/>
          <w:sz w:val="20"/>
          <w:szCs w:val="20"/>
          <w:lang w:val="en-US"/>
        </w:rPr>
      </w:pPr>
      <w:r w:rsidRPr="0047636E">
        <w:rPr>
          <w:rFonts w:ascii="Arial" w:hAnsi="Arial" w:cs="Arial"/>
          <w:b/>
          <w:bCs/>
          <w:color w:val="000000" w:themeColor="text1"/>
          <w:sz w:val="20"/>
          <w:szCs w:val="20"/>
          <w:lang w:val="en-US"/>
        </w:rPr>
        <w:lastRenderedPageBreak/>
        <w:t>3. Supplementary Table S3</w:t>
      </w:r>
    </w:p>
    <w:p w14:paraId="16B08EA0" w14:textId="77777777" w:rsidR="00670D14" w:rsidRPr="0047636E" w:rsidRDefault="00670D14" w:rsidP="00EC6BF9">
      <w:pPr>
        <w:spacing w:line="360" w:lineRule="auto"/>
        <w:rPr>
          <w:rFonts w:ascii="Arial" w:hAnsi="Arial" w:cs="Arial"/>
          <w:color w:val="000000" w:themeColor="text1"/>
          <w:sz w:val="20"/>
          <w:szCs w:val="20"/>
          <w:lang w:val="en-US"/>
        </w:rPr>
      </w:pPr>
      <w:r w:rsidRPr="0047636E">
        <w:rPr>
          <w:rFonts w:ascii="Arial" w:hAnsi="Arial" w:cs="Arial"/>
          <w:color w:val="000000" w:themeColor="text1"/>
          <w:sz w:val="20"/>
          <w:szCs w:val="20"/>
          <w:lang w:val="en-US"/>
        </w:rPr>
        <w:t>Supplementary Table S3 Information of antibodies used in this study</w:t>
      </w:r>
    </w:p>
    <w:tbl>
      <w:tblPr>
        <w:tblStyle w:val="af3"/>
        <w:tblW w:w="957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238"/>
        <w:gridCol w:w="2250"/>
        <w:gridCol w:w="2088"/>
      </w:tblGrid>
      <w:tr w:rsidR="0047636E" w:rsidRPr="0047636E" w14:paraId="4CF8B856" w14:textId="77777777" w:rsidTr="00EC6BF9">
        <w:trPr>
          <w:cantSplit/>
          <w:trHeight w:hRule="exact" w:val="393"/>
        </w:trPr>
        <w:tc>
          <w:tcPr>
            <w:tcW w:w="5238" w:type="dxa"/>
            <w:tcBorders>
              <w:top w:val="single" w:sz="12" w:space="0" w:color="000000"/>
              <w:bottom w:val="single" w:sz="12" w:space="0" w:color="000000"/>
            </w:tcBorders>
            <w:shd w:val="clear" w:color="auto" w:fill="E2EFD9" w:themeFill="accent6" w:themeFillTint="33"/>
            <w:vAlign w:val="center"/>
          </w:tcPr>
          <w:p w14:paraId="0E5C41A8" w14:textId="77777777" w:rsidR="00670D14" w:rsidRPr="0047636E" w:rsidRDefault="00670D14" w:rsidP="00202FA3">
            <w:pPr>
              <w:rPr>
                <w:rFonts w:ascii="Arial" w:hAnsi="Arial" w:cs="Arial"/>
                <w:b/>
                <w:bCs/>
                <w:color w:val="000000" w:themeColor="text1"/>
                <w:sz w:val="20"/>
                <w:szCs w:val="20"/>
              </w:rPr>
            </w:pPr>
            <w:r w:rsidRPr="0047636E">
              <w:rPr>
                <w:rFonts w:ascii="Arial" w:hAnsi="Arial" w:cs="Arial"/>
                <w:b/>
                <w:bCs/>
                <w:color w:val="000000" w:themeColor="text1"/>
                <w:sz w:val="20"/>
                <w:szCs w:val="20"/>
              </w:rPr>
              <w:t>Antibodies</w:t>
            </w:r>
          </w:p>
        </w:tc>
        <w:tc>
          <w:tcPr>
            <w:tcW w:w="2250" w:type="dxa"/>
            <w:tcBorders>
              <w:top w:val="single" w:sz="12" w:space="0" w:color="000000"/>
              <w:bottom w:val="single" w:sz="12" w:space="0" w:color="000000"/>
            </w:tcBorders>
            <w:shd w:val="clear" w:color="auto" w:fill="E2EFD9" w:themeFill="accent6" w:themeFillTint="33"/>
            <w:vAlign w:val="center"/>
          </w:tcPr>
          <w:p w14:paraId="044F7FFC" w14:textId="77777777" w:rsidR="00670D14" w:rsidRPr="0047636E" w:rsidRDefault="00670D14" w:rsidP="00202FA3">
            <w:pPr>
              <w:rPr>
                <w:rFonts w:ascii="Arial" w:hAnsi="Arial" w:cs="Arial"/>
                <w:b/>
                <w:bCs/>
                <w:color w:val="000000" w:themeColor="text1"/>
                <w:sz w:val="20"/>
                <w:szCs w:val="20"/>
              </w:rPr>
            </w:pPr>
            <w:r w:rsidRPr="0047636E">
              <w:rPr>
                <w:rFonts w:ascii="Arial" w:hAnsi="Arial" w:cs="Arial"/>
                <w:b/>
                <w:bCs/>
                <w:color w:val="000000" w:themeColor="text1"/>
                <w:sz w:val="20"/>
                <w:szCs w:val="20"/>
              </w:rPr>
              <w:t>Source</w:t>
            </w:r>
          </w:p>
        </w:tc>
        <w:tc>
          <w:tcPr>
            <w:tcW w:w="2088" w:type="dxa"/>
            <w:tcBorders>
              <w:top w:val="single" w:sz="12" w:space="0" w:color="000000"/>
              <w:bottom w:val="single" w:sz="12" w:space="0" w:color="000000"/>
            </w:tcBorders>
            <w:shd w:val="clear" w:color="auto" w:fill="E2EFD9" w:themeFill="accent6" w:themeFillTint="33"/>
            <w:vAlign w:val="center"/>
          </w:tcPr>
          <w:p w14:paraId="78ED91A1" w14:textId="77777777" w:rsidR="00670D14" w:rsidRPr="0047636E" w:rsidRDefault="00670D14" w:rsidP="00202FA3">
            <w:pPr>
              <w:rPr>
                <w:rFonts w:ascii="Arial" w:hAnsi="Arial" w:cs="Arial"/>
                <w:b/>
                <w:bCs/>
                <w:color w:val="000000" w:themeColor="text1"/>
                <w:sz w:val="20"/>
                <w:szCs w:val="20"/>
              </w:rPr>
            </w:pPr>
            <w:r w:rsidRPr="0047636E">
              <w:rPr>
                <w:rFonts w:ascii="Arial" w:hAnsi="Arial" w:cs="Arial"/>
                <w:b/>
                <w:bCs/>
                <w:color w:val="000000" w:themeColor="text1"/>
                <w:sz w:val="20"/>
                <w:szCs w:val="20"/>
              </w:rPr>
              <w:t>Identifier</w:t>
            </w:r>
          </w:p>
        </w:tc>
      </w:tr>
      <w:tr w:rsidR="0047636E" w:rsidRPr="0047636E" w14:paraId="5E650F2F" w14:textId="77777777" w:rsidTr="00202FA3">
        <w:trPr>
          <w:cantSplit/>
          <w:trHeight w:val="259"/>
        </w:trPr>
        <w:tc>
          <w:tcPr>
            <w:tcW w:w="5238" w:type="dxa"/>
            <w:tcBorders>
              <w:top w:val="single" w:sz="12" w:space="0" w:color="000000"/>
            </w:tcBorders>
            <w:shd w:val="clear" w:color="auto" w:fill="auto"/>
          </w:tcPr>
          <w:p w14:paraId="7CC495FA"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Rabbit polyclonal anti-glutamine synthetase (GS)</w:t>
            </w:r>
          </w:p>
        </w:tc>
        <w:tc>
          <w:tcPr>
            <w:tcW w:w="2250" w:type="dxa"/>
            <w:tcBorders>
              <w:top w:val="single" w:sz="12" w:space="0" w:color="000000"/>
            </w:tcBorders>
            <w:shd w:val="clear" w:color="auto" w:fill="auto"/>
          </w:tcPr>
          <w:p w14:paraId="1CBA96C0"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Proteintech</w:t>
            </w:r>
          </w:p>
        </w:tc>
        <w:tc>
          <w:tcPr>
            <w:tcW w:w="2088" w:type="dxa"/>
            <w:tcBorders>
              <w:top w:val="single" w:sz="12" w:space="0" w:color="000000"/>
            </w:tcBorders>
            <w:shd w:val="clear" w:color="auto" w:fill="auto"/>
          </w:tcPr>
          <w:p w14:paraId="3D361233"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Cat#11037-2-AP; RRID: AB_2110650</w:t>
            </w:r>
          </w:p>
        </w:tc>
      </w:tr>
      <w:tr w:rsidR="0047636E" w:rsidRPr="0047636E" w14:paraId="3D1A8405" w14:textId="77777777" w:rsidTr="00202FA3">
        <w:trPr>
          <w:cantSplit/>
          <w:trHeight w:val="259"/>
        </w:trPr>
        <w:tc>
          <w:tcPr>
            <w:tcW w:w="5238" w:type="dxa"/>
            <w:shd w:val="clear" w:color="auto" w:fill="auto"/>
          </w:tcPr>
          <w:p w14:paraId="6604640D"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Rabbit monoclonal anti-glutamate/aspartate transporter (GLAST)</w:t>
            </w:r>
          </w:p>
        </w:tc>
        <w:tc>
          <w:tcPr>
            <w:tcW w:w="2250" w:type="dxa"/>
            <w:shd w:val="clear" w:color="auto" w:fill="auto"/>
          </w:tcPr>
          <w:p w14:paraId="517F28BA"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Cell Signaling Technology</w:t>
            </w:r>
          </w:p>
        </w:tc>
        <w:tc>
          <w:tcPr>
            <w:tcW w:w="2088" w:type="dxa"/>
            <w:shd w:val="clear" w:color="auto" w:fill="auto"/>
          </w:tcPr>
          <w:p w14:paraId="164A57E4"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Cat#5684S; RRID: AB_10695722</w:t>
            </w:r>
          </w:p>
        </w:tc>
      </w:tr>
      <w:tr w:rsidR="0047636E" w:rsidRPr="0047636E" w14:paraId="7E580737" w14:textId="77777777" w:rsidTr="00202FA3">
        <w:trPr>
          <w:cantSplit/>
          <w:trHeight w:val="259"/>
        </w:trPr>
        <w:tc>
          <w:tcPr>
            <w:tcW w:w="5238" w:type="dxa"/>
            <w:shd w:val="clear" w:color="auto" w:fill="auto"/>
          </w:tcPr>
          <w:p w14:paraId="3D478484"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Rabbit polyclonal anti-Glutamate transporter-1 (GLT-1)</w:t>
            </w:r>
          </w:p>
        </w:tc>
        <w:tc>
          <w:tcPr>
            <w:tcW w:w="2250" w:type="dxa"/>
            <w:shd w:val="clear" w:color="auto" w:fill="auto"/>
          </w:tcPr>
          <w:p w14:paraId="7BB3877A"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Cell Signaling Technology</w:t>
            </w:r>
          </w:p>
        </w:tc>
        <w:tc>
          <w:tcPr>
            <w:tcW w:w="2088" w:type="dxa"/>
            <w:shd w:val="clear" w:color="auto" w:fill="auto"/>
          </w:tcPr>
          <w:p w14:paraId="3161571F"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Cat#3838S; RRID: AB_2190743</w:t>
            </w:r>
          </w:p>
        </w:tc>
      </w:tr>
      <w:tr w:rsidR="0047636E" w:rsidRPr="0047636E" w14:paraId="4F3AE6B8" w14:textId="77777777" w:rsidTr="00202FA3">
        <w:trPr>
          <w:cantSplit/>
          <w:trHeight w:val="259"/>
        </w:trPr>
        <w:tc>
          <w:tcPr>
            <w:tcW w:w="5238" w:type="dxa"/>
            <w:shd w:val="clear" w:color="auto" w:fill="auto"/>
          </w:tcPr>
          <w:p w14:paraId="1219C9B6"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Rabbit monoclonal anti- excitatory amino acid transporter 3 (EAAT3)</w:t>
            </w:r>
          </w:p>
        </w:tc>
        <w:tc>
          <w:tcPr>
            <w:tcW w:w="2250" w:type="dxa"/>
            <w:shd w:val="clear" w:color="auto" w:fill="auto"/>
          </w:tcPr>
          <w:p w14:paraId="025C00FF"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Cell Signaling Technology</w:t>
            </w:r>
          </w:p>
        </w:tc>
        <w:tc>
          <w:tcPr>
            <w:tcW w:w="2088" w:type="dxa"/>
            <w:shd w:val="clear" w:color="auto" w:fill="auto"/>
          </w:tcPr>
          <w:p w14:paraId="1E9EDAC1"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Cat#14501S; RRID: AB_2798499</w:t>
            </w:r>
          </w:p>
        </w:tc>
      </w:tr>
      <w:tr w:rsidR="0047636E" w:rsidRPr="0047636E" w14:paraId="61BE9848" w14:textId="77777777" w:rsidTr="00202FA3">
        <w:trPr>
          <w:cantSplit/>
          <w:trHeight w:val="259"/>
        </w:trPr>
        <w:tc>
          <w:tcPr>
            <w:tcW w:w="5238" w:type="dxa"/>
            <w:shd w:val="clear" w:color="auto" w:fill="auto"/>
          </w:tcPr>
          <w:p w14:paraId="21B21210"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Rabbit monoclonal anti-AMPA receptor A1 (GluA1)</w:t>
            </w:r>
          </w:p>
        </w:tc>
        <w:tc>
          <w:tcPr>
            <w:tcW w:w="2250" w:type="dxa"/>
            <w:shd w:val="clear" w:color="auto" w:fill="auto"/>
          </w:tcPr>
          <w:p w14:paraId="476BB4E5"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Cell Signaling Technology</w:t>
            </w:r>
          </w:p>
        </w:tc>
        <w:tc>
          <w:tcPr>
            <w:tcW w:w="2088" w:type="dxa"/>
            <w:shd w:val="clear" w:color="auto" w:fill="auto"/>
          </w:tcPr>
          <w:p w14:paraId="0A07A12B"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Cat#13185S; RRID: AB_2732897</w:t>
            </w:r>
          </w:p>
        </w:tc>
      </w:tr>
      <w:tr w:rsidR="0047636E" w:rsidRPr="0047636E" w14:paraId="63807EC5" w14:textId="77777777" w:rsidTr="00202FA3">
        <w:trPr>
          <w:cantSplit/>
          <w:trHeight w:val="259"/>
        </w:trPr>
        <w:tc>
          <w:tcPr>
            <w:tcW w:w="5238" w:type="dxa"/>
            <w:shd w:val="clear" w:color="auto" w:fill="auto"/>
          </w:tcPr>
          <w:p w14:paraId="67E4DBB2"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Rabbit monoclonal anti-AMPA receptor A2 (GluA2)</w:t>
            </w:r>
          </w:p>
        </w:tc>
        <w:tc>
          <w:tcPr>
            <w:tcW w:w="2250" w:type="dxa"/>
            <w:shd w:val="clear" w:color="auto" w:fill="auto"/>
          </w:tcPr>
          <w:p w14:paraId="51CD17D3"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Cell Signaling Technology</w:t>
            </w:r>
          </w:p>
        </w:tc>
        <w:tc>
          <w:tcPr>
            <w:tcW w:w="2088" w:type="dxa"/>
            <w:shd w:val="clear" w:color="auto" w:fill="auto"/>
          </w:tcPr>
          <w:p w14:paraId="4417E387"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Cat#13607S; RRID: AB_2650557</w:t>
            </w:r>
          </w:p>
        </w:tc>
      </w:tr>
      <w:tr w:rsidR="0047636E" w:rsidRPr="0047636E" w14:paraId="29DB36A2" w14:textId="77777777" w:rsidTr="00202FA3">
        <w:trPr>
          <w:cantSplit/>
          <w:trHeight w:val="259"/>
        </w:trPr>
        <w:tc>
          <w:tcPr>
            <w:tcW w:w="5238" w:type="dxa"/>
            <w:shd w:val="clear" w:color="auto" w:fill="auto"/>
          </w:tcPr>
          <w:p w14:paraId="538C2568"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Rabbit monoclonal anti-AMPA receptor A3 (GluA3)</w:t>
            </w:r>
          </w:p>
        </w:tc>
        <w:tc>
          <w:tcPr>
            <w:tcW w:w="2250" w:type="dxa"/>
            <w:shd w:val="clear" w:color="auto" w:fill="auto"/>
          </w:tcPr>
          <w:p w14:paraId="4283D874"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Cell Signaling Technology</w:t>
            </w:r>
          </w:p>
        </w:tc>
        <w:tc>
          <w:tcPr>
            <w:tcW w:w="2088" w:type="dxa"/>
            <w:shd w:val="clear" w:color="auto" w:fill="auto"/>
          </w:tcPr>
          <w:p w14:paraId="5713B387"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Cat#4676S; RRID: AB_10547136</w:t>
            </w:r>
          </w:p>
        </w:tc>
      </w:tr>
      <w:tr w:rsidR="0047636E" w:rsidRPr="0047636E" w14:paraId="4FFA5703" w14:textId="77777777" w:rsidTr="00202FA3">
        <w:trPr>
          <w:cantSplit/>
          <w:trHeight w:val="259"/>
        </w:trPr>
        <w:tc>
          <w:tcPr>
            <w:tcW w:w="5238" w:type="dxa"/>
            <w:shd w:val="clear" w:color="auto" w:fill="auto"/>
          </w:tcPr>
          <w:p w14:paraId="59CBB09A"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Rabbit monoclonal anti-AMPA receptor A4 (GluA4)</w:t>
            </w:r>
          </w:p>
        </w:tc>
        <w:tc>
          <w:tcPr>
            <w:tcW w:w="2250" w:type="dxa"/>
            <w:shd w:val="clear" w:color="auto" w:fill="auto"/>
          </w:tcPr>
          <w:p w14:paraId="7642F648"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Cell Signaling Technology</w:t>
            </w:r>
          </w:p>
        </w:tc>
        <w:tc>
          <w:tcPr>
            <w:tcW w:w="2088" w:type="dxa"/>
            <w:shd w:val="clear" w:color="auto" w:fill="auto"/>
          </w:tcPr>
          <w:p w14:paraId="01EF2F68"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Cat#8070S; RRID: AB_10829469</w:t>
            </w:r>
          </w:p>
        </w:tc>
      </w:tr>
      <w:tr w:rsidR="0047636E" w:rsidRPr="0047636E" w14:paraId="6E8E4742" w14:textId="77777777" w:rsidTr="00202FA3">
        <w:trPr>
          <w:cantSplit/>
          <w:trHeight w:val="259"/>
        </w:trPr>
        <w:tc>
          <w:tcPr>
            <w:tcW w:w="5238" w:type="dxa"/>
            <w:shd w:val="clear" w:color="auto" w:fill="auto"/>
          </w:tcPr>
          <w:p w14:paraId="51E8EAB4"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Rabbit monoclonal anti-NMDA Receptor 1 (GluN1)</w:t>
            </w:r>
          </w:p>
        </w:tc>
        <w:tc>
          <w:tcPr>
            <w:tcW w:w="2250" w:type="dxa"/>
            <w:shd w:val="clear" w:color="auto" w:fill="auto"/>
          </w:tcPr>
          <w:p w14:paraId="6F80D959"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Cell Signaling Technology</w:t>
            </w:r>
          </w:p>
        </w:tc>
        <w:tc>
          <w:tcPr>
            <w:tcW w:w="2088" w:type="dxa"/>
            <w:shd w:val="clear" w:color="auto" w:fill="auto"/>
          </w:tcPr>
          <w:p w14:paraId="3D1F22FE"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Cat#5704S; RRID: AB_1904067</w:t>
            </w:r>
          </w:p>
        </w:tc>
      </w:tr>
      <w:tr w:rsidR="0047636E" w:rsidRPr="0047636E" w14:paraId="0064EAE0" w14:textId="77777777" w:rsidTr="00202FA3">
        <w:trPr>
          <w:cantSplit/>
          <w:trHeight w:val="259"/>
        </w:trPr>
        <w:tc>
          <w:tcPr>
            <w:tcW w:w="5238" w:type="dxa"/>
            <w:shd w:val="clear" w:color="auto" w:fill="auto"/>
          </w:tcPr>
          <w:p w14:paraId="635098C6"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Rabbit polyclonal anti-NMDA Receptor 2A (GluN2A)</w:t>
            </w:r>
          </w:p>
        </w:tc>
        <w:tc>
          <w:tcPr>
            <w:tcW w:w="2250" w:type="dxa"/>
            <w:shd w:val="clear" w:color="auto" w:fill="auto"/>
          </w:tcPr>
          <w:p w14:paraId="2601D00E"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Cell Signaling Technology</w:t>
            </w:r>
          </w:p>
        </w:tc>
        <w:tc>
          <w:tcPr>
            <w:tcW w:w="2088" w:type="dxa"/>
            <w:shd w:val="clear" w:color="auto" w:fill="auto"/>
          </w:tcPr>
          <w:p w14:paraId="2E9760AF"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Cat#4205S; RRID: AB_2112295</w:t>
            </w:r>
          </w:p>
        </w:tc>
      </w:tr>
      <w:tr w:rsidR="0047636E" w:rsidRPr="0047636E" w14:paraId="3176AD58" w14:textId="77777777" w:rsidTr="00202FA3">
        <w:trPr>
          <w:cantSplit/>
          <w:trHeight w:val="259"/>
        </w:trPr>
        <w:tc>
          <w:tcPr>
            <w:tcW w:w="5238" w:type="dxa"/>
            <w:shd w:val="clear" w:color="auto" w:fill="auto"/>
          </w:tcPr>
          <w:p w14:paraId="3A9349EC"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Rabbit monoclonal anti-NMDA Receptor 2B (GluN2B)</w:t>
            </w:r>
          </w:p>
        </w:tc>
        <w:tc>
          <w:tcPr>
            <w:tcW w:w="2250" w:type="dxa"/>
            <w:shd w:val="clear" w:color="auto" w:fill="auto"/>
          </w:tcPr>
          <w:p w14:paraId="3F87C591"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Cell Signaling Technology</w:t>
            </w:r>
          </w:p>
        </w:tc>
        <w:tc>
          <w:tcPr>
            <w:tcW w:w="2088" w:type="dxa"/>
            <w:shd w:val="clear" w:color="auto" w:fill="auto"/>
          </w:tcPr>
          <w:p w14:paraId="56B323F1"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Cat#4212S; RRID: AB_2112463</w:t>
            </w:r>
          </w:p>
        </w:tc>
      </w:tr>
      <w:tr w:rsidR="0047636E" w:rsidRPr="0047636E" w14:paraId="4417232C" w14:textId="77777777" w:rsidTr="00202FA3">
        <w:trPr>
          <w:cantSplit/>
          <w:trHeight w:val="259"/>
        </w:trPr>
        <w:tc>
          <w:tcPr>
            <w:tcW w:w="5238" w:type="dxa"/>
            <w:shd w:val="clear" w:color="auto" w:fill="auto"/>
          </w:tcPr>
          <w:p w14:paraId="30E4C5D0"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Rabbit polyclonal anti-Fluorescent Gold (Fluoro-Gold, FG)</w:t>
            </w:r>
          </w:p>
        </w:tc>
        <w:tc>
          <w:tcPr>
            <w:tcW w:w="2250" w:type="dxa"/>
            <w:shd w:val="clear" w:color="auto" w:fill="auto"/>
          </w:tcPr>
          <w:p w14:paraId="538582EB"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Merck-Millipore</w:t>
            </w:r>
          </w:p>
        </w:tc>
        <w:tc>
          <w:tcPr>
            <w:tcW w:w="2088" w:type="dxa"/>
            <w:shd w:val="clear" w:color="auto" w:fill="auto"/>
          </w:tcPr>
          <w:p w14:paraId="43FC60B7"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Cat#AB153-I; RRID: AB_2632408</w:t>
            </w:r>
          </w:p>
        </w:tc>
      </w:tr>
      <w:tr w:rsidR="0047636E" w:rsidRPr="0047636E" w14:paraId="1482404C" w14:textId="77777777" w:rsidTr="00202FA3">
        <w:trPr>
          <w:cantSplit/>
          <w:trHeight w:val="259"/>
        </w:trPr>
        <w:tc>
          <w:tcPr>
            <w:tcW w:w="5238" w:type="dxa"/>
            <w:shd w:val="clear" w:color="auto" w:fill="auto"/>
          </w:tcPr>
          <w:p w14:paraId="46AD2EE4"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Rabbit polyclonal anti-glutaminase</w:t>
            </w:r>
          </w:p>
        </w:tc>
        <w:tc>
          <w:tcPr>
            <w:tcW w:w="2250" w:type="dxa"/>
            <w:shd w:val="clear" w:color="auto" w:fill="auto"/>
          </w:tcPr>
          <w:p w14:paraId="7CECCDD8"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Proteintech</w:t>
            </w:r>
          </w:p>
        </w:tc>
        <w:tc>
          <w:tcPr>
            <w:tcW w:w="2088" w:type="dxa"/>
            <w:shd w:val="clear" w:color="auto" w:fill="auto"/>
          </w:tcPr>
          <w:p w14:paraId="23A1E2B0"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Cat#12855-1-AP; RRID: AB_2110381</w:t>
            </w:r>
          </w:p>
        </w:tc>
      </w:tr>
      <w:tr w:rsidR="0047636E" w:rsidRPr="0047636E" w14:paraId="1775093A" w14:textId="77777777" w:rsidTr="00202FA3">
        <w:trPr>
          <w:cantSplit/>
          <w:trHeight w:val="259"/>
        </w:trPr>
        <w:tc>
          <w:tcPr>
            <w:tcW w:w="5238" w:type="dxa"/>
            <w:shd w:val="clear" w:color="auto" w:fill="auto"/>
          </w:tcPr>
          <w:p w14:paraId="63E96C96" w14:textId="77777777" w:rsidR="00670D14" w:rsidRPr="0047636E" w:rsidRDefault="00670D14" w:rsidP="00202FA3">
            <w:pPr>
              <w:tabs>
                <w:tab w:val="left" w:pos="1525"/>
              </w:tabs>
              <w:rPr>
                <w:rFonts w:ascii="Arial" w:hAnsi="Arial" w:cs="Arial"/>
                <w:color w:val="000000" w:themeColor="text1"/>
                <w:sz w:val="20"/>
                <w:szCs w:val="20"/>
              </w:rPr>
            </w:pPr>
            <w:r w:rsidRPr="0047636E">
              <w:rPr>
                <w:rFonts w:ascii="Arial" w:hAnsi="Arial" w:cs="Arial"/>
                <w:color w:val="000000" w:themeColor="text1"/>
                <w:sz w:val="20"/>
                <w:szCs w:val="20"/>
              </w:rPr>
              <w:t>Rabbit polyclonal anti-c-Fos</w:t>
            </w:r>
          </w:p>
        </w:tc>
        <w:tc>
          <w:tcPr>
            <w:tcW w:w="2250" w:type="dxa"/>
            <w:shd w:val="clear" w:color="auto" w:fill="auto"/>
          </w:tcPr>
          <w:p w14:paraId="0CF7B38D"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Abcam</w:t>
            </w:r>
          </w:p>
        </w:tc>
        <w:tc>
          <w:tcPr>
            <w:tcW w:w="2088" w:type="dxa"/>
            <w:shd w:val="clear" w:color="auto" w:fill="auto"/>
          </w:tcPr>
          <w:p w14:paraId="15AFE1C5"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Cat#ab190289; RRID: AB_2737414</w:t>
            </w:r>
          </w:p>
        </w:tc>
      </w:tr>
      <w:tr w:rsidR="0047636E" w:rsidRPr="0047636E" w14:paraId="4589D903" w14:textId="77777777" w:rsidTr="00202FA3">
        <w:trPr>
          <w:cantSplit/>
          <w:trHeight w:val="259"/>
        </w:trPr>
        <w:tc>
          <w:tcPr>
            <w:tcW w:w="5238" w:type="dxa"/>
            <w:shd w:val="clear" w:color="auto" w:fill="auto"/>
          </w:tcPr>
          <w:p w14:paraId="7FEFB48F" w14:textId="77777777" w:rsidR="00670D14" w:rsidRPr="0047636E" w:rsidRDefault="00670D14" w:rsidP="00202FA3">
            <w:pPr>
              <w:tabs>
                <w:tab w:val="left" w:pos="1525"/>
              </w:tabs>
              <w:rPr>
                <w:rFonts w:ascii="Arial" w:hAnsi="Arial" w:cs="Arial"/>
                <w:color w:val="000000" w:themeColor="text1"/>
                <w:sz w:val="20"/>
                <w:szCs w:val="20"/>
              </w:rPr>
            </w:pPr>
            <w:r w:rsidRPr="0047636E">
              <w:rPr>
                <w:rFonts w:ascii="Arial" w:hAnsi="Arial" w:cs="Arial"/>
                <w:color w:val="000000" w:themeColor="text1"/>
                <w:sz w:val="20"/>
                <w:szCs w:val="20"/>
              </w:rPr>
              <w:t>Goat polyclonal anti-mCherry</w:t>
            </w:r>
          </w:p>
        </w:tc>
        <w:tc>
          <w:tcPr>
            <w:tcW w:w="2250" w:type="dxa"/>
            <w:shd w:val="clear" w:color="auto" w:fill="auto"/>
          </w:tcPr>
          <w:p w14:paraId="29EEBE86"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OriGene</w:t>
            </w:r>
          </w:p>
        </w:tc>
        <w:tc>
          <w:tcPr>
            <w:tcW w:w="2088" w:type="dxa"/>
            <w:shd w:val="clear" w:color="auto" w:fill="auto"/>
          </w:tcPr>
          <w:p w14:paraId="470FD5CC"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Cat#AB0040-200; RRID: AB_2333092</w:t>
            </w:r>
          </w:p>
        </w:tc>
      </w:tr>
      <w:tr w:rsidR="0047636E" w:rsidRPr="0047636E" w14:paraId="6251D87E" w14:textId="77777777" w:rsidTr="00202FA3">
        <w:trPr>
          <w:cantSplit/>
          <w:trHeight w:val="259"/>
        </w:trPr>
        <w:tc>
          <w:tcPr>
            <w:tcW w:w="5238" w:type="dxa"/>
            <w:shd w:val="clear" w:color="auto" w:fill="auto"/>
          </w:tcPr>
          <w:p w14:paraId="54572320" w14:textId="77777777" w:rsidR="00670D14" w:rsidRPr="0047636E" w:rsidRDefault="00670D14" w:rsidP="00202FA3">
            <w:pPr>
              <w:tabs>
                <w:tab w:val="left" w:pos="1525"/>
              </w:tabs>
              <w:rPr>
                <w:rFonts w:ascii="Arial" w:hAnsi="Arial" w:cs="Arial"/>
                <w:color w:val="000000" w:themeColor="text1"/>
                <w:sz w:val="20"/>
                <w:szCs w:val="20"/>
              </w:rPr>
            </w:pPr>
            <w:r w:rsidRPr="0047636E">
              <w:rPr>
                <w:rFonts w:ascii="Arial" w:hAnsi="Arial" w:cs="Arial"/>
                <w:color w:val="000000" w:themeColor="text1"/>
                <w:sz w:val="20"/>
                <w:szCs w:val="20"/>
              </w:rPr>
              <w:t>Mouse monoclonal anti-vesicular glutamate transporter-1 (vGluT-1)</w:t>
            </w:r>
          </w:p>
        </w:tc>
        <w:tc>
          <w:tcPr>
            <w:tcW w:w="2250" w:type="dxa"/>
            <w:shd w:val="clear" w:color="auto" w:fill="auto"/>
          </w:tcPr>
          <w:p w14:paraId="2DEB7711"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Atlas Antibodies</w:t>
            </w:r>
          </w:p>
        </w:tc>
        <w:tc>
          <w:tcPr>
            <w:tcW w:w="2088" w:type="dxa"/>
            <w:shd w:val="clear" w:color="auto" w:fill="auto"/>
          </w:tcPr>
          <w:p w14:paraId="3D4384FE"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 AMAb91041; RRID: AB_2665777</w:t>
            </w:r>
          </w:p>
        </w:tc>
      </w:tr>
      <w:tr w:rsidR="0047636E" w:rsidRPr="0047636E" w14:paraId="6E8EF683" w14:textId="77777777" w:rsidTr="00202FA3">
        <w:trPr>
          <w:cantSplit/>
          <w:trHeight w:val="259"/>
        </w:trPr>
        <w:tc>
          <w:tcPr>
            <w:tcW w:w="5238" w:type="dxa"/>
            <w:shd w:val="clear" w:color="auto" w:fill="auto"/>
          </w:tcPr>
          <w:p w14:paraId="78EB39E7"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Rabbit monoclonal anti-</w:t>
            </w:r>
            <w:r w:rsidRPr="0047636E">
              <w:rPr>
                <w:rFonts w:ascii="Arial" w:hAnsi="Arial" w:cs="Arial"/>
                <w:color w:val="000000" w:themeColor="text1"/>
                <w:sz w:val="20"/>
                <w:szCs w:val="20"/>
                <w:shd w:val="clear" w:color="auto" w:fill="FFFFFF"/>
              </w:rPr>
              <w:t>glutamate decarboxylase 1 (GAD1, GAD67)</w:t>
            </w:r>
          </w:p>
        </w:tc>
        <w:tc>
          <w:tcPr>
            <w:tcW w:w="2250" w:type="dxa"/>
            <w:shd w:val="clear" w:color="auto" w:fill="auto"/>
          </w:tcPr>
          <w:p w14:paraId="731954D7"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Cell Signaling Technology</w:t>
            </w:r>
          </w:p>
        </w:tc>
        <w:tc>
          <w:tcPr>
            <w:tcW w:w="2088" w:type="dxa"/>
            <w:shd w:val="clear" w:color="auto" w:fill="auto"/>
          </w:tcPr>
          <w:p w14:paraId="2DD8BB1C"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Cat#41318S; RRID: AB_2799198</w:t>
            </w:r>
          </w:p>
        </w:tc>
      </w:tr>
      <w:tr w:rsidR="0047636E" w:rsidRPr="0047636E" w14:paraId="62CAAAA8" w14:textId="77777777" w:rsidTr="00202FA3">
        <w:trPr>
          <w:cantSplit/>
          <w:trHeight w:val="259"/>
        </w:trPr>
        <w:tc>
          <w:tcPr>
            <w:tcW w:w="5238" w:type="dxa"/>
            <w:shd w:val="clear" w:color="auto" w:fill="auto"/>
          </w:tcPr>
          <w:p w14:paraId="7D93FB85" w14:textId="77777777" w:rsidR="00670D14" w:rsidRPr="0047636E" w:rsidRDefault="00670D14" w:rsidP="00202FA3">
            <w:pPr>
              <w:tabs>
                <w:tab w:val="left" w:pos="1525"/>
              </w:tabs>
              <w:rPr>
                <w:rFonts w:ascii="Arial" w:hAnsi="Arial" w:cs="Arial"/>
                <w:color w:val="000000" w:themeColor="text1"/>
                <w:sz w:val="20"/>
                <w:szCs w:val="20"/>
              </w:rPr>
            </w:pPr>
            <w:r w:rsidRPr="0047636E">
              <w:rPr>
                <w:rFonts w:ascii="Arial" w:hAnsi="Arial" w:cs="Arial"/>
                <w:color w:val="000000" w:themeColor="text1"/>
                <w:sz w:val="20"/>
                <w:szCs w:val="20"/>
              </w:rPr>
              <w:lastRenderedPageBreak/>
              <w:t>Rabbit monoclonal anti-</w:t>
            </w:r>
            <w:r w:rsidRPr="0047636E">
              <w:rPr>
                <w:rFonts w:ascii="Arial" w:hAnsi="Arial" w:cs="Arial"/>
                <w:color w:val="000000" w:themeColor="text1"/>
                <w:sz w:val="20"/>
                <w:szCs w:val="20"/>
                <w:shd w:val="clear" w:color="auto" w:fill="FFFFFF"/>
              </w:rPr>
              <w:t>glutamate decarboxylase 2 (GAD2, GAD65)</w:t>
            </w:r>
          </w:p>
        </w:tc>
        <w:tc>
          <w:tcPr>
            <w:tcW w:w="2250" w:type="dxa"/>
            <w:shd w:val="clear" w:color="auto" w:fill="auto"/>
          </w:tcPr>
          <w:p w14:paraId="312507F1"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Cell Signaling Technology</w:t>
            </w:r>
          </w:p>
        </w:tc>
        <w:tc>
          <w:tcPr>
            <w:tcW w:w="2088" w:type="dxa"/>
            <w:shd w:val="clear" w:color="auto" w:fill="auto"/>
          </w:tcPr>
          <w:p w14:paraId="74AE6E4E"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Cat#5843S; RRID: AB_10835855</w:t>
            </w:r>
          </w:p>
        </w:tc>
      </w:tr>
      <w:tr w:rsidR="0047636E" w:rsidRPr="0047636E" w14:paraId="4A2EB110" w14:textId="77777777" w:rsidTr="00202FA3">
        <w:trPr>
          <w:cantSplit/>
          <w:trHeight w:val="259"/>
        </w:trPr>
        <w:tc>
          <w:tcPr>
            <w:tcW w:w="5238" w:type="dxa"/>
            <w:shd w:val="clear" w:color="auto" w:fill="auto"/>
          </w:tcPr>
          <w:p w14:paraId="1401E6D8" w14:textId="77777777" w:rsidR="00670D14" w:rsidRPr="0047636E" w:rsidRDefault="00670D14" w:rsidP="00202FA3">
            <w:pPr>
              <w:tabs>
                <w:tab w:val="left" w:pos="1525"/>
              </w:tabs>
              <w:rPr>
                <w:rFonts w:ascii="Arial" w:hAnsi="Arial" w:cs="Arial"/>
                <w:color w:val="000000" w:themeColor="text1"/>
                <w:sz w:val="20"/>
                <w:szCs w:val="20"/>
              </w:rPr>
            </w:pPr>
            <w:r w:rsidRPr="0047636E">
              <w:rPr>
                <w:rFonts w:ascii="Arial" w:hAnsi="Arial" w:cs="Arial"/>
                <w:color w:val="000000" w:themeColor="text1"/>
                <w:sz w:val="20"/>
                <w:szCs w:val="20"/>
              </w:rPr>
              <w:t>Rabbit polyclonal anti-GABAA Receptor α1 (GABARA1)</w:t>
            </w:r>
          </w:p>
        </w:tc>
        <w:tc>
          <w:tcPr>
            <w:tcW w:w="2250" w:type="dxa"/>
            <w:shd w:val="clear" w:color="auto" w:fill="auto"/>
          </w:tcPr>
          <w:p w14:paraId="2801B0F4"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Sigma-Aldrich</w:t>
            </w:r>
          </w:p>
        </w:tc>
        <w:tc>
          <w:tcPr>
            <w:tcW w:w="2088" w:type="dxa"/>
            <w:shd w:val="clear" w:color="auto" w:fill="auto"/>
          </w:tcPr>
          <w:p w14:paraId="63EE5B3A"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Cat#06-868; RRID: AB_310272</w:t>
            </w:r>
          </w:p>
        </w:tc>
      </w:tr>
      <w:tr w:rsidR="0047636E" w:rsidRPr="0047636E" w14:paraId="7A1669C1" w14:textId="77777777" w:rsidTr="00202FA3">
        <w:trPr>
          <w:cantSplit/>
          <w:trHeight w:val="259"/>
        </w:trPr>
        <w:tc>
          <w:tcPr>
            <w:tcW w:w="5238" w:type="dxa"/>
            <w:shd w:val="clear" w:color="auto" w:fill="auto"/>
          </w:tcPr>
          <w:p w14:paraId="7C4B895A" w14:textId="77777777" w:rsidR="00670D14" w:rsidRPr="0047636E" w:rsidRDefault="00670D14" w:rsidP="00202FA3">
            <w:pPr>
              <w:tabs>
                <w:tab w:val="left" w:pos="1525"/>
              </w:tabs>
              <w:rPr>
                <w:rFonts w:ascii="Arial" w:hAnsi="Arial" w:cs="Arial"/>
                <w:color w:val="000000" w:themeColor="text1"/>
                <w:sz w:val="20"/>
                <w:szCs w:val="20"/>
              </w:rPr>
            </w:pPr>
            <w:r w:rsidRPr="0047636E">
              <w:rPr>
                <w:rFonts w:ascii="Arial" w:hAnsi="Arial" w:cs="Arial"/>
                <w:color w:val="000000" w:themeColor="text1"/>
                <w:sz w:val="20"/>
                <w:szCs w:val="20"/>
              </w:rPr>
              <w:t>Mouse monoclonal anti-gephyrin</w:t>
            </w:r>
          </w:p>
        </w:tc>
        <w:tc>
          <w:tcPr>
            <w:tcW w:w="2250" w:type="dxa"/>
            <w:shd w:val="clear" w:color="auto" w:fill="auto"/>
          </w:tcPr>
          <w:p w14:paraId="78E13A07"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Santa Cruz Biotechnology</w:t>
            </w:r>
          </w:p>
        </w:tc>
        <w:tc>
          <w:tcPr>
            <w:tcW w:w="2088" w:type="dxa"/>
            <w:shd w:val="clear" w:color="auto" w:fill="auto"/>
          </w:tcPr>
          <w:p w14:paraId="737C13F4"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Cat#sc-25311; RRID: AB_627670</w:t>
            </w:r>
          </w:p>
        </w:tc>
      </w:tr>
      <w:tr w:rsidR="0047636E" w:rsidRPr="0047636E" w14:paraId="11589EEB" w14:textId="77777777" w:rsidTr="00202FA3">
        <w:trPr>
          <w:cantSplit/>
          <w:trHeight w:val="259"/>
        </w:trPr>
        <w:tc>
          <w:tcPr>
            <w:tcW w:w="5238" w:type="dxa"/>
            <w:shd w:val="clear" w:color="auto" w:fill="auto"/>
          </w:tcPr>
          <w:p w14:paraId="48E40387" w14:textId="77777777" w:rsidR="00670D14" w:rsidRPr="0047636E" w:rsidRDefault="00670D14" w:rsidP="00202FA3">
            <w:pPr>
              <w:tabs>
                <w:tab w:val="left" w:pos="1525"/>
              </w:tabs>
              <w:rPr>
                <w:rFonts w:ascii="Arial" w:hAnsi="Arial" w:cs="Arial"/>
                <w:color w:val="000000" w:themeColor="text1"/>
                <w:sz w:val="20"/>
                <w:szCs w:val="20"/>
              </w:rPr>
            </w:pPr>
            <w:r w:rsidRPr="0047636E">
              <w:rPr>
                <w:rFonts w:ascii="Arial" w:hAnsi="Arial" w:cs="Arial"/>
                <w:color w:val="000000" w:themeColor="text1"/>
                <w:sz w:val="20"/>
                <w:szCs w:val="20"/>
              </w:rPr>
              <w:t>Rabbit polyclonal anti-GABA transporter 1 (GAT1)</w:t>
            </w:r>
          </w:p>
        </w:tc>
        <w:tc>
          <w:tcPr>
            <w:tcW w:w="2250" w:type="dxa"/>
            <w:shd w:val="clear" w:color="auto" w:fill="auto"/>
          </w:tcPr>
          <w:p w14:paraId="6E6839F7"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Atlas Antibodies</w:t>
            </w:r>
          </w:p>
        </w:tc>
        <w:tc>
          <w:tcPr>
            <w:tcW w:w="2088" w:type="dxa"/>
            <w:shd w:val="clear" w:color="auto" w:fill="auto"/>
          </w:tcPr>
          <w:p w14:paraId="2F84B676"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Cat#HPA013341; RRID: AB_1849509</w:t>
            </w:r>
          </w:p>
        </w:tc>
      </w:tr>
      <w:tr w:rsidR="0047636E" w:rsidRPr="0047636E" w14:paraId="6C8FBD17" w14:textId="77777777" w:rsidTr="00202FA3">
        <w:trPr>
          <w:cantSplit/>
          <w:trHeight w:val="259"/>
        </w:trPr>
        <w:tc>
          <w:tcPr>
            <w:tcW w:w="5238" w:type="dxa"/>
            <w:shd w:val="clear" w:color="auto" w:fill="auto"/>
          </w:tcPr>
          <w:p w14:paraId="0FD54CE1" w14:textId="77777777" w:rsidR="00670D14" w:rsidRPr="0047636E" w:rsidRDefault="00670D14" w:rsidP="00202FA3">
            <w:pPr>
              <w:tabs>
                <w:tab w:val="left" w:pos="1525"/>
              </w:tabs>
              <w:rPr>
                <w:rFonts w:ascii="Arial" w:hAnsi="Arial" w:cs="Arial"/>
                <w:color w:val="000000" w:themeColor="text1"/>
                <w:sz w:val="20"/>
                <w:szCs w:val="20"/>
              </w:rPr>
            </w:pPr>
            <w:r w:rsidRPr="0047636E">
              <w:rPr>
                <w:rFonts w:ascii="Arial" w:hAnsi="Arial" w:cs="Arial"/>
                <w:color w:val="000000" w:themeColor="text1"/>
                <w:sz w:val="20"/>
                <w:szCs w:val="20"/>
              </w:rPr>
              <w:t>Rabbit polyclonal anti-GABA transporter 3 (GAT3)</w:t>
            </w:r>
          </w:p>
        </w:tc>
        <w:tc>
          <w:tcPr>
            <w:tcW w:w="2250" w:type="dxa"/>
            <w:shd w:val="clear" w:color="auto" w:fill="auto"/>
          </w:tcPr>
          <w:p w14:paraId="04F30D5D"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Atlas Antibodies</w:t>
            </w:r>
          </w:p>
        </w:tc>
        <w:tc>
          <w:tcPr>
            <w:tcW w:w="2088" w:type="dxa"/>
            <w:shd w:val="clear" w:color="auto" w:fill="auto"/>
          </w:tcPr>
          <w:p w14:paraId="7B54500B"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Cat#HPA037981; RRID: AB_10671383</w:t>
            </w:r>
          </w:p>
        </w:tc>
      </w:tr>
      <w:tr w:rsidR="0047636E" w:rsidRPr="0047636E" w14:paraId="0F36B361" w14:textId="77777777" w:rsidTr="00202FA3">
        <w:trPr>
          <w:cantSplit/>
          <w:trHeight w:val="259"/>
        </w:trPr>
        <w:tc>
          <w:tcPr>
            <w:tcW w:w="5238" w:type="dxa"/>
            <w:shd w:val="clear" w:color="auto" w:fill="auto"/>
          </w:tcPr>
          <w:p w14:paraId="61560860" w14:textId="77777777" w:rsidR="00670D14" w:rsidRPr="0047636E" w:rsidRDefault="00670D14" w:rsidP="00202FA3">
            <w:pPr>
              <w:tabs>
                <w:tab w:val="left" w:pos="1525"/>
              </w:tabs>
              <w:rPr>
                <w:rFonts w:ascii="Arial" w:hAnsi="Arial" w:cs="Arial"/>
                <w:color w:val="000000" w:themeColor="text1"/>
                <w:sz w:val="20"/>
                <w:szCs w:val="20"/>
              </w:rPr>
            </w:pPr>
            <w:r w:rsidRPr="0047636E">
              <w:rPr>
                <w:rFonts w:ascii="Arial" w:hAnsi="Arial" w:cs="Arial"/>
                <w:color w:val="000000" w:themeColor="text1"/>
                <w:sz w:val="20"/>
                <w:szCs w:val="20"/>
              </w:rPr>
              <w:t>Mouse monoclonal anti-β-actin</w:t>
            </w:r>
          </w:p>
        </w:tc>
        <w:tc>
          <w:tcPr>
            <w:tcW w:w="2250" w:type="dxa"/>
            <w:shd w:val="clear" w:color="auto" w:fill="auto"/>
          </w:tcPr>
          <w:p w14:paraId="3C8C2FCE"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Sigma-Aldrich</w:t>
            </w:r>
          </w:p>
        </w:tc>
        <w:tc>
          <w:tcPr>
            <w:tcW w:w="2088" w:type="dxa"/>
            <w:shd w:val="clear" w:color="auto" w:fill="auto"/>
          </w:tcPr>
          <w:p w14:paraId="6912BF03"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Cat#A5441; RRID: AB_476744</w:t>
            </w:r>
          </w:p>
        </w:tc>
      </w:tr>
      <w:tr w:rsidR="0047636E" w:rsidRPr="0047636E" w14:paraId="026964FB" w14:textId="77777777" w:rsidTr="00202FA3">
        <w:trPr>
          <w:cantSplit/>
          <w:trHeight w:val="259"/>
        </w:trPr>
        <w:tc>
          <w:tcPr>
            <w:tcW w:w="5238" w:type="dxa"/>
            <w:shd w:val="clear" w:color="auto" w:fill="auto"/>
          </w:tcPr>
          <w:p w14:paraId="408C492F" w14:textId="77777777" w:rsidR="00670D14" w:rsidRPr="0047636E" w:rsidRDefault="00670D14" w:rsidP="00202FA3">
            <w:pPr>
              <w:tabs>
                <w:tab w:val="left" w:pos="1525"/>
              </w:tabs>
              <w:rPr>
                <w:rFonts w:ascii="Arial" w:hAnsi="Arial" w:cs="Arial"/>
                <w:color w:val="000000" w:themeColor="text1"/>
                <w:sz w:val="20"/>
                <w:szCs w:val="20"/>
              </w:rPr>
            </w:pPr>
            <w:r w:rsidRPr="0047636E">
              <w:rPr>
                <w:rFonts w:ascii="Arial" w:hAnsi="Arial" w:cs="Arial"/>
                <w:color w:val="000000" w:themeColor="text1"/>
                <w:sz w:val="20"/>
                <w:szCs w:val="20"/>
              </w:rPr>
              <w:t>Mouse monoclonal anti-α-tubulin</w:t>
            </w:r>
          </w:p>
        </w:tc>
        <w:tc>
          <w:tcPr>
            <w:tcW w:w="2250" w:type="dxa"/>
            <w:shd w:val="clear" w:color="auto" w:fill="auto"/>
          </w:tcPr>
          <w:p w14:paraId="60E06BB6"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Sigma-Aldrich</w:t>
            </w:r>
          </w:p>
        </w:tc>
        <w:tc>
          <w:tcPr>
            <w:tcW w:w="2088" w:type="dxa"/>
            <w:shd w:val="clear" w:color="auto" w:fill="auto"/>
          </w:tcPr>
          <w:p w14:paraId="1C910494"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Cat#T9026; RRID: AB_477593</w:t>
            </w:r>
          </w:p>
        </w:tc>
      </w:tr>
      <w:tr w:rsidR="0047636E" w:rsidRPr="0047636E" w14:paraId="43F14630" w14:textId="77777777" w:rsidTr="00202FA3">
        <w:trPr>
          <w:cantSplit/>
          <w:trHeight w:val="259"/>
        </w:trPr>
        <w:tc>
          <w:tcPr>
            <w:tcW w:w="5238" w:type="dxa"/>
            <w:shd w:val="clear" w:color="auto" w:fill="auto"/>
          </w:tcPr>
          <w:p w14:paraId="2053A20A" w14:textId="77777777" w:rsidR="00670D14" w:rsidRPr="0047636E" w:rsidRDefault="00670D14" w:rsidP="00202FA3">
            <w:pPr>
              <w:tabs>
                <w:tab w:val="left" w:pos="1525"/>
              </w:tabs>
              <w:rPr>
                <w:rFonts w:ascii="Arial" w:hAnsi="Arial" w:cs="Arial"/>
                <w:color w:val="000000" w:themeColor="text1"/>
                <w:sz w:val="20"/>
                <w:szCs w:val="20"/>
              </w:rPr>
            </w:pPr>
            <w:r w:rsidRPr="0047636E">
              <w:rPr>
                <w:rFonts w:ascii="Arial" w:hAnsi="Arial" w:cs="Arial"/>
                <w:color w:val="000000" w:themeColor="text1"/>
                <w:sz w:val="20"/>
                <w:szCs w:val="20"/>
              </w:rPr>
              <w:t>HRP-conjugated goat anti-mouse IgG</w:t>
            </w:r>
          </w:p>
          <w:p w14:paraId="437C1D98" w14:textId="77777777" w:rsidR="00670D14" w:rsidRPr="0047636E" w:rsidRDefault="00670D14" w:rsidP="00202FA3">
            <w:pPr>
              <w:tabs>
                <w:tab w:val="left" w:pos="1525"/>
              </w:tabs>
              <w:rPr>
                <w:rFonts w:ascii="Arial" w:hAnsi="Arial" w:cs="Arial"/>
                <w:color w:val="000000" w:themeColor="text1"/>
                <w:sz w:val="20"/>
                <w:szCs w:val="20"/>
              </w:rPr>
            </w:pPr>
          </w:p>
        </w:tc>
        <w:tc>
          <w:tcPr>
            <w:tcW w:w="2250" w:type="dxa"/>
            <w:shd w:val="clear" w:color="auto" w:fill="auto"/>
          </w:tcPr>
          <w:p w14:paraId="0B883766"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Jackson ImmunoResearch</w:t>
            </w:r>
          </w:p>
        </w:tc>
        <w:tc>
          <w:tcPr>
            <w:tcW w:w="2088" w:type="dxa"/>
            <w:shd w:val="clear" w:color="auto" w:fill="auto"/>
          </w:tcPr>
          <w:p w14:paraId="03C1FC1B"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Cat#115-035-166; RRID: AB_2338511</w:t>
            </w:r>
          </w:p>
        </w:tc>
      </w:tr>
      <w:tr w:rsidR="0047636E" w:rsidRPr="0047636E" w14:paraId="5083EF34" w14:textId="77777777" w:rsidTr="00202FA3">
        <w:trPr>
          <w:cantSplit/>
          <w:trHeight w:val="259"/>
        </w:trPr>
        <w:tc>
          <w:tcPr>
            <w:tcW w:w="5238" w:type="dxa"/>
            <w:shd w:val="clear" w:color="auto" w:fill="auto"/>
          </w:tcPr>
          <w:p w14:paraId="1A1E89FD" w14:textId="77777777" w:rsidR="00670D14" w:rsidRPr="0047636E" w:rsidRDefault="00670D14" w:rsidP="00202FA3">
            <w:pPr>
              <w:tabs>
                <w:tab w:val="left" w:pos="1525"/>
              </w:tabs>
              <w:rPr>
                <w:rFonts w:ascii="Arial" w:hAnsi="Arial" w:cs="Arial"/>
                <w:color w:val="000000" w:themeColor="text1"/>
                <w:sz w:val="20"/>
                <w:szCs w:val="20"/>
              </w:rPr>
            </w:pPr>
            <w:r w:rsidRPr="0047636E">
              <w:rPr>
                <w:rFonts w:ascii="Arial" w:hAnsi="Arial" w:cs="Arial"/>
                <w:color w:val="000000" w:themeColor="text1"/>
                <w:sz w:val="20"/>
                <w:szCs w:val="20"/>
              </w:rPr>
              <w:t>HRP-conjugated goat anti-rabbit IgG</w:t>
            </w:r>
          </w:p>
        </w:tc>
        <w:tc>
          <w:tcPr>
            <w:tcW w:w="2250" w:type="dxa"/>
            <w:shd w:val="clear" w:color="auto" w:fill="auto"/>
          </w:tcPr>
          <w:p w14:paraId="20A06DA1"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Jackson ImmunoResearch</w:t>
            </w:r>
          </w:p>
        </w:tc>
        <w:tc>
          <w:tcPr>
            <w:tcW w:w="2088" w:type="dxa"/>
            <w:shd w:val="clear" w:color="auto" w:fill="auto"/>
          </w:tcPr>
          <w:p w14:paraId="459A6E3D"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Cat#111-035-144; RRID: AB_2307391</w:t>
            </w:r>
          </w:p>
        </w:tc>
      </w:tr>
      <w:tr w:rsidR="0047636E" w:rsidRPr="0047636E" w14:paraId="4B078B07" w14:textId="77777777" w:rsidTr="00202FA3">
        <w:trPr>
          <w:cantSplit/>
          <w:trHeight w:val="259"/>
        </w:trPr>
        <w:tc>
          <w:tcPr>
            <w:tcW w:w="5238" w:type="dxa"/>
            <w:shd w:val="clear" w:color="auto" w:fill="auto"/>
          </w:tcPr>
          <w:p w14:paraId="707C7DF2" w14:textId="77777777" w:rsidR="00670D14" w:rsidRPr="0047636E" w:rsidRDefault="00670D14" w:rsidP="00202FA3">
            <w:pPr>
              <w:tabs>
                <w:tab w:val="left" w:pos="1525"/>
              </w:tabs>
              <w:rPr>
                <w:rFonts w:ascii="Arial" w:hAnsi="Arial" w:cs="Arial"/>
                <w:color w:val="000000" w:themeColor="text1"/>
                <w:sz w:val="20"/>
                <w:szCs w:val="20"/>
              </w:rPr>
            </w:pPr>
            <w:r w:rsidRPr="0047636E">
              <w:rPr>
                <w:rFonts w:ascii="Arial" w:hAnsi="Arial" w:cs="Arial"/>
                <w:color w:val="000000" w:themeColor="text1"/>
                <w:sz w:val="20"/>
                <w:szCs w:val="20"/>
              </w:rPr>
              <w:t>HRP-conjugated donkey anti-goat IgG</w:t>
            </w:r>
          </w:p>
        </w:tc>
        <w:tc>
          <w:tcPr>
            <w:tcW w:w="2250" w:type="dxa"/>
            <w:shd w:val="clear" w:color="auto" w:fill="auto"/>
          </w:tcPr>
          <w:p w14:paraId="72F8A7DE"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Jackson ImmunoResearch</w:t>
            </w:r>
          </w:p>
        </w:tc>
        <w:tc>
          <w:tcPr>
            <w:tcW w:w="2088" w:type="dxa"/>
            <w:shd w:val="clear" w:color="auto" w:fill="auto"/>
          </w:tcPr>
          <w:p w14:paraId="484CF2B3"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Cat#705-035-147; RRID: AB_2313587</w:t>
            </w:r>
          </w:p>
        </w:tc>
      </w:tr>
      <w:tr w:rsidR="0047636E" w:rsidRPr="0047636E" w14:paraId="72B7BF82" w14:textId="77777777" w:rsidTr="00202FA3">
        <w:trPr>
          <w:cantSplit/>
          <w:trHeight w:val="259"/>
        </w:trPr>
        <w:tc>
          <w:tcPr>
            <w:tcW w:w="5238" w:type="dxa"/>
            <w:shd w:val="clear" w:color="auto" w:fill="auto"/>
          </w:tcPr>
          <w:p w14:paraId="7B6D68C0" w14:textId="77777777" w:rsidR="00670D14" w:rsidRPr="0047636E" w:rsidRDefault="00670D14" w:rsidP="00202FA3">
            <w:pPr>
              <w:tabs>
                <w:tab w:val="left" w:pos="1525"/>
              </w:tabs>
              <w:rPr>
                <w:rFonts w:ascii="Arial" w:hAnsi="Arial" w:cs="Arial"/>
                <w:color w:val="000000" w:themeColor="text1"/>
                <w:sz w:val="20"/>
                <w:szCs w:val="20"/>
              </w:rPr>
            </w:pPr>
            <w:r w:rsidRPr="0047636E">
              <w:rPr>
                <w:rFonts w:ascii="Arial" w:hAnsi="Arial" w:cs="Arial"/>
                <w:color w:val="000000" w:themeColor="text1"/>
                <w:sz w:val="20"/>
                <w:szCs w:val="20"/>
              </w:rPr>
              <w:t>Alexa Fluor 488-conjugated goat anti-rabbit IgG</w:t>
            </w:r>
          </w:p>
        </w:tc>
        <w:tc>
          <w:tcPr>
            <w:tcW w:w="2250" w:type="dxa"/>
            <w:shd w:val="clear" w:color="auto" w:fill="auto"/>
          </w:tcPr>
          <w:p w14:paraId="2F588C75"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Thermo Fisher Scientific</w:t>
            </w:r>
          </w:p>
        </w:tc>
        <w:tc>
          <w:tcPr>
            <w:tcW w:w="2088" w:type="dxa"/>
            <w:shd w:val="clear" w:color="auto" w:fill="auto"/>
          </w:tcPr>
          <w:p w14:paraId="73111DF9"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Cat#A-11034; RRID: AB_2576217</w:t>
            </w:r>
          </w:p>
        </w:tc>
      </w:tr>
      <w:tr w:rsidR="0047636E" w:rsidRPr="0047636E" w14:paraId="0E396F57" w14:textId="77777777" w:rsidTr="00202FA3">
        <w:trPr>
          <w:cantSplit/>
          <w:trHeight w:val="259"/>
        </w:trPr>
        <w:tc>
          <w:tcPr>
            <w:tcW w:w="5238" w:type="dxa"/>
            <w:shd w:val="clear" w:color="auto" w:fill="auto"/>
          </w:tcPr>
          <w:p w14:paraId="0E3AC75B" w14:textId="77777777" w:rsidR="00670D14" w:rsidRPr="0047636E" w:rsidRDefault="00670D14" w:rsidP="00202FA3">
            <w:pPr>
              <w:tabs>
                <w:tab w:val="left" w:pos="1525"/>
              </w:tabs>
              <w:rPr>
                <w:rFonts w:ascii="Arial" w:hAnsi="Arial" w:cs="Arial"/>
                <w:color w:val="000000" w:themeColor="text1"/>
                <w:sz w:val="20"/>
                <w:szCs w:val="20"/>
              </w:rPr>
            </w:pPr>
            <w:r w:rsidRPr="0047636E">
              <w:rPr>
                <w:rFonts w:ascii="Arial" w:hAnsi="Arial" w:cs="Arial"/>
                <w:color w:val="000000" w:themeColor="text1"/>
                <w:sz w:val="20"/>
                <w:szCs w:val="20"/>
              </w:rPr>
              <w:t>Alexa Fluor 594-conjugated goat anti-rabbit IgG</w:t>
            </w:r>
          </w:p>
        </w:tc>
        <w:tc>
          <w:tcPr>
            <w:tcW w:w="2250" w:type="dxa"/>
            <w:shd w:val="clear" w:color="auto" w:fill="auto"/>
          </w:tcPr>
          <w:p w14:paraId="7FFE9B89"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Thermo Fisher Scientific</w:t>
            </w:r>
          </w:p>
        </w:tc>
        <w:tc>
          <w:tcPr>
            <w:tcW w:w="2088" w:type="dxa"/>
            <w:shd w:val="clear" w:color="auto" w:fill="auto"/>
          </w:tcPr>
          <w:p w14:paraId="65A1E0C9" w14:textId="77777777" w:rsidR="00670D14" w:rsidRPr="0047636E" w:rsidRDefault="00670D14" w:rsidP="00202FA3">
            <w:pPr>
              <w:rPr>
                <w:rFonts w:ascii="Arial" w:hAnsi="Arial" w:cs="Arial"/>
                <w:color w:val="000000" w:themeColor="text1"/>
                <w:sz w:val="20"/>
                <w:szCs w:val="20"/>
              </w:rPr>
            </w:pPr>
            <w:r w:rsidRPr="0047636E">
              <w:rPr>
                <w:rFonts w:ascii="Arial" w:hAnsi="Arial" w:cs="Arial"/>
                <w:color w:val="000000" w:themeColor="text1"/>
                <w:sz w:val="20"/>
                <w:szCs w:val="20"/>
              </w:rPr>
              <w:t>Cat#A-11037; RRID: AB_2534095</w:t>
            </w:r>
          </w:p>
        </w:tc>
      </w:tr>
    </w:tbl>
    <w:p w14:paraId="4C711ACC" w14:textId="77777777" w:rsidR="00670D14" w:rsidRPr="0047636E" w:rsidRDefault="00670D14" w:rsidP="00EC6BF9">
      <w:pPr>
        <w:spacing w:line="360" w:lineRule="auto"/>
        <w:rPr>
          <w:rFonts w:ascii="Arial" w:hAnsi="Arial" w:cs="Arial"/>
          <w:b/>
          <w:bCs/>
          <w:color w:val="000000" w:themeColor="text1"/>
          <w:sz w:val="20"/>
          <w:szCs w:val="20"/>
          <w:lang w:val="en-US"/>
        </w:rPr>
      </w:pPr>
      <w:r w:rsidRPr="0047636E">
        <w:rPr>
          <w:rFonts w:ascii="Arial" w:hAnsi="Arial" w:cs="Arial"/>
          <w:b/>
          <w:bCs/>
          <w:color w:val="000000" w:themeColor="text1"/>
          <w:sz w:val="20"/>
          <w:szCs w:val="20"/>
          <w:lang w:val="en-US"/>
        </w:rPr>
        <w:br w:type="page"/>
      </w:r>
    </w:p>
    <w:p w14:paraId="576F0062" w14:textId="425FAEA0" w:rsidR="00670D14" w:rsidRPr="003E5BE1" w:rsidRDefault="00B841FC" w:rsidP="003E5BE1">
      <w:pPr>
        <w:rPr>
          <w:rFonts w:ascii="Arial" w:eastAsia="新細明體" w:hAnsi="Arial" w:cs="Arial"/>
          <w:b/>
          <w:bCs/>
          <w:color w:val="000000" w:themeColor="text1"/>
          <w:sz w:val="20"/>
          <w:szCs w:val="20"/>
          <w:lang w:val="en-US"/>
        </w:rPr>
      </w:pPr>
      <w:r w:rsidRPr="0047636E">
        <w:rPr>
          <w:rFonts w:ascii="Arial" w:eastAsia="新細明體" w:hAnsi="Arial" w:cs="Arial"/>
          <w:b/>
          <w:bCs/>
          <w:color w:val="000000" w:themeColor="text1"/>
          <w:sz w:val="20"/>
          <w:szCs w:val="20"/>
          <w:lang w:val="en-US"/>
        </w:rPr>
        <w:lastRenderedPageBreak/>
        <w:t>4</w:t>
      </w:r>
      <w:r w:rsidR="00670D14" w:rsidRPr="0047636E">
        <w:rPr>
          <w:rFonts w:ascii="Arial" w:eastAsia="新細明體" w:hAnsi="Arial" w:cs="Arial"/>
          <w:b/>
          <w:bCs/>
          <w:color w:val="000000" w:themeColor="text1"/>
          <w:sz w:val="20"/>
          <w:szCs w:val="20"/>
          <w:lang w:val="en-US"/>
        </w:rPr>
        <w:t>. Data and Resource Availability</w:t>
      </w:r>
    </w:p>
    <w:p w14:paraId="586E9222" w14:textId="77777777" w:rsidR="00670D14" w:rsidRPr="0047636E" w:rsidRDefault="00670D14" w:rsidP="005A1EEE">
      <w:pPr>
        <w:spacing w:line="360" w:lineRule="auto"/>
        <w:jc w:val="both"/>
        <w:rPr>
          <w:rFonts w:ascii="Arial" w:hAnsi="Arial" w:cs="Arial"/>
          <w:b/>
          <w:bCs/>
          <w:color w:val="000000" w:themeColor="text1"/>
          <w:sz w:val="20"/>
          <w:szCs w:val="20"/>
          <w:lang w:val="en-US"/>
        </w:rPr>
      </w:pPr>
      <w:r w:rsidRPr="0047636E">
        <w:rPr>
          <w:rFonts w:ascii="Arial" w:eastAsia="新細明體" w:hAnsi="Arial" w:cs="Arial"/>
          <w:b/>
          <w:bCs/>
          <w:color w:val="000000" w:themeColor="text1"/>
          <w:sz w:val="20"/>
          <w:szCs w:val="20"/>
          <w:lang w:val="en-US"/>
        </w:rPr>
        <w:t>Data and Resource Availability</w:t>
      </w:r>
    </w:p>
    <w:p w14:paraId="24E8F6B9" w14:textId="77777777" w:rsidR="00670D14" w:rsidRPr="0047636E" w:rsidRDefault="00670D14" w:rsidP="005A1EEE">
      <w:pPr>
        <w:spacing w:line="360" w:lineRule="auto"/>
        <w:jc w:val="both"/>
        <w:rPr>
          <w:rFonts w:ascii="Arial" w:hAnsi="Arial" w:cs="Arial"/>
          <w:color w:val="000000" w:themeColor="text1"/>
          <w:sz w:val="20"/>
          <w:szCs w:val="20"/>
          <w:lang w:val="en-US"/>
        </w:rPr>
      </w:pPr>
      <w:r w:rsidRPr="0047636E">
        <w:rPr>
          <w:rFonts w:ascii="Arial" w:hAnsi="Arial" w:cs="Arial"/>
          <w:color w:val="000000" w:themeColor="text1"/>
          <w:sz w:val="20"/>
          <w:szCs w:val="20"/>
          <w:lang w:val="en-US"/>
        </w:rPr>
        <w:t>This study did not generate new unique reagents and codes. All datasets generated or analyzed in this study were included in the published article. Detailed datasets supporting the current study are available from the corresponding author upon request. Further information and requests for resources and reagents should be directed to and will be fulfilled by the corresponding author.</w:t>
      </w:r>
    </w:p>
    <w:p w14:paraId="184DDEEB" w14:textId="77777777" w:rsidR="00670D14" w:rsidRPr="0047636E" w:rsidRDefault="00670D14" w:rsidP="00BE4DB6">
      <w:pPr>
        <w:spacing w:line="360" w:lineRule="auto"/>
        <w:jc w:val="both"/>
        <w:rPr>
          <w:rFonts w:ascii="Arial" w:eastAsia="新細明體" w:hAnsi="Arial" w:cs="Arial"/>
          <w:color w:val="000000" w:themeColor="text1"/>
          <w:sz w:val="20"/>
          <w:szCs w:val="20"/>
        </w:rPr>
      </w:pPr>
      <w:r w:rsidRPr="0047636E">
        <w:rPr>
          <w:rFonts w:ascii="Arial" w:hAnsi="Arial" w:cs="Arial"/>
          <w:b/>
          <w:bCs/>
          <w:color w:val="000000" w:themeColor="text1"/>
          <w:sz w:val="20"/>
          <w:szCs w:val="20"/>
          <w:lang w:val="en-US"/>
        </w:rPr>
        <w:t>Corresponding author</w:t>
      </w:r>
      <w:r w:rsidRPr="0047636E">
        <w:rPr>
          <w:rFonts w:ascii="Arial" w:hAnsi="Arial" w:cs="Arial"/>
          <w:color w:val="000000" w:themeColor="text1"/>
          <w:sz w:val="20"/>
          <w:szCs w:val="20"/>
          <w:lang w:val="en-US"/>
        </w:rPr>
        <w:t>: Yu-Min Kuo (kuoym@mail.ncku.edu.tw).</w:t>
      </w:r>
    </w:p>
    <w:p w14:paraId="0FE02D62" w14:textId="77777777" w:rsidR="001805B1" w:rsidRPr="0047636E" w:rsidRDefault="001805B1" w:rsidP="00BE4DB6">
      <w:pPr>
        <w:spacing w:line="360" w:lineRule="auto"/>
        <w:jc w:val="both"/>
        <w:rPr>
          <w:rFonts w:ascii="Arial" w:eastAsia="新細明體" w:hAnsi="Arial" w:cs="Arial"/>
          <w:color w:val="000000" w:themeColor="text1"/>
          <w:sz w:val="20"/>
          <w:szCs w:val="20"/>
        </w:rPr>
      </w:pPr>
    </w:p>
    <w:p w14:paraId="7A4C17A5" w14:textId="22344983" w:rsidR="00670D14" w:rsidRPr="0047636E" w:rsidRDefault="00670D14" w:rsidP="001805B1">
      <w:pPr>
        <w:spacing w:line="360" w:lineRule="auto"/>
        <w:jc w:val="both"/>
        <w:rPr>
          <w:rFonts w:ascii="Arial" w:eastAsia="新細明體" w:hAnsi="Arial" w:cs="Arial"/>
          <w:b/>
          <w:bCs/>
          <w:color w:val="000000" w:themeColor="text1"/>
          <w:sz w:val="20"/>
          <w:szCs w:val="20"/>
        </w:rPr>
      </w:pPr>
      <w:r w:rsidRPr="0047636E">
        <w:rPr>
          <w:rFonts w:ascii="Arial" w:eastAsia="新細明體" w:hAnsi="Arial" w:cs="Arial"/>
          <w:b/>
          <w:bCs/>
          <w:color w:val="000000" w:themeColor="text1"/>
          <w:sz w:val="20"/>
          <w:szCs w:val="20"/>
        </w:rPr>
        <w:t>Supplemental Referen</w:t>
      </w:r>
      <w:r w:rsidR="001805B1" w:rsidRPr="0047636E">
        <w:rPr>
          <w:rFonts w:ascii="Arial" w:eastAsia="新細明體" w:hAnsi="Arial" w:cs="Arial"/>
          <w:b/>
          <w:bCs/>
          <w:color w:val="000000" w:themeColor="text1"/>
          <w:sz w:val="20"/>
          <w:szCs w:val="20"/>
        </w:rPr>
        <w:t>ces</w:t>
      </w:r>
    </w:p>
    <w:p w14:paraId="6987075E" w14:textId="4AF4DEC9" w:rsidR="00670D14" w:rsidRPr="0047636E" w:rsidRDefault="00670D14" w:rsidP="001805B1">
      <w:pPr>
        <w:pStyle w:val="EndNoteBibliography"/>
        <w:ind w:left="720" w:hanging="720"/>
        <w:rPr>
          <w:rFonts w:ascii="Arial" w:hAnsi="Arial" w:cs="Arial"/>
          <w:noProof/>
          <w:color w:val="000000" w:themeColor="text1"/>
          <w:sz w:val="20"/>
          <w:szCs w:val="20"/>
        </w:rPr>
      </w:pPr>
      <w:r w:rsidRPr="0047636E">
        <w:rPr>
          <w:rFonts w:ascii="Arial" w:hAnsi="Arial" w:cs="Arial"/>
          <w:noProof/>
          <w:color w:val="000000" w:themeColor="text1"/>
          <w:sz w:val="20"/>
          <w:szCs w:val="20"/>
        </w:rPr>
        <w:t>1.</w:t>
      </w:r>
      <w:r w:rsidRPr="0047636E">
        <w:rPr>
          <w:rFonts w:ascii="Arial" w:hAnsi="Arial" w:cs="Arial"/>
          <w:noProof/>
          <w:color w:val="000000" w:themeColor="text1"/>
          <w:sz w:val="20"/>
          <w:szCs w:val="20"/>
        </w:rPr>
        <w:tab/>
        <w:t xml:space="preserve">Delzor A, Escartin C, Deglon N. Lentiviral vectors: a powerful tool to target astrocytes in vivo. </w:t>
      </w:r>
      <w:r w:rsidRPr="0047636E">
        <w:rPr>
          <w:rFonts w:ascii="Arial" w:hAnsi="Arial" w:cs="Arial"/>
          <w:i/>
          <w:noProof/>
          <w:color w:val="000000" w:themeColor="text1"/>
          <w:sz w:val="20"/>
          <w:szCs w:val="20"/>
        </w:rPr>
        <w:t>Curr Drug Targets</w:t>
      </w:r>
      <w:r w:rsidRPr="0047636E">
        <w:rPr>
          <w:rFonts w:ascii="Arial" w:hAnsi="Arial" w:cs="Arial"/>
          <w:noProof/>
          <w:color w:val="000000" w:themeColor="text1"/>
          <w:sz w:val="20"/>
          <w:szCs w:val="20"/>
        </w:rPr>
        <w:t xml:space="preserve"> 2013; </w:t>
      </w:r>
      <w:r w:rsidRPr="0047636E">
        <w:rPr>
          <w:rFonts w:ascii="Arial" w:hAnsi="Arial" w:cs="Arial"/>
          <w:b/>
          <w:noProof/>
          <w:color w:val="000000" w:themeColor="text1"/>
          <w:sz w:val="20"/>
          <w:szCs w:val="20"/>
        </w:rPr>
        <w:t>14</w:t>
      </w:r>
      <w:r w:rsidRPr="0047636E">
        <w:rPr>
          <w:rFonts w:ascii="Arial" w:hAnsi="Arial" w:cs="Arial"/>
          <w:noProof/>
          <w:color w:val="000000" w:themeColor="text1"/>
          <w:sz w:val="20"/>
          <w:szCs w:val="20"/>
        </w:rPr>
        <w:t>(11)</w:t>
      </w:r>
      <w:r w:rsidRPr="0047636E">
        <w:rPr>
          <w:rFonts w:ascii="Arial" w:hAnsi="Arial" w:cs="Arial"/>
          <w:b/>
          <w:noProof/>
          <w:color w:val="000000" w:themeColor="text1"/>
          <w:sz w:val="20"/>
          <w:szCs w:val="20"/>
        </w:rPr>
        <w:t xml:space="preserve">: </w:t>
      </w:r>
      <w:r w:rsidRPr="0047636E">
        <w:rPr>
          <w:rFonts w:ascii="Arial" w:hAnsi="Arial" w:cs="Arial"/>
          <w:noProof/>
          <w:color w:val="000000" w:themeColor="text1"/>
          <w:sz w:val="20"/>
          <w:szCs w:val="20"/>
        </w:rPr>
        <w:t>1336-1346.</w:t>
      </w:r>
    </w:p>
    <w:sectPr w:rsidR="00670D14" w:rsidRPr="0047636E" w:rsidSect="001805B1">
      <w:headerReference w:type="default" r:id="rId7"/>
      <w:pgSz w:w="11900" w:h="16840"/>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ADC732" w14:textId="77777777" w:rsidR="00D03D93" w:rsidRDefault="00D03D93">
      <w:r>
        <w:separator/>
      </w:r>
    </w:p>
  </w:endnote>
  <w:endnote w:type="continuationSeparator" w:id="0">
    <w:p w14:paraId="5E6B0DC2" w14:textId="77777777" w:rsidR="00D03D93" w:rsidRDefault="00D03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YuMincho +36p Kana Extrabold">
    <w:altName w:val="Yu Gothic"/>
    <w:panose1 w:val="02020800000000000000"/>
    <w:charset w:val="80"/>
    <w:family w:val="roman"/>
    <w:pitch w:val="variable"/>
    <w:sig w:usb0="00000000" w:usb1="2AC71C10" w:usb2="00000012" w:usb3="00000000" w:csb0="0002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FB5CCC" w14:textId="77777777" w:rsidR="00D03D93" w:rsidRDefault="00D03D93">
      <w:r>
        <w:separator/>
      </w:r>
    </w:p>
  </w:footnote>
  <w:footnote w:type="continuationSeparator" w:id="0">
    <w:p w14:paraId="5C6FCE57" w14:textId="77777777" w:rsidR="00D03D93" w:rsidRDefault="00D03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91651962"/>
      <w:docPartObj>
        <w:docPartGallery w:val="Page Numbers (Top of Page)"/>
        <w:docPartUnique/>
      </w:docPartObj>
    </w:sdtPr>
    <w:sdtEndPr/>
    <w:sdtContent>
      <w:p w14:paraId="117E9C7F" w14:textId="0D9C16F5" w:rsidR="00257D61" w:rsidRDefault="00670D14">
        <w:pPr>
          <w:pStyle w:val="a6"/>
          <w:jc w:val="right"/>
        </w:pPr>
        <w:r>
          <w:fldChar w:fldCharType="begin"/>
        </w:r>
        <w:r>
          <w:instrText>PAGE   \* MERGEFORMAT</w:instrText>
        </w:r>
        <w:r>
          <w:fldChar w:fldCharType="separate"/>
        </w:r>
        <w:r w:rsidR="004F0433" w:rsidRPr="004F0433">
          <w:rPr>
            <w:noProof/>
            <w:lang w:val="el-GR"/>
          </w:rPr>
          <w:t>1</w:t>
        </w:r>
        <w:r>
          <w:fldChar w:fldCharType="end"/>
        </w:r>
      </w:p>
    </w:sdtContent>
  </w:sdt>
  <w:p w14:paraId="414660B8" w14:textId="77777777" w:rsidR="00257D61" w:rsidRDefault="00D03D9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735BD"/>
    <w:multiLevelType w:val="multilevel"/>
    <w:tmpl w:val="A52C0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C25982"/>
    <w:multiLevelType w:val="multilevel"/>
    <w:tmpl w:val="47FCD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D17633"/>
    <w:multiLevelType w:val="hybridMultilevel"/>
    <w:tmpl w:val="B4221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B7397A"/>
    <w:multiLevelType w:val="multilevel"/>
    <w:tmpl w:val="8DB25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BF7D60"/>
    <w:multiLevelType w:val="hybridMultilevel"/>
    <w:tmpl w:val="22F4386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2"/>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LQwNDOyNDQ0NTU2NDRT0lEKTi0uzszPAykwqgUALieL/iwAAAA="/>
    <w:docVar w:name="EN.InstantFormat" w:val="&lt;ENInstantFormat&gt;&lt;Enabled&gt;1&lt;/Enabled&gt;&lt;ScanUnformatted&gt;1&lt;/ScanUnformatted&gt;&lt;ScanChanges&gt;1&lt;/ScanChanges&gt;&lt;Suspended&gt;1&lt;/Suspended&gt;&lt;/ENInstantFormat&gt;"/>
  </w:docVars>
  <w:rsids>
    <w:rsidRoot w:val="00670D14"/>
    <w:rsid w:val="00004C77"/>
    <w:rsid w:val="00007CA1"/>
    <w:rsid w:val="000119A1"/>
    <w:rsid w:val="000141C2"/>
    <w:rsid w:val="000223BD"/>
    <w:rsid w:val="0002524D"/>
    <w:rsid w:val="000319AC"/>
    <w:rsid w:val="00032F82"/>
    <w:rsid w:val="00035782"/>
    <w:rsid w:val="000369BA"/>
    <w:rsid w:val="00040471"/>
    <w:rsid w:val="00040E60"/>
    <w:rsid w:val="0004200A"/>
    <w:rsid w:val="00043A19"/>
    <w:rsid w:val="00050CF0"/>
    <w:rsid w:val="00053E04"/>
    <w:rsid w:val="00062BC2"/>
    <w:rsid w:val="00066D94"/>
    <w:rsid w:val="00074F6B"/>
    <w:rsid w:val="00085699"/>
    <w:rsid w:val="0008575D"/>
    <w:rsid w:val="00093950"/>
    <w:rsid w:val="0009511A"/>
    <w:rsid w:val="000A3446"/>
    <w:rsid w:val="000A42DB"/>
    <w:rsid w:val="000A4EA7"/>
    <w:rsid w:val="000A631A"/>
    <w:rsid w:val="000B6201"/>
    <w:rsid w:val="000B745F"/>
    <w:rsid w:val="000C31CB"/>
    <w:rsid w:val="000C4F89"/>
    <w:rsid w:val="000C5777"/>
    <w:rsid w:val="000D2690"/>
    <w:rsid w:val="000D689A"/>
    <w:rsid w:val="000E0C2F"/>
    <w:rsid w:val="000E598A"/>
    <w:rsid w:val="00104AD1"/>
    <w:rsid w:val="001130B7"/>
    <w:rsid w:val="00135D52"/>
    <w:rsid w:val="00135F9A"/>
    <w:rsid w:val="001444E7"/>
    <w:rsid w:val="00150EA6"/>
    <w:rsid w:val="00151141"/>
    <w:rsid w:val="001552A8"/>
    <w:rsid w:val="001649E0"/>
    <w:rsid w:val="00165358"/>
    <w:rsid w:val="00165962"/>
    <w:rsid w:val="00165C7A"/>
    <w:rsid w:val="001732BC"/>
    <w:rsid w:val="00175547"/>
    <w:rsid w:val="00177B29"/>
    <w:rsid w:val="001805B1"/>
    <w:rsid w:val="00187CB1"/>
    <w:rsid w:val="0019194B"/>
    <w:rsid w:val="001A0665"/>
    <w:rsid w:val="001B511E"/>
    <w:rsid w:val="001B5954"/>
    <w:rsid w:val="001C0397"/>
    <w:rsid w:val="001C1D30"/>
    <w:rsid w:val="001C3343"/>
    <w:rsid w:val="001D3B0F"/>
    <w:rsid w:val="001D4C49"/>
    <w:rsid w:val="001D643E"/>
    <w:rsid w:val="001E494B"/>
    <w:rsid w:val="001F0867"/>
    <w:rsid w:val="001F1B27"/>
    <w:rsid w:val="001F4EE2"/>
    <w:rsid w:val="0020290D"/>
    <w:rsid w:val="0020569A"/>
    <w:rsid w:val="0020710F"/>
    <w:rsid w:val="0021029E"/>
    <w:rsid w:val="002173CE"/>
    <w:rsid w:val="00217451"/>
    <w:rsid w:val="00223CFF"/>
    <w:rsid w:val="002242ED"/>
    <w:rsid w:val="002258F7"/>
    <w:rsid w:val="00232028"/>
    <w:rsid w:val="002351C6"/>
    <w:rsid w:val="00237453"/>
    <w:rsid w:val="0024359A"/>
    <w:rsid w:val="00250D75"/>
    <w:rsid w:val="00254416"/>
    <w:rsid w:val="00254C96"/>
    <w:rsid w:val="00254F5D"/>
    <w:rsid w:val="00257B5E"/>
    <w:rsid w:val="00271C62"/>
    <w:rsid w:val="0028147B"/>
    <w:rsid w:val="0028700D"/>
    <w:rsid w:val="00293F4B"/>
    <w:rsid w:val="002955D9"/>
    <w:rsid w:val="002A0A99"/>
    <w:rsid w:val="002A680D"/>
    <w:rsid w:val="002C4E49"/>
    <w:rsid w:val="002C6891"/>
    <w:rsid w:val="002D1A9E"/>
    <w:rsid w:val="002D5620"/>
    <w:rsid w:val="002F52C6"/>
    <w:rsid w:val="002F558B"/>
    <w:rsid w:val="002F55E8"/>
    <w:rsid w:val="002F71AC"/>
    <w:rsid w:val="003029A5"/>
    <w:rsid w:val="003121B5"/>
    <w:rsid w:val="003139C2"/>
    <w:rsid w:val="0031461B"/>
    <w:rsid w:val="00314F9C"/>
    <w:rsid w:val="00316B66"/>
    <w:rsid w:val="003218BC"/>
    <w:rsid w:val="00322880"/>
    <w:rsid w:val="003236C6"/>
    <w:rsid w:val="003268E6"/>
    <w:rsid w:val="00330E30"/>
    <w:rsid w:val="0033202F"/>
    <w:rsid w:val="00336421"/>
    <w:rsid w:val="003366A4"/>
    <w:rsid w:val="003366D3"/>
    <w:rsid w:val="00341B23"/>
    <w:rsid w:val="003455DE"/>
    <w:rsid w:val="00347F07"/>
    <w:rsid w:val="003508C3"/>
    <w:rsid w:val="00355C22"/>
    <w:rsid w:val="003728C7"/>
    <w:rsid w:val="003756D4"/>
    <w:rsid w:val="00375CD8"/>
    <w:rsid w:val="0037785E"/>
    <w:rsid w:val="00382ADD"/>
    <w:rsid w:val="00383EEC"/>
    <w:rsid w:val="00383F9D"/>
    <w:rsid w:val="00384619"/>
    <w:rsid w:val="003855DE"/>
    <w:rsid w:val="003926A3"/>
    <w:rsid w:val="003969C6"/>
    <w:rsid w:val="003A35B7"/>
    <w:rsid w:val="003A5984"/>
    <w:rsid w:val="003B1652"/>
    <w:rsid w:val="003B2314"/>
    <w:rsid w:val="003B2514"/>
    <w:rsid w:val="003B375B"/>
    <w:rsid w:val="003C1916"/>
    <w:rsid w:val="003C3EEB"/>
    <w:rsid w:val="003C5560"/>
    <w:rsid w:val="003C6D62"/>
    <w:rsid w:val="003D104F"/>
    <w:rsid w:val="003E403E"/>
    <w:rsid w:val="003E5BE1"/>
    <w:rsid w:val="003E5E55"/>
    <w:rsid w:val="003F1461"/>
    <w:rsid w:val="003F337C"/>
    <w:rsid w:val="003F4137"/>
    <w:rsid w:val="003F4307"/>
    <w:rsid w:val="003F4771"/>
    <w:rsid w:val="0040310B"/>
    <w:rsid w:val="00404035"/>
    <w:rsid w:val="00404F20"/>
    <w:rsid w:val="00404FA1"/>
    <w:rsid w:val="00405791"/>
    <w:rsid w:val="00407D94"/>
    <w:rsid w:val="00411395"/>
    <w:rsid w:val="00417B43"/>
    <w:rsid w:val="004238A6"/>
    <w:rsid w:val="00433F42"/>
    <w:rsid w:val="0043447B"/>
    <w:rsid w:val="00435C71"/>
    <w:rsid w:val="00451C4D"/>
    <w:rsid w:val="004540B1"/>
    <w:rsid w:val="0046217B"/>
    <w:rsid w:val="004637A3"/>
    <w:rsid w:val="00467DB5"/>
    <w:rsid w:val="00471642"/>
    <w:rsid w:val="0047356B"/>
    <w:rsid w:val="0047392F"/>
    <w:rsid w:val="00475FCD"/>
    <w:rsid w:val="0047636E"/>
    <w:rsid w:val="00484A0B"/>
    <w:rsid w:val="00484CDE"/>
    <w:rsid w:val="00487705"/>
    <w:rsid w:val="004943ED"/>
    <w:rsid w:val="00496A3C"/>
    <w:rsid w:val="004A07F6"/>
    <w:rsid w:val="004A3B0F"/>
    <w:rsid w:val="004B05DC"/>
    <w:rsid w:val="004B09AE"/>
    <w:rsid w:val="004B57E0"/>
    <w:rsid w:val="004B5EE0"/>
    <w:rsid w:val="004C0390"/>
    <w:rsid w:val="004C6668"/>
    <w:rsid w:val="004C6F70"/>
    <w:rsid w:val="004D08E5"/>
    <w:rsid w:val="004D2F07"/>
    <w:rsid w:val="004D379D"/>
    <w:rsid w:val="004E0EAD"/>
    <w:rsid w:val="004E3DC8"/>
    <w:rsid w:val="004F0289"/>
    <w:rsid w:val="004F0433"/>
    <w:rsid w:val="004F122F"/>
    <w:rsid w:val="004F470D"/>
    <w:rsid w:val="004F6141"/>
    <w:rsid w:val="004F6C2D"/>
    <w:rsid w:val="004F7D0B"/>
    <w:rsid w:val="004F7E55"/>
    <w:rsid w:val="00507B90"/>
    <w:rsid w:val="00511398"/>
    <w:rsid w:val="0052316A"/>
    <w:rsid w:val="005243CC"/>
    <w:rsid w:val="005311BD"/>
    <w:rsid w:val="00534CDB"/>
    <w:rsid w:val="005412BD"/>
    <w:rsid w:val="0054158A"/>
    <w:rsid w:val="00547397"/>
    <w:rsid w:val="00554F96"/>
    <w:rsid w:val="00563454"/>
    <w:rsid w:val="0057589F"/>
    <w:rsid w:val="00575D41"/>
    <w:rsid w:val="0057615E"/>
    <w:rsid w:val="00577954"/>
    <w:rsid w:val="00580D1B"/>
    <w:rsid w:val="00580DC0"/>
    <w:rsid w:val="00582786"/>
    <w:rsid w:val="005875D8"/>
    <w:rsid w:val="0059678B"/>
    <w:rsid w:val="005A570E"/>
    <w:rsid w:val="005A5B33"/>
    <w:rsid w:val="005B753F"/>
    <w:rsid w:val="005C1A5A"/>
    <w:rsid w:val="005C22AE"/>
    <w:rsid w:val="005C250B"/>
    <w:rsid w:val="005C4BC0"/>
    <w:rsid w:val="005C68F2"/>
    <w:rsid w:val="005D18EF"/>
    <w:rsid w:val="005D67EB"/>
    <w:rsid w:val="005D6DF0"/>
    <w:rsid w:val="005E5CD7"/>
    <w:rsid w:val="005F3F55"/>
    <w:rsid w:val="00600FC1"/>
    <w:rsid w:val="00603DE8"/>
    <w:rsid w:val="00610449"/>
    <w:rsid w:val="00611A17"/>
    <w:rsid w:val="00623AC4"/>
    <w:rsid w:val="006241C4"/>
    <w:rsid w:val="006319EB"/>
    <w:rsid w:val="00631C55"/>
    <w:rsid w:val="00645479"/>
    <w:rsid w:val="0065740D"/>
    <w:rsid w:val="006663AD"/>
    <w:rsid w:val="00667CF2"/>
    <w:rsid w:val="0067072A"/>
    <w:rsid w:val="006709D9"/>
    <w:rsid w:val="00670D14"/>
    <w:rsid w:val="00673E9A"/>
    <w:rsid w:val="00676597"/>
    <w:rsid w:val="00677F1B"/>
    <w:rsid w:val="00681A8A"/>
    <w:rsid w:val="00682DF5"/>
    <w:rsid w:val="00687391"/>
    <w:rsid w:val="00692B51"/>
    <w:rsid w:val="00692D7C"/>
    <w:rsid w:val="0069442A"/>
    <w:rsid w:val="006967DC"/>
    <w:rsid w:val="006A1CDE"/>
    <w:rsid w:val="006A64A7"/>
    <w:rsid w:val="006A7578"/>
    <w:rsid w:val="006B0CB9"/>
    <w:rsid w:val="006B1D46"/>
    <w:rsid w:val="006B2591"/>
    <w:rsid w:val="006B2A64"/>
    <w:rsid w:val="006B7279"/>
    <w:rsid w:val="006B7E71"/>
    <w:rsid w:val="006D2827"/>
    <w:rsid w:val="006D7DFE"/>
    <w:rsid w:val="006E34B2"/>
    <w:rsid w:val="006F20EE"/>
    <w:rsid w:val="006F21DA"/>
    <w:rsid w:val="006F364A"/>
    <w:rsid w:val="006F487D"/>
    <w:rsid w:val="006F4E43"/>
    <w:rsid w:val="00711A17"/>
    <w:rsid w:val="007135CD"/>
    <w:rsid w:val="00714D63"/>
    <w:rsid w:val="007220B3"/>
    <w:rsid w:val="00722214"/>
    <w:rsid w:val="00725C72"/>
    <w:rsid w:val="00736ACA"/>
    <w:rsid w:val="00737038"/>
    <w:rsid w:val="00743E8B"/>
    <w:rsid w:val="00746195"/>
    <w:rsid w:val="00747942"/>
    <w:rsid w:val="00762889"/>
    <w:rsid w:val="00762C1C"/>
    <w:rsid w:val="007731DD"/>
    <w:rsid w:val="00773FDA"/>
    <w:rsid w:val="007774CE"/>
    <w:rsid w:val="007823B3"/>
    <w:rsid w:val="00782E19"/>
    <w:rsid w:val="007849E0"/>
    <w:rsid w:val="00784EEB"/>
    <w:rsid w:val="007A06EA"/>
    <w:rsid w:val="007A179A"/>
    <w:rsid w:val="007A2583"/>
    <w:rsid w:val="007A25FA"/>
    <w:rsid w:val="007A7B0B"/>
    <w:rsid w:val="007B616E"/>
    <w:rsid w:val="007D4048"/>
    <w:rsid w:val="007F0050"/>
    <w:rsid w:val="007F1F0E"/>
    <w:rsid w:val="007F5B11"/>
    <w:rsid w:val="007F68A5"/>
    <w:rsid w:val="00803A5A"/>
    <w:rsid w:val="00805349"/>
    <w:rsid w:val="00813D0A"/>
    <w:rsid w:val="0081440E"/>
    <w:rsid w:val="00816356"/>
    <w:rsid w:val="008234B0"/>
    <w:rsid w:val="0082476D"/>
    <w:rsid w:val="00833997"/>
    <w:rsid w:val="00840FF4"/>
    <w:rsid w:val="008429CE"/>
    <w:rsid w:val="0084310B"/>
    <w:rsid w:val="00844239"/>
    <w:rsid w:val="008528B4"/>
    <w:rsid w:val="0085415A"/>
    <w:rsid w:val="00854B26"/>
    <w:rsid w:val="00856E53"/>
    <w:rsid w:val="00867D06"/>
    <w:rsid w:val="00872DCA"/>
    <w:rsid w:val="0087553C"/>
    <w:rsid w:val="008773C7"/>
    <w:rsid w:val="00882689"/>
    <w:rsid w:val="008871D0"/>
    <w:rsid w:val="00891488"/>
    <w:rsid w:val="00891A6E"/>
    <w:rsid w:val="00892EBC"/>
    <w:rsid w:val="008A212A"/>
    <w:rsid w:val="008A6AE8"/>
    <w:rsid w:val="008B1802"/>
    <w:rsid w:val="008B25B7"/>
    <w:rsid w:val="008B669F"/>
    <w:rsid w:val="008C149C"/>
    <w:rsid w:val="008C52C0"/>
    <w:rsid w:val="008C5501"/>
    <w:rsid w:val="008D49D7"/>
    <w:rsid w:val="008D5D9D"/>
    <w:rsid w:val="008E0CC4"/>
    <w:rsid w:val="008F314A"/>
    <w:rsid w:val="00900BC1"/>
    <w:rsid w:val="00903601"/>
    <w:rsid w:val="0091586A"/>
    <w:rsid w:val="00923AB1"/>
    <w:rsid w:val="00934D0A"/>
    <w:rsid w:val="009360C7"/>
    <w:rsid w:val="00936309"/>
    <w:rsid w:val="00952543"/>
    <w:rsid w:val="00955124"/>
    <w:rsid w:val="009647EB"/>
    <w:rsid w:val="0097122F"/>
    <w:rsid w:val="009757AD"/>
    <w:rsid w:val="00977E89"/>
    <w:rsid w:val="00982B8C"/>
    <w:rsid w:val="0098646A"/>
    <w:rsid w:val="00987C7D"/>
    <w:rsid w:val="009A0320"/>
    <w:rsid w:val="009A4E4E"/>
    <w:rsid w:val="009A5050"/>
    <w:rsid w:val="009A5ED4"/>
    <w:rsid w:val="009C0BBE"/>
    <w:rsid w:val="009C78A7"/>
    <w:rsid w:val="009D3733"/>
    <w:rsid w:val="009D59AE"/>
    <w:rsid w:val="009D6595"/>
    <w:rsid w:val="009E2869"/>
    <w:rsid w:val="009E4730"/>
    <w:rsid w:val="009E7B85"/>
    <w:rsid w:val="009F1DAC"/>
    <w:rsid w:val="00A04F6F"/>
    <w:rsid w:val="00A05F17"/>
    <w:rsid w:val="00A16073"/>
    <w:rsid w:val="00A16FA4"/>
    <w:rsid w:val="00A21602"/>
    <w:rsid w:val="00A25437"/>
    <w:rsid w:val="00A2551E"/>
    <w:rsid w:val="00A33A8F"/>
    <w:rsid w:val="00A34A56"/>
    <w:rsid w:val="00A36087"/>
    <w:rsid w:val="00A51E50"/>
    <w:rsid w:val="00A57747"/>
    <w:rsid w:val="00A57E50"/>
    <w:rsid w:val="00A66532"/>
    <w:rsid w:val="00A674F0"/>
    <w:rsid w:val="00A6766A"/>
    <w:rsid w:val="00A71C71"/>
    <w:rsid w:val="00A722A8"/>
    <w:rsid w:val="00A72504"/>
    <w:rsid w:val="00A81358"/>
    <w:rsid w:val="00A8340D"/>
    <w:rsid w:val="00A8550D"/>
    <w:rsid w:val="00A85B6C"/>
    <w:rsid w:val="00A8782B"/>
    <w:rsid w:val="00A97A31"/>
    <w:rsid w:val="00AB0813"/>
    <w:rsid w:val="00AB2E9E"/>
    <w:rsid w:val="00AB55FC"/>
    <w:rsid w:val="00AB6A90"/>
    <w:rsid w:val="00AC6EF2"/>
    <w:rsid w:val="00AC7B00"/>
    <w:rsid w:val="00AD0FA5"/>
    <w:rsid w:val="00AD5907"/>
    <w:rsid w:val="00AE3755"/>
    <w:rsid w:val="00AE53F0"/>
    <w:rsid w:val="00AE67B3"/>
    <w:rsid w:val="00AF0B9C"/>
    <w:rsid w:val="00AF321D"/>
    <w:rsid w:val="00AF698F"/>
    <w:rsid w:val="00AF7D9B"/>
    <w:rsid w:val="00B05B97"/>
    <w:rsid w:val="00B07CAD"/>
    <w:rsid w:val="00B12FE3"/>
    <w:rsid w:val="00B1509D"/>
    <w:rsid w:val="00B203A6"/>
    <w:rsid w:val="00B214BE"/>
    <w:rsid w:val="00B227FD"/>
    <w:rsid w:val="00B244B6"/>
    <w:rsid w:val="00B2471C"/>
    <w:rsid w:val="00B279BF"/>
    <w:rsid w:val="00B40F26"/>
    <w:rsid w:val="00B433F6"/>
    <w:rsid w:val="00B51841"/>
    <w:rsid w:val="00B5582A"/>
    <w:rsid w:val="00B56925"/>
    <w:rsid w:val="00B60A45"/>
    <w:rsid w:val="00B61A20"/>
    <w:rsid w:val="00B61F57"/>
    <w:rsid w:val="00B741C5"/>
    <w:rsid w:val="00B76030"/>
    <w:rsid w:val="00B763ED"/>
    <w:rsid w:val="00B80D7E"/>
    <w:rsid w:val="00B81B8F"/>
    <w:rsid w:val="00B82722"/>
    <w:rsid w:val="00B841FC"/>
    <w:rsid w:val="00BA0A07"/>
    <w:rsid w:val="00BA0F5D"/>
    <w:rsid w:val="00BA3BCA"/>
    <w:rsid w:val="00BB2D84"/>
    <w:rsid w:val="00BC241E"/>
    <w:rsid w:val="00BC47E3"/>
    <w:rsid w:val="00BC7342"/>
    <w:rsid w:val="00BD225A"/>
    <w:rsid w:val="00BD523F"/>
    <w:rsid w:val="00BF3C14"/>
    <w:rsid w:val="00C049E1"/>
    <w:rsid w:val="00C06F59"/>
    <w:rsid w:val="00C07147"/>
    <w:rsid w:val="00C276FC"/>
    <w:rsid w:val="00C30CC8"/>
    <w:rsid w:val="00C330EA"/>
    <w:rsid w:val="00C341C1"/>
    <w:rsid w:val="00C36345"/>
    <w:rsid w:val="00C367A0"/>
    <w:rsid w:val="00C36D78"/>
    <w:rsid w:val="00C41431"/>
    <w:rsid w:val="00C46E3B"/>
    <w:rsid w:val="00C47055"/>
    <w:rsid w:val="00C54003"/>
    <w:rsid w:val="00C560EE"/>
    <w:rsid w:val="00C612A9"/>
    <w:rsid w:val="00C61935"/>
    <w:rsid w:val="00C64CF7"/>
    <w:rsid w:val="00C6588D"/>
    <w:rsid w:val="00C80470"/>
    <w:rsid w:val="00C90BEC"/>
    <w:rsid w:val="00C951B8"/>
    <w:rsid w:val="00C96832"/>
    <w:rsid w:val="00C974B1"/>
    <w:rsid w:val="00CA2434"/>
    <w:rsid w:val="00CA330B"/>
    <w:rsid w:val="00CA3EE6"/>
    <w:rsid w:val="00CA6A12"/>
    <w:rsid w:val="00CB61B6"/>
    <w:rsid w:val="00CC272E"/>
    <w:rsid w:val="00CC3E07"/>
    <w:rsid w:val="00CC4134"/>
    <w:rsid w:val="00CD1CDC"/>
    <w:rsid w:val="00CD2263"/>
    <w:rsid w:val="00CD2BED"/>
    <w:rsid w:val="00CD5550"/>
    <w:rsid w:val="00CD56C6"/>
    <w:rsid w:val="00CD5CF5"/>
    <w:rsid w:val="00CE023E"/>
    <w:rsid w:val="00CE2273"/>
    <w:rsid w:val="00CE2659"/>
    <w:rsid w:val="00CE2C0A"/>
    <w:rsid w:val="00D00EDD"/>
    <w:rsid w:val="00D03D93"/>
    <w:rsid w:val="00D04D17"/>
    <w:rsid w:val="00D0782B"/>
    <w:rsid w:val="00D17D28"/>
    <w:rsid w:val="00D201FC"/>
    <w:rsid w:val="00D21ECF"/>
    <w:rsid w:val="00D30DD5"/>
    <w:rsid w:val="00D31430"/>
    <w:rsid w:val="00D351E5"/>
    <w:rsid w:val="00D3675F"/>
    <w:rsid w:val="00D44769"/>
    <w:rsid w:val="00D46BAC"/>
    <w:rsid w:val="00D523EA"/>
    <w:rsid w:val="00D5480F"/>
    <w:rsid w:val="00D54F13"/>
    <w:rsid w:val="00D576B5"/>
    <w:rsid w:val="00D61566"/>
    <w:rsid w:val="00D62A48"/>
    <w:rsid w:val="00D6749B"/>
    <w:rsid w:val="00D7398A"/>
    <w:rsid w:val="00D74310"/>
    <w:rsid w:val="00D77225"/>
    <w:rsid w:val="00D836C6"/>
    <w:rsid w:val="00D84F4D"/>
    <w:rsid w:val="00D86058"/>
    <w:rsid w:val="00D87CDD"/>
    <w:rsid w:val="00D90BDB"/>
    <w:rsid w:val="00D94643"/>
    <w:rsid w:val="00D97702"/>
    <w:rsid w:val="00DA383C"/>
    <w:rsid w:val="00DA794C"/>
    <w:rsid w:val="00DB540B"/>
    <w:rsid w:val="00DC5823"/>
    <w:rsid w:val="00DC6484"/>
    <w:rsid w:val="00DD19A9"/>
    <w:rsid w:val="00DD6D09"/>
    <w:rsid w:val="00DE7EAC"/>
    <w:rsid w:val="00DF2E07"/>
    <w:rsid w:val="00DF3748"/>
    <w:rsid w:val="00DF6AD7"/>
    <w:rsid w:val="00E01268"/>
    <w:rsid w:val="00E0374D"/>
    <w:rsid w:val="00E0777B"/>
    <w:rsid w:val="00E1076D"/>
    <w:rsid w:val="00E1155B"/>
    <w:rsid w:val="00E17390"/>
    <w:rsid w:val="00E25B1F"/>
    <w:rsid w:val="00E3531C"/>
    <w:rsid w:val="00E41618"/>
    <w:rsid w:val="00E45370"/>
    <w:rsid w:val="00E47D62"/>
    <w:rsid w:val="00E523C3"/>
    <w:rsid w:val="00E61AA9"/>
    <w:rsid w:val="00E64BEC"/>
    <w:rsid w:val="00E84B6A"/>
    <w:rsid w:val="00E851B8"/>
    <w:rsid w:val="00E912C1"/>
    <w:rsid w:val="00E919B3"/>
    <w:rsid w:val="00E91F26"/>
    <w:rsid w:val="00E93052"/>
    <w:rsid w:val="00E97E90"/>
    <w:rsid w:val="00EB2CB0"/>
    <w:rsid w:val="00EC7FC6"/>
    <w:rsid w:val="00ED0F50"/>
    <w:rsid w:val="00ED4F68"/>
    <w:rsid w:val="00EE02E7"/>
    <w:rsid w:val="00EE0CB1"/>
    <w:rsid w:val="00EE3CF5"/>
    <w:rsid w:val="00EF0B2A"/>
    <w:rsid w:val="00EF343C"/>
    <w:rsid w:val="00EF64B8"/>
    <w:rsid w:val="00EF7D7F"/>
    <w:rsid w:val="00F006F2"/>
    <w:rsid w:val="00F03B57"/>
    <w:rsid w:val="00F03F30"/>
    <w:rsid w:val="00F05BF4"/>
    <w:rsid w:val="00F05FB5"/>
    <w:rsid w:val="00F1099D"/>
    <w:rsid w:val="00F1140B"/>
    <w:rsid w:val="00F13695"/>
    <w:rsid w:val="00F212BF"/>
    <w:rsid w:val="00F27EDE"/>
    <w:rsid w:val="00F32230"/>
    <w:rsid w:val="00F32954"/>
    <w:rsid w:val="00F34E14"/>
    <w:rsid w:val="00F40F10"/>
    <w:rsid w:val="00F423AB"/>
    <w:rsid w:val="00F47867"/>
    <w:rsid w:val="00F51A51"/>
    <w:rsid w:val="00F669BE"/>
    <w:rsid w:val="00F7501B"/>
    <w:rsid w:val="00F7583F"/>
    <w:rsid w:val="00F81C0D"/>
    <w:rsid w:val="00F8243C"/>
    <w:rsid w:val="00F849D9"/>
    <w:rsid w:val="00F92804"/>
    <w:rsid w:val="00F92DB9"/>
    <w:rsid w:val="00F93225"/>
    <w:rsid w:val="00F93CE5"/>
    <w:rsid w:val="00FA26A0"/>
    <w:rsid w:val="00FB4C71"/>
    <w:rsid w:val="00FB6397"/>
    <w:rsid w:val="00FB76D2"/>
    <w:rsid w:val="00FD1A65"/>
    <w:rsid w:val="00FE7B82"/>
    <w:rsid w:val="00FF052E"/>
    <w:rsid w:val="00FF4151"/>
    <w:rsid w:val="00FF7A5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D1AAED"/>
  <w15:chartTrackingRefBased/>
  <w15:docId w15:val="{38DCB7FC-0EC9-8149-BC27-E6BD59B2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0D14"/>
    <w:rPr>
      <w:rFonts w:ascii="Times New Roman" w:hAnsi="Times New Roman" w:cs="Times New Roman"/>
      <w:kern w:val="0"/>
      <w:lang w:val="en-IN" w:eastAsia="en-GB" w:bidi="hi-IN"/>
    </w:rPr>
  </w:style>
  <w:style w:type="paragraph" w:styleId="1">
    <w:name w:val="heading 1"/>
    <w:basedOn w:val="a"/>
    <w:next w:val="a"/>
    <w:link w:val="10"/>
    <w:uiPriority w:val="9"/>
    <w:qFormat/>
    <w:rsid w:val="00670D14"/>
    <w:pPr>
      <w:keepNext/>
      <w:keepLines/>
      <w:spacing w:before="240"/>
      <w:outlineLvl w:val="0"/>
    </w:pPr>
    <w:rPr>
      <w:rFonts w:asciiTheme="majorHAnsi" w:eastAsiaTheme="majorEastAsia" w:hAnsiTheme="majorHAnsi" w:cs="Mangal"/>
      <w:color w:val="2F5496" w:themeColor="accent1" w:themeShade="BF"/>
      <w:sz w:val="32"/>
      <w:szCs w:val="29"/>
    </w:rPr>
  </w:style>
  <w:style w:type="paragraph" w:styleId="2">
    <w:name w:val="heading 2"/>
    <w:basedOn w:val="a"/>
    <w:link w:val="20"/>
    <w:uiPriority w:val="9"/>
    <w:qFormat/>
    <w:rsid w:val="00670D14"/>
    <w:pPr>
      <w:spacing w:before="100" w:beforeAutospacing="1" w:after="100" w:afterAutospacing="1"/>
      <w:outlineLvl w:val="1"/>
    </w:pPr>
    <w:rPr>
      <w:b/>
      <w:bCs/>
      <w:sz w:val="36"/>
      <w:szCs w:val="36"/>
    </w:rPr>
  </w:style>
  <w:style w:type="paragraph" w:styleId="3">
    <w:name w:val="heading 3"/>
    <w:basedOn w:val="a"/>
    <w:link w:val="30"/>
    <w:uiPriority w:val="9"/>
    <w:qFormat/>
    <w:rsid w:val="00670D14"/>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670D14"/>
    <w:rPr>
      <w:rFonts w:asciiTheme="majorHAnsi" w:eastAsiaTheme="majorEastAsia" w:hAnsiTheme="majorHAnsi" w:cs="Mangal"/>
      <w:color w:val="2F5496" w:themeColor="accent1" w:themeShade="BF"/>
      <w:kern w:val="0"/>
      <w:sz w:val="32"/>
      <w:szCs w:val="29"/>
      <w:lang w:val="en-IN" w:eastAsia="en-GB" w:bidi="hi-IN"/>
    </w:rPr>
  </w:style>
  <w:style w:type="character" w:customStyle="1" w:styleId="20">
    <w:name w:val="標題 2 字元"/>
    <w:basedOn w:val="a0"/>
    <w:link w:val="2"/>
    <w:uiPriority w:val="9"/>
    <w:rsid w:val="00670D14"/>
    <w:rPr>
      <w:rFonts w:ascii="Times New Roman" w:hAnsi="Times New Roman" w:cs="Times New Roman"/>
      <w:b/>
      <w:bCs/>
      <w:kern w:val="0"/>
      <w:sz w:val="36"/>
      <w:szCs w:val="36"/>
      <w:lang w:val="en-IN" w:eastAsia="en-GB" w:bidi="hi-IN"/>
    </w:rPr>
  </w:style>
  <w:style w:type="character" w:customStyle="1" w:styleId="30">
    <w:name w:val="標題 3 字元"/>
    <w:basedOn w:val="a0"/>
    <w:link w:val="3"/>
    <w:uiPriority w:val="9"/>
    <w:rsid w:val="00670D14"/>
    <w:rPr>
      <w:rFonts w:ascii="Times New Roman" w:hAnsi="Times New Roman" w:cs="Times New Roman"/>
      <w:b/>
      <w:bCs/>
      <w:kern w:val="0"/>
      <w:sz w:val="27"/>
      <w:szCs w:val="27"/>
      <w:lang w:val="en-IN" w:eastAsia="en-GB" w:bidi="hi-IN"/>
    </w:rPr>
  </w:style>
  <w:style w:type="character" w:customStyle="1" w:styleId="CharAttribute10">
    <w:name w:val="CharAttribute10"/>
    <w:rsid w:val="00670D14"/>
    <w:rPr>
      <w:rFonts w:ascii="Times New Roman" w:eastAsia="新細明體"/>
      <w:sz w:val="24"/>
    </w:rPr>
  </w:style>
  <w:style w:type="character" w:styleId="a3">
    <w:name w:val="Placeholder Text"/>
    <w:basedOn w:val="a0"/>
    <w:uiPriority w:val="99"/>
    <w:semiHidden/>
    <w:rsid w:val="00670D14"/>
    <w:rPr>
      <w:rFonts w:cs="Times New Roman"/>
      <w:color w:val="808080"/>
    </w:rPr>
  </w:style>
  <w:style w:type="paragraph" w:styleId="a4">
    <w:name w:val="Balloon Text"/>
    <w:basedOn w:val="a"/>
    <w:link w:val="a5"/>
    <w:uiPriority w:val="99"/>
    <w:semiHidden/>
    <w:unhideWhenUsed/>
    <w:rsid w:val="00670D14"/>
    <w:pPr>
      <w:widowControl w:val="0"/>
    </w:pPr>
    <w:rPr>
      <w:rFonts w:ascii="新細明體" w:eastAsia="新細明體" w:hAnsiTheme="minorHAnsi" w:cs="Mangal"/>
      <w:kern w:val="2"/>
      <w:sz w:val="18"/>
      <w:szCs w:val="18"/>
      <w:lang w:val="en-US" w:eastAsia="zh-TW" w:bidi="ar-SA"/>
    </w:rPr>
  </w:style>
  <w:style w:type="character" w:customStyle="1" w:styleId="a5">
    <w:name w:val="註解方塊文字 字元"/>
    <w:basedOn w:val="a0"/>
    <w:link w:val="a4"/>
    <w:uiPriority w:val="99"/>
    <w:semiHidden/>
    <w:rsid w:val="00670D14"/>
    <w:rPr>
      <w:rFonts w:ascii="新細明體" w:eastAsia="新細明體" w:cs="Mangal"/>
      <w:sz w:val="18"/>
      <w:szCs w:val="18"/>
    </w:rPr>
  </w:style>
  <w:style w:type="paragraph" w:styleId="a6">
    <w:name w:val="header"/>
    <w:basedOn w:val="a"/>
    <w:link w:val="a7"/>
    <w:uiPriority w:val="99"/>
    <w:unhideWhenUsed/>
    <w:rsid w:val="00670D14"/>
    <w:pPr>
      <w:widowControl w:val="0"/>
      <w:tabs>
        <w:tab w:val="center" w:pos="4153"/>
        <w:tab w:val="right" w:pos="8306"/>
      </w:tabs>
      <w:snapToGrid w:val="0"/>
    </w:pPr>
    <w:rPr>
      <w:rFonts w:asciiTheme="minorHAnsi" w:hAnsiTheme="minorHAnsi" w:cs="Mangal"/>
      <w:kern w:val="2"/>
      <w:sz w:val="20"/>
      <w:szCs w:val="20"/>
      <w:lang w:val="en-US" w:eastAsia="zh-TW" w:bidi="ar-SA"/>
    </w:rPr>
  </w:style>
  <w:style w:type="character" w:customStyle="1" w:styleId="a7">
    <w:name w:val="頁首 字元"/>
    <w:basedOn w:val="a0"/>
    <w:link w:val="a6"/>
    <w:uiPriority w:val="99"/>
    <w:rsid w:val="00670D14"/>
    <w:rPr>
      <w:rFonts w:cs="Mangal"/>
      <w:sz w:val="20"/>
      <w:szCs w:val="20"/>
    </w:rPr>
  </w:style>
  <w:style w:type="paragraph" w:styleId="a8">
    <w:name w:val="footer"/>
    <w:basedOn w:val="a"/>
    <w:link w:val="a9"/>
    <w:uiPriority w:val="99"/>
    <w:unhideWhenUsed/>
    <w:rsid w:val="00670D14"/>
    <w:pPr>
      <w:widowControl w:val="0"/>
      <w:tabs>
        <w:tab w:val="center" w:pos="4153"/>
        <w:tab w:val="right" w:pos="8306"/>
      </w:tabs>
      <w:snapToGrid w:val="0"/>
    </w:pPr>
    <w:rPr>
      <w:rFonts w:asciiTheme="minorHAnsi" w:hAnsiTheme="minorHAnsi" w:cs="Mangal"/>
      <w:kern w:val="2"/>
      <w:sz w:val="20"/>
      <w:szCs w:val="20"/>
      <w:lang w:val="en-US" w:eastAsia="zh-TW" w:bidi="ar-SA"/>
    </w:rPr>
  </w:style>
  <w:style w:type="character" w:customStyle="1" w:styleId="a9">
    <w:name w:val="頁尾 字元"/>
    <w:basedOn w:val="a0"/>
    <w:link w:val="a8"/>
    <w:uiPriority w:val="99"/>
    <w:rsid w:val="00670D14"/>
    <w:rPr>
      <w:rFonts w:cs="Mangal"/>
      <w:sz w:val="20"/>
      <w:szCs w:val="20"/>
    </w:rPr>
  </w:style>
  <w:style w:type="character" w:styleId="aa">
    <w:name w:val="Emphasis"/>
    <w:basedOn w:val="a0"/>
    <w:uiPriority w:val="20"/>
    <w:qFormat/>
    <w:rsid w:val="00670D14"/>
    <w:rPr>
      <w:rFonts w:cs="Times New Roman"/>
      <w:i/>
      <w:iCs/>
    </w:rPr>
  </w:style>
  <w:style w:type="paragraph" w:styleId="ab">
    <w:name w:val="Revision"/>
    <w:hidden/>
    <w:uiPriority w:val="99"/>
    <w:semiHidden/>
    <w:rsid w:val="00670D14"/>
    <w:rPr>
      <w:rFonts w:cs="Mangal"/>
    </w:rPr>
  </w:style>
  <w:style w:type="character" w:styleId="ac">
    <w:name w:val="annotation reference"/>
    <w:basedOn w:val="a0"/>
    <w:uiPriority w:val="99"/>
    <w:semiHidden/>
    <w:unhideWhenUsed/>
    <w:rsid w:val="00670D14"/>
    <w:rPr>
      <w:rFonts w:cs="Times New Roman"/>
      <w:sz w:val="16"/>
      <w:szCs w:val="16"/>
    </w:rPr>
  </w:style>
  <w:style w:type="paragraph" w:styleId="ad">
    <w:name w:val="annotation text"/>
    <w:basedOn w:val="a"/>
    <w:link w:val="ae"/>
    <w:uiPriority w:val="99"/>
    <w:unhideWhenUsed/>
    <w:rsid w:val="00670D14"/>
    <w:pPr>
      <w:widowControl w:val="0"/>
    </w:pPr>
    <w:rPr>
      <w:rFonts w:asciiTheme="minorHAnsi" w:hAnsiTheme="minorHAnsi" w:cs="Mangal"/>
      <w:kern w:val="2"/>
      <w:sz w:val="20"/>
      <w:szCs w:val="20"/>
      <w:lang w:val="en-US" w:eastAsia="zh-TW" w:bidi="ar-SA"/>
    </w:rPr>
  </w:style>
  <w:style w:type="character" w:customStyle="1" w:styleId="ae">
    <w:name w:val="註解文字 字元"/>
    <w:basedOn w:val="a0"/>
    <w:link w:val="ad"/>
    <w:uiPriority w:val="99"/>
    <w:rsid w:val="00670D14"/>
    <w:rPr>
      <w:rFonts w:cs="Mangal"/>
      <w:sz w:val="20"/>
      <w:szCs w:val="20"/>
    </w:rPr>
  </w:style>
  <w:style w:type="paragraph" w:styleId="af">
    <w:name w:val="annotation subject"/>
    <w:basedOn w:val="ad"/>
    <w:next w:val="ad"/>
    <w:link w:val="af0"/>
    <w:uiPriority w:val="99"/>
    <w:semiHidden/>
    <w:unhideWhenUsed/>
    <w:rsid w:val="00670D14"/>
    <w:rPr>
      <w:b/>
      <w:bCs/>
    </w:rPr>
  </w:style>
  <w:style w:type="character" w:customStyle="1" w:styleId="af0">
    <w:name w:val="註解主旨 字元"/>
    <w:basedOn w:val="ae"/>
    <w:link w:val="af"/>
    <w:uiPriority w:val="99"/>
    <w:semiHidden/>
    <w:rsid w:val="00670D14"/>
    <w:rPr>
      <w:rFonts w:cs="Mangal"/>
      <w:b/>
      <w:bCs/>
      <w:sz w:val="20"/>
      <w:szCs w:val="20"/>
    </w:rPr>
  </w:style>
  <w:style w:type="character" w:styleId="af1">
    <w:name w:val="Hyperlink"/>
    <w:basedOn w:val="a0"/>
    <w:uiPriority w:val="99"/>
    <w:unhideWhenUsed/>
    <w:rsid w:val="00670D14"/>
    <w:rPr>
      <w:rFonts w:cs="Times New Roman"/>
      <w:color w:val="0563C1" w:themeColor="hyperlink"/>
      <w:u w:val="single"/>
    </w:rPr>
  </w:style>
  <w:style w:type="character" w:customStyle="1" w:styleId="11">
    <w:name w:val="未解析的提及1"/>
    <w:basedOn w:val="a0"/>
    <w:uiPriority w:val="99"/>
    <w:semiHidden/>
    <w:unhideWhenUsed/>
    <w:rsid w:val="00670D14"/>
    <w:rPr>
      <w:rFonts w:cs="Times New Roman"/>
      <w:color w:val="605E5C"/>
      <w:shd w:val="clear" w:color="auto" w:fill="E1DFDD"/>
    </w:rPr>
  </w:style>
  <w:style w:type="paragraph" w:styleId="Web">
    <w:name w:val="Normal (Web)"/>
    <w:basedOn w:val="a"/>
    <w:uiPriority w:val="99"/>
    <w:unhideWhenUsed/>
    <w:rsid w:val="00670D14"/>
    <w:pPr>
      <w:spacing w:before="100" w:beforeAutospacing="1" w:after="100" w:afterAutospacing="1"/>
    </w:pPr>
  </w:style>
  <w:style w:type="character" w:customStyle="1" w:styleId="screen-reader-only">
    <w:name w:val="screen-reader-only"/>
    <w:basedOn w:val="a0"/>
    <w:rsid w:val="00670D14"/>
    <w:rPr>
      <w:rFonts w:cs="Times New Roman"/>
    </w:rPr>
  </w:style>
  <w:style w:type="paragraph" w:customStyle="1" w:styleId="EndNoteBibliographyTitle">
    <w:name w:val="EndNote Bibliography Title"/>
    <w:basedOn w:val="a"/>
    <w:link w:val="EndNoteBibliographyTitle0"/>
    <w:rsid w:val="00670D14"/>
    <w:pPr>
      <w:jc w:val="center"/>
    </w:pPr>
    <w:rPr>
      <w:lang w:val="en-GB"/>
    </w:rPr>
  </w:style>
  <w:style w:type="character" w:customStyle="1" w:styleId="EndNoteBibliographyTitle0">
    <w:name w:val="EndNote Bibliography Title 字元"/>
    <w:basedOn w:val="a0"/>
    <w:link w:val="EndNoteBibliographyTitle"/>
    <w:rsid w:val="00670D14"/>
    <w:rPr>
      <w:rFonts w:ascii="Times New Roman" w:hAnsi="Times New Roman" w:cs="Times New Roman"/>
      <w:kern w:val="0"/>
      <w:lang w:val="en-GB" w:eastAsia="en-GB" w:bidi="hi-IN"/>
    </w:rPr>
  </w:style>
  <w:style w:type="paragraph" w:customStyle="1" w:styleId="EndNoteBibliography">
    <w:name w:val="EndNote Bibliography"/>
    <w:basedOn w:val="a"/>
    <w:link w:val="EndNoteBibliography0"/>
    <w:rsid w:val="00670D14"/>
    <w:pPr>
      <w:jc w:val="both"/>
    </w:pPr>
    <w:rPr>
      <w:lang w:val="en-GB"/>
    </w:rPr>
  </w:style>
  <w:style w:type="character" w:customStyle="1" w:styleId="EndNoteBibliography0">
    <w:name w:val="EndNote Bibliography 字元"/>
    <w:basedOn w:val="a0"/>
    <w:link w:val="EndNoteBibliography"/>
    <w:rsid w:val="00670D14"/>
    <w:rPr>
      <w:rFonts w:ascii="Times New Roman" w:hAnsi="Times New Roman" w:cs="Times New Roman"/>
      <w:kern w:val="0"/>
      <w:lang w:val="en-GB" w:eastAsia="en-GB" w:bidi="hi-IN"/>
    </w:rPr>
  </w:style>
  <w:style w:type="paragraph" w:styleId="af2">
    <w:name w:val="List Paragraph"/>
    <w:basedOn w:val="a"/>
    <w:uiPriority w:val="34"/>
    <w:qFormat/>
    <w:rsid w:val="00670D14"/>
    <w:pPr>
      <w:ind w:left="720"/>
      <w:contextualSpacing/>
    </w:pPr>
    <w:rPr>
      <w:rFonts w:asciiTheme="minorHAnsi" w:hAnsiTheme="minorHAnsi" w:cstheme="minorBidi"/>
      <w:szCs w:val="21"/>
      <w:lang w:val="en-US" w:eastAsia="en-US"/>
    </w:rPr>
  </w:style>
  <w:style w:type="character" w:customStyle="1" w:styleId="21">
    <w:name w:val="未解析的提及2"/>
    <w:basedOn w:val="a0"/>
    <w:uiPriority w:val="99"/>
    <w:semiHidden/>
    <w:unhideWhenUsed/>
    <w:rsid w:val="00670D14"/>
    <w:rPr>
      <w:color w:val="605E5C"/>
      <w:shd w:val="clear" w:color="auto" w:fill="E1DFDD"/>
    </w:rPr>
  </w:style>
  <w:style w:type="table" w:styleId="af3">
    <w:name w:val="Table Grid"/>
    <w:basedOn w:val="a1"/>
    <w:uiPriority w:val="59"/>
    <w:rsid w:val="00670D14"/>
    <w:rPr>
      <w:rFonts w:cs="Times New Roman"/>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70D14"/>
    <w:pPr>
      <w:autoSpaceDE w:val="0"/>
      <w:autoSpaceDN w:val="0"/>
      <w:adjustRightInd w:val="0"/>
    </w:pPr>
    <w:rPr>
      <w:rFonts w:ascii="Arial" w:hAnsi="Arial" w:cs="Arial"/>
      <w:color w:val="000000"/>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5013069">
      <w:bodyDiv w:val="1"/>
      <w:marLeft w:val="0"/>
      <w:marRight w:val="0"/>
      <w:marTop w:val="0"/>
      <w:marBottom w:val="0"/>
      <w:divBdr>
        <w:top w:val="none" w:sz="0" w:space="0" w:color="auto"/>
        <w:left w:val="none" w:sz="0" w:space="0" w:color="auto"/>
        <w:bottom w:val="none" w:sz="0" w:space="0" w:color="auto"/>
        <w:right w:val="none" w:sz="0" w:space="0" w:color="auto"/>
      </w:divBdr>
    </w:div>
    <w:div w:id="939607717">
      <w:bodyDiv w:val="1"/>
      <w:marLeft w:val="0"/>
      <w:marRight w:val="0"/>
      <w:marTop w:val="0"/>
      <w:marBottom w:val="0"/>
      <w:divBdr>
        <w:top w:val="none" w:sz="0" w:space="0" w:color="auto"/>
        <w:left w:val="none" w:sz="0" w:space="0" w:color="auto"/>
        <w:bottom w:val="none" w:sz="0" w:space="0" w:color="auto"/>
        <w:right w:val="none" w:sz="0" w:space="0" w:color="auto"/>
      </w:divBdr>
    </w:div>
    <w:div w:id="132431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5902</Words>
  <Characters>33643</Characters>
  <Application>Microsoft Office Word</Application>
  <DocSecurity>0</DocSecurity>
  <Lines>280</Lines>
  <Paragraphs>78</Paragraphs>
  <ScaleCrop>false</ScaleCrop>
  <Company/>
  <LinksUpToDate>false</LinksUpToDate>
  <CharactersWithSpaces>39467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昇峰 蔡</dc:creator>
  <cp:keywords/>
  <dc:description/>
  <cp:lastModifiedBy>昇峰 蔡</cp:lastModifiedBy>
  <cp:revision>2</cp:revision>
  <dcterms:created xsi:type="dcterms:W3CDTF">2022-09-08T13:36:00Z</dcterms:created>
  <dcterms:modified xsi:type="dcterms:W3CDTF">2022-09-08T13:36:00Z</dcterms:modified>
</cp:coreProperties>
</file>