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56950E" w14:textId="77777777" w:rsidR="00537EDA" w:rsidRDefault="00537EDA" w:rsidP="00537EDA">
      <w:pPr>
        <w:spacing w:line="480" w:lineRule="auto"/>
        <w:rPr>
          <w:rFonts w:ascii="Times" w:eastAsia="Times" w:hAnsi="Times" w:cs="Times"/>
          <w:b/>
        </w:rPr>
      </w:pPr>
      <w:r>
        <w:rPr>
          <w:rFonts w:ascii="Times" w:eastAsia="Times" w:hAnsi="Times" w:cs="Times"/>
          <w:b/>
        </w:rPr>
        <w:t xml:space="preserve">A Predictive Ensemble Classifier </w:t>
      </w:r>
      <w:r>
        <w:rPr>
          <w:rFonts w:ascii="Times" w:eastAsia="Times" w:hAnsi="Times" w:cs="Times"/>
          <w:b/>
          <w:color w:val="000000"/>
        </w:rPr>
        <w:t>for the Gene Expression Diagnosis of ASD at Ages 1 to 4 Years</w:t>
      </w:r>
    </w:p>
    <w:p w14:paraId="27A10431" w14:textId="77777777" w:rsidR="00537EDA" w:rsidRDefault="00537EDA" w:rsidP="00537EDA">
      <w:pPr>
        <w:shd w:val="clear" w:color="auto" w:fill="FFFFFF"/>
        <w:spacing w:after="420" w:line="480" w:lineRule="auto"/>
        <w:jc w:val="both"/>
        <w:rPr>
          <w:rFonts w:ascii="Times" w:eastAsia="Times" w:hAnsi="Times" w:cs="Times"/>
          <w:vertAlign w:val="superscript"/>
        </w:rPr>
      </w:pPr>
      <w:r>
        <w:rPr>
          <w:rFonts w:ascii="Times" w:eastAsia="Times" w:hAnsi="Times" w:cs="Times"/>
        </w:rPr>
        <w:t>Bokan Bao</w:t>
      </w:r>
      <w:r>
        <w:rPr>
          <w:rFonts w:ascii="Times" w:eastAsia="Times" w:hAnsi="Times" w:cs="Times"/>
          <w:vertAlign w:val="superscript"/>
        </w:rPr>
        <w:t>1,2,3,</w:t>
      </w:r>
      <w:proofErr w:type="gramStart"/>
      <w:r>
        <w:rPr>
          <w:rFonts w:ascii="Times" w:eastAsia="Times" w:hAnsi="Times" w:cs="Times"/>
          <w:vertAlign w:val="superscript"/>
        </w:rPr>
        <w:t>4,*</w:t>
      </w:r>
      <w:proofErr w:type="gramEnd"/>
      <w:r>
        <w:rPr>
          <w:rFonts w:ascii="Times" w:eastAsia="Times" w:hAnsi="Times" w:cs="Times"/>
        </w:rPr>
        <w:t>, Javad Zahiri</w:t>
      </w:r>
      <w:r>
        <w:rPr>
          <w:rFonts w:ascii="Times" w:eastAsia="Times" w:hAnsi="Times" w:cs="Times"/>
          <w:vertAlign w:val="superscript"/>
        </w:rPr>
        <w:t>1*</w:t>
      </w:r>
      <w:r>
        <w:rPr>
          <w:rFonts w:ascii="Times" w:eastAsia="Times" w:hAnsi="Times" w:cs="Times"/>
        </w:rPr>
        <w:t>, Vahid H. Gazestani</w:t>
      </w:r>
      <w:r>
        <w:rPr>
          <w:rFonts w:ascii="Times" w:eastAsia="Times" w:hAnsi="Times" w:cs="Times"/>
          <w:vertAlign w:val="superscript"/>
        </w:rPr>
        <w:t>1,2*</w:t>
      </w:r>
      <w:r>
        <w:rPr>
          <w:rFonts w:ascii="Times" w:eastAsia="Times" w:hAnsi="Times" w:cs="Times"/>
        </w:rPr>
        <w:t>, Linda Lopez</w:t>
      </w:r>
      <w:r>
        <w:rPr>
          <w:rFonts w:ascii="Times" w:eastAsia="Times" w:hAnsi="Times" w:cs="Times"/>
          <w:vertAlign w:val="superscript"/>
        </w:rPr>
        <w:t>1</w:t>
      </w:r>
      <w:r>
        <w:rPr>
          <w:rFonts w:ascii="Times" w:eastAsia="Times" w:hAnsi="Times" w:cs="Times"/>
        </w:rPr>
        <w:t xml:space="preserve">, </w:t>
      </w:r>
      <w:proofErr w:type="spellStart"/>
      <w:r>
        <w:rPr>
          <w:rFonts w:ascii="Times" w:eastAsia="Times" w:hAnsi="Times" w:cs="Times"/>
        </w:rPr>
        <w:t>Yaqiong</w:t>
      </w:r>
      <w:proofErr w:type="spellEnd"/>
      <w:r>
        <w:rPr>
          <w:rFonts w:ascii="Times" w:eastAsia="Times" w:hAnsi="Times" w:cs="Times"/>
        </w:rPr>
        <w:t xml:space="preserve"> Xiao</w:t>
      </w:r>
      <w:r>
        <w:rPr>
          <w:rFonts w:ascii="Times" w:eastAsia="Times" w:hAnsi="Times" w:cs="Times"/>
          <w:vertAlign w:val="superscript"/>
        </w:rPr>
        <w:t>1,5</w:t>
      </w:r>
      <w:r>
        <w:rPr>
          <w:rFonts w:ascii="Times" w:eastAsia="Times" w:hAnsi="Times" w:cs="Times"/>
        </w:rPr>
        <w:t>, Raphael Kim</w:t>
      </w:r>
      <w:r>
        <w:rPr>
          <w:rFonts w:ascii="Times" w:eastAsia="Times" w:hAnsi="Times" w:cs="Times"/>
          <w:vertAlign w:val="superscript"/>
        </w:rPr>
        <w:t>6,7</w:t>
      </w:r>
      <w:r>
        <w:rPr>
          <w:rFonts w:ascii="Times" w:eastAsia="Times" w:hAnsi="Times" w:cs="Times"/>
        </w:rPr>
        <w:t>, Teresa H. Wen</w:t>
      </w:r>
      <w:r>
        <w:rPr>
          <w:rFonts w:ascii="Times" w:eastAsia="Times" w:hAnsi="Times" w:cs="Times"/>
          <w:vertAlign w:val="superscript"/>
        </w:rPr>
        <w:t>1</w:t>
      </w:r>
      <w:r>
        <w:rPr>
          <w:rFonts w:ascii="Times" w:eastAsia="Times" w:hAnsi="Times" w:cs="Times"/>
        </w:rPr>
        <w:t>, Austin W.T. Chiang</w:t>
      </w:r>
      <w:r>
        <w:rPr>
          <w:rFonts w:ascii="Times" w:eastAsia="Times" w:hAnsi="Times" w:cs="Times"/>
          <w:vertAlign w:val="superscript"/>
        </w:rPr>
        <w:t>1,2</w:t>
      </w:r>
      <w:r>
        <w:rPr>
          <w:rFonts w:ascii="Times" w:eastAsia="Times" w:hAnsi="Times" w:cs="Times"/>
        </w:rPr>
        <w:t>, Srinivasa Nalabolu</w:t>
      </w:r>
      <w:r>
        <w:rPr>
          <w:rFonts w:ascii="Times" w:eastAsia="Times" w:hAnsi="Times" w:cs="Times"/>
          <w:vertAlign w:val="superscript"/>
        </w:rPr>
        <w:t>1</w:t>
      </w:r>
      <w:r>
        <w:rPr>
          <w:rFonts w:ascii="Times" w:eastAsia="Times" w:hAnsi="Times" w:cs="Times"/>
        </w:rPr>
        <w:t>, Karen Pierce</w:t>
      </w:r>
      <w:r>
        <w:rPr>
          <w:rFonts w:ascii="Times" w:eastAsia="Times" w:hAnsi="Times" w:cs="Times"/>
          <w:vertAlign w:val="superscript"/>
        </w:rPr>
        <w:t>1</w:t>
      </w:r>
      <w:r>
        <w:rPr>
          <w:rFonts w:ascii="Times" w:eastAsia="Times" w:hAnsi="Times" w:cs="Times"/>
        </w:rPr>
        <w:t>, Kimberly Robasky</w:t>
      </w:r>
      <w:r>
        <w:rPr>
          <w:rFonts w:ascii="Times" w:eastAsia="Times" w:hAnsi="Times" w:cs="Times"/>
          <w:vertAlign w:val="superscript"/>
        </w:rPr>
        <w:t>7,8,9,10</w:t>
      </w:r>
      <w:r>
        <w:rPr>
          <w:rFonts w:ascii="Times" w:eastAsia="Times" w:hAnsi="Times" w:cs="Times"/>
        </w:rPr>
        <w:t xml:space="preserve">, </w:t>
      </w:r>
      <w:proofErr w:type="spellStart"/>
      <w:r>
        <w:rPr>
          <w:rFonts w:ascii="Times" w:eastAsia="Times" w:hAnsi="Times" w:cs="Times"/>
        </w:rPr>
        <w:t>Tianyun</w:t>
      </w:r>
      <w:proofErr w:type="spellEnd"/>
      <w:r>
        <w:rPr>
          <w:rFonts w:ascii="Times" w:eastAsia="Times" w:hAnsi="Times" w:cs="Times"/>
        </w:rPr>
        <w:t xml:space="preserve"> Wang</w:t>
      </w:r>
      <w:r>
        <w:rPr>
          <w:rFonts w:ascii="Times" w:eastAsia="Times" w:hAnsi="Times" w:cs="Times"/>
          <w:vertAlign w:val="superscript"/>
        </w:rPr>
        <w:t>11,12</w:t>
      </w:r>
      <w:r>
        <w:rPr>
          <w:rFonts w:ascii="Times" w:eastAsia="Times" w:hAnsi="Times" w:cs="Times"/>
        </w:rPr>
        <w:t>, Kendra Hoekzema</w:t>
      </w:r>
      <w:r>
        <w:rPr>
          <w:rFonts w:ascii="Times" w:eastAsia="Times" w:hAnsi="Times" w:cs="Times"/>
          <w:vertAlign w:val="superscript"/>
        </w:rPr>
        <w:t>13</w:t>
      </w:r>
      <w:r>
        <w:rPr>
          <w:rFonts w:ascii="Times" w:eastAsia="Times" w:hAnsi="Times" w:cs="Times"/>
        </w:rPr>
        <w:t>, Evan E. Eichler</w:t>
      </w:r>
      <w:r>
        <w:rPr>
          <w:rFonts w:ascii="Times" w:eastAsia="Times" w:hAnsi="Times" w:cs="Times"/>
          <w:vertAlign w:val="superscript"/>
        </w:rPr>
        <w:t>13,14</w:t>
      </w:r>
      <w:r>
        <w:rPr>
          <w:rFonts w:ascii="Times" w:eastAsia="Times" w:hAnsi="Times" w:cs="Times"/>
        </w:rPr>
        <w:t>, Nathan E. Lewis</w:t>
      </w:r>
      <w:r>
        <w:rPr>
          <w:rFonts w:ascii="Times" w:eastAsia="Times" w:hAnsi="Times" w:cs="Times"/>
          <w:vertAlign w:val="superscript"/>
        </w:rPr>
        <w:t>2,3,4,‡</w:t>
      </w:r>
      <w:r>
        <w:rPr>
          <w:rFonts w:ascii="Times" w:eastAsia="Times" w:hAnsi="Times" w:cs="Times"/>
        </w:rPr>
        <w:t>, Eric Courchesne</w:t>
      </w:r>
      <w:r>
        <w:rPr>
          <w:rFonts w:ascii="Times" w:eastAsia="Times" w:hAnsi="Times" w:cs="Times"/>
          <w:vertAlign w:val="superscript"/>
        </w:rPr>
        <w:t>1,‡</w:t>
      </w:r>
      <w:r>
        <w:rPr>
          <w:rFonts w:ascii="Times" w:eastAsia="Times" w:hAnsi="Times" w:cs="Times"/>
        </w:rPr>
        <w:t xml:space="preserve"> </w:t>
      </w:r>
    </w:p>
    <w:p w14:paraId="672A97ED" w14:textId="77777777" w:rsidR="00537EDA" w:rsidRDefault="00537EDA" w:rsidP="00537EDA">
      <w:pPr>
        <w:pStyle w:val="Heading3"/>
        <w:keepNext w:val="0"/>
        <w:keepLines w:val="0"/>
        <w:shd w:val="clear" w:color="auto" w:fill="FFFFFF"/>
        <w:spacing w:after="120" w:line="479" w:lineRule="auto"/>
        <w:jc w:val="both"/>
        <w:rPr>
          <w:rFonts w:ascii="Times" w:eastAsia="Times" w:hAnsi="Times" w:cs="Times"/>
          <w:sz w:val="24"/>
          <w:szCs w:val="24"/>
        </w:rPr>
      </w:pPr>
      <w:bookmarkStart w:id="0" w:name="_gjdgxs" w:colFirst="0" w:colLast="0"/>
      <w:bookmarkEnd w:id="0"/>
      <w:r>
        <w:rPr>
          <w:rFonts w:ascii="Times" w:eastAsia="Times" w:hAnsi="Times" w:cs="Times"/>
          <w:sz w:val="24"/>
          <w:szCs w:val="24"/>
        </w:rPr>
        <w:t>Affiliations</w:t>
      </w:r>
    </w:p>
    <w:p w14:paraId="68134DEA" w14:textId="77777777" w:rsidR="00537EDA" w:rsidRDefault="00537EDA" w:rsidP="00537EDA">
      <w:pPr>
        <w:numPr>
          <w:ilvl w:val="0"/>
          <w:numId w:val="9"/>
        </w:numPr>
        <w:shd w:val="clear" w:color="auto" w:fill="FFFFFF"/>
        <w:spacing w:line="360" w:lineRule="auto"/>
        <w:rPr>
          <w:rFonts w:ascii="Times" w:eastAsia="Times" w:hAnsi="Times" w:cs="Times"/>
        </w:rPr>
      </w:pPr>
      <w:r>
        <w:rPr>
          <w:rFonts w:ascii="Times" w:eastAsia="Times" w:hAnsi="Times" w:cs="Times"/>
        </w:rPr>
        <w:t>Autism Center of Excellence, Department of Neuroscience, University of California San Diego, La Jolla, CA, USA</w:t>
      </w:r>
      <w:r>
        <w:rPr>
          <w:rFonts w:ascii="Times" w:eastAsia="Times" w:hAnsi="Times" w:cs="Times"/>
        </w:rPr>
        <w:br/>
        <w:t xml:space="preserve">Javad Zahiri, Vahid H. </w:t>
      </w:r>
      <w:proofErr w:type="spellStart"/>
      <w:r>
        <w:rPr>
          <w:rFonts w:ascii="Times" w:eastAsia="Times" w:hAnsi="Times" w:cs="Times"/>
        </w:rPr>
        <w:t>Gazestani</w:t>
      </w:r>
      <w:proofErr w:type="spellEnd"/>
      <w:r>
        <w:rPr>
          <w:rFonts w:ascii="Times" w:eastAsia="Times" w:hAnsi="Times" w:cs="Times"/>
        </w:rPr>
        <w:t xml:space="preserve">, Bokan Bao, </w:t>
      </w:r>
      <w:proofErr w:type="spellStart"/>
      <w:r>
        <w:rPr>
          <w:rFonts w:ascii="Times" w:eastAsia="Times" w:hAnsi="Times" w:cs="Times"/>
        </w:rPr>
        <w:t>Yaqiong</w:t>
      </w:r>
      <w:proofErr w:type="spellEnd"/>
      <w:r>
        <w:rPr>
          <w:rFonts w:ascii="Times" w:eastAsia="Times" w:hAnsi="Times" w:cs="Times"/>
        </w:rPr>
        <w:t xml:space="preserve"> Xiao, Teresa Wen, Srinivasa </w:t>
      </w:r>
      <w:proofErr w:type="spellStart"/>
      <w:r>
        <w:rPr>
          <w:rFonts w:ascii="Times" w:eastAsia="Times" w:hAnsi="Times" w:cs="Times"/>
        </w:rPr>
        <w:t>Nalabolu</w:t>
      </w:r>
      <w:proofErr w:type="spellEnd"/>
      <w:r>
        <w:rPr>
          <w:rFonts w:ascii="Times" w:eastAsia="Times" w:hAnsi="Times" w:cs="Times"/>
        </w:rPr>
        <w:t>, Karen Pierce &amp; Eric Courchesne</w:t>
      </w:r>
    </w:p>
    <w:p w14:paraId="47A0FCA6" w14:textId="77777777" w:rsidR="00537EDA" w:rsidRDefault="00537EDA" w:rsidP="00537EDA">
      <w:pPr>
        <w:numPr>
          <w:ilvl w:val="0"/>
          <w:numId w:val="9"/>
        </w:numPr>
        <w:shd w:val="clear" w:color="auto" w:fill="FFFFFF"/>
        <w:spacing w:line="360" w:lineRule="auto"/>
        <w:rPr>
          <w:rFonts w:ascii="Times" w:eastAsia="Times" w:hAnsi="Times" w:cs="Times"/>
        </w:rPr>
      </w:pPr>
      <w:r>
        <w:rPr>
          <w:rFonts w:ascii="Times" w:eastAsia="Times" w:hAnsi="Times" w:cs="Times"/>
        </w:rPr>
        <w:t>Department of Pediatrics, University of California San Diego, La Jolla, CA, USA</w:t>
      </w:r>
      <w:r>
        <w:rPr>
          <w:rFonts w:ascii="Times" w:eastAsia="Times" w:hAnsi="Times" w:cs="Times"/>
        </w:rPr>
        <w:br/>
        <w:t>Vahid H. Gazestani, Bokan Bao, Austin W.T. Chiang &amp; Nathan E. Lewis</w:t>
      </w:r>
    </w:p>
    <w:p w14:paraId="060942B3" w14:textId="77777777" w:rsidR="00537EDA" w:rsidRDefault="00537EDA" w:rsidP="00537EDA">
      <w:pPr>
        <w:numPr>
          <w:ilvl w:val="0"/>
          <w:numId w:val="9"/>
        </w:numPr>
        <w:shd w:val="clear" w:color="auto" w:fill="FFFFFF"/>
        <w:spacing w:line="360" w:lineRule="auto"/>
        <w:rPr>
          <w:rFonts w:ascii="Times" w:eastAsia="Times" w:hAnsi="Times" w:cs="Times"/>
        </w:rPr>
      </w:pPr>
      <w:r>
        <w:rPr>
          <w:rFonts w:ascii="Times" w:eastAsia="Times" w:hAnsi="Times" w:cs="Times"/>
        </w:rPr>
        <w:t>Bioinformatics and Systems Biology Program, University of California San Diego, La Jolla, CA, USA</w:t>
      </w:r>
      <w:r>
        <w:rPr>
          <w:rFonts w:ascii="Times" w:eastAsia="Times" w:hAnsi="Times" w:cs="Times"/>
        </w:rPr>
        <w:br/>
        <w:t>Bokan Bao &amp; Nathan E. Lewis</w:t>
      </w:r>
    </w:p>
    <w:p w14:paraId="2C509110" w14:textId="77777777" w:rsidR="00537EDA" w:rsidRDefault="00537EDA" w:rsidP="00537EDA">
      <w:pPr>
        <w:numPr>
          <w:ilvl w:val="0"/>
          <w:numId w:val="9"/>
        </w:numPr>
        <w:shd w:val="clear" w:color="auto" w:fill="FFFFFF"/>
        <w:spacing w:line="360" w:lineRule="auto"/>
        <w:rPr>
          <w:rFonts w:ascii="Times" w:eastAsia="Times" w:hAnsi="Times" w:cs="Times"/>
        </w:rPr>
      </w:pPr>
      <w:r>
        <w:rPr>
          <w:rFonts w:ascii="Times" w:eastAsia="Times" w:hAnsi="Times" w:cs="Times"/>
        </w:rPr>
        <w:t>Department of Bioengineering, University of California San Diego, La Jolla, CA, USA</w:t>
      </w:r>
      <w:r>
        <w:rPr>
          <w:rFonts w:ascii="Times" w:eastAsia="Times" w:hAnsi="Times" w:cs="Times"/>
        </w:rPr>
        <w:br/>
        <w:t>Bokan Bao &amp; Nathan E. Lewis</w:t>
      </w:r>
    </w:p>
    <w:p w14:paraId="29D9E9F5" w14:textId="77777777" w:rsidR="00537EDA" w:rsidRDefault="00537EDA" w:rsidP="00537EDA">
      <w:pPr>
        <w:numPr>
          <w:ilvl w:val="0"/>
          <w:numId w:val="9"/>
        </w:numPr>
        <w:shd w:val="clear" w:color="auto" w:fill="FFFFFF"/>
        <w:spacing w:line="360" w:lineRule="auto"/>
        <w:rPr>
          <w:rFonts w:ascii="Times" w:eastAsia="Times" w:hAnsi="Times" w:cs="Times"/>
        </w:rPr>
      </w:pPr>
      <w:r w:rsidRPr="006C3EFF">
        <w:rPr>
          <w:rFonts w:ascii="Times" w:eastAsia="Times" w:hAnsi="Times" w:cs="Times"/>
        </w:rPr>
        <w:t>Center for Language and Brain, Shenzhen Institute of Neuroscience, Shenzhen, China</w:t>
      </w:r>
    </w:p>
    <w:p w14:paraId="27F118FF" w14:textId="77777777" w:rsidR="00537EDA" w:rsidRDefault="00537EDA" w:rsidP="00537EDA">
      <w:pPr>
        <w:shd w:val="clear" w:color="auto" w:fill="FFFFFF"/>
        <w:spacing w:line="360" w:lineRule="auto"/>
        <w:ind w:left="720"/>
        <w:rPr>
          <w:rFonts w:ascii="Times" w:eastAsia="Times" w:hAnsi="Times" w:cs="Times"/>
        </w:rPr>
      </w:pPr>
      <w:proofErr w:type="spellStart"/>
      <w:r>
        <w:rPr>
          <w:rFonts w:ascii="Times" w:eastAsia="Times" w:hAnsi="Times" w:cs="Times"/>
        </w:rPr>
        <w:t>Yaqiong</w:t>
      </w:r>
      <w:proofErr w:type="spellEnd"/>
      <w:r>
        <w:rPr>
          <w:rFonts w:ascii="Times" w:eastAsia="Times" w:hAnsi="Times" w:cs="Times"/>
        </w:rPr>
        <w:t xml:space="preserve"> Xiao</w:t>
      </w:r>
    </w:p>
    <w:p w14:paraId="6758C2EE" w14:textId="77777777" w:rsidR="00537EDA" w:rsidRDefault="00537EDA" w:rsidP="00537EDA">
      <w:pPr>
        <w:numPr>
          <w:ilvl w:val="0"/>
          <w:numId w:val="9"/>
        </w:numPr>
        <w:shd w:val="clear" w:color="auto" w:fill="FFFFFF"/>
        <w:spacing w:line="360" w:lineRule="auto"/>
        <w:rPr>
          <w:rFonts w:ascii="Times" w:eastAsia="Times" w:hAnsi="Times" w:cs="Times"/>
        </w:rPr>
      </w:pPr>
      <w:r>
        <w:rPr>
          <w:rFonts w:ascii="Times" w:eastAsia="Times" w:hAnsi="Times" w:cs="Times"/>
        </w:rPr>
        <w:t>Department of Computer Science, University of North Carolina, Chapel Hill, NC, USA</w:t>
      </w:r>
      <w:r>
        <w:rPr>
          <w:rFonts w:ascii="Times" w:eastAsia="Times" w:hAnsi="Times" w:cs="Times"/>
        </w:rPr>
        <w:br/>
        <w:t>Raphael Kim</w:t>
      </w:r>
    </w:p>
    <w:p w14:paraId="533B0B90" w14:textId="77777777" w:rsidR="00537EDA" w:rsidRDefault="00537EDA" w:rsidP="00537EDA">
      <w:pPr>
        <w:numPr>
          <w:ilvl w:val="0"/>
          <w:numId w:val="9"/>
        </w:numPr>
        <w:shd w:val="clear" w:color="auto" w:fill="FFFFFF"/>
        <w:spacing w:line="360" w:lineRule="auto"/>
        <w:rPr>
          <w:rFonts w:ascii="Times" w:eastAsia="Times" w:hAnsi="Times" w:cs="Times"/>
        </w:rPr>
      </w:pPr>
      <w:r>
        <w:rPr>
          <w:rFonts w:ascii="Times" w:eastAsia="Times" w:hAnsi="Times" w:cs="Times"/>
        </w:rPr>
        <w:t>Renaissance Computing Institute, The University of North Carolina at Chapel Hill, Chapel Hill, NC, USA</w:t>
      </w:r>
      <w:r>
        <w:rPr>
          <w:rFonts w:ascii="Times" w:eastAsia="Times" w:hAnsi="Times" w:cs="Times"/>
        </w:rPr>
        <w:br/>
        <w:t xml:space="preserve">Raphael Kim &amp; Kimberly </w:t>
      </w:r>
      <w:proofErr w:type="spellStart"/>
      <w:r>
        <w:rPr>
          <w:rFonts w:ascii="Times" w:eastAsia="Times" w:hAnsi="Times" w:cs="Times"/>
        </w:rPr>
        <w:t>Robasky</w:t>
      </w:r>
      <w:proofErr w:type="spellEnd"/>
    </w:p>
    <w:p w14:paraId="1B376AC2" w14:textId="77777777" w:rsidR="00537EDA" w:rsidRDefault="00537EDA" w:rsidP="00537EDA">
      <w:pPr>
        <w:numPr>
          <w:ilvl w:val="0"/>
          <w:numId w:val="9"/>
        </w:numPr>
        <w:pBdr>
          <w:bottom w:val="none" w:sz="0" w:space="15" w:color="000000"/>
        </w:pBdr>
        <w:shd w:val="clear" w:color="auto" w:fill="FFFFFF"/>
        <w:spacing w:line="360" w:lineRule="auto"/>
        <w:rPr>
          <w:rFonts w:ascii="Times" w:eastAsia="Times" w:hAnsi="Times" w:cs="Times"/>
        </w:rPr>
      </w:pPr>
      <w:r>
        <w:rPr>
          <w:rFonts w:ascii="Times" w:eastAsia="Times" w:hAnsi="Times" w:cs="Times"/>
        </w:rPr>
        <w:t>Department of Genetics, University of North Carolina at Chapel Hill, Chapel Hill, NC 27514, United States</w:t>
      </w:r>
      <w:r>
        <w:rPr>
          <w:rFonts w:ascii="Times" w:eastAsia="Times" w:hAnsi="Times" w:cs="Times"/>
        </w:rPr>
        <w:br/>
        <w:t xml:space="preserve">Kimberly </w:t>
      </w:r>
      <w:proofErr w:type="spellStart"/>
      <w:r>
        <w:rPr>
          <w:rFonts w:ascii="Times" w:eastAsia="Times" w:hAnsi="Times" w:cs="Times"/>
        </w:rPr>
        <w:t>Robasky</w:t>
      </w:r>
      <w:proofErr w:type="spellEnd"/>
    </w:p>
    <w:p w14:paraId="380746FB" w14:textId="77777777" w:rsidR="00537EDA" w:rsidRDefault="00537EDA" w:rsidP="00537EDA">
      <w:pPr>
        <w:numPr>
          <w:ilvl w:val="0"/>
          <w:numId w:val="9"/>
        </w:numPr>
        <w:pBdr>
          <w:bottom w:val="none" w:sz="0" w:space="15" w:color="000000"/>
        </w:pBdr>
        <w:shd w:val="clear" w:color="auto" w:fill="FFFFFF"/>
        <w:spacing w:line="360" w:lineRule="auto"/>
        <w:rPr>
          <w:rFonts w:ascii="Times" w:eastAsia="Times" w:hAnsi="Times" w:cs="Times"/>
        </w:rPr>
      </w:pPr>
      <w:r>
        <w:rPr>
          <w:rFonts w:ascii="Times" w:eastAsia="Times" w:hAnsi="Times" w:cs="Times"/>
        </w:rPr>
        <w:lastRenderedPageBreak/>
        <w:t>School of Information and Library Science, University of North Carolina at Chapel Hill, Chapel Hill, NC 27599, United States</w:t>
      </w:r>
      <w:r>
        <w:rPr>
          <w:rFonts w:ascii="Times" w:eastAsia="Times" w:hAnsi="Times" w:cs="Times"/>
        </w:rPr>
        <w:br/>
        <w:t xml:space="preserve">Kimberly </w:t>
      </w:r>
      <w:proofErr w:type="spellStart"/>
      <w:r>
        <w:rPr>
          <w:rFonts w:ascii="Times" w:eastAsia="Times" w:hAnsi="Times" w:cs="Times"/>
        </w:rPr>
        <w:t>Robasky</w:t>
      </w:r>
      <w:proofErr w:type="spellEnd"/>
    </w:p>
    <w:p w14:paraId="0A3ACEFF" w14:textId="77777777" w:rsidR="00537EDA" w:rsidRDefault="00537EDA" w:rsidP="00537EDA">
      <w:pPr>
        <w:numPr>
          <w:ilvl w:val="0"/>
          <w:numId w:val="9"/>
        </w:numPr>
        <w:pBdr>
          <w:bottom w:val="none" w:sz="0" w:space="15" w:color="000000"/>
        </w:pBdr>
        <w:shd w:val="clear" w:color="auto" w:fill="FFFFFF"/>
        <w:spacing w:line="360" w:lineRule="auto"/>
        <w:rPr>
          <w:rFonts w:ascii="Times" w:eastAsia="Times" w:hAnsi="Times" w:cs="Times"/>
        </w:rPr>
      </w:pPr>
      <w:r>
        <w:rPr>
          <w:rFonts w:ascii="Times" w:eastAsia="Times" w:hAnsi="Times" w:cs="Times"/>
        </w:rPr>
        <w:t>Carolina Health and Informatics Program, University of North Carolina at Chapel Hill, Chapel Hill, NC 27599, United States</w:t>
      </w:r>
      <w:r>
        <w:rPr>
          <w:rFonts w:ascii="Times" w:eastAsia="Times" w:hAnsi="Times" w:cs="Times"/>
        </w:rPr>
        <w:br/>
        <w:t xml:space="preserve">Kimberly </w:t>
      </w:r>
      <w:proofErr w:type="spellStart"/>
      <w:r>
        <w:rPr>
          <w:rFonts w:ascii="Times" w:eastAsia="Times" w:hAnsi="Times" w:cs="Times"/>
        </w:rPr>
        <w:t>Robasky</w:t>
      </w:r>
      <w:proofErr w:type="spellEnd"/>
    </w:p>
    <w:p w14:paraId="0D23CEE0" w14:textId="77777777" w:rsidR="00537EDA" w:rsidRDefault="00537EDA" w:rsidP="00537EDA">
      <w:pPr>
        <w:numPr>
          <w:ilvl w:val="0"/>
          <w:numId w:val="9"/>
        </w:numPr>
        <w:pBdr>
          <w:bottom w:val="none" w:sz="0" w:space="15" w:color="000000"/>
        </w:pBdr>
        <w:shd w:val="clear" w:color="auto" w:fill="FFFFFF"/>
        <w:spacing w:line="360" w:lineRule="auto"/>
        <w:rPr>
          <w:rFonts w:ascii="Times" w:eastAsia="Times" w:hAnsi="Times" w:cs="Times"/>
        </w:rPr>
      </w:pPr>
      <w:r>
        <w:rPr>
          <w:rFonts w:ascii="Times" w:eastAsia="Times" w:hAnsi="Times" w:cs="Times"/>
        </w:rPr>
        <w:t>Department of Medical Genetics, Center for Medical Genetics, Peking University Health Science Center, Beijing 100191, China</w:t>
      </w:r>
    </w:p>
    <w:p w14:paraId="31C430BB" w14:textId="77777777" w:rsidR="00537EDA" w:rsidRDefault="00537EDA" w:rsidP="00537EDA">
      <w:pPr>
        <w:pBdr>
          <w:bottom w:val="none" w:sz="0" w:space="15" w:color="000000"/>
        </w:pBdr>
        <w:shd w:val="clear" w:color="auto" w:fill="FFFFFF"/>
        <w:spacing w:line="360" w:lineRule="auto"/>
        <w:ind w:left="360"/>
        <w:rPr>
          <w:rFonts w:ascii="Times" w:eastAsia="Times" w:hAnsi="Times" w:cs="Times"/>
        </w:rPr>
      </w:pPr>
      <w:r>
        <w:rPr>
          <w:rFonts w:ascii="Times" w:eastAsia="Times" w:hAnsi="Times" w:cs="Times"/>
        </w:rPr>
        <w:t xml:space="preserve">      </w:t>
      </w:r>
      <w:proofErr w:type="spellStart"/>
      <w:r>
        <w:rPr>
          <w:rFonts w:ascii="Times" w:eastAsia="Times" w:hAnsi="Times" w:cs="Times"/>
        </w:rPr>
        <w:t>Tianyun</w:t>
      </w:r>
      <w:proofErr w:type="spellEnd"/>
      <w:r>
        <w:rPr>
          <w:rFonts w:ascii="Times" w:eastAsia="Times" w:hAnsi="Times" w:cs="Times"/>
        </w:rPr>
        <w:t xml:space="preserve"> Wang</w:t>
      </w:r>
    </w:p>
    <w:p w14:paraId="4E8E491A" w14:textId="77777777" w:rsidR="00537EDA" w:rsidRDefault="00537EDA" w:rsidP="00537EDA">
      <w:pPr>
        <w:numPr>
          <w:ilvl w:val="0"/>
          <w:numId w:val="9"/>
        </w:numPr>
        <w:pBdr>
          <w:bottom w:val="none" w:sz="0" w:space="15" w:color="000000"/>
        </w:pBdr>
        <w:shd w:val="clear" w:color="auto" w:fill="FFFFFF"/>
        <w:spacing w:line="360" w:lineRule="auto"/>
        <w:rPr>
          <w:rFonts w:ascii="Times" w:eastAsia="Times" w:hAnsi="Times" w:cs="Times"/>
        </w:rPr>
      </w:pPr>
      <w:r>
        <w:rPr>
          <w:rFonts w:ascii="Times" w:eastAsia="Times" w:hAnsi="Times" w:cs="Times"/>
        </w:rPr>
        <w:t>Neuroscience Research Institute, Peking University; Key Laboratory for Neuroscience, Ministry of Education of China &amp; National Health Commission of China, Beijing 100191, China</w:t>
      </w:r>
      <w:r>
        <w:rPr>
          <w:rFonts w:ascii="Times" w:eastAsia="Times" w:hAnsi="Times" w:cs="Times"/>
        </w:rPr>
        <w:br/>
      </w:r>
      <w:proofErr w:type="spellStart"/>
      <w:r>
        <w:rPr>
          <w:rFonts w:ascii="Times" w:eastAsia="Times" w:hAnsi="Times" w:cs="Times"/>
          <w:color w:val="000000"/>
        </w:rPr>
        <w:t>Tianyun</w:t>
      </w:r>
      <w:proofErr w:type="spellEnd"/>
      <w:r>
        <w:rPr>
          <w:rFonts w:ascii="Times" w:eastAsia="Times" w:hAnsi="Times" w:cs="Times"/>
          <w:color w:val="000000"/>
        </w:rPr>
        <w:t xml:space="preserve"> Wang</w:t>
      </w:r>
    </w:p>
    <w:p w14:paraId="43975C1D" w14:textId="77777777" w:rsidR="00537EDA" w:rsidRDefault="00537EDA" w:rsidP="00537EDA">
      <w:pPr>
        <w:numPr>
          <w:ilvl w:val="0"/>
          <w:numId w:val="9"/>
        </w:numPr>
        <w:pBdr>
          <w:bottom w:val="none" w:sz="0" w:space="15" w:color="000000"/>
        </w:pBdr>
        <w:shd w:val="clear" w:color="auto" w:fill="FFFFFF"/>
        <w:spacing w:line="360" w:lineRule="auto"/>
        <w:rPr>
          <w:rFonts w:ascii="Times" w:eastAsia="Times" w:hAnsi="Times" w:cs="Times"/>
        </w:rPr>
      </w:pPr>
      <w:r>
        <w:rPr>
          <w:rFonts w:ascii="Times" w:eastAsia="Times" w:hAnsi="Times" w:cs="Times"/>
        </w:rPr>
        <w:t>Department of Genome Sciences, University of Washington School of Medicine, Seattle, WA 98195, USA</w:t>
      </w:r>
      <w:r>
        <w:rPr>
          <w:rFonts w:ascii="Times" w:eastAsia="Times" w:hAnsi="Times" w:cs="Times"/>
        </w:rPr>
        <w:br/>
        <w:t xml:space="preserve">Kendra </w:t>
      </w:r>
      <w:proofErr w:type="spellStart"/>
      <w:r>
        <w:rPr>
          <w:rFonts w:ascii="Times" w:eastAsia="Times" w:hAnsi="Times" w:cs="Times"/>
        </w:rPr>
        <w:t>Hoekzema</w:t>
      </w:r>
      <w:proofErr w:type="spellEnd"/>
      <w:r>
        <w:rPr>
          <w:rFonts w:ascii="Times" w:eastAsia="Times" w:hAnsi="Times" w:cs="Times"/>
        </w:rPr>
        <w:t xml:space="preserve"> &amp; Evan E. Eichler</w:t>
      </w:r>
    </w:p>
    <w:p w14:paraId="20B58D11" w14:textId="77777777" w:rsidR="00537EDA" w:rsidRDefault="00537EDA" w:rsidP="00537EDA">
      <w:pPr>
        <w:numPr>
          <w:ilvl w:val="0"/>
          <w:numId w:val="9"/>
        </w:numPr>
        <w:pBdr>
          <w:bottom w:val="none" w:sz="0" w:space="15" w:color="000000"/>
        </w:pBdr>
        <w:shd w:val="clear" w:color="auto" w:fill="FFFFFF"/>
        <w:spacing w:line="360" w:lineRule="auto"/>
        <w:rPr>
          <w:rFonts w:ascii="Times" w:eastAsia="Times" w:hAnsi="Times" w:cs="Times"/>
        </w:rPr>
      </w:pPr>
      <w:r>
        <w:rPr>
          <w:rFonts w:ascii="Times" w:eastAsia="Times" w:hAnsi="Times" w:cs="Times"/>
        </w:rPr>
        <w:t>Howard Hughes Medical Institute, University of Washington, Seattle, WA 98195, USA</w:t>
      </w:r>
    </w:p>
    <w:p w14:paraId="6FF1986B" w14:textId="77777777" w:rsidR="00537EDA" w:rsidRDefault="00537EDA" w:rsidP="00537EDA">
      <w:pPr>
        <w:pBdr>
          <w:bottom w:val="none" w:sz="0" w:space="15" w:color="000000"/>
        </w:pBdr>
        <w:shd w:val="clear" w:color="auto" w:fill="FFFFFF"/>
        <w:spacing w:line="360" w:lineRule="auto"/>
        <w:ind w:left="360" w:firstLine="360"/>
        <w:rPr>
          <w:rFonts w:ascii="Times" w:eastAsia="Times" w:hAnsi="Times" w:cs="Times"/>
        </w:rPr>
      </w:pPr>
      <w:r>
        <w:rPr>
          <w:rFonts w:ascii="Times" w:eastAsia="Times" w:hAnsi="Times" w:cs="Times"/>
        </w:rPr>
        <w:t>Evan E. Eichler</w:t>
      </w:r>
    </w:p>
    <w:p w14:paraId="791A2BB7" w14:textId="77777777" w:rsidR="00223661" w:rsidRDefault="00223661" w:rsidP="00223661">
      <w:pPr>
        <w:shd w:val="clear" w:color="auto" w:fill="FFFFFF"/>
        <w:spacing w:line="480" w:lineRule="auto"/>
        <w:jc w:val="both"/>
        <w:rPr>
          <w:rFonts w:ascii="Times" w:eastAsia="Times" w:hAnsi="Times" w:cs="Times"/>
        </w:rPr>
      </w:pPr>
      <w:r>
        <w:rPr>
          <w:rFonts w:ascii="Times" w:eastAsia="Times" w:hAnsi="Times" w:cs="Times"/>
        </w:rPr>
        <w:t>*These first authors contributed equally: Bokan Bao, Javad Zahiri, and Vahid H. Gazestani</w:t>
      </w:r>
    </w:p>
    <w:p w14:paraId="7C0BF9EC" w14:textId="77777777" w:rsidR="00223661" w:rsidRDefault="00223661" w:rsidP="00223661">
      <w:pPr>
        <w:shd w:val="clear" w:color="auto" w:fill="FFFFFF"/>
        <w:spacing w:line="480" w:lineRule="auto"/>
        <w:jc w:val="both"/>
        <w:rPr>
          <w:rFonts w:ascii="Times" w:eastAsia="Times" w:hAnsi="Times" w:cs="Times"/>
        </w:rPr>
      </w:pPr>
      <w:r>
        <w:rPr>
          <w:rFonts w:ascii="Times" w:eastAsia="Times" w:hAnsi="Times" w:cs="Times"/>
        </w:rPr>
        <w:t>‡ Corresponding co-equal Senior authors are Nathan E. Lewis and Eric Courchesne</w:t>
      </w:r>
    </w:p>
    <w:p w14:paraId="727FC90B" w14:textId="77777777" w:rsidR="00223661" w:rsidRDefault="00223661" w:rsidP="00223661">
      <w:pPr>
        <w:shd w:val="clear" w:color="auto" w:fill="FFFFFF"/>
        <w:spacing w:line="480" w:lineRule="auto"/>
        <w:jc w:val="both"/>
        <w:rPr>
          <w:rFonts w:ascii="Times" w:eastAsia="Times" w:hAnsi="Times" w:cs="Times"/>
        </w:rPr>
      </w:pPr>
      <w:r>
        <w:rPr>
          <w:rFonts w:ascii="Times" w:eastAsia="Times" w:hAnsi="Times" w:cs="Times"/>
        </w:rPr>
        <w:t>Names: Nathan E. Lewis</w:t>
      </w:r>
    </w:p>
    <w:p w14:paraId="2B50A402" w14:textId="77777777" w:rsidR="00223661" w:rsidRDefault="00223661" w:rsidP="00223661">
      <w:pPr>
        <w:shd w:val="clear" w:color="auto" w:fill="FFFFFF"/>
        <w:spacing w:line="480" w:lineRule="auto"/>
        <w:jc w:val="both"/>
        <w:rPr>
          <w:rFonts w:ascii="Times" w:eastAsia="Times" w:hAnsi="Times" w:cs="Times"/>
        </w:rPr>
      </w:pPr>
      <w:r>
        <w:rPr>
          <w:rFonts w:ascii="Times" w:eastAsia="Times" w:hAnsi="Times" w:cs="Times"/>
        </w:rPr>
        <w:t>Address: 9500 Gilman Drive MC 0760, La Jolla, CA 92093</w:t>
      </w:r>
    </w:p>
    <w:p w14:paraId="4FB0A1B0" w14:textId="77777777" w:rsidR="00223661" w:rsidRDefault="00223661" w:rsidP="00223661">
      <w:pPr>
        <w:shd w:val="clear" w:color="auto" w:fill="FFFFFF"/>
        <w:spacing w:line="480" w:lineRule="auto"/>
        <w:jc w:val="both"/>
        <w:rPr>
          <w:rFonts w:ascii="Times" w:eastAsia="Times" w:hAnsi="Times" w:cs="Times"/>
        </w:rPr>
      </w:pPr>
      <w:r>
        <w:rPr>
          <w:rFonts w:ascii="Times" w:eastAsia="Times" w:hAnsi="Times" w:cs="Times"/>
        </w:rPr>
        <w:t>E-mail: nlewisres@ucsd.edu</w:t>
      </w:r>
    </w:p>
    <w:p w14:paraId="4637C949" w14:textId="77777777" w:rsidR="00223661" w:rsidRDefault="00223661" w:rsidP="00223661">
      <w:pPr>
        <w:shd w:val="clear" w:color="auto" w:fill="FFFFFF"/>
        <w:spacing w:line="480" w:lineRule="auto"/>
        <w:jc w:val="both"/>
        <w:rPr>
          <w:rFonts w:ascii="Times" w:eastAsia="Times" w:hAnsi="Times" w:cs="Times"/>
        </w:rPr>
      </w:pPr>
      <w:r>
        <w:rPr>
          <w:rFonts w:ascii="Times" w:eastAsia="Times" w:hAnsi="Times" w:cs="Times"/>
        </w:rPr>
        <w:t>Name: Eric Courchesne</w:t>
      </w:r>
    </w:p>
    <w:p w14:paraId="6531C205" w14:textId="77777777" w:rsidR="00223661" w:rsidRDefault="00223661" w:rsidP="00223661">
      <w:pPr>
        <w:shd w:val="clear" w:color="auto" w:fill="FFFFFF"/>
        <w:spacing w:line="480" w:lineRule="auto"/>
        <w:jc w:val="both"/>
        <w:rPr>
          <w:rFonts w:ascii="Times" w:eastAsia="Times" w:hAnsi="Times" w:cs="Times"/>
        </w:rPr>
      </w:pPr>
      <w:r>
        <w:rPr>
          <w:rFonts w:ascii="Times" w:eastAsia="Times" w:hAnsi="Times" w:cs="Times"/>
        </w:rPr>
        <w:t>Address: 8110 La Jolla Shores Dr #201, La Jolla, CA 92037</w:t>
      </w:r>
    </w:p>
    <w:p w14:paraId="40ED251D" w14:textId="77777777" w:rsidR="00223661" w:rsidRDefault="00223661" w:rsidP="00223661">
      <w:pPr>
        <w:shd w:val="clear" w:color="auto" w:fill="FFFFFF"/>
        <w:spacing w:line="480" w:lineRule="auto"/>
        <w:jc w:val="both"/>
        <w:rPr>
          <w:rFonts w:ascii="Times" w:eastAsia="Times" w:hAnsi="Times" w:cs="Times"/>
          <w:b/>
        </w:rPr>
      </w:pPr>
      <w:r>
        <w:rPr>
          <w:rFonts w:ascii="Times" w:eastAsia="Times" w:hAnsi="Times" w:cs="Times"/>
        </w:rPr>
        <w:t>E-mail: ecourchesne1949@gmail.com</w:t>
      </w:r>
    </w:p>
    <w:p w14:paraId="64D99BCB" w14:textId="77777777" w:rsidR="00223661" w:rsidRDefault="00223661" w:rsidP="00223661"/>
    <w:p w14:paraId="6CAEE4C6" w14:textId="77777777" w:rsidR="00B8635B" w:rsidRDefault="000B53CC">
      <w:pPr>
        <w:spacing w:line="480" w:lineRule="auto"/>
        <w:jc w:val="both"/>
        <w:rPr>
          <w:b/>
        </w:rPr>
      </w:pPr>
      <w:r>
        <w:rPr>
          <w:b/>
        </w:rPr>
        <w:t xml:space="preserve"> </w:t>
      </w:r>
      <w:r>
        <w:br w:type="page"/>
      </w:r>
    </w:p>
    <w:p w14:paraId="0C8B7C04" w14:textId="77777777" w:rsidR="00B8635B" w:rsidRDefault="000B53CC">
      <w:pPr>
        <w:spacing w:line="480" w:lineRule="auto"/>
        <w:rPr>
          <w:b/>
        </w:rPr>
      </w:pPr>
      <w:r>
        <w:rPr>
          <w:b/>
        </w:rPr>
        <w:lastRenderedPageBreak/>
        <w:t>Content</w:t>
      </w:r>
    </w:p>
    <w:p w14:paraId="5E215123" w14:textId="77777777" w:rsidR="00B8635B" w:rsidRDefault="000B53CC">
      <w:pPr>
        <w:spacing w:line="480" w:lineRule="auto"/>
      </w:pPr>
      <w:proofErr w:type="spellStart"/>
      <w:r>
        <w:rPr>
          <w:b/>
        </w:rPr>
        <w:t>eResult</w:t>
      </w:r>
      <w:proofErr w:type="spellEnd"/>
      <w:r>
        <w:rPr>
          <w:b/>
        </w:rPr>
        <w:t xml:space="preserve"> 1 </w:t>
      </w:r>
      <w:r>
        <w:rPr>
          <w:color w:val="0E101A"/>
        </w:rPr>
        <w:t xml:space="preserve">Validation of Independent </w:t>
      </w:r>
      <w:r>
        <w:t>Replication</w:t>
      </w:r>
      <w:r>
        <w:rPr>
          <w:color w:val="0E101A"/>
        </w:rPr>
        <w:t xml:space="preserve"> dataset</w:t>
      </w:r>
    </w:p>
    <w:p w14:paraId="3F328195" w14:textId="77777777" w:rsidR="00B8635B" w:rsidRDefault="000B53CC">
      <w:pPr>
        <w:spacing w:line="480" w:lineRule="auto"/>
      </w:pPr>
      <w:proofErr w:type="spellStart"/>
      <w:r>
        <w:rPr>
          <w:b/>
        </w:rPr>
        <w:t>eResult</w:t>
      </w:r>
      <w:proofErr w:type="spellEnd"/>
      <w:r>
        <w:rPr>
          <w:b/>
        </w:rPr>
        <w:t xml:space="preserve"> 2 </w:t>
      </w:r>
      <w:r>
        <w:t>Result and parameter setting on the baseline Random Forest model</w:t>
      </w:r>
    </w:p>
    <w:p w14:paraId="0FA2111E" w14:textId="77777777" w:rsidR="00B8635B" w:rsidRDefault="00B8635B">
      <w:pPr>
        <w:spacing w:line="480" w:lineRule="auto"/>
      </w:pPr>
    </w:p>
    <w:p w14:paraId="57775329" w14:textId="34FB2CD9" w:rsidR="00B8635B" w:rsidRDefault="000B53CC">
      <w:pPr>
        <w:spacing w:line="480" w:lineRule="auto"/>
        <w:rPr>
          <w:b/>
        </w:rPr>
      </w:pPr>
      <w:r>
        <w:rPr>
          <w:b/>
        </w:rPr>
        <w:t>Supplementa</w:t>
      </w:r>
      <w:r w:rsidR="00802FC1">
        <w:rPr>
          <w:b/>
        </w:rPr>
        <w:t>ry</w:t>
      </w:r>
      <w:r>
        <w:rPr>
          <w:b/>
        </w:rPr>
        <w:t xml:space="preserve"> Figure 1</w:t>
      </w:r>
    </w:p>
    <w:p w14:paraId="17BE2CA1" w14:textId="4BB23B1D" w:rsidR="00B8635B" w:rsidRDefault="000B53CC">
      <w:pPr>
        <w:spacing w:line="480" w:lineRule="auto"/>
        <w:rPr>
          <w:b/>
        </w:rPr>
      </w:pPr>
      <w:r>
        <w:rPr>
          <w:b/>
        </w:rPr>
        <w:t>Supplementa</w:t>
      </w:r>
      <w:r w:rsidR="00802FC1">
        <w:rPr>
          <w:b/>
        </w:rPr>
        <w:t>ry</w:t>
      </w:r>
      <w:r>
        <w:rPr>
          <w:b/>
        </w:rPr>
        <w:t xml:space="preserve"> Figure 2</w:t>
      </w:r>
    </w:p>
    <w:p w14:paraId="75C2E311" w14:textId="27CB52D3" w:rsidR="00B8635B" w:rsidRDefault="000B53CC">
      <w:pPr>
        <w:spacing w:line="480" w:lineRule="auto"/>
        <w:rPr>
          <w:b/>
        </w:rPr>
      </w:pPr>
      <w:r>
        <w:rPr>
          <w:b/>
        </w:rPr>
        <w:t>Supplementa</w:t>
      </w:r>
      <w:r w:rsidR="00802FC1">
        <w:rPr>
          <w:b/>
        </w:rPr>
        <w:t>ry</w:t>
      </w:r>
      <w:r>
        <w:rPr>
          <w:b/>
        </w:rPr>
        <w:t xml:space="preserve"> Figure 3</w:t>
      </w:r>
    </w:p>
    <w:p w14:paraId="508E076C" w14:textId="6735740D" w:rsidR="00B8635B" w:rsidRDefault="000B53CC">
      <w:pPr>
        <w:spacing w:line="480" w:lineRule="auto"/>
        <w:rPr>
          <w:b/>
        </w:rPr>
      </w:pPr>
      <w:r>
        <w:rPr>
          <w:b/>
        </w:rPr>
        <w:t>Supplementa</w:t>
      </w:r>
      <w:r w:rsidR="00802FC1">
        <w:rPr>
          <w:b/>
        </w:rPr>
        <w:t>ry</w:t>
      </w:r>
      <w:r>
        <w:rPr>
          <w:b/>
        </w:rPr>
        <w:t xml:space="preserve"> Figure 4</w:t>
      </w:r>
    </w:p>
    <w:p w14:paraId="73BFAB00" w14:textId="119041AE" w:rsidR="00B8635B" w:rsidRDefault="000B53CC">
      <w:pPr>
        <w:spacing w:line="480" w:lineRule="auto"/>
        <w:rPr>
          <w:b/>
        </w:rPr>
      </w:pPr>
      <w:r>
        <w:rPr>
          <w:b/>
        </w:rPr>
        <w:t>Supplementa</w:t>
      </w:r>
      <w:r w:rsidR="00802FC1">
        <w:rPr>
          <w:b/>
        </w:rPr>
        <w:t>ry</w:t>
      </w:r>
      <w:r>
        <w:rPr>
          <w:b/>
        </w:rPr>
        <w:t xml:space="preserve"> Figure 5</w:t>
      </w:r>
    </w:p>
    <w:p w14:paraId="1B100701" w14:textId="0D17F666" w:rsidR="00B8635B" w:rsidRDefault="000B53CC">
      <w:pPr>
        <w:spacing w:line="480" w:lineRule="auto"/>
        <w:rPr>
          <w:b/>
        </w:rPr>
      </w:pPr>
      <w:r>
        <w:rPr>
          <w:b/>
        </w:rPr>
        <w:t>Supplementa</w:t>
      </w:r>
      <w:r w:rsidR="00802FC1">
        <w:rPr>
          <w:b/>
        </w:rPr>
        <w:t>ry</w:t>
      </w:r>
      <w:r>
        <w:rPr>
          <w:b/>
        </w:rPr>
        <w:t xml:space="preserve"> Figure 6</w:t>
      </w:r>
    </w:p>
    <w:p w14:paraId="50E96956" w14:textId="226CE726" w:rsidR="00B8635B" w:rsidRDefault="000B53CC">
      <w:pPr>
        <w:spacing w:line="480" w:lineRule="auto"/>
        <w:rPr>
          <w:b/>
        </w:rPr>
      </w:pPr>
      <w:r>
        <w:rPr>
          <w:b/>
        </w:rPr>
        <w:t>Supplementa</w:t>
      </w:r>
      <w:r w:rsidR="00802FC1">
        <w:rPr>
          <w:b/>
        </w:rPr>
        <w:t>ry</w:t>
      </w:r>
      <w:r>
        <w:rPr>
          <w:b/>
        </w:rPr>
        <w:t xml:space="preserve"> Figure 7</w:t>
      </w:r>
    </w:p>
    <w:p w14:paraId="3DABD5D0" w14:textId="7266CBA7" w:rsidR="00802FC1" w:rsidRDefault="00802FC1">
      <w:pPr>
        <w:spacing w:line="480" w:lineRule="auto"/>
        <w:rPr>
          <w:b/>
        </w:rPr>
      </w:pPr>
      <w:r>
        <w:rPr>
          <w:b/>
        </w:rPr>
        <w:t>Supplementary Figure 8</w:t>
      </w:r>
    </w:p>
    <w:p w14:paraId="257AD605" w14:textId="77777777" w:rsidR="00B8635B" w:rsidRDefault="00B8635B">
      <w:pPr>
        <w:spacing w:line="480" w:lineRule="auto"/>
      </w:pPr>
    </w:p>
    <w:p w14:paraId="7471461F" w14:textId="77777777" w:rsidR="00B8635B" w:rsidRDefault="000B53CC">
      <w:pPr>
        <w:spacing w:line="480" w:lineRule="auto"/>
        <w:rPr>
          <w:b/>
        </w:rPr>
      </w:pPr>
      <w:r>
        <w:br w:type="page"/>
      </w:r>
    </w:p>
    <w:p w14:paraId="389BF7F7" w14:textId="77777777" w:rsidR="00B8635B" w:rsidRDefault="000B53CC">
      <w:pPr>
        <w:spacing w:line="480" w:lineRule="auto"/>
        <w:rPr>
          <w:b/>
        </w:rPr>
      </w:pPr>
      <w:r>
        <w:rPr>
          <w:b/>
        </w:rPr>
        <w:lastRenderedPageBreak/>
        <w:t xml:space="preserve">Supplementary Method </w:t>
      </w:r>
    </w:p>
    <w:p w14:paraId="52849D5D" w14:textId="77777777" w:rsidR="00B8635B" w:rsidRDefault="000B53CC">
      <w:pPr>
        <w:spacing w:line="480" w:lineRule="auto"/>
        <w:jc w:val="both"/>
        <w:rPr>
          <w:rFonts w:ascii="Times" w:eastAsia="Times" w:hAnsi="Times" w:cs="Times"/>
          <w:b/>
          <w:color w:val="0E101A"/>
        </w:rPr>
      </w:pPr>
      <w:r>
        <w:rPr>
          <w:rFonts w:ascii="Times" w:eastAsia="Times" w:hAnsi="Times" w:cs="Times"/>
          <w:b/>
          <w:color w:val="0E101A"/>
        </w:rPr>
        <w:t>1. The supplementary detail for the classifier pipeline’s feature selection and feature reduction</w:t>
      </w:r>
    </w:p>
    <w:p w14:paraId="4495E26F" w14:textId="77777777" w:rsidR="00B8635B" w:rsidRDefault="000B53CC">
      <w:pPr>
        <w:spacing w:line="480" w:lineRule="auto"/>
        <w:ind w:firstLine="360"/>
      </w:pPr>
      <w:r>
        <w:rPr>
          <w:rFonts w:ascii="Times" w:eastAsia="Times" w:hAnsi="Times" w:cs="Times"/>
          <w:color w:val="0E101A"/>
        </w:rPr>
        <w:t xml:space="preserve">On the second step (Supplementary Fig. 1), feature selection, included seven groups of methods. These seven groups are no (no action), </w:t>
      </w:r>
      <w:proofErr w:type="spellStart"/>
      <w:r>
        <w:rPr>
          <w:rFonts w:ascii="Times" w:eastAsia="Times" w:hAnsi="Times" w:cs="Times"/>
          <w:color w:val="0E101A"/>
        </w:rPr>
        <w:t>grn</w:t>
      </w:r>
      <w:proofErr w:type="spellEnd"/>
      <w:r>
        <w:fldChar w:fldCharType="begin"/>
      </w:r>
      <w:r>
        <w:instrText>HYPERLINK "https://paperpile.com/c/KFPJBI/giiwr" \h</w:instrText>
      </w:r>
      <w:r>
        <w:fldChar w:fldCharType="separate"/>
      </w:r>
      <w:r>
        <w:rPr>
          <w:rFonts w:ascii="Times" w:eastAsia="Times" w:hAnsi="Times" w:cs="Times"/>
          <w:color w:val="000000"/>
        </w:rPr>
        <w:t>[1]</w:t>
      </w:r>
      <w:r>
        <w:rPr>
          <w:rFonts w:ascii="Times" w:eastAsia="Times" w:hAnsi="Times" w:cs="Times"/>
          <w:color w:val="000000"/>
        </w:rPr>
        <w:fldChar w:fldCharType="end"/>
      </w:r>
      <w:r>
        <w:rPr>
          <w:rFonts w:ascii="Times" w:eastAsia="Times" w:hAnsi="Times" w:cs="Times"/>
          <w:color w:val="0E101A"/>
        </w:rPr>
        <w:t xml:space="preserve"> (genetic regulatory network), z-score, </w:t>
      </w:r>
      <w:proofErr w:type="spellStart"/>
      <w:r>
        <w:rPr>
          <w:rFonts w:ascii="Times" w:eastAsia="Times" w:hAnsi="Times" w:cs="Times"/>
          <w:color w:val="0E101A"/>
        </w:rPr>
        <w:t>selectV</w:t>
      </w:r>
      <w:proofErr w:type="spellEnd"/>
      <w:r>
        <w:fldChar w:fldCharType="begin"/>
      </w:r>
      <w:r>
        <w:instrText>HYPERLINK "https://paperpile.com/c/KFPJBI/ZqxLa" \h</w:instrText>
      </w:r>
      <w:r>
        <w:fldChar w:fldCharType="separate"/>
      </w:r>
      <w:r>
        <w:rPr>
          <w:rFonts w:ascii="Times" w:eastAsia="Times" w:hAnsi="Times" w:cs="Times"/>
          <w:color w:val="000000"/>
        </w:rPr>
        <w:t>[2]</w:t>
      </w:r>
      <w:r>
        <w:rPr>
          <w:rFonts w:ascii="Times" w:eastAsia="Times" w:hAnsi="Times" w:cs="Times"/>
          <w:color w:val="000000"/>
        </w:rPr>
        <w:fldChar w:fldCharType="end"/>
      </w:r>
      <w:r>
        <w:rPr>
          <w:rFonts w:ascii="Times" w:eastAsia="Times" w:hAnsi="Times" w:cs="Times"/>
          <w:color w:val="0E101A"/>
        </w:rPr>
        <w:t xml:space="preserve">, </w:t>
      </w:r>
      <w:proofErr w:type="spellStart"/>
      <w:r>
        <w:rPr>
          <w:rFonts w:ascii="Times" w:eastAsia="Times" w:hAnsi="Times" w:cs="Times"/>
          <w:color w:val="0E101A"/>
        </w:rPr>
        <w:t>svm</w:t>
      </w:r>
      <w:proofErr w:type="spellEnd"/>
      <w:r>
        <w:fldChar w:fldCharType="begin"/>
      </w:r>
      <w:r>
        <w:instrText>HYPERLINK "https://paperpile.com/c/KFPJBI/gDG1i" \h</w:instrText>
      </w:r>
      <w:r>
        <w:fldChar w:fldCharType="separate"/>
      </w:r>
      <w:r>
        <w:rPr>
          <w:rFonts w:ascii="Times" w:eastAsia="Times" w:hAnsi="Times" w:cs="Times"/>
          <w:color w:val="000000"/>
        </w:rPr>
        <w:t>[3]</w:t>
      </w:r>
      <w:r>
        <w:rPr>
          <w:rFonts w:ascii="Times" w:eastAsia="Times" w:hAnsi="Times" w:cs="Times"/>
          <w:color w:val="000000"/>
        </w:rPr>
        <w:fldChar w:fldCharType="end"/>
      </w:r>
      <w:r>
        <w:rPr>
          <w:rFonts w:ascii="Times" w:eastAsia="Times" w:hAnsi="Times" w:cs="Times"/>
          <w:color w:val="0E101A"/>
        </w:rPr>
        <w:t>, GSEA</w:t>
      </w:r>
      <w:hyperlink r:id="rId7">
        <w:r>
          <w:rPr>
            <w:rFonts w:ascii="Times" w:eastAsia="Times" w:hAnsi="Times" w:cs="Times"/>
            <w:color w:val="000000"/>
          </w:rPr>
          <w:t>[4]</w:t>
        </w:r>
      </w:hyperlink>
      <w:r>
        <w:rPr>
          <w:rFonts w:ascii="Times" w:eastAsia="Times" w:hAnsi="Times" w:cs="Times"/>
          <w:color w:val="0E101A"/>
        </w:rPr>
        <w:t>, DE-analysis</w:t>
      </w:r>
      <w:hyperlink r:id="rId8">
        <w:r>
          <w:rPr>
            <w:rFonts w:ascii="Times" w:eastAsia="Times" w:hAnsi="Times" w:cs="Times"/>
            <w:color w:val="000000"/>
          </w:rPr>
          <w:t>[5]</w:t>
        </w:r>
      </w:hyperlink>
      <w:r>
        <w:rPr>
          <w:rFonts w:ascii="Times" w:eastAsia="Times" w:hAnsi="Times" w:cs="Times"/>
          <w:color w:val="0E101A"/>
        </w:rPr>
        <w:t>.</w:t>
      </w:r>
      <w:r>
        <w:t xml:space="preserve"> </w:t>
      </w:r>
      <w:r>
        <w:rPr>
          <w:rFonts w:ascii="Times" w:eastAsia="Times" w:hAnsi="Times" w:cs="Times"/>
          <w:color w:val="0E101A"/>
        </w:rPr>
        <w:t xml:space="preserve">The </w:t>
      </w:r>
      <w:proofErr w:type="spellStart"/>
      <w:r>
        <w:rPr>
          <w:rFonts w:ascii="Times" w:eastAsia="Times" w:hAnsi="Times" w:cs="Times"/>
          <w:color w:val="0E101A"/>
        </w:rPr>
        <w:t>Grn</w:t>
      </w:r>
      <w:proofErr w:type="spellEnd"/>
      <w:r>
        <w:rPr>
          <w:rFonts w:ascii="Times" w:eastAsia="Times" w:hAnsi="Times" w:cs="Times"/>
          <w:color w:val="0E101A"/>
        </w:rPr>
        <w:t xml:space="preserve"> group has 14 methods, based on gene regulatory network analysis. The Z-score group has 4 methods for selecting features with high z-score variance. It picks the features with variance in the first quartile and then selects features within the 3rd quartile of the context likelihood of relatedness. The </w:t>
      </w:r>
      <w:proofErr w:type="spellStart"/>
      <w:r>
        <w:rPr>
          <w:rFonts w:ascii="Times" w:eastAsia="Times" w:hAnsi="Times" w:cs="Times"/>
          <w:color w:val="0E101A"/>
        </w:rPr>
        <w:t>SelectV</w:t>
      </w:r>
      <w:proofErr w:type="spellEnd"/>
      <w:r>
        <w:rPr>
          <w:rFonts w:ascii="Times" w:eastAsia="Times" w:hAnsi="Times" w:cs="Times"/>
          <w:color w:val="0E101A"/>
        </w:rPr>
        <w:t xml:space="preserve"> group has 54 methods and bases on the "Variable Selection for High-Dimensional Supervised Classification"</w:t>
      </w:r>
      <w:hyperlink r:id="rId9">
        <w:r>
          <w:rPr>
            <w:rFonts w:ascii="Times" w:eastAsia="Times" w:hAnsi="Times" w:cs="Times"/>
            <w:color w:val="000000"/>
          </w:rPr>
          <w:t>[2]</w:t>
        </w:r>
      </w:hyperlink>
      <w:r>
        <w:rPr>
          <w:rFonts w:ascii="Times" w:eastAsia="Times" w:hAnsi="Times" w:cs="Times"/>
          <w:color w:val="0E101A"/>
        </w:rPr>
        <w:t>. In this group, features are first filtered by '</w:t>
      </w:r>
      <w:proofErr w:type="spellStart"/>
      <w:r>
        <w:rPr>
          <w:rFonts w:ascii="Times" w:eastAsia="Times" w:hAnsi="Times" w:cs="Times"/>
          <w:color w:val="0E101A"/>
        </w:rPr>
        <w:t>ExpHC</w:t>
      </w:r>
      <w:proofErr w:type="spellEnd"/>
      <w:r>
        <w:rPr>
          <w:rFonts w:ascii="Times" w:eastAsia="Times" w:hAnsi="Times" w:cs="Times"/>
          <w:color w:val="0E101A"/>
        </w:rPr>
        <w:t xml:space="preserve">','HC', 'Fair' methods (with/without </w:t>
      </w:r>
      <w:proofErr w:type="spellStart"/>
      <w:r>
        <w:rPr>
          <w:rFonts w:ascii="Times" w:eastAsia="Times" w:hAnsi="Times" w:cs="Times"/>
          <w:color w:val="0E101A"/>
        </w:rPr>
        <w:t>comvar</w:t>
      </w:r>
      <w:proofErr w:type="spellEnd"/>
      <w:r>
        <w:rPr>
          <w:rFonts w:ascii="Times" w:eastAsia="Times" w:hAnsi="Times" w:cs="Times"/>
          <w:color w:val="0E101A"/>
        </w:rPr>
        <w:t xml:space="preserve">). The remaining features are further selected by the </w:t>
      </w:r>
      <w:proofErr w:type="spellStart"/>
      <w:r>
        <w:rPr>
          <w:rFonts w:ascii="Times" w:eastAsia="Times" w:hAnsi="Times" w:cs="Times"/>
          <w:color w:val="0E101A"/>
        </w:rPr>
        <w:t>grn</w:t>
      </w:r>
      <w:proofErr w:type="spellEnd"/>
      <w:r>
        <w:rPr>
          <w:rFonts w:ascii="Times" w:eastAsia="Times" w:hAnsi="Times" w:cs="Times"/>
          <w:color w:val="0E101A"/>
        </w:rPr>
        <w:t xml:space="preserve"> method with different parameters. The </w:t>
      </w:r>
      <w:proofErr w:type="spellStart"/>
      <w:r>
        <w:rPr>
          <w:rFonts w:ascii="Times" w:eastAsia="Times" w:hAnsi="Times" w:cs="Times"/>
          <w:color w:val="0E101A"/>
        </w:rPr>
        <w:t>Svm</w:t>
      </w:r>
      <w:proofErr w:type="spellEnd"/>
      <w:r>
        <w:rPr>
          <w:rFonts w:ascii="Times" w:eastAsia="Times" w:hAnsi="Times" w:cs="Times"/>
          <w:color w:val="0E101A"/>
        </w:rPr>
        <w:t xml:space="preserve"> group has 4 methods leveraging support vector machines with feature selection methods "</w:t>
      </w:r>
      <w:proofErr w:type="spellStart"/>
      <w:r>
        <w:rPr>
          <w:rFonts w:ascii="Times" w:eastAsia="Times" w:hAnsi="Times" w:cs="Times"/>
          <w:color w:val="0E101A"/>
        </w:rPr>
        <w:t>scad</w:t>
      </w:r>
      <w:proofErr w:type="spellEnd"/>
      <w:r>
        <w:rPr>
          <w:rFonts w:ascii="Times" w:eastAsia="Times" w:hAnsi="Times" w:cs="Times"/>
          <w:color w:val="0E101A"/>
        </w:rPr>
        <w:t>", "L1", "</w:t>
      </w:r>
      <w:proofErr w:type="spellStart"/>
      <w:r>
        <w:rPr>
          <w:rFonts w:ascii="Times" w:eastAsia="Times" w:hAnsi="Times" w:cs="Times"/>
          <w:color w:val="0E101A"/>
        </w:rPr>
        <w:t>ElasticNet</w:t>
      </w:r>
      <w:proofErr w:type="spellEnd"/>
      <w:r>
        <w:rPr>
          <w:rFonts w:ascii="Times" w:eastAsia="Times" w:hAnsi="Times" w:cs="Times"/>
          <w:color w:val="0E101A"/>
        </w:rPr>
        <w:t xml:space="preserve">" and "scad+L2". The GSEA group has 10 methods based on gene set enrichment analysis. The features are chosen with either FDR (False discovery </w:t>
      </w:r>
      <w:proofErr w:type="gramStart"/>
      <w:r>
        <w:rPr>
          <w:rFonts w:ascii="Times" w:eastAsia="Times" w:hAnsi="Times" w:cs="Times"/>
          <w:color w:val="0E101A"/>
        </w:rPr>
        <w:t>rate)&lt;</w:t>
      </w:r>
      <w:proofErr w:type="gramEnd"/>
      <w:r>
        <w:rPr>
          <w:rFonts w:ascii="Times" w:eastAsia="Times" w:hAnsi="Times" w:cs="Times"/>
          <w:color w:val="0E101A"/>
        </w:rPr>
        <w:t xml:space="preserve">0.1 or FDR&lt;0.25. The features are ordered by FDR value within both feature groups and selected by choosing the lowest 10%, lowest 20%, lowest 50%, or below </w:t>
      </w:r>
      <w:proofErr w:type="gramStart"/>
      <w:r>
        <w:rPr>
          <w:rFonts w:ascii="Times" w:eastAsia="Times" w:hAnsi="Times" w:cs="Times"/>
          <w:color w:val="0E101A"/>
        </w:rPr>
        <w:t>mean</w:t>
      </w:r>
      <w:proofErr w:type="gramEnd"/>
      <w:r>
        <w:rPr>
          <w:rFonts w:ascii="Times" w:eastAsia="Times" w:hAnsi="Times" w:cs="Times"/>
          <w:color w:val="0E101A"/>
        </w:rPr>
        <w:t xml:space="preserve"> threshold. The remaining features are filtered by the </w:t>
      </w:r>
      <w:proofErr w:type="spellStart"/>
      <w:r>
        <w:rPr>
          <w:rFonts w:ascii="Times" w:eastAsia="Times" w:hAnsi="Times" w:cs="Times"/>
          <w:color w:val="0E101A"/>
        </w:rPr>
        <w:t>cor</w:t>
      </w:r>
      <w:proofErr w:type="spellEnd"/>
      <w:r>
        <w:rPr>
          <w:rFonts w:ascii="Times" w:eastAsia="Times" w:hAnsi="Times" w:cs="Times"/>
          <w:color w:val="0E101A"/>
        </w:rPr>
        <w:t xml:space="preserve"> and the grn3 method. The DE-analysis group has 15 methods and is picking features based on differential gene expression. The methods pick features with the combination of </w:t>
      </w:r>
      <w:r>
        <w:rPr>
          <w:rFonts w:ascii="Times" w:eastAsia="Times" w:hAnsi="Times" w:cs="Times"/>
          <w:i/>
          <w:color w:val="0E101A"/>
        </w:rPr>
        <w:t>P</w:t>
      </w:r>
      <w:r>
        <w:rPr>
          <w:rFonts w:ascii="Times" w:eastAsia="Times" w:hAnsi="Times" w:cs="Times"/>
          <w:color w:val="0E101A"/>
        </w:rPr>
        <w:t xml:space="preserve"> value (</w:t>
      </w:r>
      <w:r>
        <w:rPr>
          <w:rFonts w:ascii="Times" w:eastAsia="Times" w:hAnsi="Times" w:cs="Times"/>
          <w:i/>
          <w:color w:val="0E101A"/>
        </w:rPr>
        <w:t>P</w:t>
      </w:r>
      <w:r>
        <w:rPr>
          <w:rFonts w:ascii="Times" w:eastAsia="Times" w:hAnsi="Times" w:cs="Times"/>
          <w:color w:val="0E101A"/>
        </w:rPr>
        <w:t xml:space="preserve"> &lt; 0.05 or </w:t>
      </w:r>
      <w:r>
        <w:rPr>
          <w:rFonts w:ascii="Times" w:eastAsia="Times" w:hAnsi="Times" w:cs="Times"/>
          <w:i/>
          <w:color w:val="0E101A"/>
        </w:rPr>
        <w:t>P</w:t>
      </w:r>
      <w:r>
        <w:rPr>
          <w:rFonts w:ascii="Times" w:eastAsia="Times" w:hAnsi="Times" w:cs="Times"/>
          <w:color w:val="0E101A"/>
        </w:rPr>
        <w:t xml:space="preserve"> &lt;0.01), fold change (</w:t>
      </w:r>
      <w:proofErr w:type="spellStart"/>
      <w:r>
        <w:rPr>
          <w:rFonts w:ascii="Times" w:eastAsia="Times" w:hAnsi="Times" w:cs="Times"/>
          <w:color w:val="0E101A"/>
        </w:rPr>
        <w:t>logFc</w:t>
      </w:r>
      <w:proofErr w:type="spellEnd"/>
      <w:r>
        <w:rPr>
          <w:rFonts w:ascii="Times" w:eastAsia="Times" w:hAnsi="Times" w:cs="Times"/>
          <w:color w:val="0E101A"/>
        </w:rPr>
        <w:t xml:space="preserve"> &gt;0 or </w:t>
      </w:r>
      <w:proofErr w:type="spellStart"/>
      <w:r>
        <w:rPr>
          <w:rFonts w:ascii="Times" w:eastAsia="Times" w:hAnsi="Times" w:cs="Times"/>
          <w:color w:val="0E101A"/>
        </w:rPr>
        <w:t>logFc</w:t>
      </w:r>
      <w:proofErr w:type="spellEnd"/>
      <w:r>
        <w:rPr>
          <w:rFonts w:ascii="Times" w:eastAsia="Times" w:hAnsi="Times" w:cs="Times"/>
          <w:color w:val="0E101A"/>
        </w:rPr>
        <w:t xml:space="preserve">&lt;0 or both), and different numbers of features (1000, 500, or 100 features with the lowest </w:t>
      </w:r>
      <w:r>
        <w:rPr>
          <w:rFonts w:ascii="Times" w:eastAsia="Times" w:hAnsi="Times" w:cs="Times"/>
          <w:i/>
          <w:color w:val="0E101A"/>
        </w:rPr>
        <w:t>P</w:t>
      </w:r>
      <w:r>
        <w:rPr>
          <w:rFonts w:ascii="Times" w:eastAsia="Times" w:hAnsi="Times" w:cs="Times"/>
          <w:color w:val="0E101A"/>
        </w:rPr>
        <w:t>).</w:t>
      </w:r>
    </w:p>
    <w:p w14:paraId="451C9A82" w14:textId="77777777" w:rsidR="00B8635B" w:rsidRDefault="000B53CC">
      <w:pPr>
        <w:spacing w:line="480" w:lineRule="auto"/>
      </w:pPr>
      <w:r>
        <w:tab/>
      </w:r>
      <w:r>
        <w:rPr>
          <w:rFonts w:ascii="Times" w:eastAsia="Times" w:hAnsi="Times" w:cs="Times"/>
          <w:color w:val="0E101A"/>
        </w:rPr>
        <w:t>The third step was feature reduction (Supplementary</w:t>
      </w:r>
      <w:r>
        <w:rPr>
          <w:rFonts w:ascii="Times" w:eastAsia="Times" w:hAnsi="Times" w:cs="Times"/>
          <w:b/>
          <w:color w:val="0E101A"/>
        </w:rPr>
        <w:t xml:space="preserve"> </w:t>
      </w:r>
      <w:r>
        <w:rPr>
          <w:rFonts w:ascii="Times" w:eastAsia="Times" w:hAnsi="Times" w:cs="Times"/>
          <w:color w:val="0E101A"/>
        </w:rPr>
        <w:t>Fig. 1). The seven methods include no (no feature reduction), WGCNA</w:t>
      </w:r>
      <w:hyperlink r:id="rId10">
        <w:r>
          <w:rPr>
            <w:rFonts w:ascii="Times" w:eastAsia="Times" w:hAnsi="Times" w:cs="Times"/>
            <w:color w:val="000000"/>
          </w:rPr>
          <w:t>[6]</w:t>
        </w:r>
      </w:hyperlink>
      <w:r>
        <w:rPr>
          <w:rFonts w:ascii="Times" w:eastAsia="Times" w:hAnsi="Times" w:cs="Times"/>
          <w:color w:val="0E101A"/>
        </w:rPr>
        <w:t xml:space="preserve">, </w:t>
      </w:r>
      <w:proofErr w:type="spellStart"/>
      <w:r>
        <w:rPr>
          <w:rFonts w:ascii="Times" w:eastAsia="Times" w:hAnsi="Times" w:cs="Times"/>
          <w:color w:val="0E101A"/>
        </w:rPr>
        <w:t>logisticFwd</w:t>
      </w:r>
      <w:proofErr w:type="spellEnd"/>
      <w:r>
        <w:rPr>
          <w:rFonts w:ascii="Times" w:eastAsia="Times" w:hAnsi="Times" w:cs="Times"/>
          <w:color w:val="0E101A"/>
        </w:rPr>
        <w:t>, SIS</w:t>
      </w:r>
      <w:hyperlink r:id="rId11">
        <w:r>
          <w:rPr>
            <w:rFonts w:ascii="Times" w:eastAsia="Times" w:hAnsi="Times" w:cs="Times"/>
            <w:color w:val="000000"/>
          </w:rPr>
          <w:t>[7]</w:t>
        </w:r>
      </w:hyperlink>
      <w:r>
        <w:rPr>
          <w:rFonts w:ascii="Times" w:eastAsia="Times" w:hAnsi="Times" w:cs="Times"/>
          <w:color w:val="0E101A"/>
        </w:rPr>
        <w:t>, principal component regression (PCR)</w:t>
      </w:r>
      <w:hyperlink r:id="rId12">
        <w:r>
          <w:rPr>
            <w:rFonts w:ascii="Times" w:eastAsia="Times" w:hAnsi="Times" w:cs="Times"/>
            <w:color w:val="000000"/>
          </w:rPr>
          <w:t>[8]</w:t>
        </w:r>
      </w:hyperlink>
      <w:r>
        <w:rPr>
          <w:rFonts w:ascii="Times" w:eastAsia="Times" w:hAnsi="Times" w:cs="Times"/>
          <w:color w:val="0E101A"/>
        </w:rPr>
        <w:t>, partial least squares regression (PLSR)</w:t>
      </w:r>
      <w:hyperlink r:id="rId13">
        <w:r>
          <w:rPr>
            <w:rFonts w:ascii="Times" w:eastAsia="Times" w:hAnsi="Times" w:cs="Times"/>
            <w:color w:val="000000"/>
          </w:rPr>
          <w:t>[9]</w:t>
        </w:r>
      </w:hyperlink>
      <w:r>
        <w:rPr>
          <w:rFonts w:ascii="Times" w:eastAsia="Times" w:hAnsi="Times" w:cs="Times"/>
          <w:color w:val="0E101A"/>
        </w:rPr>
        <w:t>, canonical powered partial least squares (CPPLS)</w:t>
      </w:r>
      <w:hyperlink r:id="rId14">
        <w:r>
          <w:rPr>
            <w:rFonts w:ascii="Times" w:eastAsia="Times" w:hAnsi="Times" w:cs="Times"/>
            <w:color w:val="000000"/>
          </w:rPr>
          <w:t>[9]</w:t>
        </w:r>
      </w:hyperlink>
      <w:r>
        <w:t xml:space="preserve">. </w:t>
      </w:r>
      <w:r>
        <w:rPr>
          <w:rFonts w:ascii="Times" w:eastAsia="Times" w:hAnsi="Times" w:cs="Times"/>
          <w:color w:val="0E101A"/>
        </w:rPr>
        <w:t>The WGCNA, weighted correlation network analysis, calculates modules of co-expressed genes</w:t>
      </w:r>
      <w:hyperlink r:id="rId15">
        <w:r>
          <w:rPr>
            <w:rFonts w:ascii="Times" w:eastAsia="Times" w:hAnsi="Times" w:cs="Times"/>
            <w:color w:val="000000"/>
          </w:rPr>
          <w:t>[6]</w:t>
        </w:r>
      </w:hyperlink>
      <w:r>
        <w:rPr>
          <w:rFonts w:ascii="Times" w:eastAsia="Times" w:hAnsi="Times" w:cs="Times"/>
          <w:color w:val="0E101A"/>
        </w:rPr>
        <w:t xml:space="preserve">, and we select hub </w:t>
      </w:r>
      <w:r>
        <w:rPr>
          <w:rFonts w:ascii="Times" w:eastAsia="Times" w:hAnsi="Times" w:cs="Times"/>
          <w:color w:val="0E101A"/>
        </w:rPr>
        <w:lastRenderedPageBreak/>
        <w:t xml:space="preserve">genes from each module. The </w:t>
      </w:r>
      <w:proofErr w:type="spellStart"/>
      <w:r>
        <w:rPr>
          <w:rFonts w:ascii="Times" w:eastAsia="Times" w:hAnsi="Times" w:cs="Times"/>
          <w:color w:val="0E101A"/>
        </w:rPr>
        <w:t>LogisticFwd</w:t>
      </w:r>
      <w:proofErr w:type="spellEnd"/>
      <w:r>
        <w:rPr>
          <w:rFonts w:ascii="Times" w:eastAsia="Times" w:hAnsi="Times" w:cs="Times"/>
          <w:color w:val="0E101A"/>
        </w:rPr>
        <w:t xml:space="preserve"> method deploys stepwise logistic regression with the forward method to select features. The SIS</w:t>
      </w:r>
      <w:hyperlink r:id="rId16">
        <w:r>
          <w:rPr>
            <w:rFonts w:ascii="Times" w:eastAsia="Times" w:hAnsi="Times" w:cs="Times"/>
            <w:color w:val="000000"/>
          </w:rPr>
          <w:t>[7]</w:t>
        </w:r>
      </w:hyperlink>
      <w:r>
        <w:rPr>
          <w:rFonts w:ascii="Times" w:eastAsia="Times" w:hAnsi="Times" w:cs="Times"/>
          <w:color w:val="0E101A"/>
        </w:rPr>
        <w:t xml:space="preserve"> method returns the features selected by the SIS R package, which implements the “Iterative Sure Independence Screening” for selecting variants. PCR regresses on a subset of principal components for dimensionality </w:t>
      </w:r>
      <w:proofErr w:type="gramStart"/>
      <w:r>
        <w:rPr>
          <w:rFonts w:ascii="Times" w:eastAsia="Times" w:hAnsi="Times" w:cs="Times"/>
          <w:color w:val="0E101A"/>
        </w:rPr>
        <w:t>reduction ,</w:t>
      </w:r>
      <w:proofErr w:type="gramEnd"/>
      <w:r>
        <w:rPr>
          <w:rFonts w:ascii="Times" w:eastAsia="Times" w:hAnsi="Times" w:cs="Times"/>
          <w:color w:val="0E101A"/>
        </w:rPr>
        <w:t xml:space="preserve"> while PLSR finds a dimensionality-reducing linear regression model by projecting the variables to a new space, and CPPLS allows for discrete and continuous responses in the PLS model. After three steps, up to 1320 gene routes were created that can be used in the classification step.</w:t>
      </w:r>
    </w:p>
    <w:p w14:paraId="7560536D" w14:textId="77777777" w:rsidR="00B8635B" w:rsidRDefault="00B8635B">
      <w:pPr>
        <w:spacing w:line="480" w:lineRule="auto"/>
      </w:pPr>
    </w:p>
    <w:p w14:paraId="0B6D7383" w14:textId="77777777" w:rsidR="00B8635B" w:rsidRDefault="000B53CC">
      <w:pPr>
        <w:spacing w:line="480" w:lineRule="auto"/>
        <w:jc w:val="both"/>
      </w:pPr>
      <w:r>
        <w:rPr>
          <w:rFonts w:ascii="Times" w:eastAsia="Times" w:hAnsi="Times" w:cs="Times"/>
          <w:b/>
          <w:color w:val="0E101A"/>
        </w:rPr>
        <w:t xml:space="preserve">2. Visualization of the classifier AUC-ROC scores vs route </w:t>
      </w:r>
      <w:proofErr w:type="gramStart"/>
      <w:r>
        <w:rPr>
          <w:rFonts w:ascii="Times" w:eastAsia="Times" w:hAnsi="Times" w:cs="Times"/>
          <w:b/>
          <w:color w:val="0E101A"/>
        </w:rPr>
        <w:t>mean</w:t>
      </w:r>
      <w:proofErr w:type="gramEnd"/>
      <w:r>
        <w:rPr>
          <w:rFonts w:ascii="Times" w:eastAsia="Times" w:hAnsi="Times" w:cs="Times"/>
          <w:b/>
          <w:color w:val="0E101A"/>
        </w:rPr>
        <w:t xml:space="preserve"> AUC-ROC score</w:t>
      </w:r>
    </w:p>
    <w:p w14:paraId="00F52643" w14:textId="77777777" w:rsidR="00B8635B" w:rsidRDefault="000B53CC">
      <w:pPr>
        <w:spacing w:line="480" w:lineRule="auto"/>
        <w:ind w:firstLine="720"/>
        <w:jc w:val="both"/>
      </w:pPr>
      <w:r>
        <w:rPr>
          <w:rFonts w:ascii="Times" w:eastAsia="Times" w:hAnsi="Times" w:cs="Times"/>
          <w:color w:val="0E101A"/>
        </w:rPr>
        <w:t>The 12-classifier mean AUC-ROC scores of 1320 routes were calculated and set as x-axis. AUC-ROC scores of the 12-classifiers were visualized as y-axis (Supplementary Fig. 2c and d). Then, the 12-classifier mean AUC-ROC scores of 1320 routes were binned into 10 quantiles and the variance of the 12-classifiers AUC-ROC score for each route were calculated and presented as boxplot (Supplementary Fig. 2e and f).</w:t>
      </w:r>
    </w:p>
    <w:p w14:paraId="57C97842" w14:textId="77777777" w:rsidR="00B8635B" w:rsidRDefault="00B8635B">
      <w:pPr>
        <w:spacing w:line="480" w:lineRule="auto"/>
        <w:rPr>
          <w:b/>
        </w:rPr>
      </w:pPr>
    </w:p>
    <w:p w14:paraId="6717645A" w14:textId="77777777" w:rsidR="00B8635B" w:rsidRDefault="000B53CC">
      <w:pPr>
        <w:spacing w:line="480" w:lineRule="auto"/>
      </w:pPr>
      <w:r>
        <w:rPr>
          <w:rFonts w:ascii="Times" w:eastAsia="Times" w:hAnsi="Times" w:cs="Times"/>
          <w:b/>
          <w:color w:val="000000"/>
        </w:rPr>
        <w:t>3. The gene set similarity score between routes</w:t>
      </w:r>
    </w:p>
    <w:p w14:paraId="0771B6FA" w14:textId="52139174" w:rsidR="00B8635B" w:rsidRPr="00DC5E2A" w:rsidRDefault="000B53CC" w:rsidP="00DC5E2A">
      <w:pPr>
        <w:spacing w:line="480" w:lineRule="auto"/>
        <w:ind w:firstLine="720"/>
      </w:pPr>
      <w:r>
        <w:rPr>
          <w:rFonts w:ascii="Times" w:eastAsia="Times" w:hAnsi="Times" w:cs="Times"/>
          <w:color w:val="000000"/>
        </w:rPr>
        <w:t xml:space="preserve">To characterize the most common routes in classifiers with values of 0.80 or above, we compared the first five hundred genes that existed in those common routes (see Supplementary Table </w:t>
      </w:r>
      <w:r w:rsidR="00480088">
        <w:rPr>
          <w:rFonts w:ascii="Times" w:eastAsia="Times" w:hAnsi="Times" w:cs="Times"/>
          <w:color w:val="000000"/>
        </w:rPr>
        <w:t>5</w:t>
      </w:r>
      <w:r>
        <w:rPr>
          <w:rFonts w:ascii="Times" w:eastAsia="Times" w:hAnsi="Times" w:cs="Times"/>
          <w:color w:val="000000"/>
        </w:rPr>
        <w:t xml:space="preserve">). In order to retrieve the genes from dimension reduction methods such </w:t>
      </w:r>
      <w:proofErr w:type="spellStart"/>
      <w:r>
        <w:rPr>
          <w:rFonts w:ascii="Times" w:eastAsia="Times" w:hAnsi="Times" w:cs="Times"/>
          <w:color w:val="000000"/>
        </w:rPr>
        <w:t>pcr</w:t>
      </w:r>
      <w:proofErr w:type="spellEnd"/>
      <w:r>
        <w:rPr>
          <w:rFonts w:ascii="Times" w:eastAsia="Times" w:hAnsi="Times" w:cs="Times"/>
          <w:color w:val="000000"/>
        </w:rPr>
        <w:t xml:space="preserve">, </w:t>
      </w:r>
      <w:proofErr w:type="spellStart"/>
      <w:r>
        <w:rPr>
          <w:rFonts w:ascii="Times" w:eastAsia="Times" w:hAnsi="Times" w:cs="Times"/>
          <w:color w:val="000000"/>
        </w:rPr>
        <w:t>cppls</w:t>
      </w:r>
      <w:proofErr w:type="spellEnd"/>
      <w:r>
        <w:rPr>
          <w:rFonts w:ascii="Times" w:eastAsia="Times" w:hAnsi="Times" w:cs="Times"/>
          <w:color w:val="000000"/>
        </w:rPr>
        <w:t xml:space="preserve"> and </w:t>
      </w:r>
      <w:proofErr w:type="spellStart"/>
      <w:r>
        <w:rPr>
          <w:rFonts w:ascii="Times" w:eastAsia="Times" w:hAnsi="Times" w:cs="Times"/>
          <w:color w:val="000000"/>
        </w:rPr>
        <w:t>plsr</w:t>
      </w:r>
      <w:proofErr w:type="spellEnd"/>
      <w:r>
        <w:rPr>
          <w:rFonts w:ascii="Times" w:eastAsia="Times" w:hAnsi="Times" w:cs="Times"/>
          <w:color w:val="000000"/>
        </w:rPr>
        <w:t xml:space="preserve">, we calculated the feature weights and the gene weights in each feature. Then, we ranked the genes with the weights they contribute to </w:t>
      </w:r>
      <w:r w:rsidRPr="00DC5E2A">
        <w:rPr>
          <w:rFonts w:eastAsia="Times"/>
          <w:color w:val="000000"/>
        </w:rPr>
        <w:t>all features and selected the genes that cumulated to 66% of total weights.</w:t>
      </w:r>
    </w:p>
    <w:p w14:paraId="308545F9" w14:textId="1B77C9C7" w:rsidR="00B8635B" w:rsidRPr="00DC5E2A" w:rsidRDefault="00DC5E2A" w:rsidP="00DC5E2A">
      <w:pPr>
        <w:numPr>
          <w:ilvl w:val="0"/>
          <w:numId w:val="3"/>
        </w:numPr>
        <w:spacing w:line="480" w:lineRule="auto"/>
      </w:pPr>
      <m:oMath>
        <m:r>
          <m:rPr>
            <m:sty m:val="p"/>
          </m:rPr>
          <w:rPr>
            <w:rFonts w:ascii="Cambria Math" w:hAnsi="Cambria Math"/>
          </w:rPr>
          <m:t>-</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r>
              <m:rPr>
                <m:sty m:val="p"/>
              </m:rPr>
              <w:rPr>
                <w:rFonts w:ascii="Cambria Math" w:hAnsi="Cambria Math"/>
              </w:rPr>
              <m:t>similarityScor</m:t>
            </m:r>
            <m:sSub>
              <m:sSubPr>
                <m:ctrlPr>
                  <w:rPr>
                    <w:rFonts w:ascii="Cambria Math" w:hAnsi="Cambria Math"/>
                  </w:rPr>
                </m:ctrlPr>
              </m:sSubPr>
              <m:e>
                <m:r>
                  <m:rPr>
                    <m:sty m:val="p"/>
                  </m:rPr>
                  <w:rPr>
                    <w:rFonts w:ascii="Cambria Math" w:hAnsi="Cambria Math"/>
                  </w:rPr>
                  <m:t>e</m:t>
                </m:r>
              </m:e>
              <m:sub>
                <m:r>
                  <m:rPr>
                    <m:sty m:val="p"/>
                  </m:rPr>
                  <w:rPr>
                    <w:rFonts w:ascii="Cambria Math" w:hAnsi="Cambria Math"/>
                  </w:rPr>
                  <m:t>i,j</m:t>
                </m:r>
              </m:sub>
            </m:sSub>
          </m:e>
        </m:func>
        <m:r>
          <m:rPr>
            <m:sty m:val="p"/>
          </m:rPr>
          <w:rPr>
            <w:rFonts w:ascii="Cambria Math" w:hAnsi="Cambria Math"/>
          </w:rPr>
          <m:t>=-</m:t>
        </m:r>
        <m:func>
          <m:funcPr>
            <m:ctrlPr>
              <w:rPr>
                <w:rFonts w:ascii="Cambria Math" w:hAnsi="Cambria Math"/>
              </w:rPr>
            </m:ctrlPr>
          </m:funcPr>
          <m:fName>
            <m:sSub>
              <m:sSubPr>
                <m:ctrlPr>
                  <w:rPr>
                    <w:rFonts w:ascii="Cambria Math" w:hAnsi="Cambria Math"/>
                  </w:rPr>
                </m:ctrlPr>
              </m:sSubPr>
              <m:e>
                <m:r>
                  <m:rPr>
                    <m:sty m:val="p"/>
                  </m:rPr>
                  <w:rPr>
                    <w:rFonts w:ascii="Cambria Math" w:hAnsi="Cambria Math"/>
                  </w:rPr>
                  <m:t>log</m:t>
                </m:r>
              </m:e>
              <m:sub>
                <m:r>
                  <m:rPr>
                    <m:sty m:val="p"/>
                  </m:rPr>
                  <w:rPr>
                    <w:rFonts w:ascii="Cambria Math" w:hAnsi="Cambria Math"/>
                  </w:rPr>
                  <m:t>2</m:t>
                </m:r>
              </m:sub>
            </m:sSub>
          </m:fName>
          <m:e>
            <m:d>
              <m:dPr>
                <m:begChr m:val="["/>
                <m:endChr m:val="]"/>
                <m:ctrlPr>
                  <w:rPr>
                    <w:rFonts w:ascii="Cambria Math" w:hAnsi="Cambria Math"/>
                  </w:rPr>
                </m:ctrlPr>
              </m:dPr>
              <m:e>
                <m:f>
                  <m:fPr>
                    <m:ctrlPr>
                      <w:rPr>
                        <w:rFonts w:ascii="Cambria Math" w:hAnsi="Cambria Math"/>
                      </w:rPr>
                    </m:ctrlPr>
                  </m:fPr>
                  <m:num>
                    <m:sSup>
                      <m:sSupPr>
                        <m:ctrlPr>
                          <w:rPr>
                            <w:rFonts w:ascii="Cambria Math" w:hAnsi="Cambria Math"/>
                          </w:rPr>
                        </m:ctrlPr>
                      </m:sSupPr>
                      <m:e>
                        <m:d>
                          <m:dPr>
                            <m:ctrlPr>
                              <w:rPr>
                                <w:rFonts w:ascii="Cambria Math" w:hAnsi="Cambria Math"/>
                              </w:rPr>
                            </m:ctrlPr>
                          </m:dPr>
                          <m:e>
                            <m:d>
                              <m:dPr>
                                <m:begChr m:val="|"/>
                                <m:endChr m:val="|"/>
                                <m:ctrlPr>
                                  <w:rPr>
                                    <w:rFonts w:ascii="Cambria Math" w:hAnsi="Cambria Math"/>
                                  </w:rPr>
                                </m:ctrlPr>
                              </m:dPr>
                              <m:e>
                                <m:r>
                                  <m:rPr>
                                    <m:sty m:val="p"/>
                                  </m:rPr>
                                  <w:rPr>
                                    <w:rFonts w:ascii="Cambria Math" w:hAnsi="Cambria Math"/>
                                  </w:rPr>
                                  <m:t>overlapped gene</m:t>
                                </m:r>
                              </m:e>
                            </m:d>
                            <m:r>
                              <m:rPr>
                                <m:sty m:val="p"/>
                              </m:rPr>
                              <w:rPr>
                                <w:rFonts w:ascii="Cambria Math" w:hAnsi="Cambria Math"/>
                              </w:rPr>
                              <m:t>+1</m:t>
                            </m:r>
                          </m:e>
                        </m:d>
                      </m:e>
                      <m:sup>
                        <m:r>
                          <m:rPr>
                            <m:sty m:val="p"/>
                          </m:rPr>
                          <w:rPr>
                            <w:rFonts w:ascii="Cambria Math" w:hAnsi="Cambria Math"/>
                          </w:rPr>
                          <m:t>2</m:t>
                        </m:r>
                      </m:sup>
                    </m:sSup>
                  </m:num>
                  <m:den>
                    <m:r>
                      <m:rPr>
                        <m:sty m:val="p"/>
                      </m:rPr>
                      <w:rPr>
                        <w:rFonts w:ascii="Cambria Math" w:hAnsi="Cambria Math"/>
                      </w:rPr>
                      <m:t>(</m:t>
                    </m:r>
                    <m:d>
                      <m:dPr>
                        <m:begChr m:val="|"/>
                        <m:endChr m:val="|"/>
                        <m:ctrlPr>
                          <w:rPr>
                            <w:rFonts w:ascii="Cambria Math" w:hAnsi="Cambria Math"/>
                          </w:rPr>
                        </m:ctrlPr>
                      </m:dPr>
                      <m:e>
                        <m:r>
                          <m:rPr>
                            <m:sty m:val="p"/>
                          </m:rPr>
                          <w:rPr>
                            <w:rFonts w:ascii="Cambria Math" w:hAnsi="Cambria Math"/>
                          </w:rPr>
                          <m:t>gen</m:t>
                        </m:r>
                        <m:sSub>
                          <m:sSubPr>
                            <m:ctrlPr>
                              <w:rPr>
                                <w:rFonts w:ascii="Cambria Math" w:hAnsi="Cambria Math"/>
                              </w:rPr>
                            </m:ctrlPr>
                          </m:sSubPr>
                          <m:e>
                            <m:r>
                              <m:rPr>
                                <m:sty m:val="p"/>
                              </m:rPr>
                              <w:rPr>
                                <w:rFonts w:ascii="Cambria Math" w:hAnsi="Cambria Math"/>
                              </w:rPr>
                              <m:t>eset</m:t>
                            </m:r>
                          </m:e>
                          <m:sub>
                            <m:r>
                              <m:rPr>
                                <m:sty m:val="p"/>
                              </m:rPr>
                              <w:rPr>
                                <w:rFonts w:ascii="Cambria Math" w:hAnsi="Cambria Math"/>
                              </w:rPr>
                              <m:t>i</m:t>
                            </m:r>
                          </m:sub>
                        </m:sSub>
                      </m:e>
                    </m:d>
                    <m:r>
                      <m:rPr>
                        <m:sty m:val="p"/>
                      </m:rPr>
                      <w:rPr>
                        <w:rFonts w:ascii="Cambria Math" w:hAnsi="Cambria Math"/>
                      </w:rPr>
                      <m:t>+1)(</m:t>
                    </m:r>
                    <m:d>
                      <m:dPr>
                        <m:begChr m:val="|"/>
                        <m:endChr m:val="|"/>
                        <m:ctrlPr>
                          <w:rPr>
                            <w:rFonts w:ascii="Cambria Math" w:hAnsi="Cambria Math"/>
                          </w:rPr>
                        </m:ctrlPr>
                      </m:dPr>
                      <m:e>
                        <m:r>
                          <m:rPr>
                            <m:sty m:val="p"/>
                          </m:rPr>
                          <w:rPr>
                            <w:rFonts w:ascii="Cambria Math" w:hAnsi="Cambria Math"/>
                          </w:rPr>
                          <m:t>gen</m:t>
                        </m:r>
                        <m:sSub>
                          <m:sSubPr>
                            <m:ctrlPr>
                              <w:rPr>
                                <w:rFonts w:ascii="Cambria Math" w:hAnsi="Cambria Math"/>
                              </w:rPr>
                            </m:ctrlPr>
                          </m:sSubPr>
                          <m:e>
                            <m:r>
                              <m:rPr>
                                <m:sty m:val="p"/>
                              </m:rPr>
                              <w:rPr>
                                <w:rFonts w:ascii="Cambria Math" w:hAnsi="Cambria Math"/>
                              </w:rPr>
                              <m:t>eset</m:t>
                            </m:r>
                          </m:e>
                          <m:sub>
                            <m:r>
                              <m:rPr>
                                <m:sty m:val="p"/>
                              </m:rPr>
                              <w:rPr>
                                <w:rFonts w:ascii="Cambria Math" w:hAnsi="Cambria Math"/>
                              </w:rPr>
                              <m:t>j</m:t>
                            </m:r>
                          </m:sub>
                        </m:sSub>
                      </m:e>
                    </m:d>
                    <m:r>
                      <m:rPr>
                        <m:sty m:val="p"/>
                      </m:rPr>
                      <w:rPr>
                        <w:rFonts w:ascii="Cambria Math" w:hAnsi="Cambria Math"/>
                      </w:rPr>
                      <m:t>+1)</m:t>
                    </m:r>
                  </m:den>
                </m:f>
              </m:e>
            </m:d>
          </m:e>
        </m:func>
      </m:oMath>
    </w:p>
    <w:p w14:paraId="03DA414B" w14:textId="6ECF28E1" w:rsidR="00B8635B" w:rsidRPr="00DC5E2A" w:rsidRDefault="000B53CC" w:rsidP="00DC5E2A">
      <w:pPr>
        <w:spacing w:line="480" w:lineRule="auto"/>
        <w:ind w:firstLine="360"/>
      </w:pPr>
      <w:r w:rsidRPr="00DC5E2A">
        <w:rPr>
          <w:rFonts w:eastAsia="Times"/>
          <w:color w:val="000000"/>
        </w:rPr>
        <w:lastRenderedPageBreak/>
        <w:t xml:space="preserve">In the Supplementary Figure 4 and 5, the distance of the </w:t>
      </w:r>
      <w:proofErr w:type="gramStart"/>
      <w:r w:rsidRPr="00DC5E2A">
        <w:rPr>
          <w:rFonts w:eastAsia="Times"/>
          <w:color w:val="000000"/>
        </w:rPr>
        <w:t>routes</w:t>
      </w:r>
      <w:proofErr w:type="gramEnd"/>
      <w:r w:rsidRPr="00DC5E2A">
        <w:rPr>
          <w:rFonts w:eastAsia="Times"/>
          <w:color w:val="000000"/>
        </w:rPr>
        <w:t xml:space="preserve"> gene similarity is presented as </w:t>
      </w:r>
      <w:r w:rsidR="00DC5E2A">
        <w:rPr>
          <w:rFonts w:eastAsia="Times"/>
          <w:color w:val="000000"/>
        </w:rPr>
        <w:br/>
      </w:r>
      <m:oMath>
        <m:r>
          <m:rPr>
            <m:sty m:val="p"/>
          </m:rPr>
          <w:rPr>
            <w:rFonts w:ascii="Cambria Math" w:hAnsi="Cambria Math"/>
          </w:rPr>
          <m:t>-lo</m:t>
        </m:r>
        <m:sSub>
          <m:sSubPr>
            <m:ctrlPr>
              <w:rPr>
                <w:rFonts w:ascii="Cambria Math" w:hAnsi="Cambria Math"/>
              </w:rPr>
            </m:ctrlPr>
          </m:sSubPr>
          <m:e>
            <m:r>
              <m:rPr>
                <m:sty m:val="p"/>
              </m:rPr>
              <w:rPr>
                <w:rFonts w:ascii="Cambria Math" w:hAnsi="Cambria Math"/>
              </w:rPr>
              <m:t>g</m:t>
            </m:r>
          </m:e>
          <m:sub>
            <m:r>
              <m:rPr>
                <m:sty m:val="p"/>
              </m:rPr>
              <w:rPr>
                <w:rFonts w:ascii="Cambria Math" w:hAnsi="Cambria Math"/>
              </w:rPr>
              <m:t>2</m:t>
            </m:r>
          </m:sub>
        </m:sSub>
        <m:r>
          <m:rPr>
            <m:sty m:val="p"/>
          </m:rPr>
          <w:rPr>
            <w:rFonts w:ascii="Cambria Math" w:hAnsi="Cambria Math"/>
          </w:rPr>
          <m:t xml:space="preserve"> similarityScor</m:t>
        </m:r>
        <m:sSub>
          <m:sSubPr>
            <m:ctrlPr>
              <w:rPr>
                <w:rFonts w:ascii="Cambria Math" w:hAnsi="Cambria Math"/>
              </w:rPr>
            </m:ctrlPr>
          </m:sSubPr>
          <m:e>
            <m:r>
              <m:rPr>
                <m:sty m:val="p"/>
              </m:rPr>
              <w:rPr>
                <w:rFonts w:ascii="Cambria Math" w:hAnsi="Cambria Math"/>
              </w:rPr>
              <m:t>e</m:t>
            </m:r>
          </m:e>
          <m:sub>
            <m:r>
              <m:rPr>
                <m:sty m:val="p"/>
              </m:rPr>
              <w:rPr>
                <w:rFonts w:ascii="Cambria Math" w:hAnsi="Cambria Math"/>
              </w:rPr>
              <m:t>i,j</m:t>
            </m:r>
          </m:sub>
        </m:sSub>
      </m:oMath>
      <w:r w:rsidR="007F7B8E" w:rsidRPr="00936296">
        <w:rPr>
          <w:rFonts w:ascii="Times" w:hAnsi="Times"/>
        </w:rPr>
        <w:t>.</w:t>
      </w:r>
    </w:p>
    <w:p w14:paraId="670799EF" w14:textId="77777777" w:rsidR="00B8635B" w:rsidRDefault="00B8635B">
      <w:pPr>
        <w:spacing w:line="480" w:lineRule="auto"/>
        <w:jc w:val="both"/>
        <w:rPr>
          <w:rFonts w:ascii="Times" w:eastAsia="Times" w:hAnsi="Times" w:cs="Times"/>
        </w:rPr>
      </w:pPr>
    </w:p>
    <w:p w14:paraId="29A94ECD" w14:textId="77777777" w:rsidR="00B8635B" w:rsidRDefault="000B53CC">
      <w:pPr>
        <w:spacing w:line="480" w:lineRule="auto"/>
        <w:jc w:val="both"/>
        <w:rPr>
          <w:rFonts w:ascii="Times" w:eastAsia="Times" w:hAnsi="Times" w:cs="Times"/>
          <w:b/>
        </w:rPr>
      </w:pPr>
      <w:r>
        <w:rPr>
          <w:rFonts w:ascii="Times" w:eastAsia="Times" w:hAnsi="Times" w:cs="Times"/>
          <w:b/>
        </w:rPr>
        <w:t xml:space="preserve">4. Post Hoc exploratory test combining </w:t>
      </w:r>
      <w:proofErr w:type="spellStart"/>
      <w:r>
        <w:rPr>
          <w:rFonts w:ascii="Times" w:eastAsia="Times" w:hAnsi="Times" w:cs="Times"/>
          <w:b/>
        </w:rPr>
        <w:t>GeoPref</w:t>
      </w:r>
      <w:proofErr w:type="spellEnd"/>
      <w:r>
        <w:rPr>
          <w:rFonts w:ascii="Times" w:eastAsia="Times" w:hAnsi="Times" w:cs="Times"/>
          <w:b/>
        </w:rPr>
        <w:t xml:space="preserve"> non-social test score and prenatal events as feature along with the ensemble features </w:t>
      </w:r>
    </w:p>
    <w:p w14:paraId="5F40D44E" w14:textId="77777777" w:rsidR="00B8635B" w:rsidRDefault="000B53CC">
      <w:pPr>
        <w:spacing w:line="480" w:lineRule="auto"/>
        <w:ind w:firstLine="360"/>
        <w:jc w:val="both"/>
        <w:rPr>
          <w:rFonts w:ascii="Times" w:eastAsia="Times" w:hAnsi="Times" w:cs="Times"/>
        </w:rPr>
      </w:pPr>
      <w:r>
        <w:rPr>
          <w:rFonts w:ascii="Times" w:eastAsia="Times" w:hAnsi="Times" w:cs="Times"/>
        </w:rPr>
        <w:t xml:space="preserve">In a post hoc step, we tested whether adding the </w:t>
      </w:r>
      <w:proofErr w:type="spellStart"/>
      <w:r>
        <w:rPr>
          <w:rFonts w:ascii="Times" w:eastAsia="Times" w:hAnsi="Times" w:cs="Times"/>
        </w:rPr>
        <w:t>GeoPref</w:t>
      </w:r>
      <w:proofErr w:type="spellEnd"/>
      <w:r>
        <w:rPr>
          <w:rFonts w:ascii="Times" w:eastAsia="Times" w:hAnsi="Times" w:cs="Times"/>
        </w:rPr>
        <w:t xml:space="preserve"> eye tracking score and prenatal events along with the ensemble classification score would further improve overall classifier performance. </w:t>
      </w:r>
      <w:proofErr w:type="spellStart"/>
      <w:r>
        <w:rPr>
          <w:rFonts w:ascii="Times" w:eastAsia="Times" w:hAnsi="Times" w:cs="Times"/>
        </w:rPr>
        <w:t>GeoPref</w:t>
      </w:r>
      <w:proofErr w:type="spellEnd"/>
      <w:r>
        <w:rPr>
          <w:rFonts w:ascii="Times" w:eastAsia="Times" w:hAnsi="Times" w:cs="Times"/>
        </w:rPr>
        <w:t xml:space="preserve"> scores were available for 132 of the 175 Training subjects and 41 of the 65 of the subjects found in the independent Test dataset. The logistic regression with learning rate alpha=0.1 is used as the final model.</w:t>
      </w:r>
    </w:p>
    <w:p w14:paraId="551D9943" w14:textId="77777777" w:rsidR="00B8635B" w:rsidRDefault="00B8635B">
      <w:pPr>
        <w:spacing w:line="480" w:lineRule="auto"/>
        <w:rPr>
          <w:b/>
        </w:rPr>
      </w:pPr>
    </w:p>
    <w:p w14:paraId="6B8D92E0" w14:textId="77777777" w:rsidR="00B8635B" w:rsidRDefault="000B53CC">
      <w:pPr>
        <w:spacing w:line="480" w:lineRule="auto"/>
        <w:rPr>
          <w:b/>
        </w:rPr>
      </w:pPr>
      <w:r>
        <w:rPr>
          <w:b/>
        </w:rPr>
        <w:t xml:space="preserve">Supplementary Result </w:t>
      </w:r>
    </w:p>
    <w:p w14:paraId="31489F06" w14:textId="77777777" w:rsidR="00B8635B" w:rsidRDefault="000B53CC">
      <w:pPr>
        <w:spacing w:line="480" w:lineRule="auto"/>
        <w:jc w:val="both"/>
        <w:rPr>
          <w:rFonts w:ascii="Times" w:eastAsia="Times" w:hAnsi="Times" w:cs="Times"/>
          <w:b/>
        </w:rPr>
      </w:pPr>
      <w:r>
        <w:rPr>
          <w:rFonts w:ascii="Times" w:eastAsia="Times" w:hAnsi="Times" w:cs="Times"/>
          <w:b/>
        </w:rPr>
        <w:t>1. High-performing models typically classify subjects similarly</w:t>
      </w:r>
    </w:p>
    <w:p w14:paraId="4A098890" w14:textId="77777777" w:rsidR="00B8635B" w:rsidRDefault="000B53CC">
      <w:pPr>
        <w:spacing w:line="480" w:lineRule="auto"/>
        <w:ind w:firstLine="720"/>
        <w:jc w:val="both"/>
        <w:rPr>
          <w:rFonts w:ascii="Times" w:eastAsia="Times" w:hAnsi="Times" w:cs="Times"/>
        </w:rPr>
      </w:pPr>
      <w:r>
        <w:rPr>
          <w:rFonts w:ascii="Times" w:eastAsia="Times" w:hAnsi="Times" w:cs="Times"/>
        </w:rPr>
        <w:t>We next leveraged our set of 742 high-performing models to determine whether or not different classification models identified different subgroups of ASD toddlers. We clustered the 175 subjects in the Training dataset based on classification score similarity (Fig. 3a). The classification scores provide a probabilistic measure on the certainty of a model on the diagnostic status of each Training sample. It ranges from 0 to 1 with 0 being the highest certainty in TD status and 1 being the highest certainty in ASD status. The hierarchical clustering analysis found only one ASD group separated from TD subjects. This shows that the 742 models, overall, worked similarly in their assignment of classification scores to the ASD toddlers; that is, there was no evidence that different models selected different subgroups of ASD toddlers. This was also true in analysis of the holdout Test dataset.</w:t>
      </w:r>
    </w:p>
    <w:p w14:paraId="6AC8DEEA" w14:textId="77777777" w:rsidR="00B8635B" w:rsidRDefault="00B8635B">
      <w:pPr>
        <w:spacing w:line="480" w:lineRule="auto"/>
        <w:jc w:val="both"/>
        <w:rPr>
          <w:rFonts w:ascii="Times" w:eastAsia="Times" w:hAnsi="Times" w:cs="Times"/>
          <w:b/>
        </w:rPr>
      </w:pPr>
    </w:p>
    <w:p w14:paraId="371CB8B6" w14:textId="77777777" w:rsidR="00B8635B" w:rsidRDefault="000B53CC">
      <w:pPr>
        <w:spacing w:line="480" w:lineRule="auto"/>
        <w:jc w:val="both"/>
        <w:rPr>
          <w:rFonts w:ascii="Times" w:eastAsia="Times" w:hAnsi="Times" w:cs="Times"/>
          <w:b/>
        </w:rPr>
      </w:pPr>
      <w:r>
        <w:rPr>
          <w:rFonts w:ascii="Times" w:eastAsia="Times" w:hAnsi="Times" w:cs="Times"/>
          <w:b/>
        </w:rPr>
        <w:t>2. Genes driving classification enrich multiple processes consistent with the ASD literature</w:t>
      </w:r>
    </w:p>
    <w:p w14:paraId="63E6E1C7" w14:textId="77777777" w:rsidR="00B8635B" w:rsidRDefault="000B53CC">
      <w:pPr>
        <w:spacing w:line="480" w:lineRule="auto"/>
        <w:ind w:firstLine="720"/>
        <w:jc w:val="both"/>
        <w:rPr>
          <w:rFonts w:ascii="Times" w:eastAsia="Times" w:hAnsi="Times" w:cs="Times"/>
        </w:rPr>
      </w:pPr>
      <w:r>
        <w:rPr>
          <w:rFonts w:ascii="Times" w:eastAsia="Times" w:hAnsi="Times" w:cs="Times"/>
        </w:rPr>
        <w:lastRenderedPageBreak/>
        <w:t xml:space="preserve">We characterized the feature routes of 742 models showing AUC-ROC above 0.8 in the Discovery dataset and above 0.80 in the independent Replication dataset. The 742 models mostly originated from 125 feature routes. </w:t>
      </w:r>
    </w:p>
    <w:p w14:paraId="2B7069F5" w14:textId="0ECADE17" w:rsidR="00B8635B" w:rsidRDefault="000B53CC">
      <w:pPr>
        <w:spacing w:line="480" w:lineRule="auto"/>
        <w:ind w:firstLine="720"/>
        <w:jc w:val="both"/>
        <w:rPr>
          <w:rFonts w:ascii="Times" w:eastAsia="Times" w:hAnsi="Times" w:cs="Times"/>
        </w:rPr>
      </w:pPr>
      <w:r>
        <w:rPr>
          <w:rFonts w:ascii="Times" w:eastAsia="Times" w:hAnsi="Times" w:cs="Times"/>
        </w:rPr>
        <w:t xml:space="preserve">To identify the biological processes that contribute to these 125 feature routes, we scored all genes in these routes based on the number of times they occurred in different 125 routes (Supplementary Table </w:t>
      </w:r>
      <w:r w:rsidR="00480088">
        <w:rPr>
          <w:rFonts w:ascii="Times" w:eastAsia="Times" w:hAnsi="Times" w:cs="Times"/>
        </w:rPr>
        <w:t>5</w:t>
      </w:r>
      <w:r>
        <w:rPr>
          <w:rFonts w:ascii="Times" w:eastAsia="Times" w:hAnsi="Times" w:cs="Times"/>
        </w:rPr>
        <w:t xml:space="preserve">). We found that the top 500 scoring genes selected by the feature routes had a larger impact on the model performance than the 12 classifiers. Different routes that largely overlapped in selected feature genes also showed highly correlated performance across different classifier methods (see Methods, Supplementary Fig. 4 and 6). We next calculated the enrichment of biological processes among 500 most common feature genes using </w:t>
      </w:r>
      <w:proofErr w:type="spellStart"/>
      <w:proofErr w:type="gramStart"/>
      <w:r>
        <w:rPr>
          <w:rFonts w:ascii="Times" w:eastAsia="Times" w:hAnsi="Times" w:cs="Times"/>
        </w:rPr>
        <w:t>g:Profiler</w:t>
      </w:r>
      <w:proofErr w:type="spellEnd"/>
      <w:proofErr w:type="gramEnd"/>
      <w:r>
        <w:rPr>
          <w:rFonts w:ascii="Times" w:eastAsia="Times" w:hAnsi="Times" w:cs="Times"/>
        </w:rPr>
        <w:t xml:space="preserve">. In this work, the 500 most common genes were enriched (Supplementary Table </w:t>
      </w:r>
      <w:r w:rsidR="00480088">
        <w:rPr>
          <w:rFonts w:ascii="Times" w:eastAsia="Times" w:hAnsi="Times" w:cs="Times"/>
        </w:rPr>
        <w:t>7</w:t>
      </w:r>
      <w:r>
        <w:rPr>
          <w:rFonts w:ascii="Times" w:eastAsia="Times" w:hAnsi="Times" w:cs="Times"/>
        </w:rPr>
        <w:t xml:space="preserve">) in the KEGG pathways of inflammation/immune related disease, including Acute myeloid leukemia (KEGG: hsa05221), Measles infection (KEGG: hsa01524) and other significant pathways such as oxidative phosphorylation (KEGG: hsa04070), Ras signaling pathway (KEGG: has04014) and </w:t>
      </w:r>
      <w:proofErr w:type="spellStart"/>
      <w:r>
        <w:rPr>
          <w:rFonts w:ascii="Times" w:eastAsia="Times" w:hAnsi="Times" w:cs="Times"/>
        </w:rPr>
        <w:t>Wnt</w:t>
      </w:r>
      <w:proofErr w:type="spellEnd"/>
      <w:r>
        <w:rPr>
          <w:rFonts w:ascii="Times" w:eastAsia="Times" w:hAnsi="Times" w:cs="Times"/>
        </w:rPr>
        <w:t xml:space="preserve"> signaling pathway (KEGG: hsa04310). Similarly, enriched Gene Ontology terms for biological processes were associated with the down-regulation in blood inflammation/immune cell response, transcriptional gene regulation and response to cytokines, which were consistent with previous studies</w:t>
      </w:r>
      <w:hyperlink r:id="rId17">
        <w:r>
          <w:rPr>
            <w:rFonts w:ascii="Times" w:eastAsia="Times" w:hAnsi="Times" w:cs="Times"/>
            <w:color w:val="000000"/>
          </w:rPr>
          <w:t>[10–12]</w:t>
        </w:r>
      </w:hyperlink>
      <w:r>
        <w:rPr>
          <w:rFonts w:ascii="Times" w:eastAsia="Times" w:hAnsi="Times" w:cs="Times"/>
        </w:rPr>
        <w:t xml:space="preserve"> (see Methods).</w:t>
      </w:r>
    </w:p>
    <w:p w14:paraId="129DAD9B" w14:textId="77777777" w:rsidR="00B8635B" w:rsidRDefault="00B8635B">
      <w:pPr>
        <w:spacing w:line="480" w:lineRule="auto"/>
        <w:rPr>
          <w:b/>
        </w:rPr>
      </w:pPr>
    </w:p>
    <w:p w14:paraId="4619BF5E" w14:textId="77777777" w:rsidR="00B8635B" w:rsidRDefault="000B53CC">
      <w:pPr>
        <w:spacing w:line="480" w:lineRule="auto"/>
        <w:rPr>
          <w:rFonts w:ascii="SimSun" w:eastAsia="SimSun" w:hAnsi="SimSun" w:cs="SimSun"/>
          <w:b/>
        </w:rPr>
      </w:pPr>
      <w:r>
        <w:rPr>
          <w:b/>
        </w:rPr>
        <w:t>3. Result and parameter setting on the baseline Random Forest model</w:t>
      </w:r>
    </w:p>
    <w:p w14:paraId="64CF4B7E" w14:textId="77777777" w:rsidR="00B8635B" w:rsidRDefault="000B53CC">
      <w:pPr>
        <w:spacing w:line="480" w:lineRule="auto"/>
        <w:ind w:firstLine="720"/>
        <w:rPr>
          <w:rFonts w:ascii="Times" w:eastAsia="Times" w:hAnsi="Times" w:cs="Times"/>
          <w:color w:val="000000"/>
        </w:rPr>
      </w:pPr>
      <w:r>
        <w:rPr>
          <w:rFonts w:ascii="Times" w:eastAsia="Times" w:hAnsi="Times" w:cs="Times"/>
          <w:color w:val="000000"/>
        </w:rPr>
        <w:t xml:space="preserve">For this estimate of AUC-ROC baseline, the Test dataset was randomly split into a separate “baseline-validation” and “baseline-test” set. The same training dataset was used for training. Using the Training set, we performed feature selection for the top </w:t>
      </w:r>
      <w:r>
        <w:rPr>
          <w:rFonts w:ascii="Times" w:eastAsia="Times" w:hAnsi="Times" w:cs="Times"/>
          <w:b/>
          <w:i/>
          <w:color w:val="000000"/>
        </w:rPr>
        <w:t>q</w:t>
      </w:r>
      <w:r>
        <w:rPr>
          <w:rFonts w:ascii="Times" w:eastAsia="Times" w:hAnsi="Times" w:cs="Times"/>
          <w:color w:val="000000"/>
        </w:rPr>
        <w:t xml:space="preserve"> variables, as scored by the chi-squared statistic. From a grid, </w:t>
      </w:r>
      <w:r>
        <w:rPr>
          <w:rFonts w:ascii="Times" w:eastAsia="Times" w:hAnsi="Times" w:cs="Times"/>
          <w:b/>
          <w:i/>
          <w:color w:val="000000"/>
        </w:rPr>
        <w:t>q</w:t>
      </w:r>
      <w:r>
        <w:rPr>
          <w:rFonts w:ascii="Times" w:eastAsia="Times" w:hAnsi="Times" w:cs="Times"/>
          <w:color w:val="000000"/>
        </w:rPr>
        <w:t xml:space="preserve"> was chosen based on which grid value yielded the highest mean AUC after 100 </w:t>
      </w:r>
      <w:r>
        <w:rPr>
          <w:rFonts w:ascii="Times" w:eastAsia="Times" w:hAnsi="Times" w:cs="Times"/>
          <w:color w:val="000000"/>
        </w:rPr>
        <w:lastRenderedPageBreak/>
        <w:t xml:space="preserve">random forest evaluations on the “baseline-validation” set. Additionally, we averaged the feature importance rankings over the 100 iterations to provide a more comprehensive view of important genes. With the selected </w:t>
      </w:r>
      <w:r>
        <w:rPr>
          <w:rFonts w:ascii="Times" w:eastAsia="Times" w:hAnsi="Times" w:cs="Times"/>
          <w:b/>
          <w:i/>
          <w:color w:val="000000"/>
        </w:rPr>
        <w:t>q</w:t>
      </w:r>
      <w:r>
        <w:rPr>
          <w:rFonts w:ascii="Times" w:eastAsia="Times" w:hAnsi="Times" w:cs="Times"/>
          <w:color w:val="000000"/>
        </w:rPr>
        <w:t xml:space="preserve"> value, we trained a random forest classifier and evaluated on the held-out “baseline-test” set. </w:t>
      </w:r>
      <w:r>
        <w:t xml:space="preserve">Number of top variables are chosen from results based on the validation data, over a grid of (10, 100, 500, 1000). On this grid, 500 genes are chosen as optimal. </w:t>
      </w:r>
      <w:proofErr w:type="spellStart"/>
      <w:r>
        <w:t>Importances</w:t>
      </w:r>
      <w:proofErr w:type="spellEnd"/>
      <w:r>
        <w:t xml:space="preserve"> are generated from 100 rounds of evaluations of Random Forest, averaged. Final test results using these top 500 genes have the accuracy: 73.33%, sensitivity: 85.71%, specificity: 62.50%, AUC-ROC: 72.32%.</w:t>
      </w:r>
    </w:p>
    <w:p w14:paraId="7F901283" w14:textId="77777777" w:rsidR="00B8635B" w:rsidRDefault="00B8635B">
      <w:pPr>
        <w:spacing w:line="480" w:lineRule="auto"/>
        <w:rPr>
          <w:b/>
        </w:rPr>
      </w:pPr>
    </w:p>
    <w:p w14:paraId="55232173" w14:textId="77777777" w:rsidR="00B8635B" w:rsidRDefault="000B53CC">
      <w:pPr>
        <w:pBdr>
          <w:top w:val="nil"/>
          <w:left w:val="nil"/>
          <w:bottom w:val="nil"/>
          <w:right w:val="nil"/>
          <w:between w:val="nil"/>
        </w:pBdr>
        <w:spacing w:line="480" w:lineRule="auto"/>
        <w:jc w:val="both"/>
        <w:rPr>
          <w:color w:val="000000"/>
        </w:rPr>
      </w:pPr>
      <w:r>
        <w:rPr>
          <w:rFonts w:ascii="Times" w:eastAsia="Times" w:hAnsi="Times" w:cs="Times"/>
          <w:b/>
          <w:color w:val="000000"/>
        </w:rPr>
        <w:t xml:space="preserve">4. Post Hoc exploratory test: Combining </w:t>
      </w:r>
      <w:proofErr w:type="spellStart"/>
      <w:r>
        <w:rPr>
          <w:rFonts w:ascii="Times" w:eastAsia="Times" w:hAnsi="Times" w:cs="Times"/>
          <w:b/>
          <w:color w:val="000000"/>
        </w:rPr>
        <w:t>GeoPref</w:t>
      </w:r>
      <w:proofErr w:type="spellEnd"/>
      <w:r>
        <w:rPr>
          <w:rFonts w:ascii="Times" w:eastAsia="Times" w:hAnsi="Times" w:cs="Times"/>
          <w:b/>
          <w:color w:val="000000"/>
        </w:rPr>
        <w:t xml:space="preserve"> (non-social) test score and prenatal effects as features along with ensemble features </w:t>
      </w:r>
    </w:p>
    <w:p w14:paraId="3FC72E57" w14:textId="77777777" w:rsidR="00B8635B" w:rsidRDefault="000B53CC">
      <w:pPr>
        <w:spacing w:line="480" w:lineRule="auto"/>
        <w:ind w:firstLine="720"/>
      </w:pPr>
      <w:r>
        <w:rPr>
          <w:rFonts w:ascii="Times" w:eastAsia="Times" w:hAnsi="Times" w:cs="Times"/>
          <w:color w:val="000000"/>
        </w:rPr>
        <w:t>Since social attention abnormalities are core ASD symptoms and visual social attention deficits well described</w:t>
      </w:r>
      <w:hyperlink r:id="rId18">
        <w:r>
          <w:rPr>
            <w:rFonts w:ascii="Times" w:eastAsia="Times" w:hAnsi="Times" w:cs="Times"/>
            <w:color w:val="000000"/>
          </w:rPr>
          <w:t>[13–15]</w:t>
        </w:r>
      </w:hyperlink>
      <w:r>
        <w:rPr>
          <w:rFonts w:ascii="Times" w:eastAsia="Times" w:hAnsi="Times" w:cs="Times"/>
          <w:color w:val="000000"/>
        </w:rPr>
        <w:t xml:space="preserve">, in a post hoc test we tested whether adding a social feature to the molecular ensemble would increase classifier performance. For this, we used toddlers' gaze fixation score on non-social (i.e., geometric) images as measured in an eye-tracking test known as the </w:t>
      </w:r>
      <w:proofErr w:type="spellStart"/>
      <w:r>
        <w:rPr>
          <w:rFonts w:ascii="Times" w:eastAsia="Times" w:hAnsi="Times" w:cs="Times"/>
          <w:color w:val="000000"/>
        </w:rPr>
        <w:t>GeoPref</w:t>
      </w:r>
      <w:proofErr w:type="spellEnd"/>
      <w:r>
        <w:rPr>
          <w:rFonts w:ascii="Times" w:eastAsia="Times" w:hAnsi="Times" w:cs="Times"/>
          <w:color w:val="000000"/>
        </w:rPr>
        <w:t xml:space="preserve"> Test</w:t>
      </w:r>
      <w:hyperlink r:id="rId19">
        <w:r>
          <w:rPr>
            <w:rFonts w:ascii="Times" w:eastAsia="Times" w:hAnsi="Times" w:cs="Times"/>
            <w:color w:val="000000"/>
          </w:rPr>
          <w:t>[13–15]</w:t>
        </w:r>
      </w:hyperlink>
      <w:r>
        <w:rPr>
          <w:rFonts w:ascii="Times" w:eastAsia="Times" w:hAnsi="Times" w:cs="Times"/>
          <w:color w:val="000000"/>
        </w:rPr>
        <w:t xml:space="preserve">. </w:t>
      </w:r>
      <w:proofErr w:type="spellStart"/>
      <w:r>
        <w:rPr>
          <w:rFonts w:ascii="Times" w:eastAsia="Times" w:hAnsi="Times" w:cs="Times"/>
          <w:color w:val="000000"/>
        </w:rPr>
        <w:t>GeoPref</w:t>
      </w:r>
      <w:proofErr w:type="spellEnd"/>
      <w:r>
        <w:rPr>
          <w:rFonts w:ascii="Times" w:eastAsia="Times" w:hAnsi="Times" w:cs="Times"/>
          <w:color w:val="000000"/>
        </w:rPr>
        <w:t xml:space="preserve"> scores were available for 132 of the 175 Training subjects and 41 of the 65 of the subjects found in the </w:t>
      </w:r>
      <w:proofErr w:type="gramStart"/>
      <w:r>
        <w:rPr>
          <w:rFonts w:ascii="Times" w:eastAsia="Times" w:hAnsi="Times" w:cs="Times"/>
          <w:color w:val="000000"/>
        </w:rPr>
        <w:t>held out</w:t>
      </w:r>
      <w:proofErr w:type="gramEnd"/>
      <w:r>
        <w:rPr>
          <w:rFonts w:ascii="Times" w:eastAsia="Times" w:hAnsi="Times" w:cs="Times"/>
          <w:color w:val="000000"/>
        </w:rPr>
        <w:t xml:space="preserve"> Test dataset.</w:t>
      </w:r>
      <w:r>
        <w:rPr>
          <w:rFonts w:ascii="Times" w:eastAsia="Times" w:hAnsi="Times" w:cs="Times"/>
          <w:b/>
          <w:color w:val="000000"/>
        </w:rPr>
        <w:t xml:space="preserve"> </w:t>
      </w:r>
      <w:r>
        <w:rPr>
          <w:rFonts w:ascii="Times" w:eastAsia="Times" w:hAnsi="Times" w:cs="Times"/>
          <w:color w:val="000000"/>
        </w:rPr>
        <w:t xml:space="preserve">Based on their prior </w:t>
      </w:r>
      <w:proofErr w:type="spellStart"/>
      <w:r>
        <w:rPr>
          <w:rFonts w:ascii="Times" w:eastAsia="Times" w:hAnsi="Times" w:cs="Times"/>
          <w:color w:val="000000"/>
        </w:rPr>
        <w:t>GeoPref</w:t>
      </w:r>
      <w:proofErr w:type="spellEnd"/>
      <w:r>
        <w:rPr>
          <w:rFonts w:ascii="Times" w:eastAsia="Times" w:hAnsi="Times" w:cs="Times"/>
          <w:color w:val="000000"/>
        </w:rPr>
        <w:t xml:space="preserve"> test results, subjects who had percent fixation on non-social images &gt;69% were labeled as being the ASD </w:t>
      </w:r>
      <w:proofErr w:type="spellStart"/>
      <w:r>
        <w:rPr>
          <w:rFonts w:ascii="Times" w:eastAsia="Times" w:hAnsi="Times" w:cs="Times"/>
          <w:color w:val="000000"/>
        </w:rPr>
        <w:t>GeoPref</w:t>
      </w:r>
      <w:proofErr w:type="spellEnd"/>
      <w:r>
        <w:rPr>
          <w:rFonts w:ascii="Times" w:eastAsia="Times" w:hAnsi="Times" w:cs="Times"/>
          <w:color w:val="000000"/>
        </w:rPr>
        <w:t>-subtype</w:t>
      </w:r>
      <w:hyperlink r:id="rId20">
        <w:r>
          <w:rPr>
            <w:rFonts w:ascii="Times" w:eastAsia="Times" w:hAnsi="Times" w:cs="Times"/>
            <w:color w:val="000000"/>
          </w:rPr>
          <w:t>[13–15]</w:t>
        </w:r>
      </w:hyperlink>
      <w:r>
        <w:rPr>
          <w:rFonts w:ascii="Times" w:eastAsia="Times" w:hAnsi="Times" w:cs="Times"/>
          <w:color w:val="000000"/>
        </w:rPr>
        <w:t xml:space="preserve"> (Supplementary Fig</w:t>
      </w:r>
      <w:r>
        <w:rPr>
          <w:rFonts w:ascii="Times" w:eastAsia="Times" w:hAnsi="Times" w:cs="Times"/>
        </w:rPr>
        <w:t>.</w:t>
      </w:r>
      <w:r>
        <w:rPr>
          <w:rFonts w:ascii="Times" w:eastAsia="Times" w:hAnsi="Times" w:cs="Times"/>
          <w:color w:val="000000"/>
        </w:rPr>
        <w:t xml:space="preserve"> 6). With prenatal effects and eye-fixation features added, the Bayesian model AUC-ROC increased from 84.67% to 88.20% for the Training dataset and increased from 89.18% to 91.48% for the Test dataset.</w:t>
      </w:r>
    </w:p>
    <w:p w14:paraId="57499938" w14:textId="77777777" w:rsidR="00B8635B" w:rsidRDefault="000B53CC">
      <w:pPr>
        <w:spacing w:line="480" w:lineRule="auto"/>
        <w:rPr>
          <w:b/>
        </w:rPr>
      </w:pPr>
      <w:r>
        <w:br w:type="page"/>
      </w:r>
    </w:p>
    <w:p w14:paraId="3D87DC79" w14:textId="77777777" w:rsidR="00B8635B" w:rsidRDefault="000B53CC">
      <w:pPr>
        <w:spacing w:line="480" w:lineRule="auto"/>
      </w:pPr>
      <w:r>
        <w:rPr>
          <w:b/>
        </w:rPr>
        <w:lastRenderedPageBreak/>
        <w:t>Supplementary Figure 1. The detailed workflow of the feature engineering pipeline.</w:t>
      </w:r>
      <w:r>
        <w:br w:type="page"/>
      </w:r>
      <w:r>
        <w:rPr>
          <w:noProof/>
        </w:rPr>
        <w:drawing>
          <wp:anchor distT="114300" distB="114300" distL="114300" distR="114300" simplePos="0" relativeHeight="251658240" behindDoc="0" locked="0" layoutInCell="1" hidden="0" allowOverlap="1" wp14:anchorId="19EE7F83" wp14:editId="6D9E9609">
            <wp:simplePos x="0" y="0"/>
            <wp:positionH relativeFrom="column">
              <wp:posOffset>19051</wp:posOffset>
            </wp:positionH>
            <wp:positionV relativeFrom="paragraph">
              <wp:posOffset>381000</wp:posOffset>
            </wp:positionV>
            <wp:extent cx="4981575" cy="7477125"/>
            <wp:effectExtent l="0" t="0" r="0" b="0"/>
            <wp:wrapTopAndBottom distT="114300" distB="11430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1"/>
                    <a:srcRect t="1108" b="2216"/>
                    <a:stretch>
                      <a:fillRect/>
                    </a:stretch>
                  </pic:blipFill>
                  <pic:spPr>
                    <a:xfrm>
                      <a:off x="0" y="0"/>
                      <a:ext cx="4981575" cy="7477125"/>
                    </a:xfrm>
                    <a:prstGeom prst="rect">
                      <a:avLst/>
                    </a:prstGeom>
                    <a:ln/>
                  </pic:spPr>
                </pic:pic>
              </a:graphicData>
            </a:graphic>
          </wp:anchor>
        </w:drawing>
      </w:r>
    </w:p>
    <w:p w14:paraId="2021F3B6" w14:textId="77777777" w:rsidR="00B8635B" w:rsidRDefault="000B53CC">
      <w:pPr>
        <w:spacing w:line="480" w:lineRule="auto"/>
        <w:rPr>
          <w:sz w:val="21"/>
          <w:szCs w:val="21"/>
          <w:highlight w:val="white"/>
        </w:rPr>
      </w:pPr>
      <w:r>
        <w:rPr>
          <w:b/>
        </w:rPr>
        <w:lastRenderedPageBreak/>
        <w:t xml:space="preserve">Supplementary Figure 2. The distribution of AUC-ROC scores of 12 classifiers against the AUC-ROC mean score of 1320 routes. </w:t>
      </w:r>
      <w:r>
        <w:t xml:space="preserve">The distribution of AUC-ROC generated by 1320 routes within each of 12 classifiers in </w:t>
      </w:r>
      <w:proofErr w:type="gramStart"/>
      <w:r>
        <w:rPr>
          <w:b/>
        </w:rPr>
        <w:t xml:space="preserve">a </w:t>
      </w:r>
      <w:r>
        <w:t>the</w:t>
      </w:r>
      <w:proofErr w:type="gramEnd"/>
      <w:r>
        <w:t xml:space="preserve"> discovery dataset and </w:t>
      </w:r>
      <w:proofErr w:type="spellStart"/>
      <w:r>
        <w:rPr>
          <w:b/>
        </w:rPr>
        <w:t>b</w:t>
      </w:r>
      <w:proofErr w:type="spellEnd"/>
      <w:r>
        <w:t xml:space="preserve"> the independent dataset. The distribution of AUC-ROC generated by 1320 routes vs the mean of AUC-ROC of each route in </w:t>
      </w:r>
      <w:r>
        <w:rPr>
          <w:b/>
        </w:rPr>
        <w:t xml:space="preserve">c </w:t>
      </w:r>
      <w:r>
        <w:t xml:space="preserve">the discovery dataset (with +- 0.0514 95% confidence interval) and </w:t>
      </w:r>
      <w:r>
        <w:rPr>
          <w:b/>
        </w:rPr>
        <w:t>d</w:t>
      </w:r>
      <w:r>
        <w:t xml:space="preserve"> the distribution in the independent dataset (with +- 0.0514 95% confidence interval</w:t>
      </w:r>
      <w:proofErr w:type="gramStart"/>
      <w:r>
        <w:t>) .</w:t>
      </w:r>
      <w:proofErr w:type="gramEnd"/>
      <w:r>
        <w:t xml:space="preserve"> The variance of AUC-ROC generated by 12 classifiers of 1320 routes, the x-axis is the mean of AUC-ROC of each route in </w:t>
      </w:r>
      <w:r>
        <w:rPr>
          <w:b/>
        </w:rPr>
        <w:t xml:space="preserve">e </w:t>
      </w:r>
      <w:r>
        <w:t xml:space="preserve">the main dataset and </w:t>
      </w:r>
      <w:r>
        <w:rPr>
          <w:b/>
        </w:rPr>
        <w:t>f</w:t>
      </w:r>
      <w:r>
        <w:t xml:space="preserve"> in the test dataset.</w:t>
      </w:r>
    </w:p>
    <w:p w14:paraId="518F5A38" w14:textId="77777777" w:rsidR="00B8635B" w:rsidRDefault="000B53CC">
      <w:pPr>
        <w:spacing w:line="480" w:lineRule="auto"/>
      </w:pPr>
      <w:r>
        <w:rPr>
          <w:noProof/>
        </w:rPr>
        <w:lastRenderedPageBreak/>
        <w:drawing>
          <wp:inline distT="114300" distB="114300" distL="114300" distR="114300" wp14:anchorId="77EEC21D" wp14:editId="1D99D3A4">
            <wp:extent cx="6421974" cy="7473484"/>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2"/>
                    <a:srcRect/>
                    <a:stretch>
                      <a:fillRect/>
                    </a:stretch>
                  </pic:blipFill>
                  <pic:spPr>
                    <a:xfrm>
                      <a:off x="0" y="0"/>
                      <a:ext cx="6421974" cy="7473484"/>
                    </a:xfrm>
                    <a:prstGeom prst="rect">
                      <a:avLst/>
                    </a:prstGeom>
                    <a:ln/>
                  </pic:spPr>
                </pic:pic>
              </a:graphicData>
            </a:graphic>
          </wp:inline>
        </w:drawing>
      </w:r>
    </w:p>
    <w:p w14:paraId="0384ECAA" w14:textId="77777777" w:rsidR="00B8635B" w:rsidRDefault="000B53CC">
      <w:pPr>
        <w:spacing w:line="480" w:lineRule="auto"/>
        <w:rPr>
          <w:b/>
        </w:rPr>
      </w:pPr>
      <w:r>
        <w:br w:type="page"/>
      </w:r>
    </w:p>
    <w:p w14:paraId="1DAB63EB" w14:textId="0E3B4DFF" w:rsidR="00B8635B" w:rsidRDefault="000B53CC">
      <w:pPr>
        <w:spacing w:line="480" w:lineRule="auto"/>
      </w:pPr>
      <w:r>
        <w:rPr>
          <w:b/>
        </w:rPr>
        <w:lastRenderedPageBreak/>
        <w:t xml:space="preserve">Supplementary Figure 3. The AUC-ROC score of 1320 models trained on Discovery dataset. </w:t>
      </w:r>
      <w:proofErr w:type="spellStart"/>
      <w:r>
        <w:rPr>
          <w:b/>
        </w:rPr>
        <w:t>a</w:t>
      </w:r>
      <w:proofErr w:type="spellEnd"/>
      <w:r>
        <w:t xml:space="preserve"> </w:t>
      </w:r>
      <w:proofErr w:type="gramStart"/>
      <w:r>
        <w:t>The</w:t>
      </w:r>
      <w:proofErr w:type="gramEnd"/>
      <w:r>
        <w:t xml:space="preserve"> score distribution of 1822 models that have AUC-ROC score above 0.8 in the discovery dataset in 5 iterations. </w:t>
      </w:r>
      <w:r>
        <w:rPr>
          <w:b/>
        </w:rPr>
        <w:t>b</w:t>
      </w:r>
      <w:r>
        <w:t xml:space="preserve"> </w:t>
      </w:r>
      <w:proofErr w:type="gramStart"/>
      <w:r>
        <w:t>The</w:t>
      </w:r>
      <w:proofErr w:type="gramEnd"/>
      <w:r>
        <w:t xml:space="preserve"> score-difference distribution of 1822 models in 5 iterations. </w:t>
      </w:r>
    </w:p>
    <w:p w14:paraId="5324EAFD" w14:textId="77777777" w:rsidR="00B8635B" w:rsidRDefault="000B53CC">
      <w:pPr>
        <w:spacing w:line="480" w:lineRule="auto"/>
      </w:pPr>
      <w:r>
        <w:rPr>
          <w:noProof/>
        </w:rPr>
        <w:drawing>
          <wp:inline distT="114300" distB="114300" distL="114300" distR="114300" wp14:anchorId="3158ECDB" wp14:editId="3B8362D4">
            <wp:extent cx="5319713" cy="2796259"/>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3"/>
                    <a:srcRect/>
                    <a:stretch>
                      <a:fillRect/>
                    </a:stretch>
                  </pic:blipFill>
                  <pic:spPr>
                    <a:xfrm>
                      <a:off x="0" y="0"/>
                      <a:ext cx="5319713" cy="2796259"/>
                    </a:xfrm>
                    <a:prstGeom prst="rect">
                      <a:avLst/>
                    </a:prstGeom>
                    <a:ln/>
                  </pic:spPr>
                </pic:pic>
              </a:graphicData>
            </a:graphic>
          </wp:inline>
        </w:drawing>
      </w:r>
    </w:p>
    <w:p w14:paraId="4A57C3BA" w14:textId="77777777" w:rsidR="00B8635B" w:rsidRDefault="000B53CC">
      <w:pPr>
        <w:spacing w:line="480" w:lineRule="auto"/>
      </w:pPr>
      <w:r>
        <w:br w:type="page"/>
      </w:r>
    </w:p>
    <w:p w14:paraId="23FC8BEA" w14:textId="77777777" w:rsidR="00B8635B" w:rsidRDefault="000B53CC">
      <w:pPr>
        <w:spacing w:line="480" w:lineRule="auto"/>
        <w:rPr>
          <w:b/>
        </w:rPr>
      </w:pPr>
      <w:r>
        <w:rPr>
          <w:b/>
        </w:rPr>
        <w:lastRenderedPageBreak/>
        <w:t>Supplementary Figure 4</w:t>
      </w:r>
    </w:p>
    <w:p w14:paraId="2A906594" w14:textId="5D7C7C1B" w:rsidR="00B8635B" w:rsidRDefault="000B53CC">
      <w:pPr>
        <w:spacing w:line="480" w:lineRule="auto"/>
      </w:pPr>
      <w:r>
        <w:rPr>
          <w:b/>
        </w:rPr>
        <w:t xml:space="preserve">The </w:t>
      </w:r>
      <w:proofErr w:type="spellStart"/>
      <w:r>
        <w:rPr>
          <w:b/>
        </w:rPr>
        <w:t>geneset</w:t>
      </w:r>
      <w:proofErr w:type="spellEnd"/>
      <w:r>
        <w:rPr>
          <w:b/>
        </w:rPr>
        <w:t xml:space="preserve"> similarity distance among 125 routes. </w:t>
      </w:r>
      <w:r>
        <w:t xml:space="preserve">The distance score (Supplementary Method 3) is measured by the top 500 genes that are used by 125 routes and then clustered by the ‘average’ method. The data of the table is in supplementary table </w:t>
      </w:r>
      <w:r w:rsidR="00480088">
        <w:t>9</w:t>
      </w:r>
      <w:r>
        <w:t xml:space="preserve">. </w:t>
      </w:r>
    </w:p>
    <w:p w14:paraId="0095A2E1" w14:textId="77777777" w:rsidR="00B8635B" w:rsidRDefault="00B8635B">
      <w:pPr>
        <w:spacing w:line="480" w:lineRule="auto"/>
        <w:rPr>
          <w:b/>
        </w:rPr>
      </w:pPr>
    </w:p>
    <w:p w14:paraId="0796497D" w14:textId="77777777" w:rsidR="00B8635B" w:rsidRDefault="00B8635B">
      <w:pPr>
        <w:spacing w:line="480" w:lineRule="auto"/>
        <w:rPr>
          <w:b/>
        </w:rPr>
      </w:pPr>
    </w:p>
    <w:p w14:paraId="2B8DF949" w14:textId="77777777" w:rsidR="00B8635B" w:rsidRDefault="000B53CC">
      <w:pPr>
        <w:spacing w:line="480" w:lineRule="auto"/>
      </w:pPr>
      <w:r>
        <w:rPr>
          <w:noProof/>
        </w:rPr>
        <w:drawing>
          <wp:inline distT="114300" distB="114300" distL="114300" distR="114300" wp14:anchorId="3A732D9E" wp14:editId="6FA9CEA0">
            <wp:extent cx="4849172" cy="5323210"/>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4"/>
                    <a:srcRect/>
                    <a:stretch>
                      <a:fillRect/>
                    </a:stretch>
                  </pic:blipFill>
                  <pic:spPr>
                    <a:xfrm>
                      <a:off x="0" y="0"/>
                      <a:ext cx="4849172" cy="5323210"/>
                    </a:xfrm>
                    <a:prstGeom prst="rect">
                      <a:avLst/>
                    </a:prstGeom>
                    <a:ln/>
                  </pic:spPr>
                </pic:pic>
              </a:graphicData>
            </a:graphic>
          </wp:inline>
        </w:drawing>
      </w:r>
    </w:p>
    <w:p w14:paraId="00A11F55" w14:textId="77777777" w:rsidR="00B8635B" w:rsidRDefault="000B53CC">
      <w:pPr>
        <w:spacing w:line="480" w:lineRule="auto"/>
        <w:rPr>
          <w:b/>
        </w:rPr>
      </w:pPr>
      <w:r>
        <w:br w:type="page"/>
      </w:r>
    </w:p>
    <w:p w14:paraId="403BA561" w14:textId="77777777" w:rsidR="00B8635B" w:rsidRDefault="000B53CC">
      <w:pPr>
        <w:spacing w:line="480" w:lineRule="auto"/>
        <w:rPr>
          <w:b/>
        </w:rPr>
      </w:pPr>
      <w:r>
        <w:rPr>
          <w:b/>
        </w:rPr>
        <w:lastRenderedPageBreak/>
        <w:t>Supplementary Figure 5. The relation between the similarity of gene routes and the 12 classifiers behavior.</w:t>
      </w:r>
    </w:p>
    <w:p w14:paraId="4B4463DA" w14:textId="77777777" w:rsidR="00B8635B" w:rsidRDefault="000B53CC">
      <w:pPr>
        <w:spacing w:line="480" w:lineRule="auto"/>
      </w:pPr>
      <w:r>
        <w:t xml:space="preserve">The correlation of 12-classifier score vs the distance between routes and models. The distance is measured by the -log2 of the </w:t>
      </w:r>
      <w:proofErr w:type="spellStart"/>
      <w:r>
        <w:t>geneset</w:t>
      </w:r>
      <w:proofErr w:type="spellEnd"/>
      <w:r>
        <w:t xml:space="preserve"> similarity (Supplementary Method 3) on the first 500 genes. The </w:t>
      </w:r>
    </w:p>
    <w:p w14:paraId="19B77538" w14:textId="1AE322FC" w:rsidR="00B8635B" w:rsidRDefault="000B53CC">
      <w:pPr>
        <w:spacing w:line="480" w:lineRule="auto"/>
        <w:rPr>
          <w:sz w:val="21"/>
          <w:szCs w:val="21"/>
          <w:highlight w:val="white"/>
        </w:rPr>
      </w:pPr>
      <w:r>
        <w:rPr>
          <w:sz w:val="21"/>
          <w:szCs w:val="21"/>
          <w:highlight w:val="white"/>
        </w:rPr>
        <w:t xml:space="preserve">slope=-0.03806, intercept=0.4444, </w:t>
      </w:r>
      <w:proofErr w:type="spellStart"/>
      <w:r>
        <w:rPr>
          <w:sz w:val="21"/>
          <w:szCs w:val="21"/>
          <w:highlight w:val="white"/>
        </w:rPr>
        <w:t>rvalue</w:t>
      </w:r>
      <w:proofErr w:type="spellEnd"/>
      <w:r>
        <w:rPr>
          <w:sz w:val="21"/>
          <w:szCs w:val="21"/>
          <w:highlight w:val="white"/>
        </w:rPr>
        <w:t xml:space="preserve">=-0.2529, </w:t>
      </w:r>
      <w:r w:rsidRPr="001E205E">
        <w:rPr>
          <w:i/>
          <w:iCs/>
          <w:sz w:val="21"/>
          <w:szCs w:val="21"/>
          <w:highlight w:val="white"/>
        </w:rPr>
        <w:t>p</w:t>
      </w:r>
      <w:r w:rsidR="001E205E">
        <w:rPr>
          <w:sz w:val="21"/>
          <w:szCs w:val="21"/>
          <w:highlight w:val="white"/>
        </w:rPr>
        <w:t xml:space="preserve"> </w:t>
      </w:r>
      <w:r>
        <w:rPr>
          <w:sz w:val="21"/>
          <w:szCs w:val="21"/>
          <w:highlight w:val="white"/>
        </w:rPr>
        <w:t>=</w:t>
      </w:r>
      <w:r w:rsidR="001E205E">
        <w:rPr>
          <w:sz w:val="21"/>
          <w:szCs w:val="21"/>
          <w:highlight w:val="white"/>
        </w:rPr>
        <w:t xml:space="preserve"> </w:t>
      </w:r>
      <w:r>
        <w:rPr>
          <w:sz w:val="21"/>
          <w:szCs w:val="21"/>
          <w:highlight w:val="white"/>
        </w:rPr>
        <w:t>1.354</w:t>
      </w:r>
      <w:r w:rsidR="001E205E">
        <w:rPr>
          <w:sz w:val="21"/>
          <w:szCs w:val="21"/>
          <w:highlight w:val="white"/>
        </w:rPr>
        <w:t>x10</w:t>
      </w:r>
      <w:r w:rsidRPr="001E205E">
        <w:rPr>
          <w:sz w:val="21"/>
          <w:szCs w:val="21"/>
          <w:highlight w:val="white"/>
          <w:vertAlign w:val="superscript"/>
        </w:rPr>
        <w:t>-26</w:t>
      </w:r>
      <w:r>
        <w:rPr>
          <w:sz w:val="21"/>
          <w:szCs w:val="21"/>
          <w:highlight w:val="white"/>
        </w:rPr>
        <w:t>, stderr=0.001075</w:t>
      </w:r>
    </w:p>
    <w:p w14:paraId="2E18A2B6" w14:textId="77777777" w:rsidR="00B8635B" w:rsidRDefault="000B53CC">
      <w:pPr>
        <w:spacing w:line="480" w:lineRule="auto"/>
      </w:pPr>
      <w:r>
        <w:rPr>
          <w:noProof/>
        </w:rPr>
        <w:drawing>
          <wp:inline distT="114300" distB="114300" distL="114300" distR="114300" wp14:anchorId="6068D439" wp14:editId="30A2718A">
            <wp:extent cx="3524516" cy="5296300"/>
            <wp:effectExtent l="0" t="0" r="0" b="0"/>
            <wp:docPr id="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5"/>
                    <a:srcRect/>
                    <a:stretch>
                      <a:fillRect/>
                    </a:stretch>
                  </pic:blipFill>
                  <pic:spPr>
                    <a:xfrm>
                      <a:off x="0" y="0"/>
                      <a:ext cx="3524516" cy="5296300"/>
                    </a:xfrm>
                    <a:prstGeom prst="rect">
                      <a:avLst/>
                    </a:prstGeom>
                    <a:ln/>
                  </pic:spPr>
                </pic:pic>
              </a:graphicData>
            </a:graphic>
          </wp:inline>
        </w:drawing>
      </w:r>
    </w:p>
    <w:p w14:paraId="0226F0E5" w14:textId="77777777" w:rsidR="00B8635B" w:rsidRDefault="00B8635B">
      <w:pPr>
        <w:spacing w:line="480" w:lineRule="auto"/>
      </w:pPr>
    </w:p>
    <w:p w14:paraId="2AF42D53" w14:textId="77777777" w:rsidR="00B8635B" w:rsidRDefault="000B53CC">
      <w:pPr>
        <w:rPr>
          <w:b/>
        </w:rPr>
      </w:pPr>
      <w:r>
        <w:br w:type="page"/>
      </w:r>
    </w:p>
    <w:p w14:paraId="0617E547" w14:textId="1F905A79" w:rsidR="001E205E" w:rsidRDefault="001E205E" w:rsidP="001E205E">
      <w:pPr>
        <w:spacing w:line="480" w:lineRule="auto"/>
      </w:pPr>
      <w:r>
        <w:rPr>
          <w:b/>
        </w:rPr>
        <w:lastRenderedPageBreak/>
        <w:t xml:space="preserve">Supplementary Figure 6. Illustration of the updated model that combines the composite model with geo-fixation model. </w:t>
      </w:r>
      <w:r>
        <w:t>The updated model was tested on 132 of 175 Discovery dataset subjects and 41of 65 Replication dataset subjects who had available Geo-Fixation data (e.g., moderate or good data quality, total looking time &gt; 50%). By directly classifying the subjects who had percent fixation on non-social images &gt;69% as ASD (</w:t>
      </w:r>
      <w:proofErr w:type="spellStart"/>
      <w:r>
        <w:t>GeoPref</w:t>
      </w:r>
      <w:proofErr w:type="spellEnd"/>
      <w:r>
        <w:t xml:space="preserve">-subtype). </w:t>
      </w:r>
      <w:proofErr w:type="spellStart"/>
      <w:r>
        <w:rPr>
          <w:b/>
        </w:rPr>
        <w:t>a</w:t>
      </w:r>
      <w:proofErr w:type="spellEnd"/>
      <w:r>
        <w:t xml:space="preserve"> </w:t>
      </w:r>
      <w:proofErr w:type="gramStart"/>
      <w:r>
        <w:t>The</w:t>
      </w:r>
      <w:proofErr w:type="gramEnd"/>
      <w:r>
        <w:t xml:space="preserve"> composite score vs geo-fixation percentage score in the training dataset. </w:t>
      </w:r>
      <w:r>
        <w:rPr>
          <w:b/>
        </w:rPr>
        <w:t>b</w:t>
      </w:r>
      <w:r>
        <w:t xml:space="preserve"> </w:t>
      </w:r>
      <w:proofErr w:type="gramStart"/>
      <w:r>
        <w:t>The</w:t>
      </w:r>
      <w:proofErr w:type="gramEnd"/>
      <w:r>
        <w:t xml:space="preserve"> composite score vs geo-fixation percentage score for the test dataset. </w:t>
      </w:r>
      <w:r>
        <w:rPr>
          <w:b/>
        </w:rPr>
        <w:t>c</w:t>
      </w:r>
      <w:r>
        <w:t xml:space="preserve"> </w:t>
      </w:r>
      <w:proofErr w:type="gramStart"/>
      <w:r>
        <w:t>The</w:t>
      </w:r>
      <w:proofErr w:type="gramEnd"/>
      <w:r>
        <w:t xml:space="preserve"> updated score vs geo-fixation percentage score for the training dataset. </w:t>
      </w:r>
      <w:r>
        <w:rPr>
          <w:b/>
        </w:rPr>
        <w:t>d</w:t>
      </w:r>
      <w:r>
        <w:t xml:space="preserve"> </w:t>
      </w:r>
      <w:proofErr w:type="gramStart"/>
      <w:r>
        <w:t>The</w:t>
      </w:r>
      <w:proofErr w:type="gramEnd"/>
      <w:r>
        <w:t xml:space="preserve"> updated score vs geo-fixation percentage score for the test dataset. </w:t>
      </w:r>
    </w:p>
    <w:p w14:paraId="5DC38A37" w14:textId="606B821E" w:rsidR="001E205E" w:rsidRDefault="002B3A5D" w:rsidP="001E205E">
      <w:pPr>
        <w:spacing w:line="480" w:lineRule="auto"/>
        <w:rPr>
          <w:b/>
        </w:rPr>
      </w:pPr>
      <w:r>
        <w:rPr>
          <w:b/>
          <w:noProof/>
        </w:rPr>
        <w:drawing>
          <wp:inline distT="114300" distB="114300" distL="114300" distR="114300" wp14:anchorId="176BB043" wp14:editId="0A8C46DB">
            <wp:extent cx="4851957" cy="5024673"/>
            <wp:effectExtent l="0" t="0" r="0" b="5080"/>
            <wp:docPr id="1" name="image7.png" descr="Chart, scatter chart&#10;&#10;Description automatically generated"/>
            <wp:cNvGraphicFramePr/>
            <a:graphic xmlns:a="http://schemas.openxmlformats.org/drawingml/2006/main">
              <a:graphicData uri="http://schemas.openxmlformats.org/drawingml/2006/picture">
                <pic:pic xmlns:pic="http://schemas.openxmlformats.org/drawingml/2006/picture">
                  <pic:nvPicPr>
                    <pic:cNvPr id="1" name="image7.png" descr="Chart, scatter chart&#10;&#10;Description automatically generated"/>
                    <pic:cNvPicPr preferRelativeResize="0"/>
                  </pic:nvPicPr>
                  <pic:blipFill>
                    <a:blip r:embed="rId26"/>
                    <a:srcRect/>
                    <a:stretch>
                      <a:fillRect/>
                    </a:stretch>
                  </pic:blipFill>
                  <pic:spPr>
                    <a:xfrm>
                      <a:off x="0" y="0"/>
                      <a:ext cx="4857520" cy="5030434"/>
                    </a:xfrm>
                    <a:prstGeom prst="rect">
                      <a:avLst/>
                    </a:prstGeom>
                    <a:ln/>
                  </pic:spPr>
                </pic:pic>
              </a:graphicData>
            </a:graphic>
          </wp:inline>
        </w:drawing>
      </w:r>
    </w:p>
    <w:p w14:paraId="284031A0" w14:textId="77777777" w:rsidR="001E205E" w:rsidRDefault="001E205E" w:rsidP="001E205E">
      <w:pPr>
        <w:spacing w:line="480" w:lineRule="auto"/>
        <w:rPr>
          <w:b/>
        </w:rPr>
      </w:pPr>
    </w:p>
    <w:p w14:paraId="158E07DF" w14:textId="6DA7252D" w:rsidR="009B6955" w:rsidRDefault="00802FC1" w:rsidP="00971AD4">
      <w:pPr>
        <w:spacing w:line="480" w:lineRule="auto"/>
        <w:rPr>
          <w:rFonts w:ascii="Times" w:eastAsia="Times" w:hAnsi="Times" w:cs="Times"/>
        </w:rPr>
      </w:pPr>
      <w:r>
        <w:rPr>
          <w:b/>
        </w:rPr>
        <w:lastRenderedPageBreak/>
        <w:t xml:space="preserve">Supplementary Figure 7. </w:t>
      </w:r>
      <w:r w:rsidR="009B6955">
        <w:rPr>
          <w:rFonts w:ascii="Times" w:eastAsia="Times" w:hAnsi="Times" w:cs="Times"/>
          <w:b/>
        </w:rPr>
        <w:t xml:space="preserve">Comparison of ASD with and without ASD risk gene mutations and TD with and without ASD risk gene mutations.  </w:t>
      </w:r>
      <w:r w:rsidR="00B10855" w:rsidRPr="00B10855">
        <w:rPr>
          <w:rFonts w:ascii="Times" w:eastAsia="Times" w:hAnsi="Times" w:cs="Times"/>
          <w:bCs/>
        </w:rPr>
        <w:t>Comparing</w:t>
      </w:r>
      <w:r w:rsidR="00B10855">
        <w:rPr>
          <w:rFonts w:ascii="Times" w:eastAsia="Times" w:hAnsi="Times" w:cs="Times"/>
          <w:b/>
        </w:rPr>
        <w:t xml:space="preserve"> </w:t>
      </w:r>
      <w:r w:rsidR="009B6955">
        <w:rPr>
          <w:rFonts w:ascii="Times" w:eastAsia="Times" w:hAnsi="Times" w:cs="Times"/>
        </w:rPr>
        <w:t xml:space="preserve">ensemble classifier scores, ADOS </w:t>
      </w:r>
      <w:r w:rsidR="00933138">
        <w:rPr>
          <w:rFonts w:ascii="Times" w:eastAsia="Times" w:hAnsi="Times" w:cs="Times"/>
        </w:rPr>
        <w:t>(</w:t>
      </w:r>
      <w:r w:rsidR="00933138" w:rsidRPr="00933138">
        <w:rPr>
          <w:rFonts w:ascii="Times" w:eastAsia="Times" w:hAnsi="Times" w:cs="Times"/>
        </w:rPr>
        <w:t>Severity</w:t>
      </w:r>
      <w:r w:rsidR="00933138">
        <w:rPr>
          <w:rFonts w:ascii="Times" w:eastAsia="Times" w:hAnsi="Times" w:cs="Times"/>
        </w:rPr>
        <w:t xml:space="preserve">) </w:t>
      </w:r>
      <w:r w:rsidR="009B6955">
        <w:rPr>
          <w:rFonts w:ascii="Times" w:eastAsia="Times" w:hAnsi="Times" w:cs="Times"/>
        </w:rPr>
        <w:t>scores (higher scores are more severe ASD symptoms), Vineland adaptive behavior scores</w:t>
      </w:r>
      <w:r w:rsidR="00772E66">
        <w:rPr>
          <w:rFonts w:ascii="Times" w:eastAsia="Times" w:hAnsi="Times" w:cs="Times"/>
        </w:rPr>
        <w:t xml:space="preserve"> (</w:t>
      </w:r>
      <w:r w:rsidR="00772E66" w:rsidRPr="00772E66">
        <w:rPr>
          <w:rFonts w:ascii="Times" w:eastAsia="Times" w:hAnsi="Times" w:cs="Times"/>
        </w:rPr>
        <w:t>Adaptive</w:t>
      </w:r>
      <w:r w:rsidR="00772E66">
        <w:rPr>
          <w:rFonts w:ascii="Times" w:eastAsia="Times" w:hAnsi="Times" w:cs="Times"/>
        </w:rPr>
        <w:t>)</w:t>
      </w:r>
      <w:r w:rsidR="009B6955">
        <w:rPr>
          <w:rFonts w:ascii="Times" w:eastAsia="Times" w:hAnsi="Times" w:cs="Times"/>
        </w:rPr>
        <w:t>, and Mullen T-scores for Receptive</w:t>
      </w:r>
      <w:r w:rsidR="00772E66">
        <w:rPr>
          <w:rFonts w:ascii="Times" w:eastAsia="Times" w:hAnsi="Times" w:cs="Times"/>
        </w:rPr>
        <w:t xml:space="preserve"> </w:t>
      </w:r>
      <w:r w:rsidR="009B6955">
        <w:rPr>
          <w:rFonts w:ascii="Times" w:eastAsia="Times" w:hAnsi="Times" w:cs="Times"/>
        </w:rPr>
        <w:t>and Expressive language</w:t>
      </w:r>
      <w:r w:rsidR="004B0480">
        <w:rPr>
          <w:rFonts w:ascii="Times" w:eastAsia="Times" w:hAnsi="Times" w:cs="Times"/>
        </w:rPr>
        <w:t xml:space="preserve"> </w:t>
      </w:r>
      <w:r w:rsidR="004B0480">
        <w:rPr>
          <w:rFonts w:ascii="Times" w:eastAsia="Times" w:hAnsi="Times" w:cs="Times"/>
        </w:rPr>
        <w:t>as well as</w:t>
      </w:r>
      <w:r w:rsidR="004B0480">
        <w:rPr>
          <w:rFonts w:ascii="Times" w:eastAsia="Times" w:hAnsi="Times" w:cs="Times"/>
        </w:rPr>
        <w:t xml:space="preserve"> </w:t>
      </w:r>
      <w:r w:rsidR="004B0480">
        <w:rPr>
          <w:rFonts w:ascii="Times" w:eastAsia="Times" w:hAnsi="Times" w:cs="Times"/>
        </w:rPr>
        <w:t>the Mullen overall Developmental Quotient scores (</w:t>
      </w:r>
      <w:proofErr w:type="spellStart"/>
      <w:r w:rsidR="004B0480" w:rsidRPr="009D025C">
        <w:rPr>
          <w:rFonts w:ascii="Times" w:eastAsia="Times" w:hAnsi="Times" w:cs="Times"/>
        </w:rPr>
        <w:t>Devel</w:t>
      </w:r>
      <w:proofErr w:type="spellEnd"/>
      <w:r w:rsidR="004B0480" w:rsidRPr="009D025C">
        <w:rPr>
          <w:rFonts w:ascii="Times" w:eastAsia="Times" w:hAnsi="Times" w:cs="Times"/>
        </w:rPr>
        <w:t>. Quotient</w:t>
      </w:r>
      <w:r w:rsidR="004B0480">
        <w:rPr>
          <w:rFonts w:ascii="Times" w:eastAsia="Times" w:hAnsi="Times" w:cs="Times"/>
        </w:rPr>
        <w:t>)</w:t>
      </w:r>
      <w:r w:rsidR="009B6955">
        <w:rPr>
          <w:rFonts w:ascii="Times" w:eastAsia="Times" w:hAnsi="Times" w:cs="Times"/>
        </w:rPr>
        <w:t>.  There were no significant differences in any scores between toddlers with and without SFARI Level 1 or 2 ASD risk gene mutations for ASD toddlers and for TD toddlers</w:t>
      </w:r>
      <w:r w:rsidR="003C5496">
        <w:rPr>
          <w:rFonts w:ascii="Times" w:eastAsia="Times" w:hAnsi="Times" w:cs="Times"/>
        </w:rPr>
        <w:t xml:space="preserve"> (at level of FDR&lt;0.05)</w:t>
      </w:r>
      <w:r w:rsidR="009B6955">
        <w:rPr>
          <w:rFonts w:ascii="Times" w:eastAsia="Times" w:hAnsi="Times" w:cs="Times"/>
        </w:rPr>
        <w:t xml:space="preserve">.  </w:t>
      </w:r>
    </w:p>
    <w:p w14:paraId="6BF35CD2" w14:textId="04D0A36C" w:rsidR="00802FC1" w:rsidRDefault="00802FC1" w:rsidP="00802FC1">
      <w:pPr>
        <w:spacing w:line="480" w:lineRule="auto"/>
      </w:pPr>
    </w:p>
    <w:p w14:paraId="64F9B276" w14:textId="5A403986" w:rsidR="00802FC1" w:rsidRDefault="00802FC1" w:rsidP="00802FC1">
      <w:pPr>
        <w:spacing w:line="480" w:lineRule="auto"/>
      </w:pPr>
    </w:p>
    <w:p w14:paraId="6CEBAFA8" w14:textId="345B2397" w:rsidR="00802FC1" w:rsidRDefault="00802FC1" w:rsidP="00802FC1">
      <w:pPr>
        <w:spacing w:line="480" w:lineRule="auto"/>
      </w:pPr>
      <w:r>
        <w:rPr>
          <w:noProof/>
        </w:rPr>
        <w:lastRenderedPageBreak/>
        <w:drawing>
          <wp:inline distT="0" distB="0" distL="0" distR="0" wp14:anchorId="2771160C" wp14:editId="2608AC7E">
            <wp:extent cx="6844030" cy="6844030"/>
            <wp:effectExtent l="0" t="0" r="127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7">
                      <a:extLst>
                        <a:ext uri="{28A0092B-C50C-407E-A947-70E740481C1C}">
                          <a14:useLocalDpi xmlns:a14="http://schemas.microsoft.com/office/drawing/2010/main" val="0"/>
                        </a:ext>
                      </a:extLst>
                    </a:blip>
                    <a:stretch>
                      <a:fillRect/>
                    </a:stretch>
                  </pic:blipFill>
                  <pic:spPr>
                    <a:xfrm>
                      <a:off x="0" y="0"/>
                      <a:ext cx="6844030" cy="6844030"/>
                    </a:xfrm>
                    <a:prstGeom prst="rect">
                      <a:avLst/>
                    </a:prstGeom>
                  </pic:spPr>
                </pic:pic>
              </a:graphicData>
            </a:graphic>
          </wp:inline>
        </w:drawing>
      </w:r>
    </w:p>
    <w:p w14:paraId="20B859E8" w14:textId="65315352" w:rsidR="00802FC1" w:rsidRDefault="00802FC1" w:rsidP="00802FC1">
      <w:pPr>
        <w:spacing w:line="480" w:lineRule="auto"/>
      </w:pPr>
    </w:p>
    <w:p w14:paraId="7A97EAFF" w14:textId="77777777" w:rsidR="001E205E" w:rsidRDefault="001E205E">
      <w:pPr>
        <w:rPr>
          <w:b/>
        </w:rPr>
      </w:pPr>
      <w:r>
        <w:rPr>
          <w:b/>
        </w:rPr>
        <w:br w:type="page"/>
      </w:r>
    </w:p>
    <w:p w14:paraId="1E4A4249" w14:textId="55268DAC" w:rsidR="001E205E" w:rsidRDefault="001E205E" w:rsidP="001E205E">
      <w:pPr>
        <w:spacing w:line="480" w:lineRule="auto"/>
        <w:rPr>
          <w:b/>
        </w:rPr>
      </w:pPr>
      <w:r>
        <w:rPr>
          <w:b/>
        </w:rPr>
        <w:lastRenderedPageBreak/>
        <w:t xml:space="preserve">Supplementary Figure </w:t>
      </w:r>
      <w:r w:rsidR="002B3A5D">
        <w:rPr>
          <w:b/>
        </w:rPr>
        <w:t>8</w:t>
      </w:r>
      <w:r>
        <w:rPr>
          <w:b/>
        </w:rPr>
        <w:t xml:space="preserve">. </w:t>
      </w:r>
      <w:r>
        <w:t>Diagnostic and psychometric scores were not significantly different between ASD toddlers above (above-the-mean) and below the mean composite classifier score (below-the-mean).</w:t>
      </w:r>
    </w:p>
    <w:p w14:paraId="21DDB394" w14:textId="77777777" w:rsidR="001E205E" w:rsidRDefault="001E205E" w:rsidP="001E205E">
      <w:pPr>
        <w:spacing w:line="480" w:lineRule="auto"/>
      </w:pPr>
      <w:r>
        <w:rPr>
          <w:b/>
        </w:rPr>
        <w:t xml:space="preserve">a </w:t>
      </w:r>
      <w:proofErr w:type="gramStart"/>
      <w:r>
        <w:t>two sided</w:t>
      </w:r>
      <w:proofErr w:type="gramEnd"/>
      <w:r>
        <w:t xml:space="preserve"> </w:t>
      </w:r>
      <w:proofErr w:type="spellStart"/>
      <w:r>
        <w:t>t.test</w:t>
      </w:r>
      <w:proofErr w:type="spellEnd"/>
      <w:r>
        <w:t xml:space="preserve"> </w:t>
      </w:r>
      <w:r w:rsidRPr="00914641">
        <w:rPr>
          <w:i/>
          <w:iCs/>
        </w:rPr>
        <w:t>p</w:t>
      </w:r>
      <w:r>
        <w:t xml:space="preserve"> = 4.011x10</w:t>
      </w:r>
      <w:r w:rsidRPr="00914641">
        <w:rPr>
          <w:vertAlign w:val="superscript"/>
        </w:rPr>
        <w:t>-14</w:t>
      </w:r>
      <w:r>
        <w:t xml:space="preserve">. </w:t>
      </w:r>
      <w:r w:rsidRPr="00B922B6">
        <w:rPr>
          <w:b/>
          <w:bCs/>
        </w:rPr>
        <w:t>b</w:t>
      </w:r>
      <w:r>
        <w:t xml:space="preserve"> training dataset</w:t>
      </w:r>
      <w:r>
        <w:rPr>
          <w:b/>
        </w:rPr>
        <w:t xml:space="preserve"> </w:t>
      </w:r>
      <w:r>
        <w:t>r</w:t>
      </w:r>
      <w:r>
        <w:rPr>
          <w:vertAlign w:val="superscript"/>
        </w:rPr>
        <w:t>2</w:t>
      </w:r>
      <w:r>
        <w:t xml:space="preserve"> = 0.306, coefficient=0.026</w:t>
      </w:r>
    </w:p>
    <w:p w14:paraId="513EEC10" w14:textId="77777777" w:rsidR="001E205E" w:rsidRDefault="001E205E" w:rsidP="001E205E">
      <w:pPr>
        <w:spacing w:line="480" w:lineRule="auto"/>
      </w:pPr>
      <w:r>
        <w:rPr>
          <w:b/>
        </w:rPr>
        <w:t>c</w:t>
      </w:r>
      <w:r>
        <w:t xml:space="preserve"> </w:t>
      </w:r>
      <w:proofErr w:type="gramStart"/>
      <w:r>
        <w:t>two sided</w:t>
      </w:r>
      <w:proofErr w:type="gramEnd"/>
      <w:r>
        <w:t xml:space="preserve"> </w:t>
      </w:r>
      <w:proofErr w:type="spellStart"/>
      <w:r>
        <w:t>t.test</w:t>
      </w:r>
      <w:proofErr w:type="spellEnd"/>
      <w:r>
        <w:t xml:space="preserve"> </w:t>
      </w:r>
      <w:r w:rsidRPr="00BB25B7">
        <w:rPr>
          <w:i/>
          <w:iCs/>
        </w:rPr>
        <w:t>p</w:t>
      </w:r>
      <w:r>
        <w:t xml:space="preserve"> = 3.873x 10</w:t>
      </w:r>
      <w:r w:rsidRPr="00914641">
        <w:rPr>
          <w:vertAlign w:val="superscript"/>
        </w:rPr>
        <w:t>-5</w:t>
      </w:r>
      <w:r>
        <w:t xml:space="preserve">. </w:t>
      </w:r>
      <w:r w:rsidRPr="00B922B6">
        <w:rPr>
          <w:b/>
          <w:bCs/>
        </w:rPr>
        <w:t>d</w:t>
      </w:r>
      <w:r>
        <w:t xml:space="preserve"> test dataset r</w:t>
      </w:r>
      <w:r>
        <w:rPr>
          <w:vertAlign w:val="superscript"/>
        </w:rPr>
        <w:t>2</w:t>
      </w:r>
      <w:r>
        <w:t xml:space="preserve"> = 0.210, coefficient=0.019</w:t>
      </w:r>
    </w:p>
    <w:p w14:paraId="75F2FD99" w14:textId="77777777" w:rsidR="001E205E" w:rsidRDefault="001E205E" w:rsidP="001E205E">
      <w:pPr>
        <w:spacing w:line="480" w:lineRule="auto"/>
        <w:rPr>
          <w:b/>
        </w:rPr>
      </w:pPr>
      <w:r>
        <w:rPr>
          <w:noProof/>
        </w:rPr>
        <w:drawing>
          <wp:inline distT="114300" distB="114300" distL="114300" distR="114300" wp14:anchorId="05F7C3FB" wp14:editId="0D262F28">
            <wp:extent cx="5943600" cy="5918200"/>
            <wp:effectExtent l="0" t="0" r="0" b="0"/>
            <wp:docPr id="8" name="image6.png" descr="Chart&#10;&#10;Description automatically generated"/>
            <wp:cNvGraphicFramePr/>
            <a:graphic xmlns:a="http://schemas.openxmlformats.org/drawingml/2006/main">
              <a:graphicData uri="http://schemas.openxmlformats.org/drawingml/2006/picture">
                <pic:pic xmlns:pic="http://schemas.openxmlformats.org/drawingml/2006/picture">
                  <pic:nvPicPr>
                    <pic:cNvPr id="8" name="image6.png" descr="Chart&#10;&#10;Description automatically generated"/>
                    <pic:cNvPicPr preferRelativeResize="0"/>
                  </pic:nvPicPr>
                  <pic:blipFill>
                    <a:blip r:embed="rId28"/>
                    <a:srcRect/>
                    <a:stretch>
                      <a:fillRect/>
                    </a:stretch>
                  </pic:blipFill>
                  <pic:spPr>
                    <a:xfrm>
                      <a:off x="0" y="0"/>
                      <a:ext cx="5943600" cy="5918200"/>
                    </a:xfrm>
                    <a:prstGeom prst="rect">
                      <a:avLst/>
                    </a:prstGeom>
                    <a:ln/>
                  </pic:spPr>
                </pic:pic>
              </a:graphicData>
            </a:graphic>
          </wp:inline>
        </w:drawing>
      </w:r>
    </w:p>
    <w:p w14:paraId="4943B083" w14:textId="77777777" w:rsidR="00B8635B" w:rsidRDefault="00B8635B">
      <w:pPr>
        <w:spacing w:line="480" w:lineRule="auto"/>
        <w:rPr>
          <w:b/>
        </w:rPr>
      </w:pPr>
    </w:p>
    <w:p w14:paraId="59A22903" w14:textId="77777777" w:rsidR="00B8635B" w:rsidRDefault="000B53CC">
      <w:pPr>
        <w:spacing w:line="480" w:lineRule="auto"/>
      </w:pPr>
      <w:r>
        <w:br w:type="page"/>
      </w:r>
    </w:p>
    <w:p w14:paraId="3D0C2D49" w14:textId="77777777" w:rsidR="00B8635B" w:rsidRDefault="000B53CC" w:rsidP="00E35B0B">
      <w:pPr>
        <w:spacing w:line="480" w:lineRule="auto"/>
        <w:rPr>
          <w:b/>
        </w:rPr>
      </w:pPr>
      <w:r>
        <w:rPr>
          <w:b/>
        </w:rPr>
        <w:lastRenderedPageBreak/>
        <w:t>Reference</w:t>
      </w:r>
    </w:p>
    <w:p w14:paraId="17321127" w14:textId="77777777" w:rsidR="00B8635B" w:rsidRDefault="000B53CC" w:rsidP="00E35B0B">
      <w:pPr>
        <w:widowControl w:val="0"/>
        <w:pBdr>
          <w:top w:val="nil"/>
          <w:left w:val="nil"/>
          <w:bottom w:val="nil"/>
          <w:right w:val="nil"/>
          <w:between w:val="nil"/>
        </w:pBdr>
        <w:spacing w:before="240" w:line="480" w:lineRule="auto"/>
        <w:ind w:left="480" w:hanging="480"/>
      </w:pPr>
      <w:r>
        <w:t xml:space="preserve">1. </w:t>
      </w:r>
      <w:r>
        <w:tab/>
      </w:r>
      <w:hyperlink r:id="rId29">
        <w:r>
          <w:rPr>
            <w:color w:val="000000"/>
          </w:rPr>
          <w:t xml:space="preserve">Meyer PE, Lafitte F, </w:t>
        </w:r>
        <w:proofErr w:type="spellStart"/>
        <w:r>
          <w:rPr>
            <w:color w:val="000000"/>
          </w:rPr>
          <w:t>Bontempi</w:t>
        </w:r>
        <w:proofErr w:type="spellEnd"/>
        <w:r>
          <w:rPr>
            <w:color w:val="000000"/>
          </w:rPr>
          <w:t xml:space="preserve"> G. </w:t>
        </w:r>
        <w:proofErr w:type="spellStart"/>
        <w:r>
          <w:rPr>
            <w:color w:val="000000"/>
          </w:rPr>
          <w:t>minet</w:t>
        </w:r>
        <w:proofErr w:type="spellEnd"/>
        <w:r>
          <w:rPr>
            <w:color w:val="000000"/>
          </w:rPr>
          <w:t xml:space="preserve">: A R/Bioconductor package for inferring large transcriptional networks using mutual information. BMC Bioinformatics. </w:t>
        </w:r>
        <w:proofErr w:type="gramStart"/>
        <w:r>
          <w:rPr>
            <w:color w:val="000000"/>
          </w:rPr>
          <w:t>2008;9:461</w:t>
        </w:r>
        <w:proofErr w:type="gramEnd"/>
        <w:r>
          <w:rPr>
            <w:color w:val="000000"/>
          </w:rPr>
          <w:t>.</w:t>
        </w:r>
      </w:hyperlink>
    </w:p>
    <w:p w14:paraId="76C8D184" w14:textId="77777777" w:rsidR="00B8635B" w:rsidRDefault="000B53CC" w:rsidP="00E35B0B">
      <w:pPr>
        <w:widowControl w:val="0"/>
        <w:pBdr>
          <w:top w:val="nil"/>
          <w:left w:val="nil"/>
          <w:bottom w:val="nil"/>
          <w:right w:val="nil"/>
          <w:between w:val="nil"/>
        </w:pBdr>
        <w:spacing w:line="480" w:lineRule="auto"/>
        <w:ind w:left="480" w:hanging="480"/>
      </w:pPr>
      <w:r>
        <w:t xml:space="preserve">2. </w:t>
      </w:r>
      <w:r>
        <w:tab/>
      </w:r>
      <w:hyperlink r:id="rId30">
        <w:r>
          <w:rPr>
            <w:color w:val="000000"/>
          </w:rPr>
          <w:t xml:space="preserve">Antonio Pedro Duarte Silva &lt;psilva@porto.ucp.pt&gt;. SelectV: Variable selection for high-dimensional supervised... In HiDimDA: High dimensional Discriminant Analysis. 2015. </w:t>
        </w:r>
      </w:hyperlink>
      <w:hyperlink r:id="rId31">
        <w:r>
          <w:rPr>
            <w:color w:val="000000"/>
          </w:rPr>
          <w:t>https://rdrr.io/cran/HiDimDA/man/SelectV.html.</w:t>
        </w:r>
      </w:hyperlink>
      <w:hyperlink r:id="rId32">
        <w:r>
          <w:rPr>
            <w:color w:val="000000"/>
          </w:rPr>
          <w:t xml:space="preserve"> Accessed 21 May 2021.</w:t>
        </w:r>
      </w:hyperlink>
    </w:p>
    <w:p w14:paraId="111AB8AE" w14:textId="77777777" w:rsidR="00B8635B" w:rsidRDefault="000B53CC" w:rsidP="00E35B0B">
      <w:pPr>
        <w:widowControl w:val="0"/>
        <w:pBdr>
          <w:top w:val="nil"/>
          <w:left w:val="nil"/>
          <w:bottom w:val="nil"/>
          <w:right w:val="nil"/>
          <w:between w:val="nil"/>
        </w:pBdr>
        <w:spacing w:line="480" w:lineRule="auto"/>
        <w:ind w:left="480" w:hanging="480"/>
      </w:pPr>
      <w:r>
        <w:t xml:space="preserve">3. </w:t>
      </w:r>
      <w:r>
        <w:tab/>
      </w:r>
      <w:hyperlink r:id="rId33">
        <w:r>
          <w:rPr>
            <w:color w:val="000000"/>
          </w:rPr>
          <w:t xml:space="preserve">penalizedSVM: Feature Selection SVM using Penalty Functions. </w:t>
        </w:r>
      </w:hyperlink>
      <w:hyperlink r:id="rId34">
        <w:r>
          <w:rPr>
            <w:color w:val="000000"/>
          </w:rPr>
          <w:t>https://cran.r-project.org/web/packages/penalizedSVM/index.html.</w:t>
        </w:r>
      </w:hyperlink>
      <w:hyperlink r:id="rId35">
        <w:r>
          <w:rPr>
            <w:color w:val="000000"/>
          </w:rPr>
          <w:t xml:space="preserve"> Accessed 29 June 2021.</w:t>
        </w:r>
      </w:hyperlink>
    </w:p>
    <w:p w14:paraId="492BAB46" w14:textId="77777777" w:rsidR="00B8635B" w:rsidRDefault="000B53CC" w:rsidP="00E35B0B">
      <w:pPr>
        <w:widowControl w:val="0"/>
        <w:pBdr>
          <w:top w:val="nil"/>
          <w:left w:val="nil"/>
          <w:bottom w:val="nil"/>
          <w:right w:val="nil"/>
          <w:between w:val="nil"/>
        </w:pBdr>
        <w:spacing w:line="480" w:lineRule="auto"/>
        <w:ind w:left="480" w:hanging="480"/>
      </w:pPr>
      <w:r>
        <w:t xml:space="preserve">4. </w:t>
      </w:r>
      <w:r>
        <w:tab/>
      </w:r>
      <w:hyperlink r:id="rId36">
        <w:r>
          <w:rPr>
            <w:color w:val="000000"/>
          </w:rPr>
          <w:t xml:space="preserve">Subramanian A, Tamayo P, </w:t>
        </w:r>
        <w:proofErr w:type="spellStart"/>
        <w:r>
          <w:rPr>
            <w:color w:val="000000"/>
          </w:rPr>
          <w:t>Mootha</w:t>
        </w:r>
        <w:proofErr w:type="spellEnd"/>
        <w:r>
          <w:rPr>
            <w:color w:val="000000"/>
          </w:rPr>
          <w:t xml:space="preserve"> VK, Mukherjee S, Ebert BL, Gillette MA, et al. Gene set enrichment analysis: a knowledge-based approach for interpreting genome-wide expression profiles. Proc Natl </w:t>
        </w:r>
        <w:proofErr w:type="spellStart"/>
        <w:r>
          <w:rPr>
            <w:color w:val="000000"/>
          </w:rPr>
          <w:t>Acad</w:t>
        </w:r>
        <w:proofErr w:type="spellEnd"/>
        <w:r>
          <w:rPr>
            <w:color w:val="000000"/>
          </w:rPr>
          <w:t xml:space="preserve"> Sci U S A. </w:t>
        </w:r>
        <w:proofErr w:type="gramStart"/>
        <w:r>
          <w:rPr>
            <w:color w:val="000000"/>
          </w:rPr>
          <w:t>2005;102:15545</w:t>
        </w:r>
        <w:proofErr w:type="gramEnd"/>
        <w:r>
          <w:rPr>
            <w:color w:val="000000"/>
          </w:rPr>
          <w:t>–15550.</w:t>
        </w:r>
      </w:hyperlink>
    </w:p>
    <w:p w14:paraId="2B5681E2" w14:textId="77777777" w:rsidR="00B8635B" w:rsidRDefault="000B53CC" w:rsidP="00E35B0B">
      <w:pPr>
        <w:widowControl w:val="0"/>
        <w:pBdr>
          <w:top w:val="nil"/>
          <w:left w:val="nil"/>
          <w:bottom w:val="nil"/>
          <w:right w:val="nil"/>
          <w:between w:val="nil"/>
        </w:pBdr>
        <w:spacing w:line="480" w:lineRule="auto"/>
        <w:ind w:left="480" w:hanging="480"/>
      </w:pPr>
      <w:r>
        <w:t xml:space="preserve">5. </w:t>
      </w:r>
      <w:r>
        <w:tab/>
      </w:r>
      <w:hyperlink r:id="rId37">
        <w:r>
          <w:rPr>
            <w:color w:val="000000"/>
          </w:rPr>
          <w:t xml:space="preserve">Ritchie ME, </w:t>
        </w:r>
        <w:proofErr w:type="spellStart"/>
        <w:r>
          <w:rPr>
            <w:color w:val="000000"/>
          </w:rPr>
          <w:t>Phipson</w:t>
        </w:r>
        <w:proofErr w:type="spellEnd"/>
        <w:r>
          <w:rPr>
            <w:color w:val="000000"/>
          </w:rPr>
          <w:t xml:space="preserve"> B, Wu D, Hu Y, Law CW, Shi W, et al. </w:t>
        </w:r>
        <w:proofErr w:type="spellStart"/>
        <w:r>
          <w:rPr>
            <w:color w:val="000000"/>
          </w:rPr>
          <w:t>limma</w:t>
        </w:r>
        <w:proofErr w:type="spellEnd"/>
        <w:r>
          <w:rPr>
            <w:color w:val="000000"/>
          </w:rPr>
          <w:t xml:space="preserve"> powers differential expression analyses for RNA-sequencing and microarray studies. Nucleic Acids Research. 2015;</w:t>
        </w:r>
        <w:proofErr w:type="gramStart"/>
        <w:r>
          <w:rPr>
            <w:color w:val="000000"/>
          </w:rPr>
          <w:t>43:e</w:t>
        </w:r>
        <w:proofErr w:type="gramEnd"/>
        <w:r>
          <w:rPr>
            <w:color w:val="000000"/>
          </w:rPr>
          <w:t>47–e47.</w:t>
        </w:r>
      </w:hyperlink>
    </w:p>
    <w:p w14:paraId="30C192B2" w14:textId="77777777" w:rsidR="00B8635B" w:rsidRDefault="000B53CC" w:rsidP="00E35B0B">
      <w:pPr>
        <w:widowControl w:val="0"/>
        <w:pBdr>
          <w:top w:val="nil"/>
          <w:left w:val="nil"/>
          <w:bottom w:val="nil"/>
          <w:right w:val="nil"/>
          <w:between w:val="nil"/>
        </w:pBdr>
        <w:spacing w:line="480" w:lineRule="auto"/>
        <w:ind w:left="480" w:hanging="480"/>
      </w:pPr>
      <w:r>
        <w:t xml:space="preserve">6. </w:t>
      </w:r>
      <w:r>
        <w:tab/>
      </w:r>
      <w:hyperlink r:id="rId38">
        <w:r>
          <w:rPr>
            <w:color w:val="000000"/>
          </w:rPr>
          <w:t xml:space="preserve">Langfelder P, Horvath S. WGCNA: an R package for weighted correlation network analysis. BMC Bioinformatics. </w:t>
        </w:r>
        <w:proofErr w:type="gramStart"/>
        <w:r>
          <w:rPr>
            <w:color w:val="000000"/>
          </w:rPr>
          <w:t>2008;9:559</w:t>
        </w:r>
        <w:proofErr w:type="gramEnd"/>
        <w:r>
          <w:rPr>
            <w:color w:val="000000"/>
          </w:rPr>
          <w:t>.</w:t>
        </w:r>
      </w:hyperlink>
    </w:p>
    <w:p w14:paraId="0D25771B" w14:textId="77777777" w:rsidR="00B8635B" w:rsidRDefault="000B53CC" w:rsidP="00E35B0B">
      <w:pPr>
        <w:widowControl w:val="0"/>
        <w:pBdr>
          <w:top w:val="nil"/>
          <w:left w:val="nil"/>
          <w:bottom w:val="nil"/>
          <w:right w:val="nil"/>
          <w:between w:val="nil"/>
        </w:pBdr>
        <w:spacing w:line="480" w:lineRule="auto"/>
        <w:ind w:left="480" w:hanging="480"/>
      </w:pPr>
      <w:r>
        <w:t xml:space="preserve">7. </w:t>
      </w:r>
      <w:r>
        <w:tab/>
      </w:r>
      <w:hyperlink r:id="rId39">
        <w:r>
          <w:rPr>
            <w:color w:val="000000"/>
          </w:rPr>
          <w:t xml:space="preserve">Saldana DF, Feng Y. SIS: An R Package for Sure Independence Screening in Ultrahigh-Dimensional Statistical Models. Journal of Statistical Software, Articles. </w:t>
        </w:r>
        <w:proofErr w:type="gramStart"/>
        <w:r>
          <w:rPr>
            <w:color w:val="000000"/>
          </w:rPr>
          <w:t>2018;83:1</w:t>
        </w:r>
        <w:proofErr w:type="gramEnd"/>
        <w:r>
          <w:rPr>
            <w:color w:val="000000"/>
          </w:rPr>
          <w:t>–25.</w:t>
        </w:r>
      </w:hyperlink>
    </w:p>
    <w:p w14:paraId="71570260" w14:textId="77777777" w:rsidR="00B8635B" w:rsidRDefault="000B53CC" w:rsidP="00E35B0B">
      <w:pPr>
        <w:widowControl w:val="0"/>
        <w:pBdr>
          <w:top w:val="nil"/>
          <w:left w:val="nil"/>
          <w:bottom w:val="nil"/>
          <w:right w:val="nil"/>
          <w:between w:val="nil"/>
        </w:pBdr>
        <w:spacing w:line="480" w:lineRule="auto"/>
        <w:ind w:left="480" w:hanging="480"/>
      </w:pPr>
      <w:r>
        <w:t xml:space="preserve">8. </w:t>
      </w:r>
      <w:r>
        <w:tab/>
      </w:r>
      <w:hyperlink r:id="rId40">
        <w:proofErr w:type="spellStart"/>
        <w:r>
          <w:rPr>
            <w:color w:val="000000"/>
          </w:rPr>
          <w:t>Mevik</w:t>
        </w:r>
        <w:proofErr w:type="spellEnd"/>
        <w:r>
          <w:rPr>
            <w:color w:val="000000"/>
          </w:rPr>
          <w:t xml:space="preserve"> B-H, </w:t>
        </w:r>
        <w:proofErr w:type="spellStart"/>
        <w:r>
          <w:rPr>
            <w:color w:val="000000"/>
          </w:rPr>
          <w:t>Wehrens</w:t>
        </w:r>
        <w:proofErr w:type="spellEnd"/>
        <w:r>
          <w:rPr>
            <w:color w:val="000000"/>
          </w:rPr>
          <w:t xml:space="preserve"> R. Introduction to the pls Package. Help Section of </w:t>
        </w:r>
        <w:proofErr w:type="gramStart"/>
        <w:r>
          <w:rPr>
            <w:color w:val="000000"/>
          </w:rPr>
          <w:t>The</w:t>
        </w:r>
        <w:proofErr w:type="gramEnd"/>
        <w:r>
          <w:rPr>
            <w:color w:val="000000"/>
          </w:rPr>
          <w:t xml:space="preserve"> ‘Pls’ Package of R Studio Software; R Foundation for Statistical Computing: Vienna, Austria. 2015:1–23.</w:t>
        </w:r>
      </w:hyperlink>
    </w:p>
    <w:p w14:paraId="3203063A" w14:textId="77777777" w:rsidR="00B8635B" w:rsidRDefault="000B53CC" w:rsidP="00E35B0B">
      <w:pPr>
        <w:widowControl w:val="0"/>
        <w:pBdr>
          <w:top w:val="nil"/>
          <w:left w:val="nil"/>
          <w:bottom w:val="nil"/>
          <w:right w:val="nil"/>
          <w:between w:val="nil"/>
        </w:pBdr>
        <w:spacing w:line="480" w:lineRule="auto"/>
        <w:ind w:left="480" w:hanging="480"/>
      </w:pPr>
      <w:r>
        <w:t xml:space="preserve">9. </w:t>
      </w:r>
      <w:r>
        <w:tab/>
      </w:r>
      <w:hyperlink r:id="rId41">
        <w:proofErr w:type="spellStart"/>
        <w:r>
          <w:rPr>
            <w:color w:val="000000"/>
          </w:rPr>
          <w:t>Wehrens</w:t>
        </w:r>
        <w:proofErr w:type="spellEnd"/>
        <w:r>
          <w:rPr>
            <w:color w:val="000000"/>
          </w:rPr>
          <w:t xml:space="preserve"> R, </w:t>
        </w:r>
        <w:proofErr w:type="spellStart"/>
        <w:r>
          <w:rPr>
            <w:color w:val="000000"/>
          </w:rPr>
          <w:t>Mevik</w:t>
        </w:r>
        <w:proofErr w:type="spellEnd"/>
        <w:r>
          <w:rPr>
            <w:color w:val="000000"/>
          </w:rPr>
          <w:t xml:space="preserve"> B-H. The pls package: principal component and partial least squares regression in R. 2007. 2007.</w:t>
        </w:r>
      </w:hyperlink>
    </w:p>
    <w:p w14:paraId="3912A188" w14:textId="77777777" w:rsidR="00B8635B" w:rsidRDefault="000B53CC" w:rsidP="00E35B0B">
      <w:pPr>
        <w:widowControl w:val="0"/>
        <w:pBdr>
          <w:top w:val="nil"/>
          <w:left w:val="nil"/>
          <w:bottom w:val="nil"/>
          <w:right w:val="nil"/>
          <w:between w:val="nil"/>
        </w:pBdr>
        <w:spacing w:line="480" w:lineRule="auto"/>
        <w:ind w:left="480" w:hanging="480"/>
      </w:pPr>
      <w:r>
        <w:t xml:space="preserve">10. </w:t>
      </w:r>
      <w:r>
        <w:tab/>
      </w:r>
      <w:hyperlink r:id="rId42">
        <w:proofErr w:type="spellStart"/>
        <w:r>
          <w:rPr>
            <w:color w:val="000000"/>
          </w:rPr>
          <w:t>Pramparo</w:t>
        </w:r>
        <w:proofErr w:type="spellEnd"/>
        <w:r>
          <w:rPr>
            <w:color w:val="000000"/>
          </w:rPr>
          <w:t xml:space="preserve"> T, Pierce K, Lombardo MV, Carter Barnes C, </w:t>
        </w:r>
        <w:proofErr w:type="spellStart"/>
        <w:r>
          <w:rPr>
            <w:color w:val="000000"/>
          </w:rPr>
          <w:t>Marinero</w:t>
        </w:r>
        <w:proofErr w:type="spellEnd"/>
        <w:r>
          <w:rPr>
            <w:color w:val="000000"/>
          </w:rPr>
          <w:t xml:space="preserve"> S, Ahrens-Barbeau C, et al. Prediction of autism by translation and immune/inflammation </w:t>
        </w:r>
        <w:proofErr w:type="spellStart"/>
        <w:r>
          <w:rPr>
            <w:color w:val="000000"/>
          </w:rPr>
          <w:t>coexpressed</w:t>
        </w:r>
        <w:proofErr w:type="spellEnd"/>
        <w:r>
          <w:rPr>
            <w:color w:val="000000"/>
          </w:rPr>
          <w:t xml:space="preserve"> genes in toddlers from </w:t>
        </w:r>
        <w:r>
          <w:rPr>
            <w:color w:val="000000"/>
          </w:rPr>
          <w:lastRenderedPageBreak/>
          <w:t xml:space="preserve">pediatric community practices. JAMA Psychiatry. </w:t>
        </w:r>
        <w:proofErr w:type="gramStart"/>
        <w:r>
          <w:rPr>
            <w:color w:val="000000"/>
          </w:rPr>
          <w:t>2015;72:386</w:t>
        </w:r>
        <w:proofErr w:type="gramEnd"/>
        <w:r>
          <w:rPr>
            <w:color w:val="000000"/>
          </w:rPr>
          <w:t>–394.</w:t>
        </w:r>
      </w:hyperlink>
    </w:p>
    <w:p w14:paraId="1ACBBCAB" w14:textId="77777777" w:rsidR="00B8635B" w:rsidRDefault="000B53CC" w:rsidP="00E35B0B">
      <w:pPr>
        <w:widowControl w:val="0"/>
        <w:pBdr>
          <w:top w:val="nil"/>
          <w:left w:val="nil"/>
          <w:bottom w:val="nil"/>
          <w:right w:val="nil"/>
          <w:between w:val="nil"/>
        </w:pBdr>
        <w:spacing w:line="480" w:lineRule="auto"/>
        <w:ind w:left="480" w:hanging="480"/>
      </w:pPr>
      <w:r>
        <w:t xml:space="preserve">11. </w:t>
      </w:r>
      <w:r>
        <w:tab/>
      </w:r>
      <w:hyperlink r:id="rId43">
        <w:r>
          <w:rPr>
            <w:color w:val="000000"/>
          </w:rPr>
          <w:t>Kong SW, Collins CD, Shimizu-</w:t>
        </w:r>
        <w:proofErr w:type="spellStart"/>
        <w:r>
          <w:rPr>
            <w:color w:val="000000"/>
          </w:rPr>
          <w:t>Motohashi</w:t>
        </w:r>
        <w:proofErr w:type="spellEnd"/>
        <w:r>
          <w:rPr>
            <w:color w:val="000000"/>
          </w:rPr>
          <w:t xml:space="preserve"> Y, Holm IA, Campbell MG, Lee I-H, et al. Characteristics and predictive value of blood transcriptome signature in males with autism spectrum disorders. </w:t>
        </w:r>
        <w:proofErr w:type="spellStart"/>
        <w:r>
          <w:rPr>
            <w:color w:val="000000"/>
          </w:rPr>
          <w:t>PLoS</w:t>
        </w:r>
        <w:proofErr w:type="spellEnd"/>
        <w:r>
          <w:rPr>
            <w:color w:val="000000"/>
          </w:rPr>
          <w:t xml:space="preserve"> One. 2012;</w:t>
        </w:r>
        <w:proofErr w:type="gramStart"/>
        <w:r>
          <w:rPr>
            <w:color w:val="000000"/>
          </w:rPr>
          <w:t>7:e</w:t>
        </w:r>
        <w:proofErr w:type="gramEnd"/>
        <w:r>
          <w:rPr>
            <w:color w:val="000000"/>
          </w:rPr>
          <w:t>49475.</w:t>
        </w:r>
      </w:hyperlink>
    </w:p>
    <w:p w14:paraId="1511B2EE" w14:textId="77777777" w:rsidR="00B8635B" w:rsidRDefault="000B53CC" w:rsidP="00E35B0B">
      <w:pPr>
        <w:widowControl w:val="0"/>
        <w:pBdr>
          <w:top w:val="nil"/>
          <w:left w:val="nil"/>
          <w:bottom w:val="nil"/>
          <w:right w:val="nil"/>
          <w:between w:val="nil"/>
        </w:pBdr>
        <w:spacing w:line="480" w:lineRule="auto"/>
        <w:ind w:left="480" w:hanging="480"/>
      </w:pPr>
      <w:r>
        <w:t xml:space="preserve">12. </w:t>
      </w:r>
      <w:r>
        <w:tab/>
      </w:r>
      <w:hyperlink r:id="rId44">
        <w:r>
          <w:rPr>
            <w:color w:val="000000"/>
          </w:rPr>
          <w:t xml:space="preserve">He Y, Zhou Y, Ma W, Wang J. An integrated transcriptomic analysis of autism spectrum disorder. Sci Rep. </w:t>
        </w:r>
        <w:proofErr w:type="gramStart"/>
        <w:r>
          <w:rPr>
            <w:color w:val="000000"/>
          </w:rPr>
          <w:t>2019;9:11818</w:t>
        </w:r>
        <w:proofErr w:type="gramEnd"/>
        <w:r>
          <w:rPr>
            <w:color w:val="000000"/>
          </w:rPr>
          <w:t>.</w:t>
        </w:r>
      </w:hyperlink>
    </w:p>
    <w:p w14:paraId="630A20E3" w14:textId="77777777" w:rsidR="00B8635B" w:rsidRDefault="000B53CC" w:rsidP="00E35B0B">
      <w:pPr>
        <w:widowControl w:val="0"/>
        <w:pBdr>
          <w:top w:val="nil"/>
          <w:left w:val="nil"/>
          <w:bottom w:val="nil"/>
          <w:right w:val="nil"/>
          <w:between w:val="nil"/>
        </w:pBdr>
        <w:spacing w:line="480" w:lineRule="auto"/>
        <w:ind w:left="480" w:hanging="480"/>
      </w:pPr>
      <w:r>
        <w:t xml:space="preserve">13. </w:t>
      </w:r>
      <w:r>
        <w:tab/>
      </w:r>
      <w:hyperlink r:id="rId45">
        <w:r>
          <w:rPr>
            <w:color w:val="000000"/>
          </w:rPr>
          <w:t xml:space="preserve">Pierce K, Conant D, </w:t>
        </w:r>
        <w:proofErr w:type="spellStart"/>
        <w:r>
          <w:rPr>
            <w:color w:val="000000"/>
          </w:rPr>
          <w:t>Hazin</w:t>
        </w:r>
        <w:proofErr w:type="spellEnd"/>
        <w:r>
          <w:rPr>
            <w:color w:val="000000"/>
          </w:rPr>
          <w:t xml:space="preserve"> R, Stoner R, Desmond J. Preference for geometric patterns early in life as a risk factor for autism. Arch Gen Psychiatry. </w:t>
        </w:r>
        <w:proofErr w:type="gramStart"/>
        <w:r>
          <w:rPr>
            <w:color w:val="000000"/>
          </w:rPr>
          <w:t>2011;68:101</w:t>
        </w:r>
        <w:proofErr w:type="gramEnd"/>
        <w:r>
          <w:rPr>
            <w:color w:val="000000"/>
          </w:rPr>
          <w:t>–109.</w:t>
        </w:r>
      </w:hyperlink>
    </w:p>
    <w:p w14:paraId="169C88CC" w14:textId="77777777" w:rsidR="00B8635B" w:rsidRDefault="000B53CC" w:rsidP="00E35B0B">
      <w:pPr>
        <w:widowControl w:val="0"/>
        <w:pBdr>
          <w:top w:val="nil"/>
          <w:left w:val="nil"/>
          <w:bottom w:val="nil"/>
          <w:right w:val="nil"/>
          <w:between w:val="nil"/>
        </w:pBdr>
        <w:spacing w:line="480" w:lineRule="auto"/>
        <w:ind w:left="480" w:hanging="480"/>
      </w:pPr>
      <w:r>
        <w:t xml:space="preserve">14. </w:t>
      </w:r>
      <w:r>
        <w:tab/>
      </w:r>
      <w:hyperlink r:id="rId46">
        <w:r>
          <w:rPr>
            <w:color w:val="000000"/>
          </w:rPr>
          <w:t xml:space="preserve">Moore A, Wozniak M, Yousef A, Barnes CC, Cha D, Courchesne E, et al. The geometric preference subtype in ASD: identifying a consistent, early-emerging phenomenon through eye tracking. Mol Autism. </w:t>
        </w:r>
        <w:proofErr w:type="gramStart"/>
        <w:r>
          <w:rPr>
            <w:color w:val="000000"/>
          </w:rPr>
          <w:t>2018;9:19</w:t>
        </w:r>
        <w:proofErr w:type="gramEnd"/>
        <w:r>
          <w:rPr>
            <w:color w:val="000000"/>
          </w:rPr>
          <w:t>.</w:t>
        </w:r>
      </w:hyperlink>
    </w:p>
    <w:p w14:paraId="0E38B5E8" w14:textId="77777777" w:rsidR="00B8635B" w:rsidRDefault="000B53CC" w:rsidP="00E35B0B">
      <w:pPr>
        <w:widowControl w:val="0"/>
        <w:pBdr>
          <w:top w:val="nil"/>
          <w:left w:val="nil"/>
          <w:bottom w:val="nil"/>
          <w:right w:val="nil"/>
          <w:between w:val="nil"/>
        </w:pBdr>
        <w:spacing w:after="240" w:line="480" w:lineRule="auto"/>
        <w:ind w:left="480" w:hanging="480"/>
      </w:pPr>
      <w:r>
        <w:t xml:space="preserve">15. </w:t>
      </w:r>
      <w:r>
        <w:tab/>
      </w:r>
      <w:hyperlink r:id="rId47">
        <w:r>
          <w:rPr>
            <w:color w:val="000000"/>
          </w:rPr>
          <w:t xml:space="preserve">Pierce K, </w:t>
        </w:r>
        <w:proofErr w:type="spellStart"/>
        <w:r>
          <w:rPr>
            <w:color w:val="000000"/>
          </w:rPr>
          <w:t>Marinero</w:t>
        </w:r>
        <w:proofErr w:type="spellEnd"/>
        <w:r>
          <w:rPr>
            <w:color w:val="000000"/>
          </w:rPr>
          <w:t xml:space="preserve"> S, </w:t>
        </w:r>
        <w:proofErr w:type="spellStart"/>
        <w:r>
          <w:rPr>
            <w:color w:val="000000"/>
          </w:rPr>
          <w:t>Hazin</w:t>
        </w:r>
        <w:proofErr w:type="spellEnd"/>
        <w:r>
          <w:rPr>
            <w:color w:val="000000"/>
          </w:rPr>
          <w:t xml:space="preserve"> R, McKenna B, Barnes CC, </w:t>
        </w:r>
        <w:proofErr w:type="spellStart"/>
        <w:r>
          <w:rPr>
            <w:color w:val="000000"/>
          </w:rPr>
          <w:t>Malige</w:t>
        </w:r>
        <w:proofErr w:type="spellEnd"/>
        <w:r>
          <w:rPr>
            <w:color w:val="000000"/>
          </w:rPr>
          <w:t xml:space="preserve"> A. Eye Tracking Reveals Abnormal Visual Preference for Geometric Images as an Early Biomarker of an Autism Spectrum Disorder Subtype Associated </w:t>
        </w:r>
        <w:proofErr w:type="gramStart"/>
        <w:r>
          <w:rPr>
            <w:color w:val="000000"/>
          </w:rPr>
          <w:t>With</w:t>
        </w:r>
        <w:proofErr w:type="gramEnd"/>
        <w:r>
          <w:rPr>
            <w:color w:val="000000"/>
          </w:rPr>
          <w:t xml:space="preserve"> Increased Symptom Severity. Biol Psychiatry. </w:t>
        </w:r>
        <w:proofErr w:type="gramStart"/>
        <w:r>
          <w:rPr>
            <w:color w:val="000000"/>
          </w:rPr>
          <w:t>2016;79:657</w:t>
        </w:r>
        <w:proofErr w:type="gramEnd"/>
        <w:r>
          <w:rPr>
            <w:color w:val="000000"/>
          </w:rPr>
          <w:t>–666.</w:t>
        </w:r>
      </w:hyperlink>
    </w:p>
    <w:p w14:paraId="30A736CF" w14:textId="77777777" w:rsidR="00B8635B" w:rsidRDefault="00B8635B">
      <w:pPr>
        <w:widowControl w:val="0"/>
        <w:pBdr>
          <w:top w:val="nil"/>
          <w:left w:val="nil"/>
          <w:bottom w:val="nil"/>
          <w:right w:val="nil"/>
          <w:between w:val="nil"/>
        </w:pBdr>
        <w:spacing w:line="276" w:lineRule="auto"/>
        <w:rPr>
          <w:b/>
        </w:rPr>
      </w:pPr>
    </w:p>
    <w:sectPr w:rsidR="00B8635B">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C714A" w14:textId="77777777" w:rsidR="00926D2A" w:rsidRDefault="00926D2A" w:rsidP="009D025C">
      <w:r>
        <w:separator/>
      </w:r>
    </w:p>
  </w:endnote>
  <w:endnote w:type="continuationSeparator" w:id="0">
    <w:p w14:paraId="2A36EA0D" w14:textId="77777777" w:rsidR="00926D2A" w:rsidRDefault="00926D2A" w:rsidP="009D02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996CB" w14:textId="77777777" w:rsidR="00926D2A" w:rsidRDefault="00926D2A" w:rsidP="009D025C">
      <w:r>
        <w:separator/>
      </w:r>
    </w:p>
  </w:footnote>
  <w:footnote w:type="continuationSeparator" w:id="0">
    <w:p w14:paraId="074553CB" w14:textId="77777777" w:rsidR="00926D2A" w:rsidRDefault="00926D2A" w:rsidP="009D025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B2A3E"/>
    <w:multiLevelType w:val="multilevel"/>
    <w:tmpl w:val="9488C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FB4551"/>
    <w:multiLevelType w:val="multilevel"/>
    <w:tmpl w:val="FCAAAF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61B81BCD"/>
    <w:multiLevelType w:val="multilevel"/>
    <w:tmpl w:val="8AB6CB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71B90ED7"/>
    <w:multiLevelType w:val="multilevel"/>
    <w:tmpl w:val="168AFA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75064301"/>
    <w:multiLevelType w:val="multilevel"/>
    <w:tmpl w:val="59545A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7DDD5EF1"/>
    <w:multiLevelType w:val="multilevel"/>
    <w:tmpl w:val="1C286CE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FD4368D"/>
    <w:multiLevelType w:val="multilevel"/>
    <w:tmpl w:val="DF3A69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4"/>
  </w:num>
  <w:num w:numId="3">
    <w:abstractNumId w:val="6"/>
  </w:num>
  <w:num w:numId="4">
    <w:abstractNumId w:val="0"/>
  </w:num>
  <w:num w:numId="5">
    <w:abstractNumId w:val="5"/>
    <w:lvlOverride w:ilvl="0">
      <w:lvl w:ilvl="0">
        <w:numFmt w:val="decimal"/>
        <w:lvlText w:val="%1."/>
        <w:lvlJc w:val="left"/>
      </w:lvl>
    </w:lvlOverride>
  </w:num>
  <w:num w:numId="6">
    <w:abstractNumId w:val="5"/>
    <w:lvlOverride w:ilvl="0">
      <w:lvl w:ilvl="0">
        <w:numFmt w:val="decimal"/>
        <w:lvlText w:val="%1."/>
        <w:lvlJc w:val="left"/>
      </w:lvl>
    </w:lvlOverride>
  </w:num>
  <w:num w:numId="7">
    <w:abstractNumId w:val="5"/>
    <w:lvlOverride w:ilvl="0">
      <w:lvl w:ilvl="0">
        <w:numFmt w:val="decimal"/>
        <w:lvlText w:val="%1."/>
        <w:lvlJc w:val="left"/>
      </w:lvl>
    </w:lvlOverride>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35B"/>
    <w:rsid w:val="000B53CC"/>
    <w:rsid w:val="001E205E"/>
    <w:rsid w:val="00223661"/>
    <w:rsid w:val="0022544E"/>
    <w:rsid w:val="002B3A5D"/>
    <w:rsid w:val="003C5496"/>
    <w:rsid w:val="00413930"/>
    <w:rsid w:val="00480088"/>
    <w:rsid w:val="004B0480"/>
    <w:rsid w:val="004C36FE"/>
    <w:rsid w:val="00537EDA"/>
    <w:rsid w:val="00590A2A"/>
    <w:rsid w:val="00597164"/>
    <w:rsid w:val="00603B3B"/>
    <w:rsid w:val="006454D1"/>
    <w:rsid w:val="006B7661"/>
    <w:rsid w:val="007264EE"/>
    <w:rsid w:val="00765406"/>
    <w:rsid w:val="00772E66"/>
    <w:rsid w:val="00791E27"/>
    <w:rsid w:val="007F7B8E"/>
    <w:rsid w:val="00802FC1"/>
    <w:rsid w:val="00926D2A"/>
    <w:rsid w:val="00933138"/>
    <w:rsid w:val="00971AD4"/>
    <w:rsid w:val="009A2CBE"/>
    <w:rsid w:val="009B6955"/>
    <w:rsid w:val="009D025C"/>
    <w:rsid w:val="00A13CFD"/>
    <w:rsid w:val="00A35036"/>
    <w:rsid w:val="00B10855"/>
    <w:rsid w:val="00B8635B"/>
    <w:rsid w:val="00BB27F5"/>
    <w:rsid w:val="00CC6F1A"/>
    <w:rsid w:val="00DC5E2A"/>
    <w:rsid w:val="00E35B0B"/>
    <w:rsid w:val="00F266B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7319F052"/>
  <w15:docId w15:val="{3F5AB74A-0E86-774C-BDC3-9DAF69D17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line="276" w:lineRule="auto"/>
      <w:outlineLvl w:val="0"/>
    </w:pPr>
    <w:rPr>
      <w:rFonts w:ascii="Arial" w:eastAsia="Arial" w:hAnsi="Arial" w:cs="Arial"/>
      <w:sz w:val="40"/>
      <w:szCs w:val="40"/>
    </w:rPr>
  </w:style>
  <w:style w:type="paragraph" w:styleId="Heading2">
    <w:name w:val="heading 2"/>
    <w:basedOn w:val="Normal"/>
    <w:next w:val="Normal"/>
    <w:uiPriority w:val="9"/>
    <w:unhideWhenUsed/>
    <w:qFormat/>
    <w:pPr>
      <w:keepNext/>
      <w:keepLines/>
      <w:spacing w:before="360" w:after="120" w:line="276" w:lineRule="auto"/>
      <w:outlineLvl w:val="1"/>
    </w:pPr>
    <w:rPr>
      <w:rFonts w:ascii="Arial" w:eastAsia="Arial" w:hAnsi="Arial" w:cs="Arial"/>
      <w:sz w:val="32"/>
      <w:szCs w:val="32"/>
    </w:rPr>
  </w:style>
  <w:style w:type="paragraph" w:styleId="Heading3">
    <w:name w:val="heading 3"/>
    <w:basedOn w:val="Normal"/>
    <w:next w:val="Normal"/>
    <w:uiPriority w:val="9"/>
    <w:unhideWhenUsed/>
    <w:qFormat/>
    <w:pPr>
      <w:keepNext/>
      <w:keepLines/>
      <w:spacing w:before="320" w:after="80" w:line="276" w:lineRule="auto"/>
      <w:outlineLvl w:val="2"/>
    </w:pPr>
    <w:rPr>
      <w:rFonts w:ascii="Arial" w:eastAsia="Arial" w:hAnsi="Arial" w:cs="Arial"/>
      <w:color w:val="434343"/>
      <w:sz w:val="28"/>
      <w:szCs w:val="28"/>
    </w:rPr>
  </w:style>
  <w:style w:type="paragraph" w:styleId="Heading4">
    <w:name w:val="heading 4"/>
    <w:basedOn w:val="Normal"/>
    <w:next w:val="Normal"/>
    <w:uiPriority w:val="9"/>
    <w:semiHidden/>
    <w:unhideWhenUsed/>
    <w:qFormat/>
    <w:pPr>
      <w:keepNext/>
      <w:keepLines/>
      <w:spacing w:before="280" w:after="80" w:line="276" w:lineRule="auto"/>
      <w:outlineLvl w:val="3"/>
    </w:pPr>
    <w:rPr>
      <w:rFonts w:ascii="Arial" w:eastAsia="Arial" w:hAnsi="Arial" w:cs="Arial"/>
      <w:color w:val="666666"/>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Arial" w:eastAsia="Arial" w:hAnsi="Arial" w:cs="Arial"/>
      <w:color w:val="666666"/>
      <w:sz w:val="22"/>
      <w:szCs w:val="22"/>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Arial" w:eastAsia="Arial" w:hAnsi="Arial" w:cs="Arial"/>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rPr>
  </w:style>
  <w:style w:type="character" w:styleId="PlaceholderText">
    <w:name w:val="Placeholder Text"/>
    <w:basedOn w:val="DefaultParagraphFont"/>
    <w:uiPriority w:val="99"/>
    <w:semiHidden/>
    <w:rsid w:val="00DC5E2A"/>
    <w:rPr>
      <w:color w:val="808080"/>
    </w:rPr>
  </w:style>
  <w:style w:type="paragraph" w:styleId="NormalWeb">
    <w:name w:val="Normal (Web)"/>
    <w:basedOn w:val="Normal"/>
    <w:uiPriority w:val="99"/>
    <w:semiHidden/>
    <w:unhideWhenUsed/>
    <w:rsid w:val="00223661"/>
    <w:pPr>
      <w:spacing w:before="100" w:beforeAutospacing="1" w:after="100" w:afterAutospacing="1"/>
    </w:pPr>
  </w:style>
  <w:style w:type="paragraph" w:styleId="Header">
    <w:name w:val="header"/>
    <w:basedOn w:val="Normal"/>
    <w:link w:val="HeaderChar"/>
    <w:uiPriority w:val="99"/>
    <w:unhideWhenUsed/>
    <w:rsid w:val="009D025C"/>
    <w:pPr>
      <w:tabs>
        <w:tab w:val="center" w:pos="4680"/>
        <w:tab w:val="right" w:pos="9360"/>
      </w:tabs>
    </w:pPr>
  </w:style>
  <w:style w:type="character" w:customStyle="1" w:styleId="HeaderChar">
    <w:name w:val="Header Char"/>
    <w:basedOn w:val="DefaultParagraphFont"/>
    <w:link w:val="Header"/>
    <w:uiPriority w:val="99"/>
    <w:rsid w:val="009D025C"/>
  </w:style>
  <w:style w:type="paragraph" w:styleId="Footer">
    <w:name w:val="footer"/>
    <w:basedOn w:val="Normal"/>
    <w:link w:val="FooterChar"/>
    <w:uiPriority w:val="99"/>
    <w:unhideWhenUsed/>
    <w:rsid w:val="009D025C"/>
    <w:pPr>
      <w:tabs>
        <w:tab w:val="center" w:pos="4680"/>
        <w:tab w:val="right" w:pos="9360"/>
      </w:tabs>
    </w:pPr>
  </w:style>
  <w:style w:type="character" w:customStyle="1" w:styleId="FooterChar">
    <w:name w:val="Footer Char"/>
    <w:basedOn w:val="DefaultParagraphFont"/>
    <w:link w:val="Footer"/>
    <w:uiPriority w:val="99"/>
    <w:rsid w:val="009D02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57955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paperpile.com/c/KFPJBI/Varyb" TargetMode="External"/><Relationship Id="rId18" Type="http://schemas.openxmlformats.org/officeDocument/2006/relationships/hyperlink" Target="https://paperpile.com/c/KFPJBI/Un0kt+MGs0L+WQqTm" TargetMode="External"/><Relationship Id="rId26" Type="http://schemas.openxmlformats.org/officeDocument/2006/relationships/image" Target="media/image6.png"/><Relationship Id="rId39" Type="http://schemas.openxmlformats.org/officeDocument/2006/relationships/hyperlink" Target="http://paperpile.com/b/KFPJBI/rFFva" TargetMode="External"/><Relationship Id="rId21" Type="http://schemas.openxmlformats.org/officeDocument/2006/relationships/image" Target="media/image1.png"/><Relationship Id="rId34" Type="http://schemas.openxmlformats.org/officeDocument/2006/relationships/hyperlink" Target="https://cran.r-project.org/web/packages/penalizedSVM/index.html." TargetMode="External"/><Relationship Id="rId42" Type="http://schemas.openxmlformats.org/officeDocument/2006/relationships/hyperlink" Target="http://paperpile.com/b/KFPJBI/gxhjt" TargetMode="External"/><Relationship Id="rId47" Type="http://schemas.openxmlformats.org/officeDocument/2006/relationships/hyperlink" Target="http://paperpile.com/b/KFPJBI/WQqTm" TargetMode="External"/><Relationship Id="rId7" Type="http://schemas.openxmlformats.org/officeDocument/2006/relationships/hyperlink" Target="https://paperpile.com/c/KFPJBI/3037t" TargetMode="External"/><Relationship Id="rId2" Type="http://schemas.openxmlformats.org/officeDocument/2006/relationships/styles" Target="styles.xml"/><Relationship Id="rId16" Type="http://schemas.openxmlformats.org/officeDocument/2006/relationships/hyperlink" Target="https://paperpile.com/c/KFPJBI/rFFva" TargetMode="External"/><Relationship Id="rId29" Type="http://schemas.openxmlformats.org/officeDocument/2006/relationships/hyperlink" Target="http://paperpile.com/b/KFPJBI/giiwr" TargetMode="External"/><Relationship Id="rId11" Type="http://schemas.openxmlformats.org/officeDocument/2006/relationships/hyperlink" Target="https://paperpile.com/c/KFPJBI/rFFva" TargetMode="External"/><Relationship Id="rId24" Type="http://schemas.openxmlformats.org/officeDocument/2006/relationships/image" Target="media/image4.png"/><Relationship Id="rId32" Type="http://schemas.openxmlformats.org/officeDocument/2006/relationships/hyperlink" Target="http://paperpile.com/b/KFPJBI/ZqxLa" TargetMode="External"/><Relationship Id="rId37" Type="http://schemas.openxmlformats.org/officeDocument/2006/relationships/hyperlink" Target="http://paperpile.com/b/KFPJBI/HF9va" TargetMode="External"/><Relationship Id="rId40" Type="http://schemas.openxmlformats.org/officeDocument/2006/relationships/hyperlink" Target="http://paperpile.com/b/KFPJBI/sU2yB" TargetMode="External"/><Relationship Id="rId45" Type="http://schemas.openxmlformats.org/officeDocument/2006/relationships/hyperlink" Target="http://paperpile.com/b/KFPJBI/Un0kt" TargetMode="External"/><Relationship Id="rId5" Type="http://schemas.openxmlformats.org/officeDocument/2006/relationships/footnotes" Target="footnotes.xml"/><Relationship Id="rId15" Type="http://schemas.openxmlformats.org/officeDocument/2006/relationships/hyperlink" Target="https://paperpile.com/c/KFPJBI/wYunA" TargetMode="External"/><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hyperlink" Target="http://paperpile.com/b/KFPJBI/3037t" TargetMode="External"/><Relationship Id="rId49" Type="http://schemas.openxmlformats.org/officeDocument/2006/relationships/theme" Target="theme/theme1.xml"/><Relationship Id="rId10" Type="http://schemas.openxmlformats.org/officeDocument/2006/relationships/hyperlink" Target="https://paperpile.com/c/KFPJBI/wYunA" TargetMode="External"/><Relationship Id="rId19" Type="http://schemas.openxmlformats.org/officeDocument/2006/relationships/hyperlink" Target="https://paperpile.com/c/KFPJBI/Un0kt+MGs0L+WQqTm" TargetMode="External"/><Relationship Id="rId31" Type="http://schemas.openxmlformats.org/officeDocument/2006/relationships/hyperlink" Target="https://rdrr.io/cran/HiDimDA/man/SelectV.html." TargetMode="External"/><Relationship Id="rId44" Type="http://schemas.openxmlformats.org/officeDocument/2006/relationships/hyperlink" Target="http://paperpile.com/b/KFPJBI/j6FnN" TargetMode="External"/><Relationship Id="rId4" Type="http://schemas.openxmlformats.org/officeDocument/2006/relationships/webSettings" Target="webSettings.xml"/><Relationship Id="rId9" Type="http://schemas.openxmlformats.org/officeDocument/2006/relationships/hyperlink" Target="https://paperpile.com/c/KFPJBI/ZqxLa" TargetMode="External"/><Relationship Id="rId14" Type="http://schemas.openxmlformats.org/officeDocument/2006/relationships/hyperlink" Target="https://paperpile.com/c/KFPJBI/Varyb" TargetMode="External"/><Relationship Id="rId22" Type="http://schemas.openxmlformats.org/officeDocument/2006/relationships/image" Target="media/image2.png"/><Relationship Id="rId27" Type="http://schemas.openxmlformats.org/officeDocument/2006/relationships/image" Target="media/image7.emf"/><Relationship Id="rId30" Type="http://schemas.openxmlformats.org/officeDocument/2006/relationships/hyperlink" Target="http://paperpile.com/b/KFPJBI/ZqxLa" TargetMode="External"/><Relationship Id="rId35" Type="http://schemas.openxmlformats.org/officeDocument/2006/relationships/hyperlink" Target="http://paperpile.com/b/KFPJBI/gDG1i" TargetMode="External"/><Relationship Id="rId43" Type="http://schemas.openxmlformats.org/officeDocument/2006/relationships/hyperlink" Target="http://paperpile.com/b/KFPJBI/Chse5" TargetMode="External"/><Relationship Id="rId48" Type="http://schemas.openxmlformats.org/officeDocument/2006/relationships/fontTable" Target="fontTable.xml"/><Relationship Id="rId8" Type="http://schemas.openxmlformats.org/officeDocument/2006/relationships/hyperlink" Target="https://paperpile.com/c/KFPJBI/HF9va" TargetMode="External"/><Relationship Id="rId3" Type="http://schemas.openxmlformats.org/officeDocument/2006/relationships/settings" Target="settings.xml"/><Relationship Id="rId12" Type="http://schemas.openxmlformats.org/officeDocument/2006/relationships/hyperlink" Target="https://paperpile.com/c/KFPJBI/sU2yB" TargetMode="External"/><Relationship Id="rId17" Type="http://schemas.openxmlformats.org/officeDocument/2006/relationships/hyperlink" Target="https://paperpile.com/c/KFPJBI/gxhjt+Chse5+j6FnN" TargetMode="External"/><Relationship Id="rId25" Type="http://schemas.openxmlformats.org/officeDocument/2006/relationships/image" Target="media/image5.png"/><Relationship Id="rId33" Type="http://schemas.openxmlformats.org/officeDocument/2006/relationships/hyperlink" Target="http://paperpile.com/b/KFPJBI/gDG1i" TargetMode="External"/><Relationship Id="rId38" Type="http://schemas.openxmlformats.org/officeDocument/2006/relationships/hyperlink" Target="http://paperpile.com/b/KFPJBI/wYunA" TargetMode="External"/><Relationship Id="rId46" Type="http://schemas.openxmlformats.org/officeDocument/2006/relationships/hyperlink" Target="http://paperpile.com/b/KFPJBI/MGs0L" TargetMode="External"/><Relationship Id="rId20" Type="http://schemas.openxmlformats.org/officeDocument/2006/relationships/hyperlink" Target="https://paperpile.com/c/KFPJBI/Un0kt+MGs0L+WQqTm" TargetMode="External"/><Relationship Id="rId41" Type="http://schemas.openxmlformats.org/officeDocument/2006/relationships/hyperlink" Target="http://paperpile.com/b/KFPJBI/Varyb" TargetMode="Externa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3124</Words>
  <Characters>17808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Javad</cp:lastModifiedBy>
  <cp:revision>2</cp:revision>
  <dcterms:created xsi:type="dcterms:W3CDTF">2022-08-29T23:58:00Z</dcterms:created>
  <dcterms:modified xsi:type="dcterms:W3CDTF">2022-08-29T23:58:00Z</dcterms:modified>
</cp:coreProperties>
</file>