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9834F" w14:textId="402448A1" w:rsidR="00171247" w:rsidRPr="00A23DD3" w:rsidRDefault="00F04DFE" w:rsidP="00F04DFE">
      <w:pPr>
        <w:jc w:val="center"/>
        <w:rPr>
          <w:b/>
          <w:bCs/>
        </w:rPr>
      </w:pPr>
      <w:r w:rsidRPr="00A23DD3">
        <w:rPr>
          <w:b/>
          <w:bCs/>
        </w:rPr>
        <w:t>Supplementary Material</w:t>
      </w:r>
    </w:p>
    <w:p w14:paraId="4B03233A" w14:textId="526B40A2" w:rsidR="00F04DFE" w:rsidRDefault="00F04DFE" w:rsidP="00F04DFE"/>
    <w:p w14:paraId="4871E874" w14:textId="77777777" w:rsidR="00F04DFE" w:rsidRDefault="00F04DFE" w:rsidP="00F04DFE"/>
    <w:p w14:paraId="2ACF39EE" w14:textId="5294C4FC" w:rsidR="00110514" w:rsidRPr="00202F84" w:rsidRDefault="00202F84" w:rsidP="00202F84">
      <w:pPr>
        <w:spacing w:line="360" w:lineRule="auto"/>
        <w:jc w:val="both"/>
        <w:rPr>
          <w:rFonts w:cs="Times New Roman"/>
          <w:b/>
          <w:bCs/>
          <w:i/>
          <w:iCs/>
          <w:shd w:val="clear" w:color="auto" w:fill="FFFFFF"/>
        </w:rPr>
      </w:pPr>
      <w:r>
        <w:rPr>
          <w:rFonts w:cs="Times New Roman"/>
          <w:b/>
          <w:bCs/>
          <w:i/>
          <w:iCs/>
          <w:shd w:val="clear" w:color="auto" w:fill="FFFFFF"/>
        </w:rPr>
        <w:t>S1</w:t>
      </w:r>
      <w:r w:rsidR="001B0B7B">
        <w:rPr>
          <w:rFonts w:cs="Times New Roman"/>
          <w:b/>
          <w:bCs/>
          <w:i/>
          <w:iCs/>
          <w:shd w:val="clear" w:color="auto" w:fill="FFFFFF"/>
        </w:rPr>
        <w:t xml:space="preserve"> – </w:t>
      </w:r>
      <w:r w:rsidR="00110514" w:rsidRPr="00202F84">
        <w:rPr>
          <w:rFonts w:cs="Times New Roman"/>
          <w:b/>
          <w:bCs/>
          <w:i/>
          <w:iCs/>
          <w:shd w:val="clear" w:color="auto" w:fill="FFFFFF"/>
        </w:rPr>
        <w:t xml:space="preserve">Image acquisition: </w:t>
      </w:r>
    </w:p>
    <w:p w14:paraId="6AEE2A76" w14:textId="77777777" w:rsidR="00110514" w:rsidRPr="00202F84" w:rsidRDefault="00110514" w:rsidP="00202F84">
      <w:pPr>
        <w:spacing w:line="360" w:lineRule="auto"/>
        <w:jc w:val="both"/>
        <w:rPr>
          <w:rFonts w:eastAsiaTheme="minorHAnsi" w:cs="Times New Roman"/>
          <w:lang w:eastAsia="en-US"/>
        </w:rPr>
      </w:pPr>
      <w:r w:rsidRPr="00202F84">
        <w:rPr>
          <w:rFonts w:cs="Times New Roman"/>
          <w:shd w:val="clear" w:color="auto" w:fill="FFFFFF"/>
        </w:rPr>
        <w:t>For PING:</w:t>
      </w:r>
      <w:r w:rsidRPr="00202F84">
        <w:rPr>
          <w:rFonts w:cs="Times New Roman"/>
          <w:sz w:val="23"/>
          <w:szCs w:val="23"/>
          <w:shd w:val="clear" w:color="auto" w:fill="FFFFFF"/>
        </w:rPr>
        <w:t xml:space="preserve"> </w:t>
      </w:r>
      <w:r w:rsidRPr="00202F84">
        <w:rPr>
          <w:rFonts w:eastAsiaTheme="minorHAnsi" w:cs="Times New Roman"/>
          <w:lang w:eastAsia="en-US"/>
        </w:rPr>
        <w:t xml:space="preserve">A standardized multi-modal high-resolution structural MRI protocol comprising of 3D T1-weighted volumes and a set of diffusion-weighted scans was used across 9 sites and 12 3T scanners </w:t>
      </w:r>
      <w:r w:rsidRPr="00202F84">
        <w:rPr>
          <w:rFonts w:eastAsiaTheme="minorHAnsi" w:cs="Times New Roman"/>
          <w:lang w:eastAsia="en-US"/>
        </w:rPr>
        <w:fldChar w:fldCharType="begin" w:fldLock="1"/>
      </w:r>
      <w:r w:rsidRPr="00202F84">
        <w:rPr>
          <w:rFonts w:eastAsiaTheme="minorHAnsi" w:cs="Times New Roman"/>
          <w:lang w:eastAsia="en-US"/>
        </w:rPr>
        <w:instrText>ADDIN CSL_CITATION {"citationItems":[{"id":"ITEM-1","itemData":{"DOI":"10.1016/j.neuroimage.2015.04.057","ISSN":"10538119","PMID":"25937488","abstract":"The main objective of the multi-site Pediatric Imaging, Neurocognition, and Genetics (PING) study was to create a large repository of standardized measurements of behavioral and imaging phenotypes accompanied by whole genome genotyping acquired from typically-developing children varying widely in age (3 to 20 years). This cross-sectional study produced sharable data from 1493 children, and these data have been described in several publications focusing on brain and cognitive development. Researchers may gain access to these data by applying for an account on the PING portal and filing a data use agreement. Here we describe the recruiting and screening of the children and give a brief overview of the assessments performed, the imaging methods applied, the genetic data produced, and the numbers of cases for whom different data types are available. We also cite sources of more detailed information about the methods and data. Finally we describe the procedures for accessing the data and for using the PING data exploration portal.","author":[{"dropping-particle":"","family":"Jernigan","given":"Terry L.","non-dropping-particle":"","parse-names":false,"suffix":""},{"dropping-particle":"","family":"Brown","given":"Timothy T.","non-dropping-particle":"","parse-names":false,"suffix":""},{"dropping-particle":"","family":"Hagler","given":"Donald J.","non-dropping-particle":"","parse-names":false,"suffix":""},{"dropping-particle":"","family":"Akshoomoff","given":"Natacha","non-dropping-particle":"","parse-names":false,"suffix":""},{"dropping-particle":"","family":"Bartsch","given":"Hauke","non-dropping-particle":"","parse-names":false,"suffix":""},{"dropping-particle":"","family":"Newman","given":"Erik","non-dropping-particle":"","parse-names":false,"suffix":""},{"dropping-particle":"","family":"Thompson","given":"Wesley K.","non-dropping-particle":"","parse-names":false,"suffix":""},{"dropping-particle":"","family":"Bloss","given":"Cinnamon S.","non-dropping-particle":"","parse-names":false,"suffix":""},{"dropping-particle":"","family":"Murray","given":"Sarah S.","non-dropping-particle":"","parse-names":false,"suffix":""},{"dropping-particle":"","family":"Schork","given":"Nicholas","non-dropping-particle":"","parse-names":false,"suffix":""},{"dropping-particle":"","family":"Kennedy","given":"David N.","non-dropping-particle":"","parse-names":false,"suffix":""},{"dropping-particle":"","family":"Kuperman","given":"Joshua M.","non-dropping-particle":"","parse-names":false,"suffix":""},{"dropping-particle":"","family":"McCabe","given":"Connor","non-dropping-particle":"","parse-names":false,"suffix":""},{"dropping-particle":"","family":"Chung","given":"Yoonho","non-dropping-particle":"","parse-names":false,"suffix":""},{"dropping-particle":"","family":"Libiger","given":"Ondrej","non-dropping-particle":"","parse-names":false,"suffix":""},{"dropping-particle":"","family":"Maddox","given":"Melanie","non-dropping-particle":"","parse-names":false,"suffix":""},{"dropping-particle":"","family":"Casey","given":"B.J.","non-dropping-particle":"","parse-names":false,"suffix":""},{"dropping-particle":"","family":"Chang","given":"Linda","non-dropping-particle":"","parse-names":false,"suffix":""},{"dropping-particle":"","family":"Ernst","given":"Thomas M.","non-dropping-particle":"","parse-names":false,"suffix":""},{"dropping-particle":"","family":"Frazier","given":"Jean A.","non-dropping-particle":"","parse-names":false,"suffix":""},{"dropping-particle":"","family":"Gruen","given":"Jeffrey R.","non-dropping-particle":"","parse-names":false,"suffix":""},{"dropping-particle":"","family":"Sowell","given":"Elizabeth R.","non-dropping-particle":"","parse-names":false,"suffix":""},{"dropping-particle":"","family":"Kenet","given":"Tal","non-dropping-particle":"","parse-names":false,"suffix":""},{"dropping-particle":"","family":"Kaufmann","given":"Walter E.","non-dropping-particle":"","parse-names":false,"suffix":""},{"dropping-particle":"","family":"Mostofsky","given":"Stewart","non-dropping-particle":"","parse-names":false,"suffix":""},{"dropping-particle":"","family":"Amaral","given":"David G.","non-dropping-particle":"","parse-names":false,"suffix":""},{"dropping-particle":"","family":"Dale","given":"Anders M.","non-dropping-particle":"","parse-names":false,"suffix":""},{"dropping-particle":"","family":"Pediatric Imaging, Neurocognition and Genetics Study","given":"","non-dropping-particle":"","parse-names":false,"suffix":""}],"container-title":"NeuroImage","id":"ITEM-1","issue":"Pt B","issued":{"date-parts":[["2016","1","1"]]},"page":"1149-1154","title":"The Pediatric Imaging, Neurocognition, and Genetics (PING) Data Repository","type":"article-journal","volume":"124"},"uris":["http://www.mendeley.com/documents/?uuid=a6b54564-cb36-3772-80b8-dc7455065549"]}],"mendeley":{"formattedCitation":"(Jernigan et al. 2016)","plainTextFormattedCitation":"(Jernigan et al. 2016)","previouslyFormattedCitation":"(Jernigan et al. 2016)"},"properties":{"noteIndex":0},"schema":"https://github.com/citation-style-language/schema/raw/master/csl-citation.json"}</w:instrText>
      </w:r>
      <w:r w:rsidRPr="00202F84">
        <w:rPr>
          <w:rFonts w:eastAsiaTheme="minorHAnsi" w:cs="Times New Roman"/>
          <w:lang w:eastAsia="en-US"/>
        </w:rPr>
        <w:fldChar w:fldCharType="separate"/>
      </w:r>
      <w:r w:rsidRPr="00202F84">
        <w:rPr>
          <w:rFonts w:eastAsiaTheme="minorHAnsi" w:cs="Times New Roman"/>
          <w:noProof/>
          <w:lang w:eastAsia="en-US"/>
        </w:rPr>
        <w:t>(Jernigan et al. 2016)</w:t>
      </w:r>
      <w:r w:rsidRPr="00202F84">
        <w:rPr>
          <w:rFonts w:eastAsiaTheme="minorHAnsi" w:cs="Times New Roman"/>
          <w:lang w:eastAsia="en-US"/>
        </w:rPr>
        <w:fldChar w:fldCharType="end"/>
      </w:r>
      <w:r w:rsidRPr="00202F84">
        <w:rPr>
          <w:rFonts w:eastAsiaTheme="minorHAnsi" w:cs="Times New Roman"/>
          <w:lang w:eastAsia="en-US"/>
        </w:rPr>
        <w:t xml:space="preserve">. Across the nine sites and 12 scanners, a standardized multiple-modality high-resolution structural MRI protocol was applied involving 3D T1- and T2-weighted volumes and a set of diffusion-weighted scans. The protocol included a conventional three-plane localizer, a sagittal 3D inversion recovery spoiled gradient echo T1-weighted volume optimized for maximum gray/white matter contrast (echo time = 3.5 </w:t>
      </w:r>
      <w:proofErr w:type="spellStart"/>
      <w:r w:rsidRPr="00202F84">
        <w:rPr>
          <w:rFonts w:eastAsiaTheme="minorHAnsi" w:cs="Times New Roman"/>
          <w:lang w:eastAsia="en-US"/>
        </w:rPr>
        <w:t>ms</w:t>
      </w:r>
      <w:proofErr w:type="spellEnd"/>
      <w:r w:rsidRPr="00202F84">
        <w:rPr>
          <w:rFonts w:eastAsiaTheme="minorHAnsi" w:cs="Times New Roman"/>
          <w:lang w:eastAsia="en-US"/>
        </w:rPr>
        <w:t xml:space="preserve">, repetition time = 8.1 </w:t>
      </w:r>
      <w:proofErr w:type="spellStart"/>
      <w:r w:rsidRPr="00202F84">
        <w:rPr>
          <w:rFonts w:eastAsiaTheme="minorHAnsi" w:cs="Times New Roman"/>
          <w:lang w:eastAsia="en-US"/>
        </w:rPr>
        <w:t>ms</w:t>
      </w:r>
      <w:proofErr w:type="spellEnd"/>
      <w:r w:rsidRPr="00202F84">
        <w:rPr>
          <w:rFonts w:eastAsiaTheme="minorHAnsi" w:cs="Times New Roman"/>
          <w:lang w:eastAsia="en-US"/>
        </w:rPr>
        <w:t xml:space="preserve">, inversion time = 640 </w:t>
      </w:r>
      <w:proofErr w:type="spellStart"/>
      <w:r w:rsidRPr="00202F84">
        <w:rPr>
          <w:rFonts w:eastAsiaTheme="minorHAnsi" w:cs="Times New Roman"/>
          <w:lang w:eastAsia="en-US"/>
        </w:rPr>
        <w:t>ms</w:t>
      </w:r>
      <w:proofErr w:type="spellEnd"/>
      <w:r w:rsidRPr="00202F84">
        <w:rPr>
          <w:rFonts w:eastAsiaTheme="minorHAnsi" w:cs="Times New Roman"/>
          <w:lang w:eastAsia="en-US"/>
        </w:rPr>
        <w:t xml:space="preserve">, flip angle = 8°, receiver bandwidth = ±31.25 kHz, FOV = 24 cm, frequency = 256, phase = 192, slice thickness = 1.2 mm), and two axial 2D diffusion tensor imaging (DTI) </w:t>
      </w:r>
      <w:proofErr w:type="spellStart"/>
      <w:r w:rsidRPr="00202F84">
        <w:rPr>
          <w:rFonts w:eastAsiaTheme="minorHAnsi" w:cs="Times New Roman"/>
          <w:lang w:eastAsia="en-US"/>
        </w:rPr>
        <w:t>PEpolar</w:t>
      </w:r>
      <w:proofErr w:type="spellEnd"/>
      <w:r w:rsidRPr="00202F84">
        <w:rPr>
          <w:rFonts w:eastAsiaTheme="minorHAnsi" w:cs="Times New Roman"/>
          <w:lang w:eastAsia="en-US"/>
        </w:rPr>
        <w:t xml:space="preserve"> scans (30-directions </w:t>
      </w:r>
      <w:proofErr w:type="spellStart"/>
      <w:r w:rsidRPr="00202F84">
        <w:rPr>
          <w:rFonts w:eastAsiaTheme="minorHAnsi" w:cs="Times New Roman"/>
          <w:lang w:eastAsia="en-US"/>
        </w:rPr>
        <w:t>bvalue</w:t>
      </w:r>
      <w:proofErr w:type="spellEnd"/>
      <w:r w:rsidRPr="00202F84">
        <w:rPr>
          <w:rFonts w:eastAsiaTheme="minorHAnsi" w:cs="Times New Roman"/>
          <w:lang w:eastAsia="en-US"/>
        </w:rPr>
        <w:t xml:space="preserve"> = 1,000, TE = 83 </w:t>
      </w:r>
      <w:proofErr w:type="spellStart"/>
      <w:r w:rsidRPr="00202F84">
        <w:rPr>
          <w:rFonts w:eastAsiaTheme="minorHAnsi" w:cs="Times New Roman"/>
          <w:lang w:eastAsia="en-US"/>
        </w:rPr>
        <w:t>ms</w:t>
      </w:r>
      <w:proofErr w:type="spellEnd"/>
      <w:r w:rsidRPr="00202F84">
        <w:rPr>
          <w:rFonts w:eastAsiaTheme="minorHAnsi" w:cs="Times New Roman"/>
          <w:lang w:eastAsia="en-US"/>
        </w:rPr>
        <w:t xml:space="preserve">, TR = 13,600 </w:t>
      </w:r>
      <w:proofErr w:type="spellStart"/>
      <w:r w:rsidRPr="00202F84">
        <w:rPr>
          <w:rFonts w:eastAsiaTheme="minorHAnsi" w:cs="Times New Roman"/>
          <w:lang w:eastAsia="en-US"/>
        </w:rPr>
        <w:t>ms</w:t>
      </w:r>
      <w:proofErr w:type="spellEnd"/>
      <w:r w:rsidRPr="00202F84">
        <w:rPr>
          <w:rFonts w:eastAsiaTheme="minorHAnsi" w:cs="Times New Roman"/>
          <w:lang w:eastAsia="en-US"/>
        </w:rPr>
        <w:t xml:space="preserve">, frequency = 96, phase = 96, slice thickness = 2.5 mm). </w:t>
      </w:r>
    </w:p>
    <w:p w14:paraId="4DDFEA40" w14:textId="77777777" w:rsidR="00110514" w:rsidRPr="00202F84" w:rsidRDefault="00110514" w:rsidP="00A23DD3">
      <w:pPr>
        <w:spacing w:line="360" w:lineRule="auto"/>
        <w:jc w:val="both"/>
        <w:rPr>
          <w:rFonts w:eastAsiaTheme="minorHAnsi" w:cs="Times New Roman"/>
          <w:lang w:eastAsia="en-US"/>
        </w:rPr>
      </w:pPr>
    </w:p>
    <w:p w14:paraId="222A7CFB" w14:textId="77777777" w:rsidR="00110514" w:rsidRPr="00202F84" w:rsidRDefault="00110514" w:rsidP="00202F84">
      <w:pPr>
        <w:spacing w:line="360" w:lineRule="auto"/>
        <w:jc w:val="both"/>
        <w:rPr>
          <w:rFonts w:eastAsiaTheme="minorHAnsi" w:cs="Times New Roman"/>
          <w:lang w:eastAsia="en-US"/>
        </w:rPr>
      </w:pPr>
      <w:r w:rsidRPr="00202F84">
        <w:rPr>
          <w:rFonts w:eastAsiaTheme="minorHAnsi" w:cs="Times New Roman"/>
          <w:lang w:eastAsia="en-US"/>
        </w:rPr>
        <w:t>For ABIDE: The ABIDE database is an agglomerated dataset of 1112 resting-state functional magnetic resonance imaging (</w:t>
      </w:r>
      <w:proofErr w:type="spellStart"/>
      <w:r w:rsidRPr="00202F84">
        <w:rPr>
          <w:rFonts w:eastAsiaTheme="minorHAnsi" w:cs="Times New Roman"/>
          <w:lang w:eastAsia="en-US"/>
        </w:rPr>
        <w:t>rsfMRI</w:t>
      </w:r>
      <w:proofErr w:type="spellEnd"/>
      <w:r w:rsidRPr="00202F84">
        <w:rPr>
          <w:rFonts w:eastAsiaTheme="minorHAnsi" w:cs="Times New Roman"/>
          <w:lang w:eastAsia="en-US"/>
        </w:rPr>
        <w:t>) data sets openly shared from 17 sites with corresponding structural MRI and phenotypic information from 539 individuals with ASDs and 573 age-matched typical controls (</w:t>
      </w:r>
      <w:hyperlink r:id="rId5" w:history="1">
        <w:r w:rsidRPr="00202F84">
          <w:rPr>
            <w:rStyle w:val="Hyperlink"/>
            <w:rFonts w:eastAsiaTheme="minorHAnsi" w:cs="Times New Roman"/>
            <w:lang w:eastAsia="en-US"/>
          </w:rPr>
          <w:t>http://fcon_1000.projects.nitrc.org/indi/abide/</w:t>
        </w:r>
      </w:hyperlink>
      <w:r w:rsidRPr="00202F84">
        <w:rPr>
          <w:rFonts w:eastAsiaTheme="minorHAnsi" w:cs="Times New Roman"/>
          <w:lang w:eastAsia="en-US"/>
        </w:rPr>
        <w:t xml:space="preserve">) </w:t>
      </w:r>
      <w:r w:rsidRPr="00202F84">
        <w:rPr>
          <w:rFonts w:eastAsiaTheme="minorHAnsi" w:cs="Times New Roman"/>
          <w:lang w:eastAsia="en-US"/>
        </w:rPr>
        <w:fldChar w:fldCharType="begin" w:fldLock="1"/>
      </w:r>
      <w:r w:rsidRPr="00202F84">
        <w:rPr>
          <w:rFonts w:eastAsiaTheme="minorHAnsi" w:cs="Times New Roman"/>
          <w:lang w:eastAsia="en-US"/>
        </w:rPr>
        <w:instrText>ADDIN CSL_CITATION {"citationItems":[{"id":"ITEM-1","itemData":{"DOI":"10.1038/mp.2013.78","ISBN":"1476-5578 (Electronic)\r1359-4184 (Linking)","ISSN":"14765578","PMID":"23774715","abstract":"Autism spectrum disorders (ASDs) represent a formidable challenge for psychiatry and neuroscience because of their high prevalence, lifelong nature, complexity and substantial heterogeneity. Facing these obstacles requires large-scale multidisciplinary efforts. Although the field of genetics has pioneered data sharing for these reasons, neuroimaging had not kept pace. In response, we introduce the Autism Brain Imaging Data Exchange (ABIDE)-a grassroots consortium aggregating and openly sharing 1112 existing resting-state functional magnetic resonance imaging (R-fMRI) data sets with corresponding structural MRI and phenotypic information from 539 individuals with ASDs and 573 age-matched typical controls (TCs; 7-64 years) (http://fcon_1000.projects.nitrc.org/indi/abide/). Here, we present this resource and demonstrate its suitability for advancing knowledge of ASD neurobiology based on analyses of 360 male subjects with ASDs and 403 male age-matched TCs. We focused on whole-brain intrinsic functional connectivity and also survey a range of voxel-wise measures of intrinsic functional brain architecture. Whole-brain analyses reconciled seemingly disparate themes of both hypo- and hyperconnectivity in the ASD literature; both were detected, although hypoconnectivity dominated, particularly for corticocortical and interhemispheric functional connectivity. Exploratory analyses using an array of regional metrics of intrinsic brain function converged on common loci of dysfunction in ASDs (mid- and posterior insula and posterior cingulate cortex), and highlighted less commonly explored regions such as the thalamus. The survey of the ABIDE R-fMRI data sets provides unprecedented demonstrations of both replication and novel discovery. By pooling multiple international data sets, ABIDE is expected to accelerate the pace of discovery setting the stage for the next generation of ASD studies.","author":[{"dropping-particle":"","family":"Martino","given":"A.","non-dropping-particle":"Di","parse-names":false,"suffix":""},{"dropping-particle":"","family":"Yan","given":"C. G.","non-dropping-particle":"","parse-names":false,"suffix":""},{"dropping-particle":"","family":"Li","given":"Q.","non-dropping-particle":"","parse-names":false,"suffix":""},{"dropping-particle":"","family":"Denio","given":"E.","non-dropping-particle":"","parse-names":false,"suffix":""},{"dropping-particle":"","family":"Castellanos","given":"F. X.","non-dropping-particle":"","parse-names":false,"suffix":""},{"dropping-particle":"","family":"Alaerts","given":"K.","non-dropping-particle":"","parse-names":false,"suffix":""},{"dropping-particle":"","family":"Anderson","given":"J. S.","non-dropping-particle":"","parse-names":false,"suffix":""},{"dropping-particle":"","family":"Assaf","given":"M.","non-dropping-particle":"","parse-names":false,"suffix":""},{"dropping-particle":"","family":"Bookheimer","given":"S. Y.","non-dropping-particle":"","parse-names":false,"suffix":""},{"dropping-particle":"","family":"Dapretto","given":"M.","non-dropping-particle":"","parse-names":false,"suffix":""},{"dropping-particle":"","family":"Deen","given":"B.","non-dropping-particle":"","parse-names":false,"suffix":""},{"dropping-particle":"","family":"Delmonte","given":"S.","non-dropping-particle":"","parse-names":false,"suffix":""},{"dropping-particle":"","family":"Dinstein","given":"I.","non-dropping-particle":"","parse-names":false,"suffix":""},{"dropping-particle":"","family":"Ertl-Wagner","given":"B.","non-dropping-particle":"","parse-names":false,"suffix":""},{"dropping-particle":"","family":"Fair","given":"D. A.","non-dropping-particle":"","parse-names":false,"suffix":""},{"dropping-particle":"","family":"Gallagher","given":"L.","non-dropping-particle":"","parse-names":false,"suffix":""},{"dropping-particle":"","family":"Kennedy","given":"D. P.","non-dropping-particle":"","parse-names":false,"suffix":""},{"dropping-particle":"","family":"Keown","given":"C. L.","non-dropping-particle":"","parse-names":false,"suffix":""},{"dropping-particle":"","family":"Keysers","given":"C.","non-dropping-particle":"","parse-names":false,"suffix":""},{"dropping-particle":"","family":"Lainhart","given":"J. E.","non-dropping-particle":"","parse-names":false,"suffix":""},{"dropping-particle":"","family":"Lord","given":"C.","non-dropping-particle":"","parse-names":false,"suffix":""},{"dropping-particle":"","family":"Luna","given":"B.","non-dropping-particle":"","parse-names":false,"suffix":""},{"dropping-particle":"","family":"Menon","given":"V.","non-dropping-particle":"","parse-names":false,"suffix":""},{"dropping-particle":"","family":"Minshew","given":"N. J.","non-dropping-particle":"","parse-names":false,"suffix":""},{"dropping-particle":"","family":"Monk","given":"C. S.","non-dropping-particle":"","parse-names":false,"suffix":""},{"dropping-particle":"","family":"Mueller","given":"S.","non-dropping-particle":"","parse-names":false,"suffix":""},{"dropping-particle":"","family":"Muller","given":"R A","non-dropping-particle":"","parse-names":false,"suffix":""},{"dropping-particle":"","family":"Nebel","given":"M. B.","non-dropping-particle":"","parse-names":false,"suffix":""},{"dropping-particle":"","family":"Nigg","given":"J. T.","non-dropping-particle":"","parse-names":false,"suffix":""},{"dropping-particle":"","family":"O'Hearn","given":"K.","non-dropping-particle":"","parse-names":false,"suffix":""},{"dropping-particle":"","family":"Pelphrey","given":"K. A.","non-dropping-particle":"","parse-names":false,"suffix":""},{"dropping-particle":"","family":"Peltier","given":"S. J.","non-dropping-particle":"","parse-names":false,"suffix":""},{"dropping-particle":"","family":"Rudie","given":"J. D.","non-dropping-particle":"","parse-names":false,"suffix":""},{"dropping-particle":"","family":"Sunaert","given":"S.","non-dropping-particle":"","parse-names":false,"suffix":""},{"dropping-particle":"","family":"Thioux","given":"M.","non-dropping-particle":"","parse-names":false,"suffix":""},{"dropping-particle":"","family":"Tyszka","given":"J. M.","non-dropping-particle":"","parse-names":false,"suffix":""},{"dropping-particle":"","family":"Uddin","given":"L. Q.","non-dropping-particle":"","parse-names":false,"suffix":""},{"dropping-particle":"","family":"Verhoeven","given":"J. S.","non-dropping-particle":"","parse-names":false,"suffix":""},{"dropping-particle":"","family":"Wenderoth","given":"N.","non-dropping-particle":"","parse-names":false,"suffix":""},{"dropping-particle":"","family":"Wiggins","given":"J. L.","non-dropping-particle":"","parse-names":false,"suffix":""},{"dropping-particle":"","family":"Mostofsky","given":"S. H.","non-dropping-particle":"","parse-names":false,"suffix":""},{"dropping-particle":"","family":"Milham","given":"M. P.","non-dropping-particle":"","parse-names":false,"suffix":""},{"dropping-particle":"","family":"Müller","given":"R. A.","non-dropping-particle":"","parse-names":false,"suffix":""},{"dropping-particle":"","family":"Nebel","given":"M. B.","non-dropping-particle":"","parse-names":false,"suffix":""},{"dropping-particle":"","family":"Nigg","given":"J. T.","non-dropping-particle":"","parse-names":false,"suffix":""},{"dropping-particle":"","family":"O'Hearn","given":"K.","non-dropping-particle":"","parse-names":false,"suffix":""},{"dropping-particle":"","family":"Pelphrey","given":"K. A.","non-dropping-particle":"","parse-names":false,"suffix":""},{"dropping-particle":"","family":"Peltier","given":"S. J.","non-dropping-particle":"","parse-names":false,"suffix":""},{"dropping-particle":"","family":"Rudie","given":"J. D.","non-dropping-particle":"","parse-names":false,"suffix":""},{"dropping-particle":"","family":"Sunaert","given":"S.","non-dropping-particle":"","parse-names":false,"suffix":""},{"dropping-particle":"","family":"Thioux","given":"M.","non-dropping-particle":"","parse-names":false,"suffix":""},{"dropping-particle":"","family":"Tyszka","given":"J. M.","non-dropping-particle":"","parse-names":false,"suffix":""},{"dropping-particle":"","family":"Uddin","given":"L. Q.","non-dropping-particle":"","parse-names":false,"suffix":""},{"dropping-particle":"","family":"Verhoeven","given":"J. S.","non-dropping-particle":"","parse-names":false,"suffix":""},{"dropping-particle":"","family":"Wenderoth","given":"N.","non-dropping-particle":"","parse-names":false,"suffix":""},{"dropping-particle":"","family":"Wiggins","given":"J. L.","non-dropping-particle":"","parse-names":false,"suffix":""},{"dropping-particle":"","family":"Mostofsky","given":"S. H.","non-dropping-particle":"","parse-names":false,"suffix":""},{"dropping-particle":"","family":"Milham","given":"M. P.","non-dropping-particle":"","parse-names":false,"suffix":""}],"container-title":"Mol Psychiatry","id":"ITEM-1","issue":"6","issued":{"date-parts":[["2014"]]},"note":"From Duplicate 2 (The autism brain imaging data exchange: towards a large-scale evaluation of the intrinsic brain architecture in autism - Di Martino, A; Yan, C G; Li, Q; Denio, E; Castellanos, F X; Alaerts, K; Anderson, J S; Assaf, M; Bookheimer, S Y; Dapretto, M; Deen, B; Delmonte, S; Dinstein, I; Ertl-Wagner, B; Fair, D A; Gallagher, L; Kennedy, D P; Keown, C L; Keysers, C; Lainhart, J E; Lord, C; Luna, B; Menon, V; Minshew, N J; Monk, C S; Mueller, S; Muller, R A; Nebel, M B; Nigg, J T; O'Hearn, K; Pelphrey, K A; Peltier, S J; Rudie, J D; Sunaert, S; Thioux, M; Tyszka, J M; Uddin, L Q; Verhoeven, J S; Wenderoth, N; Wiggins, J L; Mostofsky, S H; Milham, M P)\n\nDi Martino, A\nYan, C-G\nLi, Q\nDenio, E\nCastellanos, F X\nAlaerts, K\nAnderson, J S\nAssaf, M\nBookheimer, S Y\nDapretto, M\nDeen, B\nDelmonte, S\nDinstein, I\nErtl-Wagner, B\nFair, D A\nGallagher, L\nKennedy, D P\nKeown, C L\nKeysers, C\nLainhart, J E\nLord, C\nLuna, B\nMenon, V\nMinshew, N J\nMonk, C S\nMueller, S\nMuller, R-A\nNebel, M B\nNigg, J T\nO'Hearn, K\nPelphrey, K A\nPeltier, S J\nRudie, J D\nSunaert, S\nThioux, M\nTyszka, J M\nUddin, L Q\nVerhoeven, J S\nWenderoth, N\nWiggins, J L\nMostofsky, S H\nMilham, M P\neng\n1R01HD06528001-UCLA1/HD/NICHD NIH HHS/\nAS1344/Autism Speaks/\nAS1403/Autism Speaks/\nAS1739/Autism Speaks/\nAS2573/Autism Speaks/\nAS4773/Autism Speaks/\nAS5665/Autism Speaks/\nDC011095/DC/NIDCD NIH HHS/\nF31DC010143/DC/NIDCD NIH HHS/\nHD55748/HD/NICHD NIH HHS/\nK01 MH071284/MH/NIMH NIH HHS/\nK01 MH081191/MH/NIMH NIH HHS/\nK01 MH092288/MH/NIMH NIH HHS/\nK01MH071284-YALE/MH/NIMH NIH HHS/\nK01MH092288-STANFORD/MH/NIMH NIH HHS/\nK08 MH092697/MH/NIMH NIH HHS/\nK08MH092697/MH/NIMH NIH HHS/\nK23 MH087770/MH/NIMH NIH HHS/\nK23MH087770/MH/NIMH NIH HHS/\nK99/R00MH094409-CALTECH/MH/NIMH NIH HHS/\nKO1MH081191/MH/NIMH NIH HHS/\nMH066496/MH/NIMH NIH HHS/\nMH084164/MH/NIMH NIH HHS/\nMH67924-PITT/MH/NIMH NIH HHS/\nP01 MH047566/MH/NIMH NIH HHS/\nP50 HD055748/HD/NICHD NIH HHS/\nP50 HD055784/HD/NICHD NIH HHS/\nP50HD055784/HD/NICHD NIH HHS/\nP50MH60450/MH/NIMH NIH HHS/\nR00 MH091238/MH/NIMH NIH HHS/\nR00 MH094409/MH/NIMH NIH HHS/\nR00MH091238/MH/NIMH NIH HHS/\nR01 HD057173/HD/NICHD NIH HHS/\nR01 HD065280/HD/NICHD NIH HHS/\nR01 HD065282/HD/NICHD NIH HHS/\nR01 MH066496/MH/NIMH NIH HHS/\nR01 MH067924/MH/NIMH NIH HHS/\nR01 MH080721/MH/NIMH NIH HHS/\nR01 MH080826/MH/NIMH NIH HHS/\nR01 MH081023/MH/NIMH NIH HHS/\nR01 MH081218/MH/NIMH NIH HHS/\nR01 MH084164/MH/NIMH NIH HHS/\nR01 MH086654/MH/NIMH NIH HHS/\nR01 MH094639/MH/NIMH NIH HHS/\nR01 MH096773/MH/NIMH NIH HHS/\nR01 NS048527/NS/NINDS NIH HHS/\nR01HD065282/HD/NICHD NIH HHS/\nR01MH080721/MH/NIMH NIH HHS/\nR01MH080826/MH/NIMH NIH HHS/\nR01MH081023-SDSU/MH/NIMH NIH HHS/\nR01MH081218/MH/NIMH NIH HHS/\nR01MH086654/MH/NIMH NIH HHS/\nR01MH096773-OHSU/MH/NIMH NIH HHS/\nR01NS048527/NS/NINDS NIH HHS/\nR01NS34783/NS/NINDS NIH HHS/\nR03 MH096321/MH/NIMH NIH HHS/\nR21 DC011095/DC/NIDCD NIH HHS/\nR21 MH079871/MH/NIMH NIH HHS/\nR21 MH084126/MH/NIMH NIH HHS/\nR21MH079871/MH/NIMH NIH HHS/\nR21MH084126-NYU/MH/NIMH NIH HHS/\nT32 DC008553/DC/NIDCD NIH HHS/\nT32 GM008042/GM/NIGMS NIH HHS/\nT32 NS048004/NS/NINDS NIH HHS/\nT32DC008553-USM/DC/NIDCD NIH HHS/\nU19 HD035482/HD/NICHD NIH HHS/\nU19HD035482-UM1&amp;amp;UM2/HD/NICHD NIH HHS/\nResearch Support, N.I.H., Extramural\nEngland\n2013/06/19 06:00\nMol Psychiatry. 2014 Jun;19(6):659-67. doi: 10.1038/mp.2013.78. Epub 2013 Jun 18.","page":"659-667","title":"The autism brain imaging data exchange: towards a large-scale evaluation of the intrinsic brain architecture in autism","type":"article-journal","volume":"19"},"uris":["http://www.mendeley.com/documents/?uuid=4c59fc61-6ed6-45f2-a5f9-6e69bab8fda4"]}],"mendeley":{"formattedCitation":"(Di Martino et al. 2014)","plainTextFormattedCitation":"(Di Martino et al. 2014)","previouslyFormattedCitation":"(Di Martino et al. 2014)"},"properties":{"noteIndex":0},"schema":"https://github.com/citation-style-language/schema/raw/master/csl-citation.json"}</w:instrText>
      </w:r>
      <w:r w:rsidRPr="00202F84">
        <w:rPr>
          <w:rFonts w:eastAsiaTheme="minorHAnsi" w:cs="Times New Roman"/>
          <w:lang w:eastAsia="en-US"/>
        </w:rPr>
        <w:fldChar w:fldCharType="separate"/>
      </w:r>
      <w:r w:rsidRPr="00202F84">
        <w:rPr>
          <w:rFonts w:eastAsiaTheme="minorHAnsi" w:cs="Times New Roman"/>
          <w:noProof/>
          <w:lang w:eastAsia="en-US"/>
        </w:rPr>
        <w:t>(Di Martino et al. 2014)</w:t>
      </w:r>
      <w:r w:rsidRPr="00202F84">
        <w:rPr>
          <w:rFonts w:eastAsiaTheme="minorHAnsi" w:cs="Times New Roman"/>
          <w:lang w:eastAsia="en-US"/>
        </w:rPr>
        <w:fldChar w:fldCharType="end"/>
      </w:r>
      <w:r w:rsidRPr="00202F84">
        <w:rPr>
          <w:rFonts w:eastAsiaTheme="minorHAnsi" w:cs="Times New Roman"/>
          <w:lang w:eastAsia="en-US"/>
        </w:rPr>
        <w:t xml:space="preserve">. The imaging protocols differ across the 17 sites, and as such, have not been included in the manuscript. </w:t>
      </w:r>
    </w:p>
    <w:p w14:paraId="0C08A0E5" w14:textId="77777777" w:rsidR="007E2127" w:rsidRDefault="007E2127" w:rsidP="00F04DFE">
      <w:pPr>
        <w:pStyle w:val="Default"/>
        <w:spacing w:line="360" w:lineRule="auto"/>
        <w:rPr>
          <w:rFonts w:ascii="Times New Roman" w:hAnsi="Times New Roman" w:cs="Times New Roman"/>
          <w:b/>
          <w:bCs/>
        </w:rPr>
      </w:pPr>
    </w:p>
    <w:p w14:paraId="156C7B54" w14:textId="3055D9DB" w:rsidR="001B0B7B" w:rsidRDefault="001B0B7B" w:rsidP="001B0B7B">
      <w:pPr>
        <w:spacing w:line="360" w:lineRule="auto"/>
        <w:jc w:val="both"/>
        <w:rPr>
          <w:rFonts w:cs="Times New Roman"/>
          <w:b/>
          <w:bCs/>
          <w:i/>
          <w:iCs/>
          <w:shd w:val="clear" w:color="auto" w:fill="FFFFFF"/>
        </w:rPr>
      </w:pPr>
      <w:r>
        <w:rPr>
          <w:rFonts w:cs="Times New Roman"/>
          <w:b/>
          <w:bCs/>
          <w:i/>
          <w:iCs/>
          <w:shd w:val="clear" w:color="auto" w:fill="FFFFFF"/>
        </w:rPr>
        <w:t>S2 – Quality Control</w:t>
      </w:r>
      <w:r w:rsidRPr="00202F84">
        <w:rPr>
          <w:rFonts w:cs="Times New Roman"/>
          <w:b/>
          <w:bCs/>
          <w:i/>
          <w:iCs/>
          <w:shd w:val="clear" w:color="auto" w:fill="FFFFFF"/>
        </w:rPr>
        <w:t xml:space="preserve">: </w:t>
      </w:r>
    </w:p>
    <w:p w14:paraId="39864F67" w14:textId="77777777" w:rsidR="001B0B7B" w:rsidRPr="001B0B7B" w:rsidRDefault="001B0B7B" w:rsidP="001B0B7B">
      <w:pPr>
        <w:spacing w:line="360" w:lineRule="auto"/>
        <w:jc w:val="both"/>
        <w:rPr>
          <w:rFonts w:cs="Times New Roman"/>
        </w:rPr>
      </w:pPr>
      <w:r w:rsidRPr="001B0B7B">
        <w:rPr>
          <w:rFonts w:cs="Times New Roman"/>
        </w:rPr>
        <w:t>We made particular efforts to minimize the confound of the multiple ABIDE sites by performing a stringent quality control (QC) procedure using both automated and visual inspections. Automated QC was based on outputs from CIVET (summary statistics of e.g. number of surface-surface intersections) which allowed identification of outliers. In parallel, visual inspection was performed by two independent reviewers and only scans with consensus of the two reviewers were used. Exclusion criteria for QC procedure include - data with motion artifacts, a low signal to noise ratio, artifacts due to hyperintensities from blood vessels, surface-surface intersections, or poor placement of the grey or white matter (GM and WM) surface for any reason.</w:t>
      </w:r>
    </w:p>
    <w:p w14:paraId="70A0F510" w14:textId="77777777" w:rsidR="001B0B7B" w:rsidRPr="001B0B7B" w:rsidRDefault="001B0B7B" w:rsidP="001B0B7B">
      <w:pPr>
        <w:spacing w:line="360" w:lineRule="auto"/>
        <w:ind w:left="288"/>
        <w:jc w:val="both"/>
        <w:rPr>
          <w:rFonts w:cs="Times New Roman"/>
        </w:rPr>
      </w:pPr>
    </w:p>
    <w:p w14:paraId="69E64E10" w14:textId="77777777" w:rsidR="001B0B7B" w:rsidRPr="001B0B7B" w:rsidRDefault="001B0B7B" w:rsidP="001B0B7B">
      <w:pPr>
        <w:spacing w:line="360" w:lineRule="auto"/>
        <w:ind w:left="288"/>
        <w:jc w:val="both"/>
        <w:rPr>
          <w:rFonts w:cs="Times New Roman"/>
        </w:rPr>
      </w:pPr>
      <w:r w:rsidRPr="001B0B7B">
        <w:rPr>
          <w:rFonts w:cs="Times New Roman"/>
          <w:noProof/>
        </w:rPr>
        <w:lastRenderedPageBreak/>
        <w:drawing>
          <wp:inline distT="0" distB="0" distL="0" distR="0" wp14:anchorId="62E8EA17" wp14:editId="1C694D86">
            <wp:extent cx="5943600" cy="2971800"/>
            <wp:effectExtent l="0" t="0" r="0" b="0"/>
            <wp:docPr id="1"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pic:nvPicPr>
                  <pic:blipFill>
                    <a:blip r:embed="rId6"/>
                    <a:stretch>
                      <a:fillRect/>
                    </a:stretch>
                  </pic:blipFill>
                  <pic:spPr>
                    <a:xfrm>
                      <a:off x="0" y="0"/>
                      <a:ext cx="5943600" cy="2971800"/>
                    </a:xfrm>
                    <a:prstGeom prst="rect">
                      <a:avLst/>
                    </a:prstGeom>
                  </pic:spPr>
                </pic:pic>
              </a:graphicData>
            </a:graphic>
          </wp:inline>
        </w:drawing>
      </w:r>
    </w:p>
    <w:p w14:paraId="12BCDEF1" w14:textId="6E2838A3" w:rsidR="001B0B7B" w:rsidRPr="001B0B7B" w:rsidRDefault="001B0B7B" w:rsidP="001B0B7B">
      <w:pPr>
        <w:spacing w:line="360" w:lineRule="auto"/>
        <w:ind w:left="288"/>
        <w:jc w:val="both"/>
        <w:rPr>
          <w:rFonts w:cs="Times New Roman"/>
        </w:rPr>
      </w:pPr>
      <w:r w:rsidRPr="001B0B7B">
        <w:rPr>
          <w:rFonts w:cs="Times New Roman"/>
        </w:rPr>
        <w:t xml:space="preserve">ABIDE being an agglomerated dataset, contained confounds. One of the </w:t>
      </w:r>
      <w:proofErr w:type="gramStart"/>
      <w:r w:rsidRPr="001B0B7B">
        <w:rPr>
          <w:rFonts w:cs="Times New Roman"/>
        </w:rPr>
        <w:t>major</w:t>
      </w:r>
      <w:proofErr w:type="gramEnd"/>
      <w:r w:rsidRPr="001B0B7B">
        <w:rPr>
          <w:rFonts w:cs="Times New Roman"/>
        </w:rPr>
        <w:t xml:space="preserve"> confounds we encountered was the presence of blood vessels in several scans of a particular site with severe consequences (e.g. large number of surface-surface intersections) as shown below –  </w:t>
      </w:r>
      <w:r w:rsidRPr="001B0B7B">
        <w:rPr>
          <w:rFonts w:cs="Times New Roman"/>
          <w:noProof/>
        </w:rPr>
        <w:drawing>
          <wp:inline distT="0" distB="0" distL="0" distR="0" wp14:anchorId="0ECFC701" wp14:editId="1E788442">
            <wp:extent cx="5942569" cy="3294512"/>
            <wp:effectExtent l="0" t="0" r="1270" b="127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rotWithShape="1">
                    <a:blip r:embed="rId7"/>
                    <a:srcRect t="12821" b="3672"/>
                    <a:stretch/>
                  </pic:blipFill>
                  <pic:spPr bwMode="auto">
                    <a:xfrm>
                      <a:off x="0" y="0"/>
                      <a:ext cx="5943600" cy="3295084"/>
                    </a:xfrm>
                    <a:prstGeom prst="rect">
                      <a:avLst/>
                    </a:prstGeom>
                    <a:ln>
                      <a:noFill/>
                    </a:ln>
                    <a:extLst>
                      <a:ext uri="{53640926-AAD7-44D8-BBD7-CCE9431645EC}">
                        <a14:shadowObscured xmlns:a14="http://schemas.microsoft.com/office/drawing/2010/main"/>
                      </a:ext>
                    </a:extLst>
                  </pic:spPr>
                </pic:pic>
              </a:graphicData>
            </a:graphic>
          </wp:inline>
        </w:drawing>
      </w:r>
    </w:p>
    <w:p w14:paraId="0444EA9B" w14:textId="77777777" w:rsidR="001B0B7B" w:rsidRPr="001B0B7B" w:rsidRDefault="001B0B7B" w:rsidP="00AC29AC">
      <w:pPr>
        <w:spacing w:line="360" w:lineRule="auto"/>
        <w:jc w:val="both"/>
        <w:rPr>
          <w:rFonts w:cs="Times New Roman"/>
          <w:color w:val="201F1E"/>
        </w:rPr>
      </w:pPr>
      <w:r w:rsidRPr="001B0B7B">
        <w:rPr>
          <w:rFonts w:cs="Times New Roman"/>
          <w:color w:val="201F1E"/>
        </w:rPr>
        <w:t xml:space="preserve">These scans with blood vessels were subsequently marked as QC ‘failed’ and were not used in the analysis. </w:t>
      </w:r>
    </w:p>
    <w:p w14:paraId="22FDCA35" w14:textId="77777777" w:rsidR="00382B0D" w:rsidRDefault="00382B0D" w:rsidP="00AC29AC">
      <w:pPr>
        <w:pStyle w:val="Default"/>
        <w:spacing w:line="360" w:lineRule="auto"/>
        <w:rPr>
          <w:rFonts w:ascii="Times New Roman" w:hAnsi="Times New Roman" w:cs="Times New Roman"/>
          <w:b/>
          <w:bCs/>
          <w:i/>
          <w:iCs/>
          <w:color w:val="auto"/>
        </w:rPr>
      </w:pPr>
    </w:p>
    <w:p w14:paraId="11CD29EF" w14:textId="77777777" w:rsidR="00382B0D" w:rsidRDefault="00382B0D" w:rsidP="00AC29AC">
      <w:pPr>
        <w:pStyle w:val="Default"/>
        <w:spacing w:line="360" w:lineRule="auto"/>
        <w:rPr>
          <w:rFonts w:ascii="Times New Roman" w:hAnsi="Times New Roman" w:cs="Times New Roman"/>
          <w:b/>
          <w:bCs/>
          <w:i/>
          <w:iCs/>
          <w:color w:val="auto"/>
        </w:rPr>
      </w:pPr>
    </w:p>
    <w:p w14:paraId="2C5A2331" w14:textId="7D4316C3" w:rsidR="00A23DD3" w:rsidRDefault="00A23DD3" w:rsidP="00AC29AC">
      <w:pPr>
        <w:pStyle w:val="Default"/>
        <w:spacing w:line="360" w:lineRule="auto"/>
        <w:rPr>
          <w:rFonts w:ascii="Times New Roman" w:hAnsi="Times New Roman" w:cs="Times New Roman"/>
          <w:b/>
          <w:bCs/>
          <w:i/>
          <w:iCs/>
          <w:color w:val="auto"/>
        </w:rPr>
      </w:pPr>
      <w:r w:rsidRPr="00AC29AC">
        <w:rPr>
          <w:rFonts w:ascii="Times New Roman" w:hAnsi="Times New Roman" w:cs="Times New Roman"/>
          <w:b/>
          <w:bCs/>
          <w:i/>
          <w:iCs/>
          <w:color w:val="auto"/>
        </w:rPr>
        <w:lastRenderedPageBreak/>
        <w:t>S</w:t>
      </w:r>
      <w:r>
        <w:rPr>
          <w:rFonts w:ascii="Times New Roman" w:hAnsi="Times New Roman" w:cs="Times New Roman"/>
          <w:b/>
          <w:bCs/>
          <w:i/>
          <w:iCs/>
          <w:color w:val="auto"/>
        </w:rPr>
        <w:t>3</w:t>
      </w:r>
      <w:r w:rsidRPr="00AC29AC">
        <w:rPr>
          <w:rFonts w:ascii="Times New Roman" w:hAnsi="Times New Roman" w:cs="Times New Roman"/>
          <w:b/>
          <w:bCs/>
          <w:i/>
          <w:iCs/>
          <w:color w:val="auto"/>
        </w:rPr>
        <w:t xml:space="preserve"> – </w:t>
      </w:r>
      <w:r>
        <w:rPr>
          <w:rFonts w:ascii="Times New Roman" w:hAnsi="Times New Roman" w:cs="Times New Roman"/>
          <w:b/>
          <w:bCs/>
          <w:i/>
          <w:iCs/>
          <w:color w:val="auto"/>
        </w:rPr>
        <w:t>Markov Chain Monte Carlo sampling</w:t>
      </w:r>
      <w:r w:rsidRPr="00AC29AC">
        <w:rPr>
          <w:rFonts w:ascii="Times New Roman" w:hAnsi="Times New Roman" w:cs="Times New Roman"/>
          <w:b/>
          <w:bCs/>
          <w:i/>
          <w:iCs/>
          <w:color w:val="auto"/>
        </w:rPr>
        <w:t>:</w:t>
      </w:r>
    </w:p>
    <w:p w14:paraId="06730681" w14:textId="778C0225" w:rsidR="00A23DD3" w:rsidRDefault="00A23DD3" w:rsidP="00A23DD3">
      <w:pPr>
        <w:spacing w:line="360" w:lineRule="auto"/>
        <w:jc w:val="both"/>
        <w:rPr>
          <w:rFonts w:cs="Times New Roman"/>
          <w:b/>
          <w:bCs/>
          <w:i/>
          <w:iCs/>
        </w:rPr>
      </w:pPr>
      <w:r w:rsidRPr="00A23DD3">
        <w:rPr>
          <w:rFonts w:cs="Times New Roman"/>
          <w:color w:val="201F1E"/>
          <w:shd w:val="clear" w:color="auto" w:fill="FFFFFF"/>
        </w:rPr>
        <w:t xml:space="preserve">Traditional sampling techniques are very slow especially in high-dimensional parameter spaces because samples are proposed at random due to which each has a very small chance of acceptance. Markov Chain Monte Carlo (MCMC) is a sampling technique that that addresses this problem by proposing samples preferentially in areas of high probability </w:t>
      </w:r>
      <w:r w:rsidRPr="00A23DD3">
        <w:rPr>
          <w:rFonts w:cs="Times New Roman"/>
          <w:color w:val="201F1E"/>
          <w:shd w:val="clear" w:color="auto" w:fill="FFFFFF"/>
        </w:rPr>
        <w:fldChar w:fldCharType="begin" w:fldLock="1"/>
      </w:r>
      <w:r w:rsidRPr="00A23DD3">
        <w:rPr>
          <w:rFonts w:cs="Times New Roman"/>
          <w:color w:val="201F1E"/>
          <w:shd w:val="clear" w:color="auto" w:fill="FFFFFF"/>
        </w:rPr>
        <w:instrText>ADDIN CSL_CITATION {"citationItems":[{"id":"ITEM-1","itemData":{"DOI":"10.1002/mrm.10609","ISSN":"07403194","PMID":"14587019","abstract":"A fully probabilistic framework is presented for estimating local probability density functions on parameters of interest in a model of diffusion. This technique is applied to the estimation of parameters in the diffusion tensor model, and also to a simple partial volume model of diffusion. In both cases the parameters of interest include parameters defining local fiber direction. A technique is then presented for using these density functions to estimate global connectivity (i.e., the probability of the existence of a connection through the data field, between any two distant points), allowing for the quantification of belief in tractography results. This technique is then applied to the estimation of the cortical connectivity of the human thalamus. The resulting connectivity distributions correspond well with predictions from invasive tracer methods in nonhuman primate. © 2003 Wiley-Liss, Inc.","author":[{"dropping-particle":"","family":"Behrens","given":"Timothy E.J.","non-dropping-particle":"","parse-names":false,"suffix":""},{"dropping-particle":"","family":"Woolrich","given":"M. W.","non-dropping-particle":"","parse-names":false,"suffix":""},{"dropping-particle":"","family":"Jenkinson","given":"Mi","non-dropping-particle":"","parse-names":false,"suffix":""},{"dropping-particle":"","family":"Johansen-Berg","given":"H.","non-dropping-particle":"","parse-names":false,"suffix":""},{"dropping-particle":"","family":"Nunes","given":"R. G.","non-dropping-particle":"","parse-names":false,"suffix":""},{"dropping-particle":"","family":"Clare","given":"S.","non-dropping-particle":"","parse-names":false,"suffix":""},{"dropping-particle":"","family":"Matthews","given":"P. M.","non-dropping-particle":"","parse-names":false,"suffix":""},{"dropping-particle":"","family":"Brady","given":"J. M.","non-dropping-particle":"","parse-names":false,"suffix":""},{"dropping-particle":"","family":"Smith","given":"S. M.","non-dropping-particle":"","parse-names":false,"suffix":""}],"container-title":"Magnetic Resonance in Medicine","id":"ITEM-1","issue":"5","issued":{"date-parts":[["2003"]]},"page":"1077-1088","title":"Characterization and Propagation of Uncertainty in Diffusion-Weighted MR Imaging","type":"article-journal","volume":"50"},"uris":["http://www.mendeley.com/documents/?uuid=8146ad2c-b466-4a9e-884f-c1a00da00d98"]},{"id":"ITEM-2","itemData":{"DOI":"10.1016/J.NEUROIMAGE.2006.09.018","ISSN":"1053-8119","PMID":"17070705","abstract":"We present a direct extension of probabilistic diffusion tractography to the case of multiple fibre orientations. Using automatic relevance determination, we are able to perform online selection of the number of fibre orientations supported by the data at each voxel, simplifying the problem of tracking in a multi-orientation field. We then apply the identical probabilistic algorithm to tractography in the multi- and single-fibre cases in a number of example systems which have previously been tracked successfully or unsuccessfully with single-fibre tractography. We show that multi-fibre tractography offers significant advantages in sensitivity when tracking non-dominant fibre populations, but does not dramatically change tractography results for the dominant pathways. © 2006 Elsevier Inc. All rights reserved.","author":[{"dropping-particle":"","family":"Behrens","given":"T. E.J.","non-dropping-particle":"","parse-names":false,"suffix":""},{"dropping-particle":"","family":"Berg","given":"H. Johansen","non-dropping-particle":"","parse-names":false,"suffix":""},{"dropping-particle":"","family":"Jbabdi","given":"S.","non-dropping-particle":"","parse-names":false,"suffix":""},{"dropping-particle":"","family":"Rushworth","given":"M. F.S.","non-dropping-particle":"","parse-names":false,"suffix":""},{"dropping-particle":"","family":"Woolrich","given":"M. W.","non-dropping-particle":"","parse-names":false,"suffix":""}],"container-title":"NeuroImage","id":"ITEM-2","issue":"1","issued":{"date-parts":[["2007","1","1"]]},"page":"144-155","publisher":"Academic Press","title":"Probabilistic diffusion tractography with multiple fibre orientations: What can we gain?","type":"article-journal","volume":"34"},"uris":["http://www.mendeley.com/documents/?uuid=08b68993-b6ab-3362-8c69-d60b0c9826ad"]}],"mendeley":{"formattedCitation":"(Behrens et al. 2003, 2007)","plainTextFormattedCitation":"(Behrens et al. 2003, 2007)"},"properties":{"noteIndex":0},"schema":"https://github.com/citation-style-language/schema/raw/master/csl-citation.json"}</w:instrText>
      </w:r>
      <w:r w:rsidRPr="00A23DD3">
        <w:rPr>
          <w:rFonts w:cs="Times New Roman"/>
          <w:color w:val="201F1E"/>
          <w:shd w:val="clear" w:color="auto" w:fill="FFFFFF"/>
        </w:rPr>
        <w:fldChar w:fldCharType="separate"/>
      </w:r>
      <w:r w:rsidRPr="00A23DD3">
        <w:rPr>
          <w:rFonts w:cs="Times New Roman"/>
          <w:noProof/>
          <w:color w:val="201F1E"/>
          <w:shd w:val="clear" w:color="auto" w:fill="FFFFFF"/>
        </w:rPr>
        <w:t>(Behrens et al. 2003, 2007)</w:t>
      </w:r>
      <w:r w:rsidRPr="00A23DD3">
        <w:rPr>
          <w:rFonts w:cs="Times New Roman"/>
          <w:color w:val="201F1E"/>
          <w:shd w:val="clear" w:color="auto" w:fill="FFFFFF"/>
        </w:rPr>
        <w:fldChar w:fldCharType="end"/>
      </w:r>
      <w:r w:rsidRPr="00A23DD3">
        <w:rPr>
          <w:rFonts w:cs="Times New Roman"/>
          <w:color w:val="201F1E"/>
          <w:shd w:val="clear" w:color="auto" w:fill="FFFFFF"/>
        </w:rPr>
        <w:t xml:space="preserve">. The high probability of accepting samples allows for many samples to be drawn and allows computation of the posterior probability density function (pdf) in a relatively short period of time. As in </w:t>
      </w:r>
      <w:r w:rsidRPr="00A23DD3">
        <w:rPr>
          <w:rFonts w:cs="Times New Roman"/>
          <w:color w:val="201F1E"/>
          <w:shd w:val="clear" w:color="auto" w:fill="FFFFFF"/>
        </w:rPr>
        <w:fldChar w:fldCharType="begin" w:fldLock="1"/>
      </w:r>
      <w:r w:rsidRPr="00A23DD3">
        <w:rPr>
          <w:rFonts w:cs="Times New Roman"/>
          <w:color w:val="201F1E"/>
          <w:shd w:val="clear" w:color="auto" w:fill="FFFFFF"/>
        </w:rPr>
        <w:instrText>ADDIN CSL_CITATION {"citationItems":[{"id":"ITEM-1","itemData":{"DOI":"10.1002/mrm.10609","ISSN":"07403194","PMID":"14587019","abstract":"A fully probabilistic framework is presented for estimating local probability density functions on parameters of interest in a model of diffusion. This technique is applied to the estimation of parameters in the diffusion tensor model, and also to a simple partial volume model of diffusion. In both cases the parameters of interest include parameters defining local fiber direction. A technique is then presented for using these density functions to estimate global connectivity (i.e., the probability of the existence of a connection through the data field, between any two distant points), allowing for the quantification of belief in tractography results. This technique is then applied to the estimation of the cortical connectivity of the human thalamus. The resulting connectivity distributions correspond well with predictions from invasive tracer methods in nonhuman primate. © 2003 Wiley-Liss, Inc.","author":[{"dropping-particle":"","family":"Behrens","given":"Timothy E.J.","non-dropping-particle":"","parse-names":false,"suffix":""},{"dropping-particle":"","family":"Woolrich","given":"M. W.","non-dropping-particle":"","parse-names":false,"suffix":""},{"dropping-particle":"","family":"Jenkinson","given":"Mi","non-dropping-particle":"","parse-names":false,"suffix":""},{"dropping-particle":"","family":"Johansen-Berg","given":"H.","non-dropping-particle":"","parse-names":false,"suffix":""},{"dropping-particle":"","family":"Nunes","given":"R. G.","non-dropping-particle":"","parse-names":false,"suffix":""},{"dropping-particle":"","family":"Clare","given":"S.","non-dropping-particle":"","parse-names":false,"suffix":""},{"dropping-particle":"","family":"Matthews","given":"P. M.","non-dropping-particle":"","parse-names":false,"suffix":""},{"dropping-particle":"","family":"Brady","given":"J. M.","non-dropping-particle":"","parse-names":false,"suffix":""},{"dropping-particle":"","family":"Smith","given":"S. M.","non-dropping-particle":"","parse-names":false,"suffix":""}],"container-title":"Magnetic Resonance in Medicine","id":"ITEM-1","issue":"5","issued":{"date-parts":[["2003"]]},"page":"1077-1088","title":"Characterization and Propagation of Uncertainty in Diffusion-Weighted MR Imaging","type":"article-journal","volume":"50"},"uris":["http://www.mendeley.com/documents/?uuid=8146ad2c-b466-4a9e-884f-c1a00da00d98"]}],"mendeley":{"formattedCitation":"(Behrens et al. 2003)","plainTextFormattedCitation":"(Behrens et al. 2003)","previouslyFormattedCitation":"(Behrens et al. 2003)"},"properties":{"noteIndex":0},"schema":"https://github.com/citation-style-language/schema/raw/master/csl-citation.json"}</w:instrText>
      </w:r>
      <w:r w:rsidRPr="00A23DD3">
        <w:rPr>
          <w:rFonts w:cs="Times New Roman"/>
          <w:color w:val="201F1E"/>
          <w:shd w:val="clear" w:color="auto" w:fill="FFFFFF"/>
        </w:rPr>
        <w:fldChar w:fldCharType="separate"/>
      </w:r>
      <w:r w:rsidRPr="00A23DD3">
        <w:rPr>
          <w:rFonts w:cs="Times New Roman"/>
          <w:noProof/>
          <w:color w:val="201F1E"/>
          <w:shd w:val="clear" w:color="auto" w:fill="FFFFFF"/>
        </w:rPr>
        <w:t>(Behrens et al. 2003)</w:t>
      </w:r>
      <w:r w:rsidRPr="00A23DD3">
        <w:rPr>
          <w:rFonts w:cs="Times New Roman"/>
          <w:color w:val="201F1E"/>
          <w:shd w:val="clear" w:color="auto" w:fill="FFFFFF"/>
        </w:rPr>
        <w:fldChar w:fldCharType="end"/>
      </w:r>
      <w:r w:rsidRPr="00A23DD3">
        <w:rPr>
          <w:rFonts w:cs="Times New Roman"/>
          <w:color w:val="201F1E"/>
          <w:shd w:val="clear" w:color="auto" w:fill="FFFFFF"/>
        </w:rPr>
        <w:t xml:space="preserve">, model estimation was performed using MCMC after analytically marginalizing over variance parameters. Markov chains were burned in for 2000 jumps, and then ran for a further 1000 jumps sampling every 20. Initialization is using the log-linear diffusion tensor fit. If a preprocessed neighbouring voxel contains more than one surviving fiber orientation, the parameters are initialized based on the mean values from this neighbouring voxel. This procedure resulted in samples from the posterior probability distribution on every parameter in the model, including the orientation and volume fraction parameters from each fiber population.  </w:t>
      </w:r>
    </w:p>
    <w:p w14:paraId="2B0C8BE7" w14:textId="77777777" w:rsidR="00A23DD3" w:rsidRPr="00053D9A" w:rsidRDefault="00A23DD3" w:rsidP="00AC29AC">
      <w:pPr>
        <w:pStyle w:val="Default"/>
        <w:spacing w:line="360" w:lineRule="auto"/>
        <w:rPr>
          <w:rFonts w:ascii="Times New Roman" w:hAnsi="Times New Roman" w:cs="Times New Roman"/>
          <w:b/>
          <w:bCs/>
          <w:i/>
          <w:iCs/>
          <w:color w:val="auto"/>
          <w:sz w:val="10"/>
          <w:szCs w:val="10"/>
        </w:rPr>
      </w:pPr>
    </w:p>
    <w:p w14:paraId="281FD5A1" w14:textId="55B56E6D" w:rsidR="007E2127" w:rsidRPr="00AC29AC" w:rsidRDefault="00AC29AC" w:rsidP="00AC29AC">
      <w:pPr>
        <w:pStyle w:val="Default"/>
        <w:spacing w:line="360" w:lineRule="auto"/>
        <w:rPr>
          <w:rFonts w:ascii="Times New Roman" w:hAnsi="Times New Roman" w:cs="Times New Roman"/>
          <w:b/>
          <w:bCs/>
          <w:i/>
          <w:iCs/>
          <w:color w:val="auto"/>
        </w:rPr>
      </w:pPr>
      <w:r w:rsidRPr="00AC29AC">
        <w:rPr>
          <w:rFonts w:ascii="Times New Roman" w:hAnsi="Times New Roman" w:cs="Times New Roman"/>
          <w:b/>
          <w:bCs/>
          <w:i/>
          <w:iCs/>
          <w:color w:val="auto"/>
        </w:rPr>
        <w:t>S</w:t>
      </w:r>
      <w:r w:rsidR="00A23DD3">
        <w:rPr>
          <w:rFonts w:ascii="Times New Roman" w:hAnsi="Times New Roman" w:cs="Times New Roman"/>
          <w:b/>
          <w:bCs/>
          <w:i/>
          <w:iCs/>
          <w:color w:val="auto"/>
        </w:rPr>
        <w:t>4</w:t>
      </w:r>
      <w:r w:rsidRPr="00AC29AC">
        <w:rPr>
          <w:rFonts w:ascii="Times New Roman" w:hAnsi="Times New Roman" w:cs="Times New Roman"/>
          <w:b/>
          <w:bCs/>
          <w:i/>
          <w:iCs/>
          <w:color w:val="auto"/>
        </w:rPr>
        <w:t xml:space="preserve"> – Comparison of findings with ComBat-run cortical thickness data:</w:t>
      </w:r>
    </w:p>
    <w:p w14:paraId="342AB223" w14:textId="10989C33" w:rsidR="00AC29AC" w:rsidRPr="00AC29AC" w:rsidRDefault="00AC29AC" w:rsidP="00AC29AC">
      <w:pPr>
        <w:spacing w:line="360" w:lineRule="auto"/>
        <w:jc w:val="both"/>
        <w:rPr>
          <w:rFonts w:cs="Times New Roman"/>
          <w:shd w:val="clear" w:color="auto" w:fill="FFFFFF"/>
        </w:rPr>
      </w:pPr>
      <w:r w:rsidRPr="00AC29AC">
        <w:rPr>
          <w:rFonts w:cs="Times New Roman"/>
          <w:shd w:val="clear" w:color="auto" w:fill="FFFFFF"/>
        </w:rPr>
        <w:t>We observed a strong, significant positive correlation (</w:t>
      </w:r>
      <w:r w:rsidRPr="00AC29AC">
        <w:rPr>
          <w:rFonts w:cs="Times New Roman"/>
          <w:i/>
          <w:iCs/>
          <w:shd w:val="clear" w:color="auto" w:fill="FFFFFF"/>
        </w:rPr>
        <w:t>r =</w:t>
      </w:r>
      <w:r w:rsidRPr="00AC29AC">
        <w:rPr>
          <w:rFonts w:cs="Times New Roman"/>
          <w:shd w:val="clear" w:color="auto" w:fill="FFFFFF"/>
        </w:rPr>
        <w:t xml:space="preserve"> 0.99, </w:t>
      </w:r>
      <w:r w:rsidRPr="00AC29AC">
        <w:rPr>
          <w:rFonts w:cs="Times New Roman"/>
          <w:i/>
          <w:iCs/>
          <w:shd w:val="clear" w:color="auto" w:fill="FFFFFF"/>
        </w:rPr>
        <w:t>p</w:t>
      </w:r>
      <w:r w:rsidRPr="00AC29AC">
        <w:rPr>
          <w:rFonts w:cs="Times New Roman"/>
          <w:shd w:val="clear" w:color="auto" w:fill="FFFFFF"/>
        </w:rPr>
        <w:t xml:space="preserve"> &lt; 0.0001) between the original cortical thickness (CT_ori) and combat-run cortical thickness (CT_combat) values for the PING dataset. For the ABIDE dataset, we also observed a strong, significant positive correlation (</w:t>
      </w:r>
      <w:r w:rsidRPr="00AC29AC">
        <w:rPr>
          <w:rFonts w:cs="Times New Roman"/>
          <w:i/>
          <w:iCs/>
          <w:shd w:val="clear" w:color="auto" w:fill="FFFFFF"/>
        </w:rPr>
        <w:t>r =</w:t>
      </w:r>
      <w:r w:rsidRPr="00AC29AC">
        <w:rPr>
          <w:rFonts w:cs="Times New Roman"/>
          <w:shd w:val="clear" w:color="auto" w:fill="FFFFFF"/>
        </w:rPr>
        <w:t xml:space="preserve"> 0.97, </w:t>
      </w:r>
      <w:r w:rsidRPr="00AC29AC">
        <w:rPr>
          <w:rFonts w:cs="Times New Roman"/>
          <w:i/>
          <w:iCs/>
          <w:shd w:val="clear" w:color="auto" w:fill="FFFFFF"/>
        </w:rPr>
        <w:t>p</w:t>
      </w:r>
      <w:r w:rsidRPr="00AC29AC">
        <w:rPr>
          <w:rFonts w:cs="Times New Roman"/>
          <w:shd w:val="clear" w:color="auto" w:fill="FFFFFF"/>
        </w:rPr>
        <w:t xml:space="preserve"> &lt; 0.0001) between the original cortical thickness (CT_ori) and combat-run cortical thickness (CT_combat) values. </w:t>
      </w:r>
      <w:r w:rsidR="00382B0D">
        <w:rPr>
          <w:rFonts w:cs="Times New Roman"/>
          <w:shd w:val="clear" w:color="auto" w:fill="FFFFFF"/>
        </w:rPr>
        <w:t>W</w:t>
      </w:r>
      <w:r w:rsidRPr="00AC29AC">
        <w:rPr>
          <w:rFonts w:cs="Times New Roman"/>
          <w:shd w:val="clear" w:color="auto" w:fill="FFFFFF"/>
        </w:rPr>
        <w:t>e observed similar results for the analyses e.g. similar patterns of effect of (ASD-CTL) on cortical thickness using CT_ori and CT_combat for ABIDE dataset –</w:t>
      </w:r>
    </w:p>
    <w:p w14:paraId="6500B045" w14:textId="32AB3BF7" w:rsidR="00AC29AC" w:rsidRPr="00AC29AC" w:rsidRDefault="00AC29AC" w:rsidP="00AC29AC">
      <w:pPr>
        <w:spacing w:line="360" w:lineRule="auto"/>
        <w:ind w:left="288"/>
        <w:rPr>
          <w:rFonts w:cs="Times New Roman"/>
          <w:b/>
          <w:bCs/>
          <w:shd w:val="clear" w:color="auto" w:fill="FFFFFF"/>
        </w:rPr>
      </w:pPr>
      <w:r w:rsidRPr="00AC29AC">
        <w:rPr>
          <w:rFonts w:cs="Times New Roman"/>
          <w:b/>
          <w:bCs/>
          <w:shd w:val="clear" w:color="auto" w:fill="FFFFFF"/>
        </w:rPr>
        <w:t xml:space="preserve">                </w:t>
      </w:r>
      <w:r>
        <w:rPr>
          <w:rFonts w:cs="Times New Roman"/>
          <w:b/>
          <w:bCs/>
          <w:shd w:val="clear" w:color="auto" w:fill="FFFFFF"/>
        </w:rPr>
        <w:t xml:space="preserve"> </w:t>
      </w:r>
      <w:r w:rsidRPr="00AC29AC">
        <w:rPr>
          <w:rFonts w:cs="Times New Roman"/>
          <w:b/>
          <w:bCs/>
          <w:shd w:val="clear" w:color="auto" w:fill="FFFFFF"/>
        </w:rPr>
        <w:t>(ASD-CTL) on CT_ori                             (ASD-CTL) on CT_combat</w:t>
      </w:r>
    </w:p>
    <w:p w14:paraId="64B4952E" w14:textId="4916210A" w:rsidR="00AC29AC" w:rsidRPr="00AC29AC" w:rsidRDefault="00AC29AC" w:rsidP="00AC29AC">
      <w:pPr>
        <w:spacing w:line="360" w:lineRule="auto"/>
        <w:rPr>
          <w:rFonts w:cs="Times New Roman"/>
          <w:shd w:val="clear" w:color="auto" w:fill="FFFFFF"/>
        </w:rPr>
      </w:pPr>
      <w:r w:rsidRPr="00AC29AC">
        <w:rPr>
          <w:rFonts w:cs="Times New Roman"/>
          <w:noProof/>
          <w:shd w:val="clear" w:color="auto" w:fill="FFFFFF"/>
        </w:rPr>
        <w:drawing>
          <wp:inline distT="0" distB="0" distL="0" distR="0" wp14:anchorId="47BCCDD8" wp14:editId="3131C52A">
            <wp:extent cx="2838298" cy="2128723"/>
            <wp:effectExtent l="0" t="0" r="635" b="5080"/>
            <wp:docPr id="6" name="Picture 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2849729" cy="2137296"/>
                    </a:xfrm>
                    <a:prstGeom prst="rect">
                      <a:avLst/>
                    </a:prstGeom>
                  </pic:spPr>
                </pic:pic>
              </a:graphicData>
            </a:graphic>
          </wp:inline>
        </w:drawing>
      </w:r>
      <w:r w:rsidRPr="00AC29AC">
        <w:rPr>
          <w:rFonts w:cs="Times New Roman"/>
          <w:noProof/>
          <w:shd w:val="clear" w:color="auto" w:fill="FFFFFF"/>
        </w:rPr>
        <w:drawing>
          <wp:inline distT="0" distB="0" distL="0" distR="0" wp14:anchorId="5D65B319" wp14:editId="2194B3EE">
            <wp:extent cx="2857601" cy="2143201"/>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9">
                      <a:extLst>
                        <a:ext uri="{28A0092B-C50C-407E-A947-70E740481C1C}">
                          <a14:useLocalDpi xmlns:a14="http://schemas.microsoft.com/office/drawing/2010/main" val="0"/>
                        </a:ext>
                      </a:extLst>
                    </a:blip>
                    <a:stretch>
                      <a:fillRect/>
                    </a:stretch>
                  </pic:blipFill>
                  <pic:spPr>
                    <a:xfrm>
                      <a:off x="0" y="0"/>
                      <a:ext cx="2875536" cy="2156652"/>
                    </a:xfrm>
                    <a:prstGeom prst="rect">
                      <a:avLst/>
                    </a:prstGeom>
                  </pic:spPr>
                </pic:pic>
              </a:graphicData>
            </a:graphic>
          </wp:inline>
        </w:drawing>
      </w:r>
    </w:p>
    <w:p w14:paraId="2E3C797E" w14:textId="79C46E96" w:rsidR="00AC29AC" w:rsidRPr="00AC29AC" w:rsidRDefault="00AC29AC" w:rsidP="00AC29AC">
      <w:pPr>
        <w:spacing w:line="360" w:lineRule="auto"/>
        <w:rPr>
          <w:rFonts w:cs="Times New Roman"/>
          <w:shd w:val="clear" w:color="auto" w:fill="FFFFFF"/>
        </w:rPr>
      </w:pPr>
      <w:r w:rsidRPr="00AC29AC">
        <w:rPr>
          <w:rFonts w:cs="Times New Roman"/>
          <w:shd w:val="clear" w:color="auto" w:fill="FFFFFF"/>
        </w:rPr>
        <w:lastRenderedPageBreak/>
        <w:t>Similarly, for PING dataset, we observed similar patterns of effect of PRS on cortical thickness using CT_ori and CT_combat –</w:t>
      </w:r>
    </w:p>
    <w:p w14:paraId="78F8F4F3" w14:textId="3B7F582A" w:rsidR="00AC29AC" w:rsidRPr="00AC29AC" w:rsidRDefault="00AC29AC" w:rsidP="00AC29AC">
      <w:pPr>
        <w:spacing w:line="360" w:lineRule="auto"/>
        <w:rPr>
          <w:rFonts w:cs="Times New Roman"/>
          <w:shd w:val="clear" w:color="auto" w:fill="FFFFFF"/>
        </w:rPr>
      </w:pPr>
      <w:r w:rsidRPr="00AC29AC">
        <w:rPr>
          <w:rFonts w:cs="Times New Roman"/>
          <w:b/>
          <w:bCs/>
          <w:shd w:val="clear" w:color="auto" w:fill="FFFFFF"/>
        </w:rPr>
        <w:t xml:space="preserve">                        PRS and CT_ori                                            </w:t>
      </w:r>
      <w:r>
        <w:rPr>
          <w:rFonts w:cs="Times New Roman"/>
          <w:b/>
          <w:bCs/>
          <w:shd w:val="clear" w:color="auto" w:fill="FFFFFF"/>
        </w:rPr>
        <w:t xml:space="preserve"> </w:t>
      </w:r>
      <w:r w:rsidRPr="00AC29AC">
        <w:rPr>
          <w:rFonts w:cs="Times New Roman"/>
          <w:b/>
          <w:bCs/>
          <w:shd w:val="clear" w:color="auto" w:fill="FFFFFF"/>
        </w:rPr>
        <w:t>PRS and CT_combat</w:t>
      </w:r>
    </w:p>
    <w:p w14:paraId="01DA1A06" w14:textId="77777777" w:rsidR="00AC29AC" w:rsidRPr="00AC29AC" w:rsidRDefault="00AC29AC" w:rsidP="00AC29AC">
      <w:pPr>
        <w:spacing w:line="360" w:lineRule="auto"/>
        <w:rPr>
          <w:rFonts w:cs="Times New Roman"/>
          <w:shd w:val="clear" w:color="auto" w:fill="FFFFFF"/>
        </w:rPr>
      </w:pPr>
      <w:r w:rsidRPr="00AC29AC">
        <w:rPr>
          <w:rFonts w:cs="Times New Roman"/>
          <w:noProof/>
          <w:shd w:val="clear" w:color="auto" w:fill="FFFFFF"/>
        </w:rPr>
        <w:drawing>
          <wp:inline distT="0" distB="0" distL="0" distR="0" wp14:anchorId="60C76FE0" wp14:editId="5E1BC9FA">
            <wp:extent cx="2926080" cy="2194560"/>
            <wp:effectExtent l="0" t="0" r="7620" b="0"/>
            <wp:docPr id="8" name="Picture 8"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hape&#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2946875" cy="2210156"/>
                    </a:xfrm>
                    <a:prstGeom prst="rect">
                      <a:avLst/>
                    </a:prstGeom>
                  </pic:spPr>
                </pic:pic>
              </a:graphicData>
            </a:graphic>
          </wp:inline>
        </w:drawing>
      </w:r>
      <w:r w:rsidRPr="00AC29AC">
        <w:rPr>
          <w:rFonts w:cs="Times New Roman"/>
          <w:noProof/>
          <w:shd w:val="clear" w:color="auto" w:fill="FFFFFF"/>
        </w:rPr>
        <w:drawing>
          <wp:inline distT="0" distB="0" distL="0" distR="0" wp14:anchorId="6B206159" wp14:editId="544371E4">
            <wp:extent cx="2962317" cy="2221738"/>
            <wp:effectExtent l="0" t="0" r="0" b="7620"/>
            <wp:docPr id="9" name="Picture 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hape&#10;&#10;Description automatically generated with low confidence"/>
                    <pic:cNvPicPr/>
                  </pic:nvPicPr>
                  <pic:blipFill>
                    <a:blip r:embed="rId11">
                      <a:extLst>
                        <a:ext uri="{28A0092B-C50C-407E-A947-70E740481C1C}">
                          <a14:useLocalDpi xmlns:a14="http://schemas.microsoft.com/office/drawing/2010/main" val="0"/>
                        </a:ext>
                      </a:extLst>
                    </a:blip>
                    <a:stretch>
                      <a:fillRect/>
                    </a:stretch>
                  </pic:blipFill>
                  <pic:spPr>
                    <a:xfrm>
                      <a:off x="0" y="0"/>
                      <a:ext cx="2977802" cy="2233352"/>
                    </a:xfrm>
                    <a:prstGeom prst="rect">
                      <a:avLst/>
                    </a:prstGeom>
                  </pic:spPr>
                </pic:pic>
              </a:graphicData>
            </a:graphic>
          </wp:inline>
        </w:drawing>
      </w:r>
    </w:p>
    <w:p w14:paraId="51DE4D7C" w14:textId="5D1EF890" w:rsidR="00AC29AC" w:rsidRPr="00AC29AC" w:rsidRDefault="00AC29AC" w:rsidP="00AC29AC">
      <w:pPr>
        <w:spacing w:line="360" w:lineRule="auto"/>
        <w:jc w:val="both"/>
        <w:rPr>
          <w:rFonts w:cs="Times New Roman"/>
          <w:shd w:val="clear" w:color="auto" w:fill="FFFFFF"/>
        </w:rPr>
      </w:pPr>
      <w:r w:rsidRPr="00AC29AC">
        <w:rPr>
          <w:rFonts w:cs="Times New Roman"/>
          <w:shd w:val="clear" w:color="auto" w:fill="FFFFFF"/>
        </w:rPr>
        <w:t xml:space="preserve">Not surprisingly, we observed similar results as </w:t>
      </w:r>
      <w:r w:rsidRPr="00AC29AC">
        <w:rPr>
          <w:rFonts w:cs="Times New Roman"/>
          <w:b/>
          <w:bCs/>
          <w:shd w:val="clear" w:color="auto" w:fill="FFFFFF"/>
        </w:rPr>
        <w:t>Figure 1</w:t>
      </w:r>
      <w:r w:rsidRPr="00AC29AC">
        <w:rPr>
          <w:rFonts w:cs="Times New Roman"/>
          <w:shd w:val="clear" w:color="auto" w:fill="FFFFFF"/>
        </w:rPr>
        <w:t xml:space="preserve"> in our Manuscript i.e. statistically significant overlap (using spin permutation test) of </w:t>
      </w:r>
      <w:r w:rsidRPr="00AC29AC">
        <w:rPr>
          <w:rFonts w:cs="Times New Roman"/>
          <w:i/>
          <w:iCs/>
          <w:shd w:val="clear" w:color="auto" w:fill="FFFFFF"/>
        </w:rPr>
        <w:t>i</w:t>
      </w:r>
      <w:r w:rsidRPr="00AC29AC">
        <w:rPr>
          <w:rFonts w:cs="Times New Roman"/>
          <w:shd w:val="clear" w:color="auto" w:fill="FFFFFF"/>
        </w:rPr>
        <w:t xml:space="preserve">) degree centrality and (ASD-CTL) in cortical thickness (using CT_combat) for ABIDE, and </w:t>
      </w:r>
      <w:r w:rsidRPr="00AC29AC">
        <w:rPr>
          <w:rFonts w:cs="Times New Roman"/>
          <w:i/>
          <w:iCs/>
          <w:shd w:val="clear" w:color="auto" w:fill="FFFFFF"/>
        </w:rPr>
        <w:t>ii</w:t>
      </w:r>
      <w:r w:rsidRPr="00AC29AC">
        <w:rPr>
          <w:rFonts w:cs="Times New Roman"/>
          <w:shd w:val="clear" w:color="auto" w:fill="FFFFFF"/>
        </w:rPr>
        <w:t xml:space="preserve">) degree centrality and effect of PRS on cortical thickness (using CT_combat) for PING dataset. As compared to our original findings of </w:t>
      </w:r>
      <w:r w:rsidRPr="00AC29AC">
        <w:rPr>
          <w:rFonts w:cs="Times New Roman"/>
          <w:i/>
          <w:iCs/>
          <w:shd w:val="clear" w:color="auto" w:fill="FFFFFF"/>
        </w:rPr>
        <w:t>r</w:t>
      </w:r>
      <w:r w:rsidRPr="00AC29AC">
        <w:rPr>
          <w:rFonts w:cs="Times New Roman"/>
          <w:shd w:val="clear" w:color="auto" w:fill="FFFFFF"/>
        </w:rPr>
        <w:t xml:space="preserve">=0.31, </w:t>
      </w:r>
      <w:r w:rsidRPr="00AC29AC">
        <w:rPr>
          <w:rFonts w:cs="Times New Roman"/>
          <w:i/>
          <w:iCs/>
          <w:shd w:val="clear" w:color="auto" w:fill="FFFFFF"/>
        </w:rPr>
        <w:t>p</w:t>
      </w:r>
      <w:r w:rsidRPr="00AC29AC">
        <w:rPr>
          <w:rFonts w:cs="Times New Roman"/>
          <w:shd w:val="clear" w:color="auto" w:fill="FFFFFF"/>
        </w:rPr>
        <w:t xml:space="preserve">=0.015 for significant overlap of degree centrality and (ASD-CTL) in cortical thickness (using CT_ori, </w:t>
      </w:r>
      <w:r w:rsidRPr="00AC29AC">
        <w:rPr>
          <w:rFonts w:cs="Times New Roman"/>
          <w:b/>
          <w:bCs/>
          <w:shd w:val="clear" w:color="auto" w:fill="FFFFFF"/>
        </w:rPr>
        <w:t>Figure 1A</w:t>
      </w:r>
      <w:r w:rsidRPr="00AC29AC">
        <w:rPr>
          <w:rFonts w:cs="Times New Roman"/>
          <w:shd w:val="clear" w:color="auto" w:fill="FFFFFF"/>
        </w:rPr>
        <w:t xml:space="preserve"> in Manuscript), we observed </w:t>
      </w:r>
      <w:r w:rsidRPr="00AC29AC">
        <w:rPr>
          <w:rFonts w:cs="Times New Roman"/>
          <w:i/>
          <w:iCs/>
          <w:shd w:val="clear" w:color="auto" w:fill="FFFFFF"/>
        </w:rPr>
        <w:t>r</w:t>
      </w:r>
      <w:r w:rsidRPr="00AC29AC">
        <w:rPr>
          <w:rFonts w:cs="Times New Roman"/>
          <w:shd w:val="clear" w:color="auto" w:fill="FFFFFF"/>
        </w:rPr>
        <w:t xml:space="preserve">=0.32, </w:t>
      </w:r>
      <w:r w:rsidRPr="00AC29AC">
        <w:rPr>
          <w:rFonts w:cs="Times New Roman"/>
          <w:i/>
          <w:iCs/>
          <w:shd w:val="clear" w:color="auto" w:fill="FFFFFF"/>
        </w:rPr>
        <w:t>p</w:t>
      </w:r>
      <w:r w:rsidRPr="00AC29AC">
        <w:rPr>
          <w:rFonts w:cs="Times New Roman"/>
          <w:shd w:val="clear" w:color="auto" w:fill="FFFFFF"/>
        </w:rPr>
        <w:t xml:space="preserve">=0.011 for significant overlap of degree centrality and (ASD-CTL) in cortical thickness (using CT_combat). As compared to our original findings of </w:t>
      </w:r>
      <w:r w:rsidRPr="00AC29AC">
        <w:rPr>
          <w:rFonts w:cs="Times New Roman"/>
          <w:i/>
          <w:iCs/>
          <w:shd w:val="clear" w:color="auto" w:fill="FFFFFF"/>
        </w:rPr>
        <w:t>r</w:t>
      </w:r>
      <w:r w:rsidRPr="00AC29AC">
        <w:rPr>
          <w:rFonts w:cs="Times New Roman"/>
          <w:shd w:val="clear" w:color="auto" w:fill="FFFFFF"/>
        </w:rPr>
        <w:t xml:space="preserve">=0.37, </w:t>
      </w:r>
      <w:r w:rsidRPr="00AC29AC">
        <w:rPr>
          <w:rFonts w:cs="Times New Roman"/>
          <w:i/>
          <w:iCs/>
          <w:shd w:val="clear" w:color="auto" w:fill="FFFFFF"/>
        </w:rPr>
        <w:t>p</w:t>
      </w:r>
      <w:r w:rsidRPr="00AC29AC">
        <w:rPr>
          <w:rFonts w:cs="Times New Roman"/>
          <w:shd w:val="clear" w:color="auto" w:fill="FFFFFF"/>
        </w:rPr>
        <w:t xml:space="preserve">=0.003 for significant overlap of degree centrality and effect of PRS on cortical thickness (using CT_ori, </w:t>
      </w:r>
      <w:r w:rsidRPr="00AC29AC">
        <w:rPr>
          <w:rFonts w:cs="Times New Roman"/>
          <w:b/>
          <w:bCs/>
          <w:shd w:val="clear" w:color="auto" w:fill="FFFFFF"/>
        </w:rPr>
        <w:t>Figure 1B</w:t>
      </w:r>
      <w:r w:rsidRPr="00AC29AC">
        <w:rPr>
          <w:rFonts w:cs="Times New Roman"/>
          <w:shd w:val="clear" w:color="auto" w:fill="FFFFFF"/>
        </w:rPr>
        <w:t xml:space="preserve"> in Manuscript), we observed </w:t>
      </w:r>
      <w:r w:rsidRPr="00AC29AC">
        <w:rPr>
          <w:rFonts w:cs="Times New Roman"/>
          <w:i/>
          <w:iCs/>
          <w:shd w:val="clear" w:color="auto" w:fill="FFFFFF"/>
        </w:rPr>
        <w:t>r</w:t>
      </w:r>
      <w:r w:rsidRPr="00AC29AC">
        <w:rPr>
          <w:rFonts w:cs="Times New Roman"/>
          <w:shd w:val="clear" w:color="auto" w:fill="FFFFFF"/>
        </w:rPr>
        <w:t xml:space="preserve">=0.38, </w:t>
      </w:r>
      <w:r w:rsidRPr="00AC29AC">
        <w:rPr>
          <w:rFonts w:cs="Times New Roman"/>
          <w:i/>
          <w:iCs/>
          <w:shd w:val="clear" w:color="auto" w:fill="FFFFFF"/>
        </w:rPr>
        <w:t>p</w:t>
      </w:r>
      <w:r w:rsidRPr="00AC29AC">
        <w:rPr>
          <w:rFonts w:cs="Times New Roman"/>
          <w:shd w:val="clear" w:color="auto" w:fill="FFFFFF"/>
        </w:rPr>
        <w:t xml:space="preserve">=0.002 for significant overlap of degree centrality and effect of PRS on cortical thickness (using CT_combat). </w:t>
      </w:r>
    </w:p>
    <w:p w14:paraId="584F5C1F" w14:textId="77777777" w:rsidR="00AC29AC" w:rsidRPr="00053D9A" w:rsidRDefault="00AC29AC" w:rsidP="00AC29AC">
      <w:pPr>
        <w:spacing w:line="360" w:lineRule="auto"/>
        <w:rPr>
          <w:rFonts w:cs="Times New Roman"/>
          <w:sz w:val="10"/>
          <w:szCs w:val="10"/>
          <w:shd w:val="clear" w:color="auto" w:fill="FFFFFF"/>
        </w:rPr>
      </w:pPr>
    </w:p>
    <w:p w14:paraId="778DF570" w14:textId="615217C0" w:rsidR="00AC29AC" w:rsidRPr="00053D9A" w:rsidRDefault="00AC29AC" w:rsidP="00AC29AC">
      <w:pPr>
        <w:spacing w:line="360" w:lineRule="auto"/>
        <w:rPr>
          <w:rFonts w:cs="Times New Roman"/>
          <w:sz w:val="20"/>
          <w:szCs w:val="20"/>
          <w:shd w:val="clear" w:color="auto" w:fill="FFFFFF"/>
        </w:rPr>
      </w:pPr>
      <w:r w:rsidRPr="00053D9A">
        <w:rPr>
          <w:rFonts w:cs="Times New Roman"/>
          <w:b/>
          <w:bCs/>
          <w:sz w:val="20"/>
          <w:szCs w:val="20"/>
          <w:shd w:val="clear" w:color="auto" w:fill="FFFFFF"/>
        </w:rPr>
        <w:t xml:space="preserve">Overlap of centrality and (ASD-CTL) in CT_combat  </w:t>
      </w:r>
      <w:r w:rsidR="00053D9A">
        <w:rPr>
          <w:rFonts w:cs="Times New Roman"/>
          <w:b/>
          <w:bCs/>
          <w:sz w:val="20"/>
          <w:szCs w:val="20"/>
          <w:shd w:val="clear" w:color="auto" w:fill="FFFFFF"/>
        </w:rPr>
        <w:t xml:space="preserve">  </w:t>
      </w:r>
      <w:r w:rsidRPr="00053D9A">
        <w:rPr>
          <w:rFonts w:cs="Times New Roman"/>
          <w:b/>
          <w:bCs/>
          <w:sz w:val="20"/>
          <w:szCs w:val="20"/>
          <w:shd w:val="clear" w:color="auto" w:fill="FFFFFF"/>
        </w:rPr>
        <w:t xml:space="preserve">Overlap of centrality and PRS &amp; CT_combat </w:t>
      </w:r>
    </w:p>
    <w:p w14:paraId="1C0DC446" w14:textId="77777777" w:rsidR="00AC29AC" w:rsidRPr="00AC29AC" w:rsidRDefault="00AC29AC" w:rsidP="00AC29AC">
      <w:pPr>
        <w:spacing w:line="360" w:lineRule="auto"/>
        <w:rPr>
          <w:rFonts w:cs="Times New Roman"/>
          <w:shd w:val="clear" w:color="auto" w:fill="FFFFFF"/>
        </w:rPr>
      </w:pPr>
      <w:r w:rsidRPr="00AC29AC">
        <w:rPr>
          <w:rFonts w:cs="Times New Roman"/>
          <w:noProof/>
          <w:shd w:val="clear" w:color="auto" w:fill="FFFFFF"/>
        </w:rPr>
        <w:drawing>
          <wp:inline distT="0" distB="0" distL="0" distR="0" wp14:anchorId="3A751AA9" wp14:editId="2B50B080">
            <wp:extent cx="2769079" cy="2076809"/>
            <wp:effectExtent l="0" t="0" r="0" b="0"/>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catter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786404" cy="2089803"/>
                    </a:xfrm>
                    <a:prstGeom prst="rect">
                      <a:avLst/>
                    </a:prstGeom>
                  </pic:spPr>
                </pic:pic>
              </a:graphicData>
            </a:graphic>
          </wp:inline>
        </w:drawing>
      </w:r>
      <w:r w:rsidRPr="00AC29AC">
        <w:rPr>
          <w:rFonts w:cs="Times New Roman"/>
          <w:noProof/>
          <w:shd w:val="clear" w:color="auto" w:fill="FFFFFF"/>
        </w:rPr>
        <w:drawing>
          <wp:inline distT="0" distB="0" distL="0" distR="0" wp14:anchorId="60614E03" wp14:editId="220FE046">
            <wp:extent cx="2794959" cy="2096219"/>
            <wp:effectExtent l="0" t="0" r="5715" b="0"/>
            <wp:docPr id="11" name="Picture 1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scatter 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17114" cy="2112835"/>
                    </a:xfrm>
                    <a:prstGeom prst="rect">
                      <a:avLst/>
                    </a:prstGeom>
                  </pic:spPr>
                </pic:pic>
              </a:graphicData>
            </a:graphic>
          </wp:inline>
        </w:drawing>
      </w:r>
    </w:p>
    <w:p w14:paraId="4F51269E" w14:textId="7AE102DA" w:rsidR="007E2127" w:rsidRDefault="00AC29AC" w:rsidP="00F04DFE">
      <w:pPr>
        <w:pStyle w:val="Default"/>
        <w:spacing w:line="360" w:lineRule="auto"/>
        <w:rPr>
          <w:rFonts w:ascii="Times New Roman" w:hAnsi="Times New Roman" w:cs="Times New Roman"/>
          <w:b/>
          <w:bCs/>
        </w:rPr>
      </w:pPr>
      <w:r>
        <w:rPr>
          <w:rFonts w:ascii="Times New Roman" w:hAnsi="Times New Roman" w:cs="Times New Roman"/>
          <w:color w:val="201F1E"/>
        </w:rPr>
        <w:lastRenderedPageBreak/>
        <w:t>Thus, we observed</w:t>
      </w:r>
      <w:r w:rsidRPr="00AC29AC">
        <w:rPr>
          <w:rFonts w:ascii="Times New Roman" w:hAnsi="Times New Roman" w:cs="Times New Roman"/>
          <w:color w:val="201F1E"/>
        </w:rPr>
        <w:t xml:space="preserve"> high similarities between our original analyses and analyses using combat-run cortical thickness values</w:t>
      </w:r>
      <w:r>
        <w:rPr>
          <w:rFonts w:ascii="Times New Roman" w:hAnsi="Times New Roman" w:cs="Times New Roman"/>
          <w:color w:val="201F1E"/>
        </w:rPr>
        <w:t>.</w:t>
      </w:r>
    </w:p>
    <w:p w14:paraId="6ED063D2" w14:textId="77777777" w:rsidR="007E2127" w:rsidRPr="00053D9A" w:rsidRDefault="007E2127" w:rsidP="00F04DFE">
      <w:pPr>
        <w:pStyle w:val="Default"/>
        <w:spacing w:line="360" w:lineRule="auto"/>
        <w:rPr>
          <w:rFonts w:ascii="Times New Roman" w:hAnsi="Times New Roman" w:cs="Times New Roman"/>
          <w:b/>
          <w:bCs/>
          <w:sz w:val="10"/>
          <w:szCs w:val="10"/>
        </w:rPr>
      </w:pPr>
    </w:p>
    <w:p w14:paraId="613257F0" w14:textId="550A0EF9" w:rsidR="00F60152" w:rsidRDefault="00F60152" w:rsidP="00F60152">
      <w:pPr>
        <w:pStyle w:val="Default"/>
        <w:spacing w:line="360" w:lineRule="auto"/>
        <w:rPr>
          <w:rFonts w:ascii="Times New Roman" w:hAnsi="Times New Roman" w:cs="Times New Roman"/>
          <w:b/>
          <w:bCs/>
          <w:i/>
          <w:iCs/>
          <w:color w:val="auto"/>
        </w:rPr>
      </w:pPr>
      <w:r w:rsidRPr="00AC29AC">
        <w:rPr>
          <w:rFonts w:ascii="Times New Roman" w:hAnsi="Times New Roman" w:cs="Times New Roman"/>
          <w:b/>
          <w:bCs/>
          <w:i/>
          <w:iCs/>
          <w:color w:val="auto"/>
        </w:rPr>
        <w:t>S</w:t>
      </w:r>
      <w:r w:rsidR="00013022">
        <w:rPr>
          <w:rFonts w:ascii="Times New Roman" w:hAnsi="Times New Roman" w:cs="Times New Roman"/>
          <w:b/>
          <w:bCs/>
          <w:i/>
          <w:iCs/>
          <w:color w:val="auto"/>
        </w:rPr>
        <w:t>5</w:t>
      </w:r>
      <w:r w:rsidRPr="00AC29AC">
        <w:rPr>
          <w:rFonts w:ascii="Times New Roman" w:hAnsi="Times New Roman" w:cs="Times New Roman"/>
          <w:b/>
          <w:bCs/>
          <w:i/>
          <w:iCs/>
          <w:color w:val="auto"/>
        </w:rPr>
        <w:t xml:space="preserve"> – </w:t>
      </w:r>
      <w:r>
        <w:rPr>
          <w:rFonts w:ascii="Times New Roman" w:hAnsi="Times New Roman" w:cs="Times New Roman"/>
          <w:b/>
          <w:bCs/>
          <w:i/>
          <w:iCs/>
          <w:color w:val="auto"/>
        </w:rPr>
        <w:t>Regions of Interest (ROI)</w:t>
      </w:r>
      <w:r w:rsidRPr="00AC29AC">
        <w:rPr>
          <w:rFonts w:ascii="Times New Roman" w:hAnsi="Times New Roman" w:cs="Times New Roman"/>
          <w:b/>
          <w:bCs/>
          <w:i/>
          <w:iCs/>
          <w:color w:val="auto"/>
        </w:rPr>
        <w:t>:</w:t>
      </w:r>
    </w:p>
    <w:p w14:paraId="7DED57D2" w14:textId="77777777" w:rsidR="00053D9A" w:rsidRPr="00053D9A" w:rsidRDefault="00053D9A" w:rsidP="00F60152">
      <w:pPr>
        <w:pStyle w:val="Default"/>
        <w:spacing w:line="360" w:lineRule="auto"/>
        <w:rPr>
          <w:rFonts w:ascii="Times New Roman" w:hAnsi="Times New Roman" w:cs="Times New Roman"/>
          <w:b/>
          <w:bCs/>
          <w:i/>
          <w:iCs/>
          <w:color w:val="auto"/>
          <w:sz w:val="10"/>
          <w:szCs w:val="10"/>
        </w:rPr>
      </w:pPr>
    </w:p>
    <w:tbl>
      <w:tblPr>
        <w:tblW w:w="5192" w:type="dxa"/>
        <w:tblInd w:w="352" w:type="dxa"/>
        <w:tblCellMar>
          <w:left w:w="0" w:type="dxa"/>
          <w:right w:w="0" w:type="dxa"/>
        </w:tblCellMar>
        <w:tblLook w:val="04A0" w:firstRow="1" w:lastRow="0" w:firstColumn="1" w:lastColumn="0" w:noHBand="0" w:noVBand="1"/>
      </w:tblPr>
      <w:tblGrid>
        <w:gridCol w:w="2589"/>
        <w:gridCol w:w="2603"/>
      </w:tblGrid>
      <w:tr w:rsidR="00F60152" w:rsidRPr="0008772D" w14:paraId="7EA37397"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603A531B" w14:textId="77777777" w:rsidR="00F60152" w:rsidRPr="00053D9A" w:rsidRDefault="00F60152" w:rsidP="00746AED">
            <w:pPr>
              <w:rPr>
                <w:rFonts w:eastAsia="Times New Roman" w:cs="Times New Roman"/>
                <w:b/>
                <w:bCs/>
                <w:lang w:eastAsia="en-US"/>
              </w:rPr>
            </w:pPr>
            <w:r w:rsidRPr="00053D9A">
              <w:rPr>
                <w:rFonts w:eastAsia="Times New Roman" w:cs="Times New Roman"/>
                <w:b/>
                <w:bCs/>
                <w:lang w:eastAsia="en-US"/>
              </w:rPr>
              <w:t>Left hemisphere</w:t>
            </w:r>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38931BEF" w14:textId="77777777" w:rsidR="00F60152" w:rsidRPr="00053D9A" w:rsidRDefault="00F60152" w:rsidP="00746AED">
            <w:pPr>
              <w:rPr>
                <w:rFonts w:eastAsia="Times New Roman" w:cs="Times New Roman"/>
                <w:b/>
                <w:bCs/>
                <w:lang w:eastAsia="en-US"/>
              </w:rPr>
            </w:pPr>
            <w:r w:rsidRPr="00053D9A">
              <w:rPr>
                <w:rFonts w:eastAsia="Times New Roman" w:cs="Times New Roman"/>
                <w:b/>
                <w:bCs/>
                <w:lang w:eastAsia="en-US"/>
              </w:rPr>
              <w:t>Right hemisphere</w:t>
            </w:r>
          </w:p>
        </w:tc>
      </w:tr>
      <w:tr w:rsidR="00F60152" w:rsidRPr="0008772D" w14:paraId="3A66EB5E"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5F966AE7"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lh.caudalanteriorcingulate</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tcPr>
          <w:p w14:paraId="28901449"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rh.caudalanteriorcingulate</w:t>
            </w:r>
            <w:proofErr w:type="spellEnd"/>
          </w:p>
        </w:tc>
      </w:tr>
      <w:tr w:rsidR="00F60152" w:rsidRPr="0008772D" w14:paraId="1F0614B5"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604D7E"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lh.caudalmiddlefrontal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89942C"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rh.caudalmiddlefrontal</w:t>
            </w:r>
            <w:proofErr w:type="spellEnd"/>
          </w:p>
        </w:tc>
      </w:tr>
      <w:tr w:rsidR="00F60152" w:rsidRPr="0008772D" w14:paraId="5A7FA719"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552A7C"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lh.cuneus</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4BC2DF"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rh.cuneus</w:t>
            </w:r>
            <w:proofErr w:type="spellEnd"/>
          </w:p>
        </w:tc>
      </w:tr>
      <w:tr w:rsidR="00F60152" w:rsidRPr="0008772D" w14:paraId="57F4F594"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3A4BDC"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lh.entorhinal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7D38B2"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rh.entorhinal</w:t>
            </w:r>
            <w:proofErr w:type="spellEnd"/>
          </w:p>
        </w:tc>
      </w:tr>
      <w:tr w:rsidR="00F60152" w:rsidRPr="0008772D" w14:paraId="43EDDAA6"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7E24B3"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lh.fusiform</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52E37B"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rh.fusiform</w:t>
            </w:r>
            <w:proofErr w:type="spellEnd"/>
          </w:p>
        </w:tc>
      </w:tr>
      <w:tr w:rsidR="00F60152" w:rsidRPr="0008772D" w14:paraId="34CE129F"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E9DA8A"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lh.inferiorparietal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719782"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rh.inferiorparietal</w:t>
            </w:r>
            <w:proofErr w:type="spellEnd"/>
          </w:p>
        </w:tc>
      </w:tr>
      <w:tr w:rsidR="00F60152" w:rsidRPr="0008772D" w14:paraId="4D9D543F"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AD20AC"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lh.inferiortemporal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CB4830"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rh.inferiortemporal</w:t>
            </w:r>
            <w:proofErr w:type="spellEnd"/>
          </w:p>
        </w:tc>
      </w:tr>
      <w:tr w:rsidR="00F60152" w:rsidRPr="0008772D" w14:paraId="5B43F718"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B5C3A3"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lh.insula</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1F1A63"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rh.insula</w:t>
            </w:r>
            <w:proofErr w:type="spellEnd"/>
          </w:p>
        </w:tc>
      </w:tr>
      <w:tr w:rsidR="00F60152" w:rsidRPr="0008772D" w14:paraId="093CB959"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6B373A"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lh.isthmuscingulate</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327EF2"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rh.isthmuscingulate</w:t>
            </w:r>
            <w:proofErr w:type="spellEnd"/>
          </w:p>
        </w:tc>
      </w:tr>
      <w:tr w:rsidR="00F60152" w:rsidRPr="0008772D" w14:paraId="115F5FDE"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9F3DFB"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lh.lateraloccipital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19C9CB"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rh.lateraloccipital</w:t>
            </w:r>
            <w:proofErr w:type="spellEnd"/>
          </w:p>
        </w:tc>
      </w:tr>
      <w:tr w:rsidR="00F60152" w:rsidRPr="0008772D" w14:paraId="37E04402"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ED8983"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lh.lateralorbitofrontal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C13377"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rh.lateralorbitofrontal</w:t>
            </w:r>
            <w:proofErr w:type="spellEnd"/>
          </w:p>
        </w:tc>
      </w:tr>
      <w:tr w:rsidR="00F60152" w:rsidRPr="0008772D" w14:paraId="66149FAA"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9DCA28"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lh.lingual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613AAC"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rh.lingual</w:t>
            </w:r>
            <w:proofErr w:type="spellEnd"/>
          </w:p>
        </w:tc>
      </w:tr>
      <w:tr w:rsidR="00F60152" w:rsidRPr="0008772D" w14:paraId="29148CBC"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3E2C07"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lh.medialorbitofrontal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2BD845"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rh.medialorbitofrontal</w:t>
            </w:r>
            <w:proofErr w:type="spellEnd"/>
          </w:p>
        </w:tc>
      </w:tr>
      <w:tr w:rsidR="00F60152" w:rsidRPr="0008772D" w14:paraId="06ABFBE5"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67CE95"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lh.middletemporal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6CEC23"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rh.middletemporal</w:t>
            </w:r>
            <w:proofErr w:type="spellEnd"/>
          </w:p>
        </w:tc>
      </w:tr>
      <w:tr w:rsidR="00F60152" w:rsidRPr="0008772D" w14:paraId="5221CCD3"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EB395D"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lh.paracentral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046EF6"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rh.paracentral</w:t>
            </w:r>
            <w:proofErr w:type="spellEnd"/>
          </w:p>
        </w:tc>
      </w:tr>
      <w:tr w:rsidR="00F60152" w:rsidRPr="0008772D" w14:paraId="5CE8A518"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BBA56C"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lh.parahippocampal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C61A38"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rh.parahippocampal</w:t>
            </w:r>
            <w:proofErr w:type="spellEnd"/>
          </w:p>
        </w:tc>
      </w:tr>
      <w:tr w:rsidR="00F60152" w:rsidRPr="0008772D" w14:paraId="72FC0682"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125FE2"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lh.parsopercularis</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F55CF6"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rh.parsopercularis</w:t>
            </w:r>
            <w:proofErr w:type="spellEnd"/>
          </w:p>
        </w:tc>
      </w:tr>
      <w:tr w:rsidR="00F60152" w:rsidRPr="0008772D" w14:paraId="222135D9"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928B75"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lh.parsorbitalis</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FCE671"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rh.parsorbitalis</w:t>
            </w:r>
            <w:proofErr w:type="spellEnd"/>
          </w:p>
        </w:tc>
      </w:tr>
      <w:tr w:rsidR="00F60152" w:rsidRPr="0008772D" w14:paraId="2C2BE4A3"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1B9388"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lh.parstriangularis</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F7B01C"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rh.parstriangularis</w:t>
            </w:r>
            <w:proofErr w:type="spellEnd"/>
          </w:p>
        </w:tc>
      </w:tr>
      <w:tr w:rsidR="00F60152" w:rsidRPr="0008772D" w14:paraId="6562C065"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EEF91D"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lh.pericalcarine</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D79458"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rh.pericalcarine</w:t>
            </w:r>
            <w:proofErr w:type="spellEnd"/>
          </w:p>
        </w:tc>
      </w:tr>
      <w:tr w:rsidR="00F60152" w:rsidRPr="0008772D" w14:paraId="0925E45A"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7BC706"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lh.postcentral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8EECF9"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rh.postcentral</w:t>
            </w:r>
            <w:proofErr w:type="spellEnd"/>
          </w:p>
        </w:tc>
      </w:tr>
      <w:tr w:rsidR="00F60152" w:rsidRPr="0008772D" w14:paraId="2AB9F5D0"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B606A6"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lh.posteriorcingulate</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29B964"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rh.posteriorcingulate</w:t>
            </w:r>
            <w:proofErr w:type="spellEnd"/>
          </w:p>
        </w:tc>
      </w:tr>
      <w:tr w:rsidR="00F60152" w:rsidRPr="0008772D" w14:paraId="1104C1A8"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180727"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lh.precentral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D72DCC"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rh.precentral</w:t>
            </w:r>
            <w:proofErr w:type="spellEnd"/>
          </w:p>
        </w:tc>
      </w:tr>
      <w:tr w:rsidR="00F60152" w:rsidRPr="0008772D" w14:paraId="0C4E2381"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85F5A3"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lh.precuneus</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2D637A"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rh.precuneus</w:t>
            </w:r>
            <w:proofErr w:type="spellEnd"/>
          </w:p>
        </w:tc>
      </w:tr>
      <w:tr w:rsidR="00F60152" w:rsidRPr="0008772D" w14:paraId="75906745"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B4B9CC"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lh.rostralanteriorcingulate</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4887D9"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rh.rostralanteriorcingulate</w:t>
            </w:r>
            <w:proofErr w:type="spellEnd"/>
          </w:p>
        </w:tc>
      </w:tr>
      <w:tr w:rsidR="00F60152" w:rsidRPr="0008772D" w14:paraId="33CD6537"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D6C14C"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lh.rostralmiddlefrontal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C24492"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rh.rostralmiddlefrontal</w:t>
            </w:r>
            <w:proofErr w:type="spellEnd"/>
          </w:p>
        </w:tc>
      </w:tr>
      <w:tr w:rsidR="00F60152" w:rsidRPr="0008772D" w14:paraId="1DCEC3D7"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B0B017"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lh.superiorfrontal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605CA4"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rh.superiorfrontal</w:t>
            </w:r>
            <w:proofErr w:type="spellEnd"/>
          </w:p>
        </w:tc>
      </w:tr>
      <w:tr w:rsidR="00F60152" w:rsidRPr="0008772D" w14:paraId="0669D84C"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3BD4CB"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lh.superiorparietal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5F2060"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rh.superiorparietal</w:t>
            </w:r>
            <w:proofErr w:type="spellEnd"/>
          </w:p>
        </w:tc>
      </w:tr>
      <w:tr w:rsidR="00F60152" w:rsidRPr="0008772D" w14:paraId="66EC0736"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9B91C9"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lastRenderedPageBreak/>
              <w:t>lh.superiortemporal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348C02"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rh.superiortemporal</w:t>
            </w:r>
            <w:proofErr w:type="spellEnd"/>
          </w:p>
        </w:tc>
      </w:tr>
      <w:tr w:rsidR="00F60152" w:rsidRPr="0008772D" w14:paraId="70C8FD00"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DD7E55"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lh.supramarginal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4442F1"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rh.supramarginal</w:t>
            </w:r>
            <w:proofErr w:type="spellEnd"/>
          </w:p>
        </w:tc>
      </w:tr>
      <w:tr w:rsidR="00F60152" w:rsidRPr="0008772D" w14:paraId="2B5381DB" w14:textId="77777777" w:rsidTr="00053D9A">
        <w:trPr>
          <w:trHeight w:val="315"/>
        </w:trPr>
        <w:tc>
          <w:tcPr>
            <w:tcW w:w="2589"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9EE6F4"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lh.transversetemporal</w:t>
            </w:r>
            <w:proofErr w:type="spellEnd"/>
          </w:p>
        </w:tc>
        <w:tc>
          <w:tcPr>
            <w:tcW w:w="2603"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0F0585" w14:textId="77777777" w:rsidR="00F60152" w:rsidRPr="00053D9A" w:rsidRDefault="00F60152" w:rsidP="00746AED">
            <w:pPr>
              <w:rPr>
                <w:rFonts w:eastAsia="Times New Roman" w:cs="Times New Roman"/>
                <w:lang w:eastAsia="en-US"/>
              </w:rPr>
            </w:pPr>
            <w:proofErr w:type="spellStart"/>
            <w:r w:rsidRPr="00053D9A">
              <w:rPr>
                <w:rFonts w:eastAsia="Times New Roman" w:cs="Times New Roman"/>
                <w:lang w:eastAsia="en-US"/>
              </w:rPr>
              <w:t>rh.transversetemporal</w:t>
            </w:r>
            <w:proofErr w:type="spellEnd"/>
          </w:p>
        </w:tc>
      </w:tr>
    </w:tbl>
    <w:p w14:paraId="33B065E9" w14:textId="3F630B4D" w:rsidR="006A212C" w:rsidRPr="00AC29AC" w:rsidRDefault="006A212C" w:rsidP="006A212C">
      <w:pPr>
        <w:pStyle w:val="Default"/>
        <w:spacing w:line="360" w:lineRule="auto"/>
        <w:rPr>
          <w:rFonts w:ascii="Times New Roman" w:hAnsi="Times New Roman" w:cs="Times New Roman"/>
          <w:b/>
          <w:bCs/>
          <w:i/>
          <w:iCs/>
          <w:color w:val="auto"/>
        </w:rPr>
      </w:pPr>
    </w:p>
    <w:p w14:paraId="48610738" w14:textId="1468BEBD" w:rsidR="00013022" w:rsidRDefault="00013022" w:rsidP="00013022">
      <w:pPr>
        <w:pStyle w:val="Default"/>
        <w:spacing w:line="360" w:lineRule="auto"/>
        <w:rPr>
          <w:rFonts w:ascii="Times New Roman" w:hAnsi="Times New Roman" w:cs="Times New Roman"/>
          <w:b/>
          <w:bCs/>
          <w:i/>
          <w:iCs/>
          <w:color w:val="auto"/>
        </w:rPr>
      </w:pPr>
      <w:r w:rsidRPr="00AC29AC">
        <w:rPr>
          <w:rFonts w:ascii="Times New Roman" w:hAnsi="Times New Roman" w:cs="Times New Roman"/>
          <w:b/>
          <w:bCs/>
          <w:i/>
          <w:iCs/>
          <w:color w:val="auto"/>
        </w:rPr>
        <w:t>S</w:t>
      </w:r>
      <w:r>
        <w:rPr>
          <w:rFonts w:ascii="Times New Roman" w:hAnsi="Times New Roman" w:cs="Times New Roman"/>
          <w:b/>
          <w:bCs/>
          <w:i/>
          <w:iCs/>
          <w:color w:val="auto"/>
        </w:rPr>
        <w:t>6</w:t>
      </w:r>
      <w:r w:rsidRPr="00AC29AC">
        <w:rPr>
          <w:rFonts w:ascii="Times New Roman" w:hAnsi="Times New Roman" w:cs="Times New Roman"/>
          <w:b/>
          <w:bCs/>
          <w:i/>
          <w:iCs/>
          <w:color w:val="auto"/>
        </w:rPr>
        <w:t xml:space="preserve"> – </w:t>
      </w:r>
      <w:r>
        <w:rPr>
          <w:rFonts w:ascii="Times New Roman" w:hAnsi="Times New Roman" w:cs="Times New Roman"/>
          <w:b/>
          <w:bCs/>
          <w:i/>
          <w:iCs/>
          <w:color w:val="auto"/>
        </w:rPr>
        <w:t>Histogram plots of data</w:t>
      </w:r>
      <w:r w:rsidRPr="00AC29AC">
        <w:rPr>
          <w:rFonts w:ascii="Times New Roman" w:hAnsi="Times New Roman" w:cs="Times New Roman"/>
          <w:b/>
          <w:bCs/>
          <w:i/>
          <w:iCs/>
          <w:color w:val="auto"/>
        </w:rPr>
        <w:t>:</w:t>
      </w:r>
    </w:p>
    <w:p w14:paraId="5B4E02E3" w14:textId="6BD24579" w:rsidR="00013022" w:rsidRPr="00013022" w:rsidRDefault="00013022" w:rsidP="00E97C81">
      <w:pPr>
        <w:pStyle w:val="Default"/>
        <w:spacing w:line="360" w:lineRule="auto"/>
        <w:rPr>
          <w:rFonts w:ascii="Times New Roman" w:hAnsi="Times New Roman" w:cs="Times New Roman"/>
          <w:b/>
          <w:bCs/>
          <w:color w:val="auto"/>
        </w:rPr>
      </w:pPr>
      <w:r w:rsidRPr="00013022">
        <w:rPr>
          <w:rFonts w:ascii="Times New Roman" w:hAnsi="Times New Roman" w:cs="Times New Roman"/>
          <w:b/>
          <w:bCs/>
          <w:color w:val="auto"/>
        </w:rPr>
        <w:t>ABIDE data</w:t>
      </w:r>
    </w:p>
    <w:p w14:paraId="376AA763" w14:textId="5F75407C" w:rsidR="00013022" w:rsidRDefault="00013022" w:rsidP="00E97C81">
      <w:pPr>
        <w:pStyle w:val="Default"/>
        <w:spacing w:line="360" w:lineRule="auto"/>
        <w:rPr>
          <w:rFonts w:ascii="Times New Roman" w:hAnsi="Times New Roman" w:cs="Times New Roman"/>
          <w:b/>
          <w:bCs/>
          <w:i/>
          <w:iCs/>
          <w:color w:val="auto"/>
        </w:rPr>
      </w:pPr>
      <w:r>
        <w:rPr>
          <w:rFonts w:ascii="Times New Roman" w:hAnsi="Times New Roman" w:cs="Times New Roman"/>
          <w:b/>
          <w:bCs/>
          <w:i/>
          <w:iCs/>
          <w:noProof/>
          <w:color w:val="auto"/>
        </w:rPr>
        <w:drawing>
          <wp:inline distT="0" distB="0" distL="0" distR="0" wp14:anchorId="099B9734" wp14:editId="0A78071A">
            <wp:extent cx="2950234" cy="2212676"/>
            <wp:effectExtent l="0" t="0" r="2540" b="0"/>
            <wp:docPr id="3"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histo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966450" cy="2224838"/>
                    </a:xfrm>
                    <a:prstGeom prst="rect">
                      <a:avLst/>
                    </a:prstGeom>
                  </pic:spPr>
                </pic:pic>
              </a:graphicData>
            </a:graphic>
          </wp:inline>
        </w:drawing>
      </w:r>
      <w:r>
        <w:rPr>
          <w:rFonts w:ascii="Times New Roman" w:hAnsi="Times New Roman" w:cs="Times New Roman"/>
          <w:b/>
          <w:bCs/>
          <w:i/>
          <w:iCs/>
          <w:noProof/>
          <w:color w:val="auto"/>
        </w:rPr>
        <w:drawing>
          <wp:inline distT="0" distB="0" distL="0" distR="0" wp14:anchorId="3037AEAA" wp14:editId="49568D63">
            <wp:extent cx="2974914" cy="2231186"/>
            <wp:effectExtent l="0" t="0" r="0" b="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008531" cy="2256399"/>
                    </a:xfrm>
                    <a:prstGeom prst="rect">
                      <a:avLst/>
                    </a:prstGeom>
                  </pic:spPr>
                </pic:pic>
              </a:graphicData>
            </a:graphic>
          </wp:inline>
        </w:drawing>
      </w:r>
    </w:p>
    <w:p w14:paraId="3C22B0F3" w14:textId="29B506FD" w:rsidR="00053D9A" w:rsidRPr="00013022" w:rsidRDefault="00053D9A" w:rsidP="00053D9A">
      <w:pPr>
        <w:pStyle w:val="Default"/>
        <w:spacing w:line="360" w:lineRule="auto"/>
        <w:rPr>
          <w:rFonts w:ascii="Times New Roman" w:hAnsi="Times New Roman" w:cs="Times New Roman"/>
          <w:b/>
          <w:bCs/>
          <w:color w:val="auto"/>
        </w:rPr>
      </w:pPr>
      <w:r>
        <w:rPr>
          <w:rFonts w:ascii="Times New Roman" w:hAnsi="Times New Roman" w:cs="Times New Roman"/>
          <w:b/>
          <w:bCs/>
          <w:color w:val="auto"/>
        </w:rPr>
        <w:t>PING</w:t>
      </w:r>
      <w:r w:rsidRPr="00013022">
        <w:rPr>
          <w:rFonts w:ascii="Times New Roman" w:hAnsi="Times New Roman" w:cs="Times New Roman"/>
          <w:b/>
          <w:bCs/>
          <w:color w:val="auto"/>
        </w:rPr>
        <w:t xml:space="preserve"> data</w:t>
      </w:r>
    </w:p>
    <w:p w14:paraId="2F4EAAA2" w14:textId="50624A24" w:rsidR="00013022" w:rsidRDefault="00053D9A" w:rsidP="00E97C81">
      <w:pPr>
        <w:pStyle w:val="Default"/>
        <w:spacing w:line="360" w:lineRule="auto"/>
        <w:rPr>
          <w:rFonts w:ascii="Times New Roman" w:hAnsi="Times New Roman" w:cs="Times New Roman"/>
          <w:b/>
          <w:bCs/>
          <w:i/>
          <w:iCs/>
          <w:color w:val="auto"/>
        </w:rPr>
      </w:pPr>
      <w:r>
        <w:rPr>
          <w:rFonts w:ascii="Times New Roman" w:hAnsi="Times New Roman" w:cs="Times New Roman"/>
          <w:b/>
          <w:bCs/>
          <w:i/>
          <w:iCs/>
          <w:noProof/>
          <w:color w:val="auto"/>
        </w:rPr>
        <w:drawing>
          <wp:inline distT="0" distB="0" distL="0" distR="0" wp14:anchorId="2CFE5A5A" wp14:editId="1E43A642">
            <wp:extent cx="2932981" cy="2199736"/>
            <wp:effectExtent l="0" t="0" r="1270" b="0"/>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946335" cy="2209751"/>
                    </a:xfrm>
                    <a:prstGeom prst="rect">
                      <a:avLst/>
                    </a:prstGeom>
                  </pic:spPr>
                </pic:pic>
              </a:graphicData>
            </a:graphic>
          </wp:inline>
        </w:drawing>
      </w:r>
      <w:r>
        <w:rPr>
          <w:rFonts w:ascii="Times New Roman" w:hAnsi="Times New Roman" w:cs="Times New Roman"/>
          <w:b/>
          <w:bCs/>
          <w:i/>
          <w:iCs/>
          <w:noProof/>
          <w:color w:val="auto"/>
        </w:rPr>
        <w:drawing>
          <wp:inline distT="0" distB="0" distL="0" distR="0" wp14:anchorId="65C31753" wp14:editId="7AF3AAAD">
            <wp:extent cx="2949993" cy="2212495"/>
            <wp:effectExtent l="0" t="0" r="3175" b="0"/>
            <wp:docPr id="12" name="Picture 1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histo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967161" cy="2225371"/>
                    </a:xfrm>
                    <a:prstGeom prst="rect">
                      <a:avLst/>
                    </a:prstGeom>
                  </pic:spPr>
                </pic:pic>
              </a:graphicData>
            </a:graphic>
          </wp:inline>
        </w:drawing>
      </w:r>
    </w:p>
    <w:p w14:paraId="08619536" w14:textId="77777777" w:rsidR="00013022" w:rsidRDefault="00013022" w:rsidP="00E97C81">
      <w:pPr>
        <w:pStyle w:val="Default"/>
        <w:spacing w:line="360" w:lineRule="auto"/>
        <w:rPr>
          <w:rFonts w:ascii="Times New Roman" w:hAnsi="Times New Roman" w:cs="Times New Roman"/>
          <w:b/>
          <w:bCs/>
          <w:i/>
          <w:iCs/>
          <w:color w:val="auto"/>
        </w:rPr>
      </w:pPr>
    </w:p>
    <w:p w14:paraId="66794252" w14:textId="77777777" w:rsidR="00013022" w:rsidRDefault="00013022" w:rsidP="00E97C81">
      <w:pPr>
        <w:pStyle w:val="Default"/>
        <w:spacing w:line="360" w:lineRule="auto"/>
        <w:rPr>
          <w:rFonts w:ascii="Times New Roman" w:hAnsi="Times New Roman" w:cs="Times New Roman"/>
          <w:b/>
          <w:bCs/>
          <w:i/>
          <w:iCs/>
          <w:color w:val="auto"/>
        </w:rPr>
      </w:pPr>
    </w:p>
    <w:p w14:paraId="69C8DFBE" w14:textId="70E79832" w:rsidR="00013022" w:rsidRDefault="00013022" w:rsidP="00E97C81">
      <w:pPr>
        <w:pStyle w:val="Default"/>
        <w:spacing w:line="360" w:lineRule="auto"/>
        <w:rPr>
          <w:rFonts w:ascii="Times New Roman" w:hAnsi="Times New Roman" w:cs="Times New Roman"/>
          <w:b/>
          <w:bCs/>
          <w:i/>
          <w:iCs/>
          <w:color w:val="auto"/>
        </w:rPr>
      </w:pPr>
    </w:p>
    <w:p w14:paraId="7FC69EFC" w14:textId="01CE2E40" w:rsidR="00053D9A" w:rsidRDefault="00053D9A" w:rsidP="00E97C81">
      <w:pPr>
        <w:pStyle w:val="Default"/>
        <w:spacing w:line="360" w:lineRule="auto"/>
        <w:rPr>
          <w:rFonts w:ascii="Times New Roman" w:hAnsi="Times New Roman" w:cs="Times New Roman"/>
          <w:b/>
          <w:bCs/>
          <w:i/>
          <w:iCs/>
          <w:color w:val="auto"/>
        </w:rPr>
      </w:pPr>
    </w:p>
    <w:p w14:paraId="5DD0F4BC" w14:textId="3449C5F0" w:rsidR="00053D9A" w:rsidRDefault="00053D9A" w:rsidP="00E97C81">
      <w:pPr>
        <w:pStyle w:val="Default"/>
        <w:spacing w:line="360" w:lineRule="auto"/>
        <w:rPr>
          <w:rFonts w:ascii="Times New Roman" w:hAnsi="Times New Roman" w:cs="Times New Roman"/>
          <w:b/>
          <w:bCs/>
          <w:i/>
          <w:iCs/>
          <w:color w:val="auto"/>
        </w:rPr>
      </w:pPr>
    </w:p>
    <w:p w14:paraId="0D3B596A" w14:textId="38E1E717" w:rsidR="00053D9A" w:rsidRDefault="00053D9A" w:rsidP="00E97C81">
      <w:pPr>
        <w:pStyle w:val="Default"/>
        <w:spacing w:line="360" w:lineRule="auto"/>
        <w:rPr>
          <w:rFonts w:ascii="Times New Roman" w:hAnsi="Times New Roman" w:cs="Times New Roman"/>
          <w:b/>
          <w:bCs/>
          <w:i/>
          <w:iCs/>
          <w:color w:val="auto"/>
        </w:rPr>
      </w:pPr>
    </w:p>
    <w:p w14:paraId="4D6B1DF1" w14:textId="77777777" w:rsidR="00053D9A" w:rsidRDefault="00053D9A" w:rsidP="00E97C81">
      <w:pPr>
        <w:pStyle w:val="Default"/>
        <w:spacing w:line="360" w:lineRule="auto"/>
        <w:rPr>
          <w:rFonts w:ascii="Times New Roman" w:hAnsi="Times New Roman" w:cs="Times New Roman"/>
          <w:b/>
          <w:bCs/>
          <w:i/>
          <w:iCs/>
          <w:color w:val="auto"/>
        </w:rPr>
      </w:pPr>
    </w:p>
    <w:p w14:paraId="37B6DD24" w14:textId="2168966C" w:rsidR="00E97C81" w:rsidRDefault="00E97C81" w:rsidP="00E97C81">
      <w:pPr>
        <w:pStyle w:val="Default"/>
        <w:spacing w:line="360" w:lineRule="auto"/>
        <w:rPr>
          <w:rFonts w:ascii="Times New Roman" w:hAnsi="Times New Roman" w:cs="Times New Roman"/>
          <w:b/>
          <w:bCs/>
          <w:i/>
          <w:iCs/>
          <w:color w:val="auto"/>
        </w:rPr>
      </w:pPr>
      <w:r>
        <w:rPr>
          <w:rFonts w:ascii="Times New Roman" w:hAnsi="Times New Roman" w:cs="Times New Roman"/>
          <w:b/>
          <w:bCs/>
          <w:i/>
          <w:iCs/>
          <w:color w:val="auto"/>
        </w:rPr>
        <w:lastRenderedPageBreak/>
        <w:t>Figure S1</w:t>
      </w:r>
      <w:r w:rsidRPr="00AC29AC">
        <w:rPr>
          <w:rFonts w:ascii="Times New Roman" w:hAnsi="Times New Roman" w:cs="Times New Roman"/>
          <w:b/>
          <w:bCs/>
          <w:i/>
          <w:iCs/>
          <w:color w:val="auto"/>
        </w:rPr>
        <w:t xml:space="preserve"> – </w:t>
      </w:r>
      <w:r>
        <w:rPr>
          <w:rFonts w:ascii="Times New Roman" w:hAnsi="Times New Roman" w:cs="Times New Roman"/>
          <w:b/>
          <w:bCs/>
          <w:i/>
          <w:iCs/>
          <w:color w:val="auto"/>
        </w:rPr>
        <w:t xml:space="preserve">Top </w:t>
      </w:r>
      <w:r w:rsidR="009E4D6A">
        <w:rPr>
          <w:rFonts w:ascii="Times New Roman" w:hAnsi="Times New Roman" w:cs="Times New Roman"/>
          <w:b/>
          <w:bCs/>
          <w:i/>
          <w:iCs/>
          <w:color w:val="auto"/>
        </w:rPr>
        <w:t>predictors (structural connections) of PRS for ASD</w:t>
      </w:r>
      <w:r w:rsidRPr="00AC29AC">
        <w:rPr>
          <w:rFonts w:ascii="Times New Roman" w:hAnsi="Times New Roman" w:cs="Times New Roman"/>
          <w:b/>
          <w:bCs/>
          <w:i/>
          <w:iCs/>
          <w:color w:val="auto"/>
        </w:rPr>
        <w:t>:</w:t>
      </w:r>
    </w:p>
    <w:p w14:paraId="445F67FA" w14:textId="77777777" w:rsidR="00053D9A" w:rsidRDefault="00053D9A" w:rsidP="00E97C81">
      <w:pPr>
        <w:pStyle w:val="Default"/>
        <w:spacing w:line="360" w:lineRule="auto"/>
        <w:rPr>
          <w:rFonts w:ascii="Times New Roman" w:hAnsi="Times New Roman" w:cs="Times New Roman"/>
          <w:b/>
          <w:bCs/>
          <w:i/>
          <w:iCs/>
          <w:color w:val="auto"/>
        </w:rPr>
      </w:pPr>
    </w:p>
    <w:p w14:paraId="38BB3AA7" w14:textId="280FD719" w:rsidR="00BE08F2" w:rsidRDefault="009E4D6A" w:rsidP="00BE08F2">
      <w:pPr>
        <w:spacing w:line="360" w:lineRule="auto"/>
      </w:pPr>
      <w:r>
        <w:rPr>
          <w:rFonts w:asciiTheme="minorHAnsi" w:hAnsiTheme="minorHAnsi" w:cstheme="minorHAnsi"/>
          <w:noProof/>
          <w:shd w:val="clear" w:color="auto" w:fill="FFFFFF"/>
        </w:rPr>
        <w:drawing>
          <wp:inline distT="0" distB="0" distL="0" distR="0" wp14:anchorId="02BB94FB" wp14:editId="46700B25">
            <wp:extent cx="5943600" cy="4457700"/>
            <wp:effectExtent l="0" t="0" r="0" b="0"/>
            <wp:docPr id="14" name="Picture 14" descr="A picture containing fabr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fabric&#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sectPr w:rsidR="00BE08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F2D"/>
    <w:rsid w:val="00013022"/>
    <w:rsid w:val="00053D9A"/>
    <w:rsid w:val="000577A4"/>
    <w:rsid w:val="000F44BD"/>
    <w:rsid w:val="00110514"/>
    <w:rsid w:val="00156C2C"/>
    <w:rsid w:val="00171247"/>
    <w:rsid w:val="001B0B7B"/>
    <w:rsid w:val="00202F84"/>
    <w:rsid w:val="002B584E"/>
    <w:rsid w:val="002B5C29"/>
    <w:rsid w:val="00382B0D"/>
    <w:rsid w:val="003A5768"/>
    <w:rsid w:val="005E6F2D"/>
    <w:rsid w:val="006A212C"/>
    <w:rsid w:val="006A43CD"/>
    <w:rsid w:val="007E2127"/>
    <w:rsid w:val="009E4D6A"/>
    <w:rsid w:val="00A23DD3"/>
    <w:rsid w:val="00AC29AC"/>
    <w:rsid w:val="00AF0AB1"/>
    <w:rsid w:val="00BE08F2"/>
    <w:rsid w:val="00C16A34"/>
    <w:rsid w:val="00C95A84"/>
    <w:rsid w:val="00CE1B44"/>
    <w:rsid w:val="00E97C81"/>
    <w:rsid w:val="00EC4E3C"/>
    <w:rsid w:val="00F04DFE"/>
    <w:rsid w:val="00F60152"/>
    <w:rsid w:val="00FB44D5"/>
    <w:rsid w:val="00FE6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7F3CD"/>
  <w15:chartTrackingRefBased/>
  <w15:docId w15:val="{973D6345-138C-4C37-B172-E86FA2597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84E"/>
    <w:pPr>
      <w:ind w:firstLine="0"/>
    </w:pPr>
    <w:rPr>
      <w:rFonts w:ascii="Times New Roman" w:eastAsia="Batang" w:hAnsi="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95A84"/>
    <w:rPr>
      <w:color w:val="auto"/>
      <w:u w:val="single"/>
    </w:rPr>
  </w:style>
  <w:style w:type="paragraph" w:styleId="ListParagraph">
    <w:name w:val="List Paragraph"/>
    <w:basedOn w:val="Normal"/>
    <w:uiPriority w:val="72"/>
    <w:qFormat/>
    <w:rsid w:val="002B584E"/>
    <w:pPr>
      <w:ind w:left="720"/>
    </w:pPr>
    <w:rPr>
      <w:rFonts w:cs="Times New Roman"/>
    </w:rPr>
  </w:style>
  <w:style w:type="paragraph" w:customStyle="1" w:styleId="Default">
    <w:name w:val="Default"/>
    <w:rsid w:val="00F04DFE"/>
    <w:pPr>
      <w:autoSpaceDE w:val="0"/>
      <w:autoSpaceDN w:val="0"/>
      <w:adjustRightInd w:val="0"/>
      <w:ind w:firstLine="0"/>
    </w:pPr>
    <w:rPr>
      <w:rFonts w:ascii="Calibri Light" w:hAnsi="Calibri Light" w:cs="Calibri Light"/>
      <w:color w:val="000000"/>
      <w:sz w:val="24"/>
      <w:szCs w:val="24"/>
    </w:rPr>
  </w:style>
  <w:style w:type="character" w:styleId="UnresolvedMention">
    <w:name w:val="Unresolved Mention"/>
    <w:basedOn w:val="DefaultParagraphFont"/>
    <w:uiPriority w:val="99"/>
    <w:semiHidden/>
    <w:unhideWhenUsed/>
    <w:rsid w:val="00AC2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tif"/><Relationship Id="rId18" Type="http://schemas.openxmlformats.org/officeDocument/2006/relationships/image" Target="media/image13.JP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tif"/><Relationship Id="rId17" Type="http://schemas.openxmlformats.org/officeDocument/2006/relationships/image" Target="media/image12.tif"/><Relationship Id="rId2" Type="http://schemas.openxmlformats.org/officeDocument/2006/relationships/styles" Target="styles.xml"/><Relationship Id="rId16" Type="http://schemas.openxmlformats.org/officeDocument/2006/relationships/image" Target="media/image11.t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tif"/><Relationship Id="rId5" Type="http://schemas.openxmlformats.org/officeDocument/2006/relationships/hyperlink" Target="http://fcon_1000.projects.nitrc.org/indi/abide/" TargetMode="External"/><Relationship Id="rId15" Type="http://schemas.openxmlformats.org/officeDocument/2006/relationships/image" Target="media/image10.tif"/><Relationship Id="rId10" Type="http://schemas.openxmlformats.org/officeDocument/2006/relationships/image" Target="media/image5.ti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tif"/><Relationship Id="rId14" Type="http://schemas.openxmlformats.org/officeDocument/2006/relationships/image" Target="media/image9.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F0BFA-BEEA-49D3-8354-5C0A6B8B4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Pages>
  <Words>4955</Words>
  <Characters>28249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budhakh budhakh</dc:creator>
  <cp:keywords/>
  <dc:description/>
  <cp:lastModifiedBy>budhakh budhakh</cp:lastModifiedBy>
  <cp:revision>28</cp:revision>
  <dcterms:created xsi:type="dcterms:W3CDTF">2022-09-30T13:21:00Z</dcterms:created>
  <dcterms:modified xsi:type="dcterms:W3CDTF">2022-12-07T16:18:00Z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710f382effa90fc470c926eabb57ffdd3a7dc54acb05b03df243ce597d866c25</vt:lpwstr>
  </property>
  <property fmtid="{D5CDD505-2E9C-101B-9397-08002B2CF9AE}" pid="3" name="Mendeley Recent Style Id 0_1">
    <vt:lpwstr>http://www.zotero.org/styles/biological-psychiatry</vt:lpwstr>
  </property>
  <property fmtid="{D5CDD505-2E9C-101B-9397-08002B2CF9AE}" pid="4" name="Mendeley Recent Style Name 0_1">
    <vt:lpwstr>Biological Psychiatry</vt:lpwstr>
  </property>
  <property fmtid="{D5CDD505-2E9C-101B-9397-08002B2CF9AE}" pid="5" name="Mendeley Recent Style Id 1_1">
    <vt:lpwstr>http://www.zotero.org/styles/brain</vt:lpwstr>
  </property>
  <property fmtid="{D5CDD505-2E9C-101B-9397-08002B2CF9AE}" pid="6" name="Mendeley Recent Style Name 1_1">
    <vt:lpwstr>Brain</vt:lpwstr>
  </property>
  <property fmtid="{D5CDD505-2E9C-101B-9397-08002B2CF9AE}" pid="7" name="Mendeley Recent Style Id 2_1">
    <vt:lpwstr>http://www.zotero.org/styles/cell</vt:lpwstr>
  </property>
  <property fmtid="{D5CDD505-2E9C-101B-9397-08002B2CF9AE}" pid="8" name="Mendeley Recent Style Name 2_1">
    <vt:lpwstr>Cell</vt:lpwstr>
  </property>
  <property fmtid="{D5CDD505-2E9C-101B-9397-08002B2CF9AE}" pid="9" name="Mendeley Recent Style Id 3_1">
    <vt:lpwstr>http://www.zotero.org/styles/cerebral-cortex</vt:lpwstr>
  </property>
  <property fmtid="{D5CDD505-2E9C-101B-9397-08002B2CF9AE}" pid="10" name="Mendeley Recent Style Name 3_1">
    <vt:lpwstr>Cerebral Cortex</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http://www.zotero.org/styles/modern-language-association</vt:lpwstr>
  </property>
  <property fmtid="{D5CDD505-2E9C-101B-9397-08002B2CF9AE}" pid="14" name="Mendeley Recent Style Name 5_1">
    <vt:lpwstr>Modern Language Association 8th edition</vt:lpwstr>
  </property>
  <property fmtid="{D5CDD505-2E9C-101B-9397-08002B2CF9AE}" pid="15" name="Mendeley Recent Style Id 6_1">
    <vt:lpwstr>http://www.zotero.org/styles/nature</vt:lpwstr>
  </property>
  <property fmtid="{D5CDD505-2E9C-101B-9397-08002B2CF9AE}" pid="16" name="Mendeley Recent Style Name 6_1">
    <vt:lpwstr>Nature</vt:lpwstr>
  </property>
  <property fmtid="{D5CDD505-2E9C-101B-9397-08002B2CF9AE}" pid="17" name="Mendeley Recent Style Id 7_1">
    <vt:lpwstr>http://www.zotero.org/styles/pnas</vt:lpwstr>
  </property>
  <property fmtid="{D5CDD505-2E9C-101B-9397-08002B2CF9AE}" pid="18" name="Mendeley Recent Style Name 7_1">
    <vt:lpwstr>Proceedings of the National Academy of Sciences of the United States of America</vt:lpwstr>
  </property>
  <property fmtid="{D5CDD505-2E9C-101B-9397-08002B2CF9AE}" pid="19" name="Mendeley Recent Style Id 8_1">
    <vt:lpwstr>http://www.zotero.org/styles/science</vt:lpwstr>
  </property>
  <property fmtid="{D5CDD505-2E9C-101B-9397-08002B2CF9AE}" pid="20" name="Mendeley Recent Style Name 8_1">
    <vt:lpwstr>Science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27e537e9-dfe0-3d20-a5d1-29a1b7663c4f</vt:lpwstr>
  </property>
  <property fmtid="{D5CDD505-2E9C-101B-9397-08002B2CF9AE}" pid="25" name="Mendeley Citation Style_1">
    <vt:lpwstr>http://www.zotero.org/styles/cerebral-cortex</vt:lpwstr>
  </property>
</Properties>
</file>