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469D"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 </w:t>
      </w:r>
      <w:r w:rsidRPr="000B6B85">
        <w:rPr>
          <w:rFonts w:ascii="Arial" w:hAnsi="Arial" w:cs="Arial"/>
          <w:b/>
          <w:bCs/>
          <w:i/>
          <w:iCs/>
          <w:lang w:val="en-US"/>
        </w:rPr>
        <w:t>Foxp2</w:t>
      </w:r>
      <w:r w:rsidRPr="000B6B85">
        <w:rPr>
          <w:rFonts w:ascii="Arial" w:hAnsi="Arial" w:cs="Arial"/>
          <w:b/>
          <w:bCs/>
          <w:lang w:val="en-US"/>
        </w:rPr>
        <w:t xml:space="preserve"> KO impairs mouse USV production.</w:t>
      </w:r>
      <w:r w:rsidRPr="000B6B85">
        <w:rPr>
          <w:rFonts w:ascii="Arial" w:hAnsi="Arial" w:cs="Arial"/>
          <w:lang w:val="en-US"/>
        </w:rPr>
        <w:t xml:space="preserve"> </w:t>
      </w:r>
    </w:p>
    <w:p w14:paraId="7DE6AE0D"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 CRISPR/Cas9-based </w:t>
      </w:r>
      <w:r w:rsidRPr="000B6B85">
        <w:rPr>
          <w:rFonts w:ascii="Arial" w:hAnsi="Arial" w:cs="Arial"/>
          <w:i/>
          <w:iCs/>
          <w:lang w:val="en-US"/>
        </w:rPr>
        <w:t>Foxp2</w:t>
      </w:r>
      <w:r w:rsidRPr="000B6B85">
        <w:rPr>
          <w:rFonts w:ascii="Arial" w:hAnsi="Arial" w:cs="Arial"/>
          <w:lang w:val="en-US"/>
        </w:rPr>
        <w:t xml:space="preserve"> KO mouse.  The gRNA designed for the KO is located in</w:t>
      </w:r>
      <w:r w:rsidRPr="000B6B85">
        <w:rPr>
          <w:rFonts w:ascii="Arial" w:hAnsi="Arial" w:cs="Arial"/>
          <w:i/>
          <w:iCs/>
          <w:lang w:val="en-US"/>
        </w:rPr>
        <w:t xml:space="preserve"> Foxp2</w:t>
      </w:r>
      <w:r w:rsidRPr="000B6B85">
        <w:rPr>
          <w:rFonts w:ascii="Arial" w:hAnsi="Arial" w:cs="Arial"/>
          <w:lang w:val="en-US"/>
        </w:rPr>
        <w:t xml:space="preserve"> exon13 upstream of the exons coding Fox-head domain.  A 5-nucleotide deletion (</w:t>
      </w:r>
      <w:r w:rsidRPr="000B6B85">
        <w:rPr>
          <w:rFonts w:ascii="Arial" w:hAnsi="Arial" w:cs="Arial"/>
          <w:lang w:val="el-GR"/>
        </w:rPr>
        <w:t>Δ</w:t>
      </w:r>
      <w:r w:rsidRPr="000B6B85">
        <w:rPr>
          <w:rFonts w:ascii="Arial" w:hAnsi="Arial" w:cs="Arial"/>
          <w:lang w:val="en-US"/>
        </w:rPr>
        <w:t>5) generated by CRISPR/Cas9-mediated editing and the mouse homozygous for the deletion (</w:t>
      </w:r>
      <w:r w:rsidRPr="000B6B85">
        <w:rPr>
          <w:rFonts w:ascii="Arial" w:hAnsi="Arial" w:cs="Arial"/>
          <w:lang w:val="el-GR"/>
        </w:rPr>
        <w:t>Δ</w:t>
      </w:r>
      <w:r w:rsidRPr="000B6B85">
        <w:rPr>
          <w:rFonts w:ascii="Arial" w:hAnsi="Arial" w:cs="Arial"/>
          <w:lang w:val="en-US"/>
        </w:rPr>
        <w:t>5/</w:t>
      </w:r>
      <w:r w:rsidRPr="000B6B85">
        <w:rPr>
          <w:rFonts w:ascii="Arial" w:hAnsi="Arial" w:cs="Arial"/>
          <w:lang w:val="el-GR"/>
        </w:rPr>
        <w:t>Δ</w:t>
      </w:r>
      <w:r w:rsidRPr="000B6B85">
        <w:rPr>
          <w:rFonts w:ascii="Arial" w:hAnsi="Arial" w:cs="Arial"/>
          <w:lang w:val="en-US"/>
        </w:rPr>
        <w:t xml:space="preserve">5) was applied for the Sanger sequencing.  The gRNA sequences were underlined and PAM (NGG) site was boxed.  </w:t>
      </w:r>
    </w:p>
    <w:p w14:paraId="15B031B2" w14:textId="77777777" w:rsidR="000B6B85" w:rsidRPr="000B6B85" w:rsidRDefault="000B6B85" w:rsidP="000B6B85">
      <w:pPr>
        <w:spacing w:line="360" w:lineRule="auto"/>
        <w:rPr>
          <w:rFonts w:ascii="Arial" w:hAnsi="Arial" w:cs="Arial"/>
        </w:rPr>
      </w:pPr>
      <w:r w:rsidRPr="000B6B85">
        <w:rPr>
          <w:rFonts w:ascii="Arial" w:hAnsi="Arial" w:cs="Arial"/>
          <w:lang w:val="en-US"/>
        </w:rPr>
        <w:t>(b) Pup USVs of the wildtype and heterozygous KO (</w:t>
      </w:r>
      <w:r w:rsidRPr="000B6B85">
        <w:rPr>
          <w:rFonts w:ascii="Arial" w:hAnsi="Arial" w:cs="Arial"/>
          <w:lang w:val="el-GR"/>
        </w:rPr>
        <w:t>Δ</w:t>
      </w:r>
      <w:r w:rsidRPr="000B6B85">
        <w:rPr>
          <w:rFonts w:ascii="Arial" w:hAnsi="Arial" w:cs="Arial"/>
          <w:lang w:val="en-US"/>
        </w:rPr>
        <w:t xml:space="preserve">5/+) pups at P5 were measured by a USV detector (Med Associates Inc.).  A representative USV impairment of </w:t>
      </w:r>
      <w:r w:rsidRPr="000B6B85">
        <w:rPr>
          <w:rFonts w:ascii="Arial" w:hAnsi="Arial" w:cs="Arial"/>
          <w:lang w:val="el-GR"/>
        </w:rPr>
        <w:t>Δ</w:t>
      </w:r>
      <w:r w:rsidRPr="000B6B85">
        <w:rPr>
          <w:rFonts w:ascii="Arial" w:hAnsi="Arial" w:cs="Arial"/>
          <w:lang w:val="en-US"/>
        </w:rPr>
        <w:t xml:space="preserve">5/+ mouse P5 was shown.  </w:t>
      </w:r>
    </w:p>
    <w:p w14:paraId="236F2EA4"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 Both </w:t>
      </w:r>
      <w:r w:rsidRPr="000B6B85">
        <w:rPr>
          <w:rFonts w:ascii="Arial" w:hAnsi="Arial" w:cs="Arial"/>
          <w:lang w:val="el-GR"/>
        </w:rPr>
        <w:t>Δ</w:t>
      </w:r>
      <w:r w:rsidRPr="000B6B85">
        <w:rPr>
          <w:rFonts w:ascii="Arial" w:hAnsi="Arial" w:cs="Arial"/>
          <w:lang w:val="en-US"/>
        </w:rPr>
        <w:t xml:space="preserve">5/+ and </w:t>
      </w:r>
      <w:r w:rsidRPr="000B6B85">
        <w:rPr>
          <w:rFonts w:ascii="Arial" w:hAnsi="Arial" w:cs="Arial"/>
          <w:lang w:val="el-GR"/>
        </w:rPr>
        <w:t>Δ</w:t>
      </w:r>
      <w:r w:rsidRPr="000B6B85">
        <w:rPr>
          <w:rFonts w:ascii="Arial" w:hAnsi="Arial" w:cs="Arial"/>
          <w:lang w:val="en-US"/>
        </w:rPr>
        <w:t>5/</w:t>
      </w:r>
      <w:r w:rsidRPr="000B6B85">
        <w:rPr>
          <w:rFonts w:ascii="Arial" w:hAnsi="Arial" w:cs="Arial"/>
          <w:lang w:val="el-GR"/>
        </w:rPr>
        <w:t>Δ</w:t>
      </w:r>
      <w:r w:rsidRPr="000B6B85">
        <w:rPr>
          <w:rFonts w:ascii="Arial" w:hAnsi="Arial" w:cs="Arial"/>
          <w:lang w:val="en-US"/>
        </w:rPr>
        <w:t xml:space="preserve">5 mice displayed the USV impairment at P5, 7, 9, and 11.  </w:t>
      </w:r>
    </w:p>
    <w:p w14:paraId="7B5D0D29"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(d) Family members from #30 displayed USV impairment at P5. </w:t>
      </w:r>
    </w:p>
    <w:p w14:paraId="3BCED7F4" w14:textId="5C9804F4" w:rsidR="000B6B85" w:rsidRDefault="000B6B85" w:rsidP="000B6B85">
      <w:pPr>
        <w:spacing w:line="360" w:lineRule="auto"/>
        <w:rPr>
          <w:rFonts w:ascii="Arial" w:hAnsi="Arial" w:cs="Arial"/>
          <w:lang w:val="en-US"/>
        </w:rPr>
      </w:pPr>
      <w:r w:rsidRPr="000B6B85">
        <w:rPr>
          <w:rFonts w:ascii="Arial" w:hAnsi="Arial" w:cs="Arial"/>
          <w:lang w:val="en-US"/>
        </w:rPr>
        <w:t xml:space="preserve">In c, data are presented as mean ± SEM, +/+, n=15; </w:t>
      </w:r>
      <w:r w:rsidRPr="000B6B85">
        <w:rPr>
          <w:rFonts w:ascii="Arial" w:hAnsi="Arial" w:cs="Arial"/>
          <w:lang w:val="el-GR"/>
        </w:rPr>
        <w:t>Δ</w:t>
      </w:r>
      <w:r w:rsidRPr="000B6B85">
        <w:rPr>
          <w:rFonts w:ascii="Arial" w:hAnsi="Arial" w:cs="Arial"/>
          <w:lang w:val="en-US"/>
        </w:rPr>
        <w:t xml:space="preserve">5/+, n=14; </w:t>
      </w:r>
      <w:r w:rsidRPr="000B6B85">
        <w:rPr>
          <w:rFonts w:ascii="Arial" w:hAnsi="Arial" w:cs="Arial"/>
          <w:lang w:val="el-GR"/>
        </w:rPr>
        <w:t>Δ</w:t>
      </w:r>
      <w:r w:rsidRPr="000B6B85">
        <w:rPr>
          <w:rFonts w:ascii="Arial" w:hAnsi="Arial" w:cs="Arial"/>
          <w:lang w:val="en-US"/>
        </w:rPr>
        <w:t>5/</w:t>
      </w:r>
      <w:r w:rsidRPr="000B6B85">
        <w:rPr>
          <w:rFonts w:ascii="Arial" w:hAnsi="Arial" w:cs="Arial"/>
          <w:lang w:val="el-GR"/>
        </w:rPr>
        <w:t>Δ</w:t>
      </w:r>
      <w:r w:rsidRPr="000B6B85">
        <w:rPr>
          <w:rFonts w:ascii="Arial" w:hAnsi="Arial" w:cs="Arial"/>
          <w:lang w:val="en-US"/>
        </w:rPr>
        <w:t xml:space="preserve">5, n=3, * </w:t>
      </w:r>
      <w:r w:rsidRPr="000B6B85">
        <w:rPr>
          <w:rFonts w:ascii="Arial" w:hAnsi="Arial" w:cs="Arial"/>
          <w:i/>
          <w:iCs/>
          <w:lang w:val="en-US"/>
        </w:rPr>
        <w:t>p</w:t>
      </w:r>
      <w:r w:rsidRPr="000B6B85">
        <w:rPr>
          <w:rFonts w:ascii="Arial" w:hAnsi="Arial" w:cs="Arial"/>
          <w:lang w:val="en-US"/>
        </w:rPr>
        <w:t xml:space="preserve">&lt;0.05, ** </w:t>
      </w:r>
      <w:r w:rsidRPr="000B6B85">
        <w:rPr>
          <w:rFonts w:ascii="Arial" w:hAnsi="Arial" w:cs="Arial"/>
          <w:i/>
          <w:iCs/>
          <w:lang w:val="en-US"/>
        </w:rPr>
        <w:t>p</w:t>
      </w:r>
      <w:r w:rsidRPr="000B6B85">
        <w:rPr>
          <w:rFonts w:ascii="Arial" w:hAnsi="Arial" w:cs="Arial"/>
          <w:lang w:val="en-US"/>
        </w:rPr>
        <w:t xml:space="preserve">&lt;0.01, t-test, SPSS.  </w:t>
      </w:r>
    </w:p>
    <w:p w14:paraId="4F02F37F" w14:textId="3F44320B" w:rsidR="000B6B85" w:rsidRDefault="000B6B85" w:rsidP="000B6B85">
      <w:pPr>
        <w:spacing w:line="360" w:lineRule="auto"/>
        <w:rPr>
          <w:rFonts w:ascii="Arial" w:hAnsi="Arial" w:cs="Arial"/>
          <w:lang w:val="en-US"/>
        </w:rPr>
      </w:pPr>
    </w:p>
    <w:p w14:paraId="3640A0D8" w14:textId="686757EE" w:rsidR="000B6B85" w:rsidRDefault="000B6B85" w:rsidP="000B6B85">
      <w:pPr>
        <w:spacing w:line="360" w:lineRule="auto"/>
        <w:rPr>
          <w:rFonts w:ascii="Arial" w:hAnsi="Arial" w:cs="Arial"/>
          <w:lang w:val="en-US"/>
        </w:rPr>
      </w:pPr>
    </w:p>
    <w:p w14:paraId="5FA54104" w14:textId="61BC2472" w:rsidR="000B6B85" w:rsidRDefault="000B6B85" w:rsidP="000B6B85">
      <w:pPr>
        <w:spacing w:line="360" w:lineRule="auto"/>
        <w:rPr>
          <w:rFonts w:ascii="Arial" w:hAnsi="Arial" w:cs="Arial"/>
          <w:lang w:val="en-US"/>
        </w:rPr>
      </w:pPr>
    </w:p>
    <w:p w14:paraId="09CF1C22" w14:textId="6976FB59" w:rsidR="000B6B85" w:rsidRDefault="000B6B85" w:rsidP="000B6B85">
      <w:pPr>
        <w:spacing w:line="360" w:lineRule="auto"/>
        <w:rPr>
          <w:rFonts w:ascii="Arial" w:hAnsi="Arial" w:cs="Arial"/>
          <w:lang w:val="en-US"/>
        </w:rPr>
      </w:pPr>
    </w:p>
    <w:p w14:paraId="70B9B153"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S2.  Identification of an ENU-induced </w:t>
      </w:r>
      <w:r w:rsidRPr="000B6B85">
        <w:rPr>
          <w:rFonts w:ascii="Arial" w:hAnsi="Arial" w:cs="Arial"/>
          <w:b/>
          <w:bCs/>
          <w:i/>
          <w:iCs/>
          <w:lang w:val="en-US"/>
        </w:rPr>
        <w:t>Tcf7l2</w:t>
      </w:r>
      <w:r w:rsidRPr="000B6B85">
        <w:rPr>
          <w:rFonts w:ascii="Arial" w:hAnsi="Arial" w:cs="Arial"/>
          <w:b/>
          <w:bCs/>
          <w:lang w:val="en-US"/>
        </w:rPr>
        <w:t xml:space="preserve"> mutation that impairs pup USVs. </w:t>
      </w:r>
      <w:r w:rsidRPr="000B6B85">
        <w:rPr>
          <w:rFonts w:ascii="Arial" w:hAnsi="Arial" w:cs="Arial"/>
          <w:lang w:val="en-US"/>
        </w:rPr>
        <w:t xml:space="preserve"> </w:t>
      </w:r>
    </w:p>
    <w:p w14:paraId="1ED4A169" w14:textId="08A0FE88" w:rsidR="000B6B85" w:rsidRDefault="000B6B85" w:rsidP="000B6B85">
      <w:pPr>
        <w:spacing w:line="360" w:lineRule="auto"/>
        <w:rPr>
          <w:rFonts w:ascii="Arial" w:hAnsi="Arial" w:cs="Arial"/>
          <w:lang w:val="en-US"/>
        </w:rPr>
      </w:pPr>
      <w:r w:rsidRPr="000B6B85">
        <w:rPr>
          <w:rFonts w:ascii="Arial" w:hAnsi="Arial" w:cs="Arial"/>
          <w:lang w:val="en-US"/>
        </w:rPr>
        <w:t xml:space="preserve">Some of nonsynonymous mutations identified by whole-exome sequencing are shown, which were tested in 5 affected (Few USVs) and 3 unaffected (Normal USVs) mice in the #30 family.  The </w:t>
      </w:r>
      <w:r w:rsidRPr="000B6B85">
        <w:rPr>
          <w:rFonts w:ascii="Arial" w:hAnsi="Arial" w:cs="Arial"/>
          <w:i/>
          <w:iCs/>
          <w:lang w:val="en-US"/>
        </w:rPr>
        <w:t xml:space="preserve">Tcf7l2 </w:t>
      </w:r>
      <w:r w:rsidRPr="000B6B85">
        <w:rPr>
          <w:rFonts w:ascii="Arial" w:hAnsi="Arial" w:cs="Arial"/>
          <w:lang w:val="en-US"/>
        </w:rPr>
        <w:t>mutation was co-segregated with the USV impairment at P7.  The red circle, mutations identified by sanger sequencing; black circle, mutations not identified.</w:t>
      </w:r>
    </w:p>
    <w:p w14:paraId="235156D7" w14:textId="027D28C3" w:rsidR="000B6B85" w:rsidRDefault="000B6B85" w:rsidP="000B6B85">
      <w:pPr>
        <w:spacing w:line="360" w:lineRule="auto"/>
        <w:rPr>
          <w:rFonts w:ascii="Arial" w:hAnsi="Arial" w:cs="Arial"/>
          <w:lang w:val="en-US"/>
        </w:rPr>
      </w:pPr>
    </w:p>
    <w:p w14:paraId="16916C3A" w14:textId="63F1A711" w:rsidR="000B6B85" w:rsidRDefault="000B6B85" w:rsidP="000B6B85">
      <w:pPr>
        <w:spacing w:line="360" w:lineRule="auto"/>
        <w:rPr>
          <w:rFonts w:ascii="Arial" w:hAnsi="Arial" w:cs="Arial"/>
          <w:lang w:val="en-US"/>
        </w:rPr>
      </w:pPr>
    </w:p>
    <w:p w14:paraId="48A31848" w14:textId="33E76B95" w:rsidR="000B6B85" w:rsidRDefault="000B6B85" w:rsidP="000B6B85">
      <w:pPr>
        <w:spacing w:line="360" w:lineRule="auto"/>
        <w:rPr>
          <w:rFonts w:ascii="Arial" w:hAnsi="Arial" w:cs="Arial"/>
          <w:lang w:val="en-US"/>
        </w:rPr>
      </w:pPr>
    </w:p>
    <w:p w14:paraId="5016FC68" w14:textId="1CDE1459" w:rsidR="000B6B85" w:rsidRDefault="000B6B85" w:rsidP="000B6B85">
      <w:pPr>
        <w:spacing w:line="360" w:lineRule="auto"/>
        <w:rPr>
          <w:rFonts w:ascii="Arial" w:hAnsi="Arial" w:cs="Arial"/>
          <w:lang w:val="en-US"/>
        </w:rPr>
      </w:pPr>
    </w:p>
    <w:p w14:paraId="0847B4FC"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S3. Aromatic residues Y12, W40, Y51, and Y52 in LEF1 HMG box are shared by the TCF/LEF family members. </w:t>
      </w:r>
      <w:r w:rsidRPr="000B6B85">
        <w:rPr>
          <w:rFonts w:ascii="Arial" w:hAnsi="Arial" w:cs="Arial"/>
          <w:lang w:val="en-US"/>
        </w:rPr>
        <w:t xml:space="preserve"> </w:t>
      </w:r>
    </w:p>
    <w:p w14:paraId="41F6E570" w14:textId="77777777" w:rsidR="000B6B85" w:rsidRPr="000B6B85" w:rsidRDefault="000B6B85" w:rsidP="000B6B85">
      <w:pPr>
        <w:spacing w:line="360" w:lineRule="auto"/>
        <w:rPr>
          <w:rFonts w:ascii="Arial" w:hAnsi="Arial" w:cs="Arial"/>
        </w:rPr>
      </w:pPr>
      <w:r w:rsidRPr="000B6B85">
        <w:rPr>
          <w:rFonts w:ascii="Arial" w:hAnsi="Arial" w:cs="Arial"/>
          <w:lang w:val="en-US"/>
        </w:rPr>
        <w:lastRenderedPageBreak/>
        <w:t>An alignment of HMG boxes of 4 human TCF/LEF family members and Y12, W40, Y51, and Y52 are highlighted.</w:t>
      </w:r>
    </w:p>
    <w:p w14:paraId="0EBF69C2" w14:textId="137DBEE8" w:rsidR="000B6B85" w:rsidRDefault="000B6B85" w:rsidP="000B6B85">
      <w:pPr>
        <w:spacing w:line="360" w:lineRule="auto"/>
        <w:rPr>
          <w:rFonts w:ascii="Arial" w:hAnsi="Arial" w:cs="Arial"/>
        </w:rPr>
      </w:pPr>
    </w:p>
    <w:p w14:paraId="5A1178E3" w14:textId="6B57758D" w:rsidR="000B6B85" w:rsidRDefault="000B6B85" w:rsidP="000B6B85">
      <w:pPr>
        <w:spacing w:line="360" w:lineRule="auto"/>
        <w:rPr>
          <w:rFonts w:ascii="Arial" w:hAnsi="Arial" w:cs="Arial"/>
        </w:rPr>
      </w:pPr>
    </w:p>
    <w:p w14:paraId="1545A14E" w14:textId="2B49E336" w:rsidR="000B6B85" w:rsidRDefault="000B6B85" w:rsidP="000B6B85">
      <w:pPr>
        <w:spacing w:line="360" w:lineRule="auto"/>
        <w:rPr>
          <w:rFonts w:ascii="Arial" w:hAnsi="Arial" w:cs="Arial"/>
        </w:rPr>
      </w:pPr>
    </w:p>
    <w:p w14:paraId="4C9E5918" w14:textId="71CCDCAF" w:rsidR="000B6B85" w:rsidRDefault="000B6B85" w:rsidP="000B6B85">
      <w:pPr>
        <w:spacing w:line="360" w:lineRule="auto"/>
        <w:rPr>
          <w:rFonts w:ascii="Arial" w:hAnsi="Arial" w:cs="Arial"/>
        </w:rPr>
      </w:pPr>
    </w:p>
    <w:p w14:paraId="6B1CEB90" w14:textId="77777777" w:rsidR="000B6B85" w:rsidRPr="000B6B85" w:rsidRDefault="000B6B85" w:rsidP="000B6B85">
      <w:pPr>
        <w:spacing w:line="360" w:lineRule="auto"/>
        <w:rPr>
          <w:rFonts w:ascii="Arial" w:hAnsi="Arial" w:cs="Arial"/>
        </w:rPr>
      </w:pPr>
      <w:r w:rsidRPr="000B6B85">
        <w:rPr>
          <w:rFonts w:ascii="Arial" w:hAnsi="Arial" w:cs="Arial"/>
          <w:b/>
          <w:bCs/>
          <w:lang w:val="en-US"/>
        </w:rPr>
        <w:t>Figure S4. Normal brain morphologies and motor abilities shown in the ENU-induced mutant animals.</w:t>
      </w:r>
      <w:r w:rsidRPr="000B6B85">
        <w:rPr>
          <w:rFonts w:ascii="Arial" w:hAnsi="Arial" w:cs="Arial"/>
          <w:lang w:val="en-US"/>
        </w:rPr>
        <w:t xml:space="preserve"> </w:t>
      </w:r>
    </w:p>
    <w:p w14:paraId="4F85ED38"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Hematoxylin-eosin staining of wildtype (+/+) and the ENU-induced mutant (Y337H/+) brains at P7 (a) and 4 months of age (b).  Scale </w:t>
      </w:r>
      <w:proofErr w:type="gramStart"/>
      <w:r w:rsidRPr="000B6B85">
        <w:rPr>
          <w:rFonts w:ascii="Arial" w:hAnsi="Arial" w:cs="Arial"/>
          <w:lang w:val="en-US"/>
        </w:rPr>
        <w:t>bar,  1</w:t>
      </w:r>
      <w:proofErr w:type="gramEnd"/>
      <w:r w:rsidRPr="000B6B85">
        <w:rPr>
          <w:rFonts w:ascii="Arial" w:hAnsi="Arial" w:cs="Arial"/>
          <w:lang w:val="en-US"/>
        </w:rPr>
        <w:t xml:space="preserve">mm. </w:t>
      </w:r>
    </w:p>
    <w:p w14:paraId="5FEA6B90"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(c-e) The mice with indicated genotypes were applied for Open field (c and d) and Rotarod tests (e).  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In c and d, +/+, n=10; </w:t>
      </w:r>
      <w:r w:rsidRPr="000B6B85">
        <w:rPr>
          <w:rFonts w:ascii="Arial" w:hAnsi="Arial" w:cs="Arial"/>
          <w:i/>
          <w:iCs/>
          <w:lang w:val="en-US"/>
        </w:rPr>
        <w:t>Tcf7l2</w:t>
      </w:r>
      <w:r w:rsidRPr="000B6B85">
        <w:rPr>
          <w:rFonts w:ascii="Arial" w:hAnsi="Arial" w:cs="Arial"/>
          <w:i/>
          <w:iCs/>
          <w:vertAlign w:val="superscript"/>
          <w:lang w:val="en-US"/>
        </w:rPr>
        <w:t>Y337H/+</w:t>
      </w:r>
      <w:r w:rsidRPr="000B6B85">
        <w:rPr>
          <w:rFonts w:ascii="Arial" w:hAnsi="Arial" w:cs="Arial"/>
          <w:lang w:val="en-US"/>
        </w:rPr>
        <w:t xml:space="preserve">, n=9; in e, +/+, n=12; </w:t>
      </w:r>
      <w:r w:rsidRPr="000B6B85">
        <w:rPr>
          <w:rFonts w:ascii="Arial" w:hAnsi="Arial" w:cs="Arial"/>
          <w:i/>
          <w:iCs/>
          <w:lang w:val="en-US"/>
        </w:rPr>
        <w:t>Tcf7l2</w:t>
      </w:r>
      <w:r w:rsidRPr="000B6B85">
        <w:rPr>
          <w:rFonts w:ascii="Arial" w:hAnsi="Arial" w:cs="Arial"/>
          <w:i/>
          <w:iCs/>
          <w:vertAlign w:val="superscript"/>
          <w:lang w:val="en-US"/>
        </w:rPr>
        <w:t>Y337H/+</w:t>
      </w:r>
      <w:proofErr w:type="gramStart"/>
      <w:r w:rsidRPr="000B6B85">
        <w:rPr>
          <w:rFonts w:ascii="Arial" w:hAnsi="Arial" w:cs="Arial"/>
          <w:lang w:val="en-US"/>
        </w:rPr>
        <w:t>,  n</w:t>
      </w:r>
      <w:proofErr w:type="gramEnd"/>
      <w:r w:rsidRPr="000B6B85">
        <w:rPr>
          <w:rFonts w:ascii="Arial" w:hAnsi="Arial" w:cs="Arial"/>
          <w:lang w:val="en-US"/>
        </w:rPr>
        <w:t xml:space="preserve">=12.  Mice, male, 3 months of age.  N.S., no significant difference, t-test, SPSS. </w:t>
      </w:r>
    </w:p>
    <w:p w14:paraId="5B3B2626" w14:textId="27FE3970" w:rsidR="000B6B85" w:rsidRDefault="000B6B85" w:rsidP="000B6B85">
      <w:pPr>
        <w:spacing w:line="360" w:lineRule="auto"/>
        <w:rPr>
          <w:rFonts w:ascii="Arial" w:hAnsi="Arial" w:cs="Arial"/>
        </w:rPr>
      </w:pPr>
    </w:p>
    <w:p w14:paraId="5EEE4611" w14:textId="7602E5D8" w:rsidR="000B6B85" w:rsidRDefault="000B6B85" w:rsidP="000B6B85">
      <w:pPr>
        <w:spacing w:line="360" w:lineRule="auto"/>
        <w:rPr>
          <w:rFonts w:ascii="Arial" w:hAnsi="Arial" w:cs="Arial"/>
        </w:rPr>
      </w:pPr>
    </w:p>
    <w:p w14:paraId="68389058" w14:textId="5D0669FE" w:rsidR="000B6B85" w:rsidRDefault="000B6B85" w:rsidP="000B6B85">
      <w:pPr>
        <w:spacing w:line="360" w:lineRule="auto"/>
        <w:rPr>
          <w:rFonts w:ascii="Arial" w:hAnsi="Arial" w:cs="Arial"/>
        </w:rPr>
      </w:pPr>
    </w:p>
    <w:p w14:paraId="5A1D0FEF" w14:textId="27F93BC9" w:rsidR="000B6B85" w:rsidRDefault="000B6B85" w:rsidP="000B6B85">
      <w:pPr>
        <w:spacing w:line="360" w:lineRule="auto"/>
        <w:rPr>
          <w:rFonts w:ascii="Arial" w:hAnsi="Arial" w:cs="Arial"/>
        </w:rPr>
      </w:pPr>
    </w:p>
    <w:p w14:paraId="503DB65A"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S5. Haploinsufficiency of </w:t>
      </w:r>
      <w:r w:rsidRPr="000B6B85">
        <w:rPr>
          <w:rFonts w:ascii="Arial" w:hAnsi="Arial" w:cs="Arial"/>
          <w:b/>
          <w:bCs/>
          <w:i/>
          <w:iCs/>
          <w:lang w:val="en-US"/>
        </w:rPr>
        <w:t xml:space="preserve">Tcf7l2 </w:t>
      </w:r>
      <w:r w:rsidRPr="000B6B85">
        <w:rPr>
          <w:rFonts w:ascii="Arial" w:hAnsi="Arial" w:cs="Arial"/>
          <w:b/>
          <w:bCs/>
          <w:lang w:val="en-US"/>
        </w:rPr>
        <w:t xml:space="preserve">impairs pup USV production and adult mouse vocal communication.  </w:t>
      </w:r>
    </w:p>
    <w:p w14:paraId="6A8987F0"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A 2-nucleotide deletion (+/-) in </w:t>
      </w:r>
      <w:r w:rsidRPr="000B6B85">
        <w:rPr>
          <w:rFonts w:ascii="Arial" w:hAnsi="Arial" w:cs="Arial"/>
          <w:i/>
          <w:iCs/>
          <w:lang w:val="en-US"/>
        </w:rPr>
        <w:t>Tcf7l2</w:t>
      </w:r>
      <w:r w:rsidRPr="000B6B85">
        <w:rPr>
          <w:rFonts w:ascii="Arial" w:hAnsi="Arial" w:cs="Arial"/>
          <w:lang w:val="en-US"/>
        </w:rPr>
        <w:t xml:space="preserve"> exon 10, which encodes part of TCF7L2 HMG domain, was introduced by Crispr/Cas9.  The deletion leads to a premature termination codon (red asterisk) in </w:t>
      </w:r>
      <w:r w:rsidRPr="000B6B85">
        <w:rPr>
          <w:rFonts w:ascii="Arial" w:hAnsi="Arial" w:cs="Arial"/>
          <w:i/>
          <w:iCs/>
          <w:lang w:val="en-US"/>
        </w:rPr>
        <w:t xml:space="preserve">Tcf7l2.  </w:t>
      </w:r>
      <w:r w:rsidRPr="000B6B85">
        <w:rPr>
          <w:rFonts w:ascii="Arial" w:hAnsi="Arial" w:cs="Arial"/>
          <w:lang w:val="en-US"/>
        </w:rPr>
        <w:t xml:space="preserve">DNA chromatogram (b) of the heterozygous KO mouse (+/-).  </w:t>
      </w:r>
    </w:p>
    <w:p w14:paraId="3930FBF2" w14:textId="77777777" w:rsidR="000B6B85" w:rsidRPr="000B6B85" w:rsidRDefault="000B6B85" w:rsidP="000B6B85">
      <w:pPr>
        <w:spacing w:line="360" w:lineRule="auto"/>
        <w:rPr>
          <w:rFonts w:ascii="Arial" w:hAnsi="Arial" w:cs="Arial"/>
        </w:rPr>
      </w:pPr>
      <w:r w:rsidRPr="000B6B85">
        <w:rPr>
          <w:rFonts w:ascii="Arial" w:hAnsi="Arial" w:cs="Arial"/>
          <w:lang w:val="en-US"/>
        </w:rPr>
        <w:t>(c) The</w:t>
      </w:r>
      <w:r w:rsidRPr="000B6B85">
        <w:rPr>
          <w:rFonts w:ascii="Arial" w:hAnsi="Arial" w:cs="Arial"/>
          <w:lang w:val="el-GR"/>
        </w:rPr>
        <w:t xml:space="preserve"> Δ</w:t>
      </w:r>
      <w:r w:rsidRPr="000B6B85">
        <w:rPr>
          <w:rFonts w:ascii="Arial" w:hAnsi="Arial" w:cs="Arial"/>
          <w:lang w:val="en-US"/>
        </w:rPr>
        <w:t>2 deletion significantly reduces the expression of TCF7L2 in midbrain at P7.  GAPDH as loading control.   Short, low molecular weight (~35kD) TCF7L2; Long, high molecular weight (~60kD) TCF7L2.</w:t>
      </w:r>
    </w:p>
    <w:p w14:paraId="273E5320"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(d and e) The key features of USVs produced by the wildtype (+/+) and heterozygous KO mutant (+/-) mice at P7 (d) and 3-month of age (e).  </w:t>
      </w:r>
    </w:p>
    <w:p w14:paraId="1D07AECB" w14:textId="77777777" w:rsidR="000B6B85" w:rsidRPr="000B6B85" w:rsidRDefault="000B6B85" w:rsidP="000B6B85">
      <w:pPr>
        <w:spacing w:line="360" w:lineRule="auto"/>
        <w:rPr>
          <w:rFonts w:ascii="Arial" w:hAnsi="Arial" w:cs="Arial"/>
        </w:rPr>
      </w:pPr>
      <w:r w:rsidRPr="000B6B85">
        <w:rPr>
          <w:rFonts w:ascii="Arial" w:hAnsi="Arial" w:cs="Arial"/>
          <w:lang w:val="en-US"/>
        </w:rPr>
        <w:lastRenderedPageBreak/>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In c, n=3; in d, +/+ (n=16), </w:t>
      </w:r>
      <w:r w:rsidRPr="000B6B85">
        <w:rPr>
          <w:rFonts w:ascii="Arial" w:hAnsi="Arial" w:cs="Arial"/>
          <w:i/>
          <w:iCs/>
          <w:lang w:val="en-US"/>
        </w:rPr>
        <w:t>Tcf7l2</w:t>
      </w:r>
      <w:r w:rsidRPr="000B6B85">
        <w:rPr>
          <w:rFonts w:ascii="Arial" w:hAnsi="Arial" w:cs="Arial"/>
          <w:i/>
          <w:iCs/>
          <w:vertAlign w:val="superscript"/>
          <w:lang w:val="en-US"/>
        </w:rPr>
        <w:t>+/-</w:t>
      </w:r>
      <w:r w:rsidRPr="000B6B85">
        <w:rPr>
          <w:rFonts w:ascii="Arial" w:hAnsi="Arial" w:cs="Arial"/>
          <w:i/>
          <w:iCs/>
          <w:lang w:val="en-US"/>
        </w:rPr>
        <w:t xml:space="preserve"> </w:t>
      </w:r>
      <w:r w:rsidRPr="000B6B85">
        <w:rPr>
          <w:rFonts w:ascii="Arial" w:hAnsi="Arial" w:cs="Arial"/>
          <w:lang w:val="en-US"/>
        </w:rPr>
        <w:t xml:space="preserve">(n=9); in e, +/+ (n=11), </w:t>
      </w:r>
      <w:r w:rsidRPr="000B6B85">
        <w:rPr>
          <w:rFonts w:ascii="Arial" w:hAnsi="Arial" w:cs="Arial"/>
          <w:i/>
          <w:iCs/>
          <w:lang w:val="en-US"/>
        </w:rPr>
        <w:t>Tcf7l2</w:t>
      </w:r>
      <w:r w:rsidRPr="000B6B85">
        <w:rPr>
          <w:rFonts w:ascii="Arial" w:hAnsi="Arial" w:cs="Arial"/>
          <w:i/>
          <w:iCs/>
          <w:vertAlign w:val="superscript"/>
          <w:lang w:val="en-US"/>
        </w:rPr>
        <w:t>+/-</w:t>
      </w:r>
      <w:r w:rsidRPr="000B6B85">
        <w:rPr>
          <w:rFonts w:ascii="Arial" w:hAnsi="Arial" w:cs="Arial"/>
          <w:lang w:val="en-US"/>
        </w:rPr>
        <w:t xml:space="preserve"> (n=8).   N.S., no significant difference, * </w:t>
      </w:r>
      <w:r w:rsidRPr="000B6B85">
        <w:rPr>
          <w:rFonts w:ascii="Arial" w:hAnsi="Arial" w:cs="Arial"/>
          <w:i/>
          <w:iCs/>
          <w:lang w:val="en-US"/>
        </w:rPr>
        <w:t>p</w:t>
      </w:r>
      <w:r w:rsidRPr="000B6B85">
        <w:rPr>
          <w:rFonts w:ascii="Arial" w:hAnsi="Arial" w:cs="Arial"/>
          <w:lang w:val="en-US"/>
        </w:rPr>
        <w:t xml:space="preserve">&lt;0.05, *** </w:t>
      </w:r>
      <w:r w:rsidRPr="000B6B85">
        <w:rPr>
          <w:rFonts w:ascii="Arial" w:hAnsi="Arial" w:cs="Arial"/>
          <w:i/>
          <w:iCs/>
          <w:lang w:val="en-US"/>
        </w:rPr>
        <w:t>p</w:t>
      </w:r>
      <w:r w:rsidRPr="000B6B85">
        <w:rPr>
          <w:rFonts w:ascii="Arial" w:hAnsi="Arial" w:cs="Arial"/>
          <w:lang w:val="en-US"/>
        </w:rPr>
        <w:t>&lt;0.001, t-test, SPSS.</w:t>
      </w:r>
    </w:p>
    <w:p w14:paraId="1F776071" w14:textId="01735294" w:rsidR="000B6B85" w:rsidRDefault="000B6B85" w:rsidP="000B6B85">
      <w:pPr>
        <w:spacing w:line="360" w:lineRule="auto"/>
        <w:rPr>
          <w:rFonts w:ascii="Arial" w:hAnsi="Arial" w:cs="Arial"/>
        </w:rPr>
      </w:pPr>
    </w:p>
    <w:p w14:paraId="40339882" w14:textId="166E9B88" w:rsidR="000B6B85" w:rsidRDefault="000B6B85" w:rsidP="000B6B85">
      <w:pPr>
        <w:spacing w:line="360" w:lineRule="auto"/>
        <w:rPr>
          <w:rFonts w:ascii="Arial" w:hAnsi="Arial" w:cs="Arial"/>
        </w:rPr>
      </w:pPr>
    </w:p>
    <w:p w14:paraId="2C51695A" w14:textId="4A437D55" w:rsidR="000B6B85" w:rsidRDefault="000B6B85" w:rsidP="000B6B85">
      <w:pPr>
        <w:spacing w:line="360" w:lineRule="auto"/>
        <w:rPr>
          <w:rFonts w:ascii="Arial" w:hAnsi="Arial" w:cs="Arial"/>
        </w:rPr>
      </w:pPr>
    </w:p>
    <w:p w14:paraId="1A2C0557" w14:textId="25D59DD1" w:rsidR="000B6B85" w:rsidRDefault="000B6B85" w:rsidP="000B6B85">
      <w:pPr>
        <w:spacing w:line="360" w:lineRule="auto"/>
        <w:rPr>
          <w:rFonts w:ascii="Arial" w:hAnsi="Arial" w:cs="Arial"/>
        </w:rPr>
      </w:pPr>
    </w:p>
    <w:p w14:paraId="0F143225" w14:textId="14D47968" w:rsidR="000B6B85" w:rsidRDefault="000B6B85" w:rsidP="000B6B85">
      <w:pPr>
        <w:spacing w:line="360" w:lineRule="auto"/>
        <w:rPr>
          <w:rFonts w:ascii="Arial" w:hAnsi="Arial" w:cs="Arial"/>
        </w:rPr>
      </w:pPr>
    </w:p>
    <w:p w14:paraId="4E5DD003"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S6. Both Y337H mutation and </w:t>
      </w:r>
      <w:r w:rsidRPr="000B6B85">
        <w:rPr>
          <w:rFonts w:ascii="Arial" w:hAnsi="Arial" w:cs="Arial"/>
          <w:b/>
          <w:bCs/>
          <w:i/>
          <w:iCs/>
          <w:lang w:val="en-US"/>
        </w:rPr>
        <w:t xml:space="preserve">Tcf7l2 </w:t>
      </w:r>
      <w:r w:rsidRPr="000B6B85">
        <w:rPr>
          <w:rFonts w:ascii="Arial" w:hAnsi="Arial" w:cs="Arial"/>
          <w:b/>
          <w:bCs/>
          <w:lang w:val="en-US"/>
        </w:rPr>
        <w:t xml:space="preserve">heterozygous KO in male reduce female sexual preference.  </w:t>
      </w:r>
    </w:p>
    <w:p w14:paraId="0001E194"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(a-d) Y337H and haploinsufficiency of </w:t>
      </w:r>
      <w:r w:rsidRPr="000B6B85">
        <w:rPr>
          <w:rFonts w:ascii="Arial" w:hAnsi="Arial" w:cs="Arial"/>
          <w:i/>
          <w:iCs/>
          <w:lang w:val="en-US"/>
        </w:rPr>
        <w:t xml:space="preserve">Tcf7l2 </w:t>
      </w:r>
      <w:r w:rsidRPr="000B6B85">
        <w:rPr>
          <w:rFonts w:ascii="Arial" w:hAnsi="Arial" w:cs="Arial"/>
          <w:lang w:val="en-US"/>
        </w:rPr>
        <w:t>in male reduce female preference.  Diagrams illustrates the female preference measurement by modification of three-chamber test (a and c).  The data summary was shown in (b and d).</w:t>
      </w:r>
    </w:p>
    <w:p w14:paraId="6337A01D"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In b, +/+ (male, n=7), WT (female, n=7), </w:t>
      </w:r>
      <w:r w:rsidRPr="000B6B85">
        <w:rPr>
          <w:rFonts w:ascii="Arial" w:hAnsi="Arial" w:cs="Arial"/>
          <w:i/>
          <w:iCs/>
          <w:lang w:val="en-US"/>
        </w:rPr>
        <w:t>Tcf7l2</w:t>
      </w:r>
      <w:r w:rsidRPr="000B6B85">
        <w:rPr>
          <w:rFonts w:ascii="Arial" w:hAnsi="Arial" w:cs="Arial"/>
          <w:i/>
          <w:iCs/>
          <w:vertAlign w:val="superscript"/>
          <w:lang w:val="en-US"/>
        </w:rPr>
        <w:t xml:space="preserve">Y337H/+ </w:t>
      </w:r>
      <w:r w:rsidRPr="000B6B85">
        <w:rPr>
          <w:rFonts w:ascii="Arial" w:hAnsi="Arial" w:cs="Arial"/>
          <w:lang w:val="en-US"/>
        </w:rPr>
        <w:t xml:space="preserve">(male, n=7); in d, +/+ (male, n=7), WT (female, n=7), </w:t>
      </w:r>
      <w:r w:rsidRPr="000B6B85">
        <w:rPr>
          <w:rFonts w:ascii="Arial" w:hAnsi="Arial" w:cs="Arial"/>
          <w:i/>
          <w:iCs/>
          <w:lang w:val="en-US"/>
        </w:rPr>
        <w:t>Tcf7l2</w:t>
      </w:r>
      <w:r w:rsidRPr="000B6B85">
        <w:rPr>
          <w:rFonts w:ascii="Arial" w:hAnsi="Arial" w:cs="Arial"/>
          <w:i/>
          <w:iCs/>
          <w:vertAlign w:val="superscript"/>
          <w:lang w:val="en-US"/>
        </w:rPr>
        <w:t>+/-</w:t>
      </w:r>
      <w:r w:rsidRPr="000B6B85">
        <w:rPr>
          <w:rFonts w:ascii="Arial" w:hAnsi="Arial" w:cs="Arial"/>
          <w:lang w:val="en-US"/>
        </w:rPr>
        <w:t xml:space="preserve"> (male, n=7).   N.S., no significant difference, * </w:t>
      </w:r>
      <w:r w:rsidRPr="000B6B85">
        <w:rPr>
          <w:rFonts w:ascii="Arial" w:hAnsi="Arial" w:cs="Arial"/>
          <w:i/>
          <w:iCs/>
          <w:lang w:val="en-US"/>
        </w:rPr>
        <w:t>p</w:t>
      </w:r>
      <w:r w:rsidRPr="000B6B85">
        <w:rPr>
          <w:rFonts w:ascii="Arial" w:hAnsi="Arial" w:cs="Arial"/>
          <w:lang w:val="en-US"/>
        </w:rPr>
        <w:t xml:space="preserve">&lt;0.05, *** </w:t>
      </w:r>
      <w:r w:rsidRPr="000B6B85">
        <w:rPr>
          <w:rFonts w:ascii="Arial" w:hAnsi="Arial" w:cs="Arial"/>
          <w:i/>
          <w:iCs/>
          <w:lang w:val="en-US"/>
        </w:rPr>
        <w:t>p</w:t>
      </w:r>
      <w:r w:rsidRPr="000B6B85">
        <w:rPr>
          <w:rFonts w:ascii="Arial" w:hAnsi="Arial" w:cs="Arial"/>
          <w:lang w:val="en-US"/>
        </w:rPr>
        <w:t>&lt;0.001, t-test, SPSS.</w:t>
      </w:r>
    </w:p>
    <w:p w14:paraId="36423498" w14:textId="0EBEFF51" w:rsidR="000B6B85" w:rsidRDefault="000B6B85" w:rsidP="000B6B85">
      <w:pPr>
        <w:spacing w:line="360" w:lineRule="auto"/>
        <w:rPr>
          <w:rFonts w:ascii="Arial" w:hAnsi="Arial" w:cs="Arial"/>
        </w:rPr>
      </w:pPr>
    </w:p>
    <w:p w14:paraId="50557A93" w14:textId="7A4C436C" w:rsidR="000B6B85" w:rsidRDefault="000B6B85" w:rsidP="000B6B85">
      <w:pPr>
        <w:spacing w:line="360" w:lineRule="auto"/>
        <w:rPr>
          <w:rFonts w:ascii="Arial" w:hAnsi="Arial" w:cs="Arial"/>
        </w:rPr>
      </w:pPr>
    </w:p>
    <w:p w14:paraId="5AC38742" w14:textId="1A28E717" w:rsidR="000B6B85" w:rsidRDefault="000B6B85" w:rsidP="000B6B85">
      <w:pPr>
        <w:spacing w:line="360" w:lineRule="auto"/>
        <w:rPr>
          <w:rFonts w:ascii="Arial" w:hAnsi="Arial" w:cs="Arial"/>
        </w:rPr>
      </w:pPr>
    </w:p>
    <w:p w14:paraId="2E36175A" w14:textId="6C2AA1CC" w:rsidR="000B6B85" w:rsidRDefault="000B6B85" w:rsidP="000B6B85">
      <w:pPr>
        <w:spacing w:line="360" w:lineRule="auto"/>
        <w:rPr>
          <w:rFonts w:ascii="Arial" w:hAnsi="Arial" w:cs="Arial"/>
        </w:rPr>
      </w:pPr>
    </w:p>
    <w:p w14:paraId="37EDE46E"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S7. Similar RNA profiling of </w:t>
      </w:r>
      <w:r w:rsidRPr="000B6B85">
        <w:rPr>
          <w:rFonts w:ascii="Arial" w:hAnsi="Arial" w:cs="Arial"/>
          <w:b/>
          <w:bCs/>
          <w:i/>
          <w:iCs/>
          <w:lang w:val="en-US"/>
        </w:rPr>
        <w:t>Tcf7l2</w:t>
      </w:r>
      <w:r w:rsidRPr="000B6B85">
        <w:rPr>
          <w:rFonts w:ascii="Arial" w:hAnsi="Arial" w:cs="Arial"/>
          <w:b/>
          <w:bCs/>
          <w:vertAlign w:val="superscript"/>
          <w:lang w:val="en-US"/>
        </w:rPr>
        <w:t>Y337H/+</w:t>
      </w:r>
      <w:r w:rsidRPr="000B6B85">
        <w:rPr>
          <w:rFonts w:ascii="Arial" w:hAnsi="Arial" w:cs="Arial"/>
          <w:b/>
          <w:bCs/>
          <w:lang w:val="en-US"/>
        </w:rPr>
        <w:t xml:space="preserve"> and </w:t>
      </w:r>
      <w:r w:rsidRPr="000B6B85">
        <w:rPr>
          <w:rFonts w:ascii="Arial" w:hAnsi="Arial" w:cs="Arial"/>
          <w:b/>
          <w:bCs/>
          <w:i/>
          <w:iCs/>
          <w:lang w:val="en-US"/>
        </w:rPr>
        <w:t>Tcf7l2</w:t>
      </w:r>
      <w:r w:rsidRPr="000B6B85">
        <w:rPr>
          <w:rFonts w:ascii="Arial" w:hAnsi="Arial" w:cs="Arial"/>
          <w:b/>
          <w:bCs/>
          <w:vertAlign w:val="superscript"/>
          <w:lang w:val="en-US"/>
        </w:rPr>
        <w:t>+/-</w:t>
      </w:r>
      <w:r w:rsidRPr="000B6B85">
        <w:rPr>
          <w:rFonts w:ascii="Arial" w:hAnsi="Arial" w:cs="Arial"/>
          <w:b/>
          <w:bCs/>
          <w:lang w:val="en-US"/>
        </w:rPr>
        <w:t xml:space="preserve"> mice in brain.  </w:t>
      </w:r>
    </w:p>
    <w:p w14:paraId="3C6130D8"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RNA profiling of </w:t>
      </w:r>
      <w:r w:rsidRPr="000B6B85">
        <w:rPr>
          <w:rFonts w:ascii="Arial" w:hAnsi="Arial" w:cs="Arial"/>
          <w:i/>
          <w:iCs/>
          <w:lang w:val="en-US"/>
        </w:rPr>
        <w:t>Tcf7l2</w:t>
      </w:r>
      <w:r w:rsidRPr="000B6B85">
        <w:rPr>
          <w:rFonts w:ascii="Arial" w:hAnsi="Arial" w:cs="Arial"/>
          <w:vertAlign w:val="superscript"/>
          <w:lang w:val="en-US"/>
        </w:rPr>
        <w:t>Y337H/+</w:t>
      </w:r>
      <w:r w:rsidRPr="000B6B85">
        <w:rPr>
          <w:rFonts w:ascii="Arial" w:hAnsi="Arial" w:cs="Arial"/>
          <w:lang w:val="en-US"/>
        </w:rPr>
        <w:t xml:space="preserve"> 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thalamus (a) and midbrain (b).  Mouse, P7 (n = 3). </w:t>
      </w:r>
    </w:p>
    <w:p w14:paraId="3A8E019A" w14:textId="32B7A7BD" w:rsidR="000B6B85" w:rsidRDefault="000B6B85" w:rsidP="000B6B85">
      <w:pPr>
        <w:spacing w:line="360" w:lineRule="auto"/>
        <w:rPr>
          <w:rFonts w:ascii="Arial" w:hAnsi="Arial" w:cs="Arial"/>
        </w:rPr>
      </w:pPr>
    </w:p>
    <w:p w14:paraId="4AAADE9E" w14:textId="182B2EE3" w:rsidR="000B6B85" w:rsidRDefault="000B6B85" w:rsidP="000B6B85">
      <w:pPr>
        <w:spacing w:line="360" w:lineRule="auto"/>
        <w:rPr>
          <w:rFonts w:ascii="Arial" w:hAnsi="Arial" w:cs="Arial"/>
        </w:rPr>
      </w:pPr>
    </w:p>
    <w:p w14:paraId="4BB28BFD" w14:textId="1BB1345E" w:rsidR="000B6B85" w:rsidRDefault="000B6B85" w:rsidP="000B6B85">
      <w:pPr>
        <w:spacing w:line="360" w:lineRule="auto"/>
        <w:rPr>
          <w:rFonts w:ascii="Arial" w:hAnsi="Arial" w:cs="Arial"/>
        </w:rPr>
      </w:pPr>
    </w:p>
    <w:p w14:paraId="7832AA40" w14:textId="4ABA4A9E" w:rsidR="000B6B85" w:rsidRDefault="000B6B85" w:rsidP="000B6B85">
      <w:pPr>
        <w:spacing w:line="360" w:lineRule="auto"/>
        <w:rPr>
          <w:rFonts w:ascii="Arial" w:hAnsi="Arial" w:cs="Arial"/>
        </w:rPr>
      </w:pPr>
    </w:p>
    <w:p w14:paraId="67CD627E" w14:textId="4D486679" w:rsidR="000B6B85" w:rsidRDefault="000B6B85" w:rsidP="000B6B85">
      <w:pPr>
        <w:spacing w:line="360" w:lineRule="auto"/>
        <w:rPr>
          <w:rFonts w:ascii="Arial" w:hAnsi="Arial" w:cs="Arial"/>
        </w:rPr>
      </w:pPr>
    </w:p>
    <w:p w14:paraId="6D8FFC9B" w14:textId="47DABF8B" w:rsidR="000B6B85" w:rsidRDefault="000B6B85" w:rsidP="000B6B85">
      <w:pPr>
        <w:spacing w:line="360" w:lineRule="auto"/>
        <w:rPr>
          <w:rFonts w:ascii="Arial" w:hAnsi="Arial" w:cs="Arial"/>
        </w:rPr>
      </w:pPr>
    </w:p>
    <w:p w14:paraId="2DF30D71" w14:textId="605768A3" w:rsidR="000B6B85" w:rsidRDefault="000B6B85" w:rsidP="000B6B85">
      <w:pPr>
        <w:spacing w:line="360" w:lineRule="auto"/>
        <w:rPr>
          <w:rFonts w:ascii="Arial" w:hAnsi="Arial" w:cs="Arial"/>
        </w:rPr>
      </w:pPr>
    </w:p>
    <w:p w14:paraId="14562516" w14:textId="47D977BC" w:rsidR="000B6B85" w:rsidRDefault="000B6B85" w:rsidP="000B6B85">
      <w:pPr>
        <w:spacing w:line="360" w:lineRule="auto"/>
        <w:rPr>
          <w:rFonts w:ascii="Arial" w:hAnsi="Arial" w:cs="Arial"/>
        </w:rPr>
      </w:pPr>
    </w:p>
    <w:p w14:paraId="52576F11" w14:textId="77777777" w:rsidR="000B6B85" w:rsidRPr="000B6B85" w:rsidRDefault="000B6B85" w:rsidP="000B6B85">
      <w:pPr>
        <w:spacing w:line="360" w:lineRule="auto"/>
        <w:rPr>
          <w:rFonts w:ascii="Arial" w:hAnsi="Arial" w:cs="Arial"/>
        </w:rPr>
      </w:pPr>
      <w:r w:rsidRPr="000B6B85">
        <w:rPr>
          <w:rFonts w:ascii="Arial" w:hAnsi="Arial" w:cs="Arial"/>
          <w:b/>
          <w:bCs/>
          <w:lang w:val="en-US"/>
        </w:rPr>
        <w:lastRenderedPageBreak/>
        <w:t>Figure S8. Expression pattern of TCF7L2 protein and</w:t>
      </w:r>
      <w:r w:rsidRPr="000B6B85">
        <w:rPr>
          <w:rFonts w:ascii="Arial" w:hAnsi="Arial" w:cs="Arial"/>
          <w:b/>
          <w:bCs/>
          <w:i/>
          <w:iCs/>
          <w:lang w:val="en-US"/>
        </w:rPr>
        <w:t>Tcf7l2</w:t>
      </w:r>
      <w:r w:rsidRPr="000B6B85">
        <w:rPr>
          <w:rFonts w:ascii="Arial" w:hAnsi="Arial" w:cs="Arial"/>
          <w:b/>
          <w:bCs/>
          <w:lang w:val="en-US"/>
        </w:rPr>
        <w:t xml:space="preserve"> mRNA in mouse brain.</w:t>
      </w:r>
      <w:r w:rsidRPr="000B6B85">
        <w:rPr>
          <w:rFonts w:ascii="Arial" w:hAnsi="Arial" w:cs="Arial"/>
          <w:lang w:val="en-US"/>
        </w:rPr>
        <w:t xml:space="preserve"> </w:t>
      </w:r>
    </w:p>
    <w:p w14:paraId="7F4CC9A5"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Immunostaining of TCF7L2 and NeuN (a) and </w:t>
      </w:r>
      <w:r w:rsidRPr="000B6B85">
        <w:rPr>
          <w:rFonts w:ascii="Arial" w:hAnsi="Arial" w:cs="Arial"/>
          <w:i/>
          <w:iCs/>
          <w:lang w:val="en-US"/>
        </w:rPr>
        <w:t xml:space="preserve">in situ </w:t>
      </w:r>
      <w:r w:rsidRPr="000B6B85">
        <w:rPr>
          <w:rFonts w:ascii="Arial" w:hAnsi="Arial" w:cs="Arial"/>
          <w:lang w:val="en-US"/>
        </w:rPr>
        <w:t xml:space="preserve">hybridization of </w:t>
      </w:r>
      <w:r w:rsidRPr="000B6B85">
        <w:rPr>
          <w:rFonts w:ascii="Arial" w:hAnsi="Arial" w:cs="Arial"/>
          <w:i/>
          <w:iCs/>
          <w:lang w:val="en-US"/>
        </w:rPr>
        <w:t>Tcf7l2</w:t>
      </w:r>
      <w:r w:rsidRPr="000B6B85">
        <w:rPr>
          <w:rFonts w:ascii="Arial" w:hAnsi="Arial" w:cs="Arial"/>
          <w:lang w:val="en-US"/>
        </w:rPr>
        <w:t xml:space="preserve"> and </w:t>
      </w:r>
      <w:r w:rsidRPr="000B6B85">
        <w:rPr>
          <w:rFonts w:ascii="Arial" w:hAnsi="Arial" w:cs="Arial"/>
          <w:i/>
          <w:iCs/>
          <w:lang w:val="en-US"/>
        </w:rPr>
        <w:t>Vglut2</w:t>
      </w:r>
      <w:r w:rsidRPr="000B6B85">
        <w:rPr>
          <w:rFonts w:ascii="Arial" w:hAnsi="Arial" w:cs="Arial"/>
          <w:lang w:val="en-US"/>
        </w:rPr>
        <w:t xml:space="preserve"> (b) in a mouse sagittal section at P7.  Enlarged region 1 (Thalamus, TH) and 2 (Inferior colliculus, IC) were shown (Lower).  </w:t>
      </w:r>
    </w:p>
    <w:p w14:paraId="3FE0C36A"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 Statistical analysis of double positive neurons in region 1 (TH) and 2 (IC) at P7.  (d) The expression of </w:t>
      </w:r>
      <w:r w:rsidRPr="000B6B85">
        <w:rPr>
          <w:rFonts w:ascii="Arial" w:hAnsi="Arial" w:cs="Arial"/>
          <w:i/>
          <w:iCs/>
          <w:lang w:val="en-US"/>
        </w:rPr>
        <w:t>Tcf7l2</w:t>
      </w:r>
      <w:r w:rsidRPr="000B6B85">
        <w:rPr>
          <w:rFonts w:ascii="Arial" w:hAnsi="Arial" w:cs="Arial"/>
          <w:lang w:val="en-US"/>
        </w:rPr>
        <w:t xml:space="preserve"> in various brain tissues detected by the real-time PCR at P7.  </w:t>
      </w:r>
    </w:p>
    <w:p w14:paraId="2CB598BE"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(e) Expression pattern of TCF7L2 was examined by western blot.  GAPDH, loading control.  </w:t>
      </w:r>
    </w:p>
    <w:p w14:paraId="4DB185B1"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In c and d, 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SEM (n=3).  In a and b, scale bar, 1mm (low magnification) and 20 </w:t>
      </w:r>
      <w:r w:rsidRPr="000B6B85">
        <w:rPr>
          <w:rFonts w:ascii="Arial" w:hAnsi="Arial" w:cs="Arial"/>
          <w:lang w:val="el-GR"/>
        </w:rPr>
        <w:t>μ</w:t>
      </w:r>
      <w:r w:rsidRPr="000B6B85">
        <w:rPr>
          <w:rFonts w:ascii="Arial" w:hAnsi="Arial" w:cs="Arial"/>
          <w:lang w:val="en-US"/>
        </w:rPr>
        <w:t>m (high magnification).</w:t>
      </w:r>
    </w:p>
    <w:p w14:paraId="7CD350B8" w14:textId="173C1CEA" w:rsidR="000B6B85" w:rsidRDefault="000B6B85" w:rsidP="000B6B85">
      <w:pPr>
        <w:spacing w:line="360" w:lineRule="auto"/>
        <w:rPr>
          <w:rFonts w:ascii="Arial" w:hAnsi="Arial" w:cs="Arial"/>
        </w:rPr>
      </w:pPr>
    </w:p>
    <w:p w14:paraId="782DFC9E" w14:textId="174141C5" w:rsidR="000B6B85" w:rsidRDefault="000B6B85" w:rsidP="000B6B85">
      <w:pPr>
        <w:spacing w:line="360" w:lineRule="auto"/>
        <w:rPr>
          <w:rFonts w:ascii="Arial" w:hAnsi="Arial" w:cs="Arial"/>
        </w:rPr>
      </w:pPr>
    </w:p>
    <w:p w14:paraId="3D84EC85" w14:textId="2F728EDF" w:rsidR="000B6B85" w:rsidRDefault="000B6B85" w:rsidP="000B6B85">
      <w:pPr>
        <w:spacing w:line="360" w:lineRule="auto"/>
        <w:rPr>
          <w:rFonts w:ascii="Arial" w:hAnsi="Arial" w:cs="Arial"/>
        </w:rPr>
      </w:pPr>
    </w:p>
    <w:p w14:paraId="58DFD1B5" w14:textId="1D7CFEA6" w:rsidR="000B6B85" w:rsidRDefault="000B6B85" w:rsidP="000B6B85">
      <w:pPr>
        <w:spacing w:line="360" w:lineRule="auto"/>
        <w:rPr>
          <w:rFonts w:ascii="Arial" w:hAnsi="Arial" w:cs="Arial"/>
        </w:rPr>
      </w:pPr>
    </w:p>
    <w:p w14:paraId="1CD53E4D" w14:textId="77777777" w:rsidR="000B6B85" w:rsidRPr="000B6B85" w:rsidRDefault="000B6B85" w:rsidP="000B6B85">
      <w:pPr>
        <w:spacing w:line="360" w:lineRule="auto"/>
        <w:rPr>
          <w:rFonts w:ascii="Arial" w:hAnsi="Arial" w:cs="Arial"/>
        </w:rPr>
      </w:pPr>
      <w:r w:rsidRPr="000B6B85">
        <w:rPr>
          <w:rFonts w:ascii="Arial" w:hAnsi="Arial" w:cs="Arial"/>
          <w:b/>
          <w:bCs/>
          <w:lang w:val="en-US"/>
        </w:rPr>
        <w:t>Figure S9. TCF7L2 expression pattern at P7.</w:t>
      </w:r>
      <w:r w:rsidRPr="000B6B85">
        <w:rPr>
          <w:rFonts w:ascii="Arial" w:hAnsi="Arial" w:cs="Arial"/>
          <w:lang w:val="en-US"/>
        </w:rPr>
        <w:t xml:space="preserve"> </w:t>
      </w:r>
    </w:p>
    <w:p w14:paraId="3BC3D283"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The expression of TCF7L2 in the indicated cKO mice by western blot at P7.  GAPDH, loading control.  </w:t>
      </w:r>
    </w:p>
    <w:p w14:paraId="626FC175"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 </w:t>
      </w:r>
      <w:r w:rsidRPr="000B6B85">
        <w:rPr>
          <w:rFonts w:ascii="Arial" w:hAnsi="Arial" w:cs="Arial"/>
          <w:i/>
          <w:iCs/>
          <w:lang w:val="en-US"/>
        </w:rPr>
        <w:t>Oligo3</w:t>
      </w:r>
      <w:r w:rsidRPr="000B6B85">
        <w:rPr>
          <w:rFonts w:ascii="Arial" w:hAnsi="Arial" w:cs="Arial"/>
          <w:lang w:val="en-US"/>
        </w:rPr>
        <w:t xml:space="preserve"> expression was reported by Ai9 reporter mouse (PMID: 20023653).  TCF7L2 expression was measured by immunostaining.  Enlarged region 1 (Thalamus) was shown in the right.  Scale bar, 1mm (left, low magnification) and 20 </w:t>
      </w:r>
      <w:r w:rsidRPr="000B6B85">
        <w:rPr>
          <w:rFonts w:ascii="Arial" w:hAnsi="Arial" w:cs="Arial"/>
          <w:lang w:val="el-GR"/>
        </w:rPr>
        <w:t>μ</w:t>
      </w:r>
      <w:r w:rsidRPr="000B6B85">
        <w:rPr>
          <w:rFonts w:ascii="Arial" w:hAnsi="Arial" w:cs="Arial"/>
          <w:lang w:val="en-US"/>
        </w:rPr>
        <w:t>m (right, high magnification).</w:t>
      </w:r>
    </w:p>
    <w:p w14:paraId="5F41DD60" w14:textId="4B7728F2" w:rsidR="000B6B85" w:rsidRDefault="000B6B85" w:rsidP="000B6B85">
      <w:pPr>
        <w:spacing w:line="360" w:lineRule="auto"/>
        <w:rPr>
          <w:rFonts w:ascii="Arial" w:hAnsi="Arial" w:cs="Arial"/>
        </w:rPr>
      </w:pPr>
    </w:p>
    <w:p w14:paraId="356AA9CD" w14:textId="5800E7CD" w:rsidR="000B6B85" w:rsidRDefault="000B6B85" w:rsidP="000B6B85">
      <w:pPr>
        <w:spacing w:line="360" w:lineRule="auto"/>
        <w:rPr>
          <w:rFonts w:ascii="Arial" w:hAnsi="Arial" w:cs="Arial"/>
        </w:rPr>
      </w:pPr>
    </w:p>
    <w:p w14:paraId="35C98481" w14:textId="0EED2B53" w:rsidR="000B6B85" w:rsidRDefault="000B6B85" w:rsidP="000B6B85">
      <w:pPr>
        <w:spacing w:line="360" w:lineRule="auto"/>
        <w:rPr>
          <w:rFonts w:ascii="Arial" w:hAnsi="Arial" w:cs="Arial"/>
        </w:rPr>
      </w:pPr>
    </w:p>
    <w:p w14:paraId="3BA3B631" w14:textId="129141A2" w:rsidR="000B6B85" w:rsidRDefault="000B6B85" w:rsidP="000B6B85">
      <w:pPr>
        <w:spacing w:line="360" w:lineRule="auto"/>
        <w:rPr>
          <w:rFonts w:ascii="Arial" w:hAnsi="Arial" w:cs="Arial"/>
        </w:rPr>
      </w:pPr>
    </w:p>
    <w:p w14:paraId="698F906F" w14:textId="43A4CF16" w:rsidR="000B6B85" w:rsidRDefault="000B6B85" w:rsidP="000B6B85">
      <w:pPr>
        <w:spacing w:line="360" w:lineRule="auto"/>
        <w:rPr>
          <w:rFonts w:ascii="Arial" w:hAnsi="Arial" w:cs="Arial"/>
        </w:rPr>
      </w:pPr>
    </w:p>
    <w:p w14:paraId="4BB39D07"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S10. Significantly enriched pathways in PAG analyzed by GSEA between control and </w:t>
      </w:r>
      <w:r w:rsidRPr="000B6B85">
        <w:rPr>
          <w:rFonts w:ascii="Arial" w:hAnsi="Arial" w:cs="Arial"/>
          <w:b/>
          <w:bCs/>
          <w:i/>
          <w:iCs/>
          <w:lang w:val="en-US"/>
        </w:rPr>
        <w:t>Tcf7l2</w:t>
      </w:r>
      <w:r w:rsidRPr="000B6B85">
        <w:rPr>
          <w:rFonts w:ascii="Arial" w:hAnsi="Arial" w:cs="Arial"/>
          <w:b/>
          <w:bCs/>
          <w:lang w:val="en-US"/>
        </w:rPr>
        <w:t xml:space="preserve"> cKO.</w:t>
      </w:r>
    </w:p>
    <w:p w14:paraId="449BFBAC"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(a-e) Significantly enriched biological pathways and their individual genes identified by GSEA analysis.  Mouse, P7, </w:t>
      </w:r>
      <w:r w:rsidRPr="000B6B85">
        <w:rPr>
          <w:rFonts w:ascii="Arial" w:hAnsi="Arial" w:cs="Arial"/>
          <w:i/>
          <w:iCs/>
          <w:lang w:val="en-US"/>
        </w:rPr>
        <w:t>exon11 fl</w:t>
      </w:r>
      <w:r w:rsidRPr="000B6B85">
        <w:rPr>
          <w:rFonts w:ascii="Arial" w:hAnsi="Arial" w:cs="Arial"/>
          <w:lang w:val="en-US"/>
        </w:rPr>
        <w:t>/</w:t>
      </w:r>
      <w:r w:rsidRPr="000B6B85">
        <w:rPr>
          <w:rFonts w:ascii="Arial" w:hAnsi="Arial" w:cs="Arial"/>
          <w:i/>
          <w:iCs/>
          <w:lang w:val="en-US"/>
        </w:rPr>
        <w:t xml:space="preserve">fl </w:t>
      </w:r>
      <w:r w:rsidRPr="000B6B85">
        <w:rPr>
          <w:rFonts w:ascii="Arial" w:hAnsi="Arial" w:cs="Arial"/>
          <w:lang w:val="en-US"/>
        </w:rPr>
        <w:t>(control) or</w:t>
      </w:r>
      <w:r w:rsidRPr="000B6B85">
        <w:rPr>
          <w:rFonts w:ascii="Arial" w:hAnsi="Arial" w:cs="Arial"/>
          <w:i/>
          <w:iCs/>
          <w:lang w:val="en-US"/>
        </w:rPr>
        <w:t xml:space="preserve"> exon11 fl</w:t>
      </w:r>
      <w:r w:rsidRPr="000B6B85">
        <w:rPr>
          <w:rFonts w:ascii="Arial" w:hAnsi="Arial" w:cs="Arial"/>
          <w:lang w:val="en-US"/>
        </w:rPr>
        <w:t>/</w:t>
      </w:r>
      <w:proofErr w:type="gramStart"/>
      <w:r w:rsidRPr="000B6B85">
        <w:rPr>
          <w:rFonts w:ascii="Arial" w:hAnsi="Arial" w:cs="Arial"/>
          <w:i/>
          <w:iCs/>
          <w:lang w:val="en-US"/>
        </w:rPr>
        <w:t>fl</w:t>
      </w:r>
      <w:r w:rsidRPr="000B6B85">
        <w:rPr>
          <w:rFonts w:ascii="Arial" w:hAnsi="Arial" w:cs="Arial"/>
          <w:lang w:val="en-US"/>
        </w:rPr>
        <w:t>;</w:t>
      </w:r>
      <w:r w:rsidRPr="000B6B85">
        <w:rPr>
          <w:rFonts w:ascii="Arial" w:hAnsi="Arial" w:cs="Arial"/>
          <w:i/>
          <w:iCs/>
          <w:lang w:val="en-US"/>
        </w:rPr>
        <w:t>Vglut</w:t>
      </w:r>
      <w:proofErr w:type="gramEnd"/>
      <w:r w:rsidRPr="000B6B85">
        <w:rPr>
          <w:rFonts w:ascii="Arial" w:hAnsi="Arial" w:cs="Arial"/>
          <w:i/>
          <w:iCs/>
          <w:lang w:val="en-US"/>
        </w:rPr>
        <w:t>2</w:t>
      </w:r>
      <w:r w:rsidRPr="000B6B85">
        <w:rPr>
          <w:rFonts w:ascii="Arial" w:hAnsi="Arial" w:cs="Arial"/>
          <w:lang w:val="en-US"/>
        </w:rPr>
        <w:t>-</w:t>
      </w:r>
      <w:r w:rsidRPr="000B6B85">
        <w:rPr>
          <w:rFonts w:ascii="Arial" w:hAnsi="Arial" w:cs="Arial"/>
          <w:i/>
          <w:iCs/>
          <w:lang w:val="en-US"/>
        </w:rPr>
        <w:t>Cre</w:t>
      </w:r>
      <w:r w:rsidRPr="000B6B85">
        <w:rPr>
          <w:rFonts w:ascii="Arial" w:hAnsi="Arial" w:cs="Arial"/>
          <w:lang w:val="en-US"/>
        </w:rPr>
        <w:t xml:space="preserve">/+ (cKO).  In </w:t>
      </w:r>
      <w:r w:rsidRPr="000B6B85">
        <w:rPr>
          <w:rFonts w:ascii="Arial" w:hAnsi="Arial" w:cs="Arial"/>
          <w:lang w:val="en-US"/>
        </w:rPr>
        <w:lastRenderedPageBreak/>
        <w:t>heatmap, blue and red, down- and upregulated genes in the cKO PAGs, respectively.  NES, normalized enrichment score.</w:t>
      </w:r>
    </w:p>
    <w:p w14:paraId="24A953E3" w14:textId="02E6D9C6" w:rsidR="000B6B85" w:rsidRDefault="000B6B85" w:rsidP="000B6B85">
      <w:pPr>
        <w:spacing w:line="360" w:lineRule="auto"/>
        <w:rPr>
          <w:rFonts w:ascii="Arial" w:hAnsi="Arial" w:cs="Arial"/>
        </w:rPr>
      </w:pPr>
    </w:p>
    <w:p w14:paraId="6D3D2438" w14:textId="5DA36763" w:rsidR="000B6B85" w:rsidRDefault="000B6B85" w:rsidP="000B6B85">
      <w:pPr>
        <w:spacing w:line="360" w:lineRule="auto"/>
        <w:rPr>
          <w:rFonts w:ascii="Arial" w:hAnsi="Arial" w:cs="Arial"/>
        </w:rPr>
      </w:pPr>
    </w:p>
    <w:p w14:paraId="60C23939" w14:textId="161A2E01" w:rsidR="000B6B85" w:rsidRDefault="000B6B85" w:rsidP="000B6B85">
      <w:pPr>
        <w:spacing w:line="360" w:lineRule="auto"/>
        <w:rPr>
          <w:rFonts w:ascii="Arial" w:hAnsi="Arial" w:cs="Arial"/>
        </w:rPr>
      </w:pPr>
    </w:p>
    <w:p w14:paraId="05639E3B" w14:textId="59B9E3F2" w:rsidR="000B6B85" w:rsidRDefault="000B6B85" w:rsidP="000B6B85">
      <w:pPr>
        <w:spacing w:line="360" w:lineRule="auto"/>
        <w:rPr>
          <w:rFonts w:ascii="Arial" w:hAnsi="Arial" w:cs="Arial"/>
        </w:rPr>
      </w:pPr>
    </w:p>
    <w:p w14:paraId="4B6AA2B0" w14:textId="54F029BB" w:rsidR="000B6B85" w:rsidRDefault="000B6B85" w:rsidP="000B6B85">
      <w:pPr>
        <w:spacing w:line="360" w:lineRule="auto"/>
        <w:rPr>
          <w:rFonts w:ascii="Arial" w:hAnsi="Arial" w:cs="Arial"/>
        </w:rPr>
      </w:pPr>
    </w:p>
    <w:p w14:paraId="72CE2B41"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S11. Haploinsufficiency of </w:t>
      </w:r>
      <w:r w:rsidRPr="000B6B85">
        <w:rPr>
          <w:rFonts w:ascii="Arial" w:hAnsi="Arial" w:cs="Arial"/>
          <w:b/>
          <w:bCs/>
          <w:i/>
          <w:iCs/>
          <w:lang w:val="en-US"/>
        </w:rPr>
        <w:t>Tcf7l2</w:t>
      </w:r>
      <w:r w:rsidRPr="000B6B85">
        <w:rPr>
          <w:rFonts w:ascii="Arial" w:hAnsi="Arial" w:cs="Arial"/>
          <w:b/>
          <w:bCs/>
          <w:lang w:val="en-US"/>
        </w:rPr>
        <w:t xml:space="preserve"> does not affect neuron intrinsic excitability in LPAG.</w:t>
      </w:r>
    </w:p>
    <w:p w14:paraId="6A5E5612"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Representative traces of action potentials (AP) in </w:t>
      </w:r>
      <w:r w:rsidRPr="000B6B85">
        <w:rPr>
          <w:rFonts w:ascii="Arial" w:hAnsi="Arial" w:cs="Arial"/>
          <w:i/>
          <w:iCs/>
          <w:lang w:val="en-US"/>
        </w:rPr>
        <w:t xml:space="preserve">+/+ </w:t>
      </w:r>
      <w:r w:rsidRPr="000B6B85">
        <w:rPr>
          <w:rFonts w:ascii="Arial" w:hAnsi="Arial" w:cs="Arial"/>
          <w:lang w:val="en-US"/>
        </w:rPr>
        <w:t xml:space="preserve">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mouse.</w:t>
      </w:r>
    </w:p>
    <w:p w14:paraId="4018DB50"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(b) AP frequency of LPAG neurons in </w:t>
      </w:r>
      <w:r w:rsidRPr="000B6B85">
        <w:rPr>
          <w:rFonts w:ascii="Arial" w:hAnsi="Arial" w:cs="Arial"/>
          <w:i/>
          <w:iCs/>
          <w:lang w:val="en-US"/>
        </w:rPr>
        <w:t xml:space="preserve">+/+ </w:t>
      </w:r>
      <w:r w:rsidRPr="000B6B85">
        <w:rPr>
          <w:rFonts w:ascii="Arial" w:hAnsi="Arial" w:cs="Arial"/>
          <w:lang w:val="en-US"/>
        </w:rPr>
        <w:t xml:space="preserve">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mouse in response to increasing depolarizing current. </w:t>
      </w:r>
    </w:p>
    <w:p w14:paraId="14A25FAF"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(c-e) AP amplitude (c), AP half-width (d), and afterhyperpolarization (e) of the first AP evoked by current injection are comparable between +/+ 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mice.  In b-e, the value are presented as mean ± SD (+/+, n=20/</w:t>
      </w:r>
      <w:proofErr w:type="gramStart"/>
      <w:r w:rsidRPr="000B6B85">
        <w:rPr>
          <w:rFonts w:ascii="Arial" w:hAnsi="Arial" w:cs="Arial"/>
          <w:lang w:val="en-US"/>
        </w:rPr>
        <w:t>4;  +</w:t>
      </w:r>
      <w:proofErr w:type="gramEnd"/>
      <w:r w:rsidRPr="000B6B85">
        <w:rPr>
          <w:rFonts w:ascii="Arial" w:hAnsi="Arial" w:cs="Arial"/>
          <w:lang w:val="en-US"/>
        </w:rPr>
        <w:t>/-, n=33/3).  N.S., no significant difference, t-test, SPSS.  HW, half-width; AHP, afterhyperpolarization.</w:t>
      </w:r>
    </w:p>
    <w:p w14:paraId="1C7DC513" w14:textId="2B643EA1" w:rsidR="000B6B85" w:rsidRDefault="000B6B85" w:rsidP="000B6B85">
      <w:pPr>
        <w:spacing w:line="360" w:lineRule="auto"/>
        <w:rPr>
          <w:rFonts w:ascii="Arial" w:hAnsi="Arial" w:cs="Arial"/>
        </w:rPr>
      </w:pPr>
    </w:p>
    <w:p w14:paraId="3FC35EFD" w14:textId="451FD8BE" w:rsidR="000B6B85" w:rsidRDefault="000B6B85" w:rsidP="000B6B85">
      <w:pPr>
        <w:spacing w:line="360" w:lineRule="auto"/>
        <w:rPr>
          <w:rFonts w:ascii="Arial" w:hAnsi="Arial" w:cs="Arial"/>
        </w:rPr>
      </w:pPr>
    </w:p>
    <w:p w14:paraId="71CAB9C7" w14:textId="0945EF72" w:rsidR="000B6B85" w:rsidRDefault="000B6B85" w:rsidP="000B6B85">
      <w:pPr>
        <w:spacing w:line="360" w:lineRule="auto"/>
        <w:rPr>
          <w:rFonts w:ascii="Arial" w:hAnsi="Arial" w:cs="Arial"/>
        </w:rPr>
      </w:pPr>
    </w:p>
    <w:p w14:paraId="5AFFAE78" w14:textId="1DD52B6E" w:rsidR="000B6B85" w:rsidRDefault="000B6B85" w:rsidP="000B6B85">
      <w:pPr>
        <w:spacing w:line="360" w:lineRule="auto"/>
        <w:rPr>
          <w:rFonts w:ascii="Arial" w:hAnsi="Arial" w:cs="Arial"/>
        </w:rPr>
      </w:pPr>
    </w:p>
    <w:p w14:paraId="15EFDBC7" w14:textId="2DCF1957" w:rsidR="000B6B85" w:rsidRDefault="000B6B85" w:rsidP="000B6B85">
      <w:pPr>
        <w:spacing w:line="360" w:lineRule="auto"/>
        <w:rPr>
          <w:rFonts w:ascii="Arial" w:hAnsi="Arial" w:cs="Arial"/>
        </w:rPr>
      </w:pPr>
    </w:p>
    <w:p w14:paraId="7AE0D878"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S12. Expression of TCF7L2 in PAG is required for pup USV production.  </w:t>
      </w:r>
    </w:p>
    <w:p w14:paraId="1EDD790B"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 schematic diagram for </w:t>
      </w:r>
      <w:r w:rsidRPr="000B6B85">
        <w:rPr>
          <w:rFonts w:ascii="Arial" w:hAnsi="Arial" w:cs="Arial"/>
          <w:i/>
          <w:iCs/>
          <w:lang w:val="en-US"/>
        </w:rPr>
        <w:t>Tcf7l2</w:t>
      </w:r>
      <w:r w:rsidRPr="000B6B85">
        <w:rPr>
          <w:rFonts w:ascii="Arial" w:hAnsi="Arial" w:cs="Arial"/>
          <w:lang w:val="en-US"/>
        </w:rPr>
        <w:t xml:space="preserve"> KO in PAG by AAV-Syn-mCherry-Cre injection.  The AAV viral particles were injected into PAGs of </w:t>
      </w:r>
      <w:r w:rsidRPr="000B6B85">
        <w:rPr>
          <w:rFonts w:ascii="Arial" w:hAnsi="Arial" w:cs="Arial"/>
          <w:i/>
          <w:iCs/>
          <w:lang w:val="en-US"/>
        </w:rPr>
        <w:t>Tcf7l2</w:t>
      </w:r>
      <w:r w:rsidRPr="000B6B85">
        <w:rPr>
          <w:rFonts w:ascii="Arial" w:hAnsi="Arial" w:cs="Arial"/>
          <w:lang w:val="en-US"/>
        </w:rPr>
        <w:t xml:space="preserve"> </w:t>
      </w:r>
      <w:r w:rsidRPr="000B6B85">
        <w:rPr>
          <w:rFonts w:ascii="Arial" w:hAnsi="Arial" w:cs="Arial"/>
          <w:i/>
          <w:iCs/>
          <w:lang w:val="en-US"/>
        </w:rPr>
        <w:t>exon11</w:t>
      </w:r>
      <w:r w:rsidRPr="000B6B85">
        <w:rPr>
          <w:rFonts w:ascii="Arial" w:hAnsi="Arial" w:cs="Arial"/>
          <w:lang w:val="en-US"/>
        </w:rPr>
        <w:t xml:space="preserve"> </w:t>
      </w:r>
      <w:r w:rsidRPr="000B6B85">
        <w:rPr>
          <w:rFonts w:ascii="Arial" w:hAnsi="Arial" w:cs="Arial"/>
          <w:i/>
          <w:iCs/>
          <w:lang w:val="en-US"/>
        </w:rPr>
        <w:t>fl</w:t>
      </w:r>
      <w:r w:rsidRPr="000B6B85">
        <w:rPr>
          <w:rFonts w:ascii="Arial" w:hAnsi="Arial" w:cs="Arial"/>
          <w:lang w:val="en-US"/>
        </w:rPr>
        <w:t>/</w:t>
      </w:r>
      <w:r w:rsidRPr="000B6B85">
        <w:rPr>
          <w:rFonts w:ascii="Arial" w:hAnsi="Arial" w:cs="Arial"/>
          <w:i/>
          <w:iCs/>
          <w:lang w:val="en-US"/>
        </w:rPr>
        <w:t xml:space="preserve">fl </w:t>
      </w:r>
      <w:r w:rsidRPr="000B6B85">
        <w:rPr>
          <w:rFonts w:ascii="Arial" w:hAnsi="Arial" w:cs="Arial"/>
          <w:lang w:val="en-US"/>
        </w:rPr>
        <w:t>mice at P0</w:t>
      </w:r>
      <w:r w:rsidRPr="000B6B85">
        <w:rPr>
          <w:rFonts w:ascii="Arial" w:hAnsi="Arial" w:cs="Arial"/>
          <w:i/>
          <w:iCs/>
          <w:lang w:val="en-US"/>
        </w:rPr>
        <w:t xml:space="preserve"> </w:t>
      </w:r>
      <w:r w:rsidRPr="000B6B85">
        <w:rPr>
          <w:rFonts w:ascii="Arial" w:hAnsi="Arial" w:cs="Arial"/>
          <w:lang w:val="en-US"/>
        </w:rPr>
        <w:t xml:space="preserve">and USVs were measured at P7.  The Cre expression was driven by a neuronal Syn1 promoter.  AAV-Syn-mCherry served as a control. </w:t>
      </w:r>
    </w:p>
    <w:p w14:paraId="317961CE" w14:textId="77777777" w:rsidR="000B6B85" w:rsidRPr="000B6B85" w:rsidRDefault="000B6B85" w:rsidP="000B6B85">
      <w:pPr>
        <w:spacing w:line="360" w:lineRule="auto"/>
        <w:rPr>
          <w:rFonts w:ascii="Arial" w:hAnsi="Arial" w:cs="Arial"/>
        </w:rPr>
      </w:pPr>
      <w:r w:rsidRPr="000B6B85">
        <w:rPr>
          <w:rFonts w:ascii="Arial" w:hAnsi="Arial" w:cs="Arial"/>
          <w:lang w:val="en-US"/>
        </w:rPr>
        <w:t>(b) The removal of exon 11 (</w:t>
      </w:r>
      <w:r w:rsidRPr="000B6B85">
        <w:rPr>
          <w:rFonts w:ascii="Arial" w:hAnsi="Arial" w:cs="Arial"/>
          <w:lang w:val="el-GR"/>
        </w:rPr>
        <w:t>Δ</w:t>
      </w:r>
      <w:r w:rsidRPr="000B6B85">
        <w:rPr>
          <w:rFonts w:ascii="Arial" w:hAnsi="Arial" w:cs="Arial"/>
          <w:lang w:val="en-US"/>
        </w:rPr>
        <w:t>Exon11) at DNA level was detected in midbrain at P3 and P5 after AAV-mCherry-Cre injection.  Gapdh served as a control for genomic DNA PCR.</w:t>
      </w:r>
    </w:p>
    <w:p w14:paraId="18A9E844"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 The mCherry expression indicated the AAV infected region at P7.  We speculate that the infected regions above PAG are caused by PAG neural </w:t>
      </w:r>
      <w:proofErr w:type="gramStart"/>
      <w:r w:rsidRPr="000B6B85">
        <w:rPr>
          <w:rFonts w:ascii="Arial" w:hAnsi="Arial" w:cs="Arial"/>
          <w:lang w:val="en-US"/>
        </w:rPr>
        <w:t>progenitors</w:t>
      </w:r>
      <w:proofErr w:type="gramEnd"/>
      <w:r w:rsidRPr="000B6B85">
        <w:rPr>
          <w:rFonts w:ascii="Arial" w:hAnsi="Arial" w:cs="Arial"/>
          <w:lang w:val="en-US"/>
        </w:rPr>
        <w:t xml:space="preserve"> proliferation and migration.</w:t>
      </w:r>
    </w:p>
    <w:p w14:paraId="494036AB" w14:textId="77777777" w:rsidR="000B6B85" w:rsidRPr="000B6B85" w:rsidRDefault="000B6B85" w:rsidP="000B6B85">
      <w:pPr>
        <w:spacing w:line="360" w:lineRule="auto"/>
        <w:rPr>
          <w:rFonts w:ascii="Arial" w:hAnsi="Arial" w:cs="Arial"/>
        </w:rPr>
      </w:pPr>
      <w:r w:rsidRPr="000B6B85">
        <w:rPr>
          <w:rFonts w:ascii="Arial" w:hAnsi="Arial" w:cs="Arial"/>
          <w:lang w:val="en-US"/>
        </w:rPr>
        <w:lastRenderedPageBreak/>
        <w:t xml:space="preserve">(d and e) Expression of TCF7L2 in PAG of </w:t>
      </w:r>
      <w:r w:rsidRPr="000B6B85">
        <w:rPr>
          <w:rFonts w:ascii="Arial" w:hAnsi="Arial" w:cs="Arial"/>
          <w:i/>
          <w:iCs/>
          <w:lang w:val="en-US"/>
        </w:rPr>
        <w:t>Tcf7l2</w:t>
      </w:r>
      <w:r w:rsidRPr="000B6B85">
        <w:rPr>
          <w:rFonts w:ascii="Arial" w:hAnsi="Arial" w:cs="Arial"/>
          <w:lang w:val="en-US"/>
        </w:rPr>
        <w:t xml:space="preserve"> </w:t>
      </w:r>
      <w:r w:rsidRPr="000B6B85">
        <w:rPr>
          <w:rFonts w:ascii="Arial" w:hAnsi="Arial" w:cs="Arial"/>
          <w:i/>
          <w:iCs/>
          <w:lang w:val="en-US"/>
        </w:rPr>
        <w:t xml:space="preserve">exon11 fl/fl </w:t>
      </w:r>
      <w:r w:rsidRPr="000B6B85">
        <w:rPr>
          <w:rFonts w:ascii="Arial" w:hAnsi="Arial" w:cs="Arial"/>
          <w:lang w:val="en-US"/>
        </w:rPr>
        <w:t>mice at P7 after AAV-mCherry or AAV-mCherry-Cre injections.   Data summary was shown in (j) (n=3).</w:t>
      </w:r>
    </w:p>
    <w:p w14:paraId="3F7E2047"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(f) Pup USV features were measured in </w:t>
      </w:r>
      <w:r w:rsidRPr="000B6B85">
        <w:rPr>
          <w:rFonts w:ascii="Arial" w:hAnsi="Arial" w:cs="Arial"/>
          <w:i/>
          <w:iCs/>
          <w:lang w:val="en-US"/>
        </w:rPr>
        <w:t xml:space="preserve">Tcf7l2 exon11 fl/fl </w:t>
      </w:r>
      <w:r w:rsidRPr="000B6B85">
        <w:rPr>
          <w:rFonts w:ascii="Arial" w:hAnsi="Arial" w:cs="Arial"/>
          <w:lang w:val="en-US"/>
        </w:rPr>
        <w:t>mice injected with AAV-mCherry and AAV-mCherry-Cre.</w:t>
      </w:r>
    </w:p>
    <w:p w14:paraId="64A91BAF"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N.S., no significant difference, ** </w:t>
      </w:r>
      <w:r w:rsidRPr="000B6B85">
        <w:rPr>
          <w:rFonts w:ascii="Arial" w:hAnsi="Arial" w:cs="Arial"/>
          <w:i/>
          <w:iCs/>
          <w:lang w:val="en-US"/>
        </w:rPr>
        <w:t>p</w:t>
      </w:r>
      <w:r w:rsidRPr="000B6B85">
        <w:rPr>
          <w:rFonts w:ascii="Arial" w:hAnsi="Arial" w:cs="Arial"/>
          <w:lang w:val="en-US"/>
        </w:rPr>
        <w:t xml:space="preserve">&lt;0.01, *** </w:t>
      </w:r>
      <w:r w:rsidRPr="000B6B85">
        <w:rPr>
          <w:rFonts w:ascii="Arial" w:hAnsi="Arial" w:cs="Arial"/>
          <w:i/>
          <w:iCs/>
          <w:lang w:val="en-US"/>
        </w:rPr>
        <w:t>p</w:t>
      </w:r>
      <w:r w:rsidRPr="000B6B85">
        <w:rPr>
          <w:rFonts w:ascii="Arial" w:hAnsi="Arial" w:cs="Arial"/>
          <w:lang w:val="en-US"/>
        </w:rPr>
        <w:t>&lt;0.001, t-test or ANOVA, SPSS.  In f, AAV-mCherry (n=13), AAV-mCherry-Cre (n=15).</w:t>
      </w:r>
    </w:p>
    <w:p w14:paraId="7D0BF359" w14:textId="5F49C090" w:rsidR="000B6B85" w:rsidRDefault="000B6B85" w:rsidP="000B6B85">
      <w:pPr>
        <w:spacing w:line="360" w:lineRule="auto"/>
        <w:rPr>
          <w:rFonts w:ascii="Arial" w:hAnsi="Arial" w:cs="Arial"/>
        </w:rPr>
      </w:pPr>
    </w:p>
    <w:p w14:paraId="2B6D387E" w14:textId="181D0DFF" w:rsidR="000B6B85" w:rsidRDefault="000B6B85" w:rsidP="000B6B85">
      <w:pPr>
        <w:spacing w:line="360" w:lineRule="auto"/>
        <w:rPr>
          <w:rFonts w:ascii="Arial" w:hAnsi="Arial" w:cs="Arial"/>
        </w:rPr>
      </w:pPr>
    </w:p>
    <w:p w14:paraId="2DAEA968" w14:textId="20A5D659" w:rsidR="000B6B85" w:rsidRDefault="000B6B85" w:rsidP="000B6B85">
      <w:pPr>
        <w:spacing w:line="360" w:lineRule="auto"/>
        <w:rPr>
          <w:rFonts w:ascii="Arial" w:hAnsi="Arial" w:cs="Arial"/>
        </w:rPr>
      </w:pPr>
    </w:p>
    <w:p w14:paraId="151CC676" w14:textId="0BF66434" w:rsidR="000B6B85" w:rsidRDefault="000B6B85" w:rsidP="000B6B85">
      <w:pPr>
        <w:spacing w:line="360" w:lineRule="auto"/>
        <w:rPr>
          <w:rFonts w:ascii="Arial" w:hAnsi="Arial" w:cs="Arial"/>
        </w:rPr>
      </w:pPr>
    </w:p>
    <w:p w14:paraId="066ECF60" w14:textId="641636FE" w:rsidR="000B6B85" w:rsidRDefault="000B6B85" w:rsidP="000B6B85">
      <w:pPr>
        <w:spacing w:line="360" w:lineRule="auto"/>
        <w:rPr>
          <w:rFonts w:ascii="Arial" w:hAnsi="Arial" w:cs="Arial"/>
        </w:rPr>
      </w:pPr>
    </w:p>
    <w:p w14:paraId="361768A1"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S13. TCF7L2 adulthood expression in PAG is not required for adult mouse vocal communication.  </w:t>
      </w:r>
    </w:p>
    <w:p w14:paraId="3B15B6F0"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 schematic diagram for </w:t>
      </w:r>
      <w:r w:rsidRPr="000B6B85">
        <w:rPr>
          <w:rFonts w:ascii="Arial" w:hAnsi="Arial" w:cs="Arial"/>
          <w:i/>
          <w:iCs/>
          <w:lang w:val="en-US"/>
        </w:rPr>
        <w:t>Tcf7l2</w:t>
      </w:r>
      <w:r w:rsidRPr="000B6B85">
        <w:rPr>
          <w:rFonts w:ascii="Arial" w:hAnsi="Arial" w:cs="Arial"/>
          <w:lang w:val="en-US"/>
        </w:rPr>
        <w:t xml:space="preserve"> KO in PAG by AAV-Syn-mCherry-Cre injection.  The AAV viral particles were injected into PAG of </w:t>
      </w:r>
      <w:r w:rsidRPr="000B6B85">
        <w:rPr>
          <w:rFonts w:ascii="Arial" w:hAnsi="Arial" w:cs="Arial"/>
          <w:i/>
          <w:iCs/>
          <w:lang w:val="en-US"/>
        </w:rPr>
        <w:t>Tcf7l2</w:t>
      </w:r>
      <w:r w:rsidRPr="000B6B85">
        <w:rPr>
          <w:rFonts w:ascii="Arial" w:hAnsi="Arial" w:cs="Arial"/>
          <w:lang w:val="en-US"/>
        </w:rPr>
        <w:t xml:space="preserve"> </w:t>
      </w:r>
      <w:r w:rsidRPr="000B6B85">
        <w:rPr>
          <w:rFonts w:ascii="Arial" w:hAnsi="Arial" w:cs="Arial"/>
          <w:i/>
          <w:iCs/>
          <w:lang w:val="en-US"/>
        </w:rPr>
        <w:t>exon11</w:t>
      </w:r>
      <w:r w:rsidRPr="000B6B85">
        <w:rPr>
          <w:rFonts w:ascii="Arial" w:hAnsi="Arial" w:cs="Arial"/>
          <w:lang w:val="en-US"/>
        </w:rPr>
        <w:t xml:space="preserve"> </w:t>
      </w:r>
      <w:r w:rsidRPr="000B6B85">
        <w:rPr>
          <w:rFonts w:ascii="Arial" w:hAnsi="Arial" w:cs="Arial"/>
          <w:i/>
          <w:iCs/>
          <w:lang w:val="en-US"/>
        </w:rPr>
        <w:t>fl</w:t>
      </w:r>
      <w:r w:rsidRPr="000B6B85">
        <w:rPr>
          <w:rFonts w:ascii="Arial" w:hAnsi="Arial" w:cs="Arial"/>
          <w:lang w:val="en-US"/>
        </w:rPr>
        <w:t>/</w:t>
      </w:r>
      <w:r w:rsidRPr="000B6B85">
        <w:rPr>
          <w:rFonts w:ascii="Arial" w:hAnsi="Arial" w:cs="Arial"/>
          <w:i/>
          <w:iCs/>
          <w:lang w:val="en-US"/>
        </w:rPr>
        <w:t xml:space="preserve">fl </w:t>
      </w:r>
      <w:r w:rsidRPr="000B6B85">
        <w:rPr>
          <w:rFonts w:ascii="Arial" w:hAnsi="Arial" w:cs="Arial"/>
          <w:lang w:val="en-US"/>
        </w:rPr>
        <w:t>mouse at 2-month</w:t>
      </w:r>
      <w:r w:rsidRPr="000B6B85">
        <w:rPr>
          <w:rFonts w:ascii="Arial" w:hAnsi="Arial" w:cs="Arial"/>
          <w:i/>
          <w:iCs/>
          <w:lang w:val="en-US"/>
        </w:rPr>
        <w:t xml:space="preserve"> </w:t>
      </w:r>
      <w:r w:rsidRPr="000B6B85">
        <w:rPr>
          <w:rFonts w:ascii="Arial" w:hAnsi="Arial" w:cs="Arial"/>
          <w:lang w:val="en-US"/>
        </w:rPr>
        <w:t xml:space="preserve">and USVs were measured at 3-month of age. The Cre expression was driven by a neuronal Syn1 promoter.  AAV-Syn-mCherry served as a control. </w:t>
      </w:r>
    </w:p>
    <w:p w14:paraId="4B17F5D8"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(b) Immunostaining results displayed </w:t>
      </w:r>
      <w:r w:rsidRPr="000B6B85">
        <w:rPr>
          <w:rFonts w:ascii="Arial" w:hAnsi="Arial" w:cs="Arial"/>
          <w:i/>
          <w:iCs/>
          <w:lang w:val="en-US"/>
        </w:rPr>
        <w:t>Tcf7l2</w:t>
      </w:r>
      <w:r w:rsidRPr="000B6B85">
        <w:rPr>
          <w:rFonts w:ascii="Arial" w:hAnsi="Arial" w:cs="Arial"/>
          <w:lang w:val="en-US"/>
        </w:rPr>
        <w:t xml:space="preserve"> KO in PAG by the AAV injection.</w:t>
      </w:r>
    </w:p>
    <w:p w14:paraId="713F4572"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(c-f) Key features of USVs measured in the </w:t>
      </w:r>
      <w:r w:rsidRPr="000B6B85">
        <w:rPr>
          <w:rFonts w:ascii="Arial" w:hAnsi="Arial" w:cs="Arial"/>
          <w:i/>
          <w:iCs/>
          <w:lang w:val="en-US"/>
        </w:rPr>
        <w:t>Tcf7l2</w:t>
      </w:r>
      <w:r w:rsidRPr="000B6B85">
        <w:rPr>
          <w:rFonts w:ascii="Arial" w:hAnsi="Arial" w:cs="Arial"/>
          <w:lang w:val="en-US"/>
        </w:rPr>
        <w:t xml:space="preserve"> conditional KO mice at 3-month of age.</w:t>
      </w:r>
    </w:p>
    <w:p w14:paraId="2358086C"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N.S., no significant difference, ** </w:t>
      </w:r>
      <w:r w:rsidRPr="000B6B85">
        <w:rPr>
          <w:rFonts w:ascii="Arial" w:hAnsi="Arial" w:cs="Arial"/>
          <w:i/>
          <w:iCs/>
          <w:lang w:val="en-US"/>
        </w:rPr>
        <w:t>p</w:t>
      </w:r>
      <w:r w:rsidRPr="000B6B85">
        <w:rPr>
          <w:rFonts w:ascii="Arial" w:hAnsi="Arial" w:cs="Arial"/>
          <w:lang w:val="en-US"/>
        </w:rPr>
        <w:t xml:space="preserve">&lt;0.01, *** </w:t>
      </w:r>
      <w:r w:rsidRPr="000B6B85">
        <w:rPr>
          <w:rFonts w:ascii="Arial" w:hAnsi="Arial" w:cs="Arial"/>
          <w:i/>
          <w:iCs/>
          <w:lang w:val="en-US"/>
        </w:rPr>
        <w:t>p</w:t>
      </w:r>
      <w:r w:rsidRPr="000B6B85">
        <w:rPr>
          <w:rFonts w:ascii="Arial" w:hAnsi="Arial" w:cs="Arial"/>
          <w:lang w:val="en-US"/>
        </w:rPr>
        <w:t>&lt;0.001, t-test or ANOVA, SPSS.  In c-f, AAV-mCherry (n=6), AAV-mCherry-Cre (n=6).</w:t>
      </w:r>
    </w:p>
    <w:p w14:paraId="4348930D" w14:textId="33AE8BCF" w:rsidR="000B6B85" w:rsidRDefault="000B6B85" w:rsidP="000B6B85">
      <w:pPr>
        <w:spacing w:line="360" w:lineRule="auto"/>
        <w:rPr>
          <w:rFonts w:ascii="Arial" w:hAnsi="Arial" w:cs="Arial"/>
        </w:rPr>
      </w:pPr>
    </w:p>
    <w:p w14:paraId="4A365A5E" w14:textId="22359DA5" w:rsidR="000B6B85" w:rsidRDefault="000B6B85" w:rsidP="000B6B85">
      <w:pPr>
        <w:spacing w:line="360" w:lineRule="auto"/>
        <w:rPr>
          <w:rFonts w:ascii="Arial" w:hAnsi="Arial" w:cs="Arial"/>
        </w:rPr>
      </w:pPr>
    </w:p>
    <w:p w14:paraId="7DED8014" w14:textId="1B5787DD" w:rsidR="000B6B85" w:rsidRDefault="000B6B85" w:rsidP="000B6B85">
      <w:pPr>
        <w:spacing w:line="360" w:lineRule="auto"/>
        <w:rPr>
          <w:rFonts w:ascii="Arial" w:hAnsi="Arial" w:cs="Arial"/>
        </w:rPr>
      </w:pPr>
    </w:p>
    <w:p w14:paraId="0803E1DC" w14:textId="17FC6DB8" w:rsidR="000B6B85" w:rsidRDefault="000B6B85" w:rsidP="000B6B85">
      <w:pPr>
        <w:spacing w:line="360" w:lineRule="auto"/>
        <w:rPr>
          <w:rFonts w:ascii="Arial" w:hAnsi="Arial" w:cs="Arial"/>
        </w:rPr>
      </w:pPr>
    </w:p>
    <w:p w14:paraId="4A09F98B" w14:textId="7BB73132" w:rsidR="000B6B85" w:rsidRDefault="000B6B85" w:rsidP="000B6B85">
      <w:pPr>
        <w:spacing w:line="360" w:lineRule="auto"/>
        <w:rPr>
          <w:rFonts w:ascii="Arial" w:hAnsi="Arial" w:cs="Arial"/>
        </w:rPr>
      </w:pPr>
    </w:p>
    <w:p w14:paraId="0A692AD8"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S14. TCF7L2 adulthood expression in PAG is not sufficient for adult mouse vocal communication.  </w:t>
      </w:r>
    </w:p>
    <w:p w14:paraId="7F9D6027"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 schematic diagram for AAV-Syn-mCherry-Cre injection in PAG in </w:t>
      </w:r>
      <w:r w:rsidRPr="000B6B85">
        <w:rPr>
          <w:rFonts w:ascii="Arial" w:hAnsi="Arial" w:cs="Arial"/>
          <w:i/>
          <w:iCs/>
          <w:lang w:val="en-US"/>
        </w:rPr>
        <w:t xml:space="preserve">fx/+ </w:t>
      </w:r>
      <w:r w:rsidRPr="000B6B85">
        <w:rPr>
          <w:rFonts w:ascii="Arial" w:hAnsi="Arial" w:cs="Arial"/>
          <w:lang w:val="en-US"/>
        </w:rPr>
        <w:t xml:space="preserve">mice.  The AAV viral particles were injected into PAG of </w:t>
      </w:r>
      <w:r w:rsidRPr="000B6B85">
        <w:rPr>
          <w:rFonts w:ascii="Arial" w:hAnsi="Arial" w:cs="Arial"/>
          <w:i/>
          <w:iCs/>
          <w:lang w:val="en-US"/>
        </w:rPr>
        <w:t>Tcf7l2</w:t>
      </w:r>
      <w:r w:rsidRPr="000B6B85">
        <w:rPr>
          <w:rFonts w:ascii="Arial" w:hAnsi="Arial" w:cs="Arial"/>
          <w:lang w:val="en-US"/>
        </w:rPr>
        <w:t xml:space="preserve"> </w:t>
      </w:r>
      <w:r w:rsidRPr="000B6B85">
        <w:rPr>
          <w:rFonts w:ascii="Arial" w:hAnsi="Arial" w:cs="Arial"/>
          <w:i/>
          <w:iCs/>
          <w:lang w:val="en-US"/>
        </w:rPr>
        <w:t xml:space="preserve">fx/+ </w:t>
      </w:r>
      <w:r w:rsidRPr="000B6B85">
        <w:rPr>
          <w:rFonts w:ascii="Arial" w:hAnsi="Arial" w:cs="Arial"/>
          <w:lang w:val="en-US"/>
        </w:rPr>
        <w:t>mouse at 2-month</w:t>
      </w:r>
      <w:r w:rsidRPr="000B6B85">
        <w:rPr>
          <w:rFonts w:ascii="Arial" w:hAnsi="Arial" w:cs="Arial"/>
          <w:i/>
          <w:iCs/>
          <w:lang w:val="en-US"/>
        </w:rPr>
        <w:t xml:space="preserve"> </w:t>
      </w:r>
      <w:r w:rsidRPr="000B6B85">
        <w:rPr>
          <w:rFonts w:ascii="Arial" w:hAnsi="Arial" w:cs="Arial"/>
          <w:lang w:val="en-US"/>
        </w:rPr>
        <w:t xml:space="preserve">and USVs </w:t>
      </w:r>
      <w:r w:rsidRPr="000B6B85">
        <w:rPr>
          <w:rFonts w:ascii="Arial" w:hAnsi="Arial" w:cs="Arial"/>
          <w:lang w:val="en-US"/>
        </w:rPr>
        <w:lastRenderedPageBreak/>
        <w:t xml:space="preserve">were measured at 3-month of age.  The Cre expression was driven by a neuronal Syn1 promoter.  AAV-Syn-mCherry served as a control. </w:t>
      </w:r>
    </w:p>
    <w:p w14:paraId="537EC781" w14:textId="77777777" w:rsidR="000B6B85" w:rsidRPr="000B6B85" w:rsidRDefault="000B6B85" w:rsidP="000B6B85">
      <w:pPr>
        <w:spacing w:line="360" w:lineRule="auto"/>
        <w:rPr>
          <w:rFonts w:ascii="Arial" w:hAnsi="Arial" w:cs="Arial"/>
        </w:rPr>
      </w:pPr>
      <w:r w:rsidRPr="000B6B85">
        <w:rPr>
          <w:rFonts w:ascii="Arial" w:hAnsi="Arial" w:cs="Arial"/>
          <w:lang w:val="en-US"/>
        </w:rPr>
        <w:t>(b and c) The expression of TCF7L2 in the indicated AAV-injected mice (3-month of age) by western blot.  GAPDH, loading control.</w:t>
      </w:r>
    </w:p>
    <w:p w14:paraId="41B88C23"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(d-g) Key features of USVs measured in </w:t>
      </w:r>
      <w:r w:rsidRPr="000B6B85">
        <w:rPr>
          <w:rFonts w:ascii="Arial" w:hAnsi="Arial" w:cs="Arial"/>
          <w:i/>
          <w:iCs/>
          <w:lang w:val="en-US"/>
        </w:rPr>
        <w:t xml:space="preserve">Tcf7l2 fx/+ </w:t>
      </w:r>
      <w:r w:rsidRPr="000B6B85">
        <w:rPr>
          <w:rFonts w:ascii="Arial" w:hAnsi="Arial" w:cs="Arial"/>
          <w:lang w:val="en-US"/>
        </w:rPr>
        <w:t>mice after injections of AAV-mCherry and AAV-mCherry-Cre.</w:t>
      </w:r>
    </w:p>
    <w:p w14:paraId="5FE4E03F"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N.S., no significant difference, ** </w:t>
      </w:r>
      <w:r w:rsidRPr="000B6B85">
        <w:rPr>
          <w:rFonts w:ascii="Arial" w:hAnsi="Arial" w:cs="Arial"/>
          <w:i/>
          <w:iCs/>
          <w:lang w:val="en-US"/>
        </w:rPr>
        <w:t>p</w:t>
      </w:r>
      <w:r w:rsidRPr="000B6B85">
        <w:rPr>
          <w:rFonts w:ascii="Arial" w:hAnsi="Arial" w:cs="Arial"/>
          <w:lang w:val="en-US"/>
        </w:rPr>
        <w:t xml:space="preserve">&lt;0.01, *** </w:t>
      </w:r>
      <w:r w:rsidRPr="000B6B85">
        <w:rPr>
          <w:rFonts w:ascii="Arial" w:hAnsi="Arial" w:cs="Arial"/>
          <w:i/>
          <w:iCs/>
          <w:lang w:val="en-US"/>
        </w:rPr>
        <w:t>p</w:t>
      </w:r>
      <w:r w:rsidRPr="000B6B85">
        <w:rPr>
          <w:rFonts w:ascii="Arial" w:hAnsi="Arial" w:cs="Arial"/>
          <w:lang w:val="en-US"/>
        </w:rPr>
        <w:t>&lt;0.001, t-test or ANOVA, SPSS.  In b and c, AAV-mCherry (n=3), AAV-mCherry-Cre (n=3), in d-g, control (+/+, n=8), AAV-mCherry (n=8), AAV-mCherry-Cre (n=9).</w:t>
      </w:r>
    </w:p>
    <w:p w14:paraId="3DE733FD" w14:textId="7AB0E040" w:rsidR="000B6B85" w:rsidRDefault="000B6B85" w:rsidP="000B6B85">
      <w:pPr>
        <w:spacing w:line="360" w:lineRule="auto"/>
        <w:rPr>
          <w:rFonts w:ascii="Arial" w:hAnsi="Arial" w:cs="Arial"/>
        </w:rPr>
      </w:pPr>
    </w:p>
    <w:p w14:paraId="6E9800E4" w14:textId="58671E97" w:rsidR="000B6B85" w:rsidRDefault="000B6B85" w:rsidP="000B6B85">
      <w:pPr>
        <w:spacing w:line="360" w:lineRule="auto"/>
        <w:rPr>
          <w:rFonts w:ascii="Arial" w:hAnsi="Arial" w:cs="Arial"/>
        </w:rPr>
      </w:pPr>
    </w:p>
    <w:p w14:paraId="070D7920" w14:textId="2AEC742D" w:rsidR="000B6B85" w:rsidRDefault="000B6B85" w:rsidP="000B6B85">
      <w:pPr>
        <w:spacing w:line="360" w:lineRule="auto"/>
        <w:rPr>
          <w:rFonts w:ascii="Arial" w:hAnsi="Arial" w:cs="Arial"/>
        </w:rPr>
      </w:pPr>
    </w:p>
    <w:p w14:paraId="4C31BAFD" w14:textId="2ADF512E" w:rsidR="000B6B85" w:rsidRDefault="000B6B85" w:rsidP="000B6B85">
      <w:pPr>
        <w:spacing w:line="360" w:lineRule="auto"/>
        <w:rPr>
          <w:rFonts w:ascii="Arial" w:hAnsi="Arial" w:cs="Arial"/>
        </w:rPr>
      </w:pPr>
    </w:p>
    <w:p w14:paraId="543A204F" w14:textId="54F6654B" w:rsidR="000B6B85" w:rsidRDefault="000B6B85" w:rsidP="000B6B85">
      <w:pPr>
        <w:spacing w:line="360" w:lineRule="auto"/>
        <w:rPr>
          <w:rFonts w:ascii="Arial" w:hAnsi="Arial" w:cs="Arial"/>
        </w:rPr>
      </w:pPr>
    </w:p>
    <w:p w14:paraId="16DE1ABB"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S15. Generation of </w:t>
      </w:r>
      <w:r w:rsidRPr="000B6B85">
        <w:rPr>
          <w:rFonts w:ascii="Arial" w:hAnsi="Arial" w:cs="Arial"/>
          <w:b/>
          <w:bCs/>
          <w:i/>
          <w:iCs/>
          <w:lang w:val="en-US"/>
        </w:rPr>
        <w:t>Tcf7l2</w:t>
      </w:r>
      <w:r w:rsidRPr="000B6B85">
        <w:rPr>
          <w:rFonts w:ascii="Arial" w:hAnsi="Arial" w:cs="Arial"/>
          <w:b/>
          <w:bCs/>
          <w:lang w:val="en-US"/>
        </w:rPr>
        <w:t xml:space="preserve"> exon5’ KO mouse.  </w:t>
      </w:r>
    </w:p>
    <w:p w14:paraId="61B4402A"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 ~6kb DNA fragment containing exon5’-2 to -9 was removed by CRISPR/Cas9-based KO.  We employed two sgRNAs (labeled as scissors).  Ten alternative exon5’ of </w:t>
      </w:r>
      <w:r w:rsidRPr="000B6B85">
        <w:rPr>
          <w:rFonts w:ascii="Arial" w:hAnsi="Arial" w:cs="Arial"/>
          <w:i/>
          <w:iCs/>
          <w:lang w:val="en-US"/>
        </w:rPr>
        <w:t>Tcf7l2</w:t>
      </w:r>
      <w:r w:rsidRPr="000B6B85">
        <w:rPr>
          <w:rFonts w:ascii="Arial" w:hAnsi="Arial" w:cs="Arial"/>
          <w:lang w:val="en-US"/>
        </w:rPr>
        <w:t xml:space="preserve"> are represented as blue rectangles.  Primers for genotyping are labeled (F1, R1, F2, and R2).  An additional 848bp band was only amplified by genomic DNA PCR in mouse heterozygous for exon5’ KO (</w:t>
      </w:r>
      <w:r w:rsidRPr="000B6B85">
        <w:rPr>
          <w:rFonts w:ascii="Arial" w:hAnsi="Arial" w:cs="Arial"/>
          <w:lang w:val="el-GR"/>
        </w:rPr>
        <w:t>Δ</w:t>
      </w:r>
      <w:r w:rsidRPr="000B6B85">
        <w:rPr>
          <w:rFonts w:ascii="Arial" w:hAnsi="Arial" w:cs="Arial"/>
          <w:lang w:val="en-US"/>
        </w:rPr>
        <w:t xml:space="preserve">Ex5’/+) but not +/+. </w:t>
      </w:r>
    </w:p>
    <w:p w14:paraId="5B0E68FE"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(b) Expression of exon5’-containing transcripts detected in +/+ but not </w:t>
      </w:r>
      <w:r w:rsidRPr="000B6B85">
        <w:rPr>
          <w:rFonts w:ascii="Arial" w:hAnsi="Arial" w:cs="Arial"/>
          <w:lang w:val="el-GR"/>
        </w:rPr>
        <w:t>Δ</w:t>
      </w:r>
      <w:r w:rsidRPr="000B6B85">
        <w:rPr>
          <w:rFonts w:ascii="Arial" w:hAnsi="Arial" w:cs="Arial"/>
          <w:lang w:val="en-US"/>
        </w:rPr>
        <w:t>Ex5’/</w:t>
      </w:r>
      <w:r w:rsidRPr="000B6B85">
        <w:rPr>
          <w:rFonts w:ascii="Arial" w:hAnsi="Arial" w:cs="Arial"/>
          <w:lang w:val="el-GR"/>
        </w:rPr>
        <w:t>Δ</w:t>
      </w:r>
      <w:r w:rsidRPr="000B6B85">
        <w:rPr>
          <w:rFonts w:ascii="Arial" w:hAnsi="Arial" w:cs="Arial"/>
          <w:lang w:val="en-US"/>
        </w:rPr>
        <w:t>Ex5’ mouse.</w:t>
      </w:r>
    </w:p>
    <w:p w14:paraId="0B98CBFC" w14:textId="220DA64C" w:rsidR="000B6B85" w:rsidRDefault="000B6B85" w:rsidP="000B6B85">
      <w:pPr>
        <w:spacing w:line="360" w:lineRule="auto"/>
        <w:rPr>
          <w:rFonts w:ascii="Arial" w:hAnsi="Arial" w:cs="Arial"/>
        </w:rPr>
      </w:pPr>
    </w:p>
    <w:p w14:paraId="00B1804A" w14:textId="34933FB8" w:rsidR="000B6B85" w:rsidRDefault="000B6B85" w:rsidP="000B6B85">
      <w:pPr>
        <w:spacing w:line="360" w:lineRule="auto"/>
        <w:rPr>
          <w:rFonts w:ascii="Arial" w:hAnsi="Arial" w:cs="Arial"/>
        </w:rPr>
      </w:pPr>
    </w:p>
    <w:p w14:paraId="10004F76" w14:textId="76F52A22" w:rsidR="000B6B85" w:rsidRDefault="000B6B85" w:rsidP="000B6B85">
      <w:pPr>
        <w:spacing w:line="360" w:lineRule="auto"/>
        <w:rPr>
          <w:rFonts w:ascii="Arial" w:hAnsi="Arial" w:cs="Arial"/>
        </w:rPr>
      </w:pPr>
    </w:p>
    <w:p w14:paraId="365E4EC1" w14:textId="5B000FAA" w:rsidR="000B6B85" w:rsidRDefault="000B6B85" w:rsidP="000B6B85">
      <w:pPr>
        <w:spacing w:line="360" w:lineRule="auto"/>
        <w:rPr>
          <w:rFonts w:ascii="Arial" w:hAnsi="Arial" w:cs="Arial"/>
        </w:rPr>
      </w:pPr>
    </w:p>
    <w:p w14:paraId="2C65C686" w14:textId="577DCD62" w:rsidR="000B6B85" w:rsidRDefault="000B6B85" w:rsidP="000B6B85">
      <w:pPr>
        <w:spacing w:line="360" w:lineRule="auto"/>
        <w:rPr>
          <w:rFonts w:ascii="Arial" w:hAnsi="Arial" w:cs="Arial"/>
        </w:rPr>
      </w:pPr>
    </w:p>
    <w:p w14:paraId="4B08C125"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S16. The ratio of flTCF7L2 to dnTCF7L2 during midbrain development.  </w:t>
      </w:r>
    </w:p>
    <w:p w14:paraId="29E6977D"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(a and b) Both flTCF7L2 and dnTCF7L2 at 1.5-month and 5-month of age in midbrain were significantly lower that </w:t>
      </w:r>
      <w:proofErr w:type="gramStart"/>
      <w:r w:rsidRPr="000B6B85">
        <w:rPr>
          <w:rFonts w:ascii="Arial" w:hAnsi="Arial" w:cs="Arial"/>
          <w:lang w:val="en-US"/>
        </w:rPr>
        <w:t>of  P</w:t>
      </w:r>
      <w:proofErr w:type="gramEnd"/>
      <w:r w:rsidRPr="000B6B85">
        <w:rPr>
          <w:rFonts w:ascii="Arial" w:hAnsi="Arial" w:cs="Arial"/>
          <w:lang w:val="en-US"/>
        </w:rPr>
        <w:t>7.  GAPDH, loading control.  *, dnTCF7L2.</w:t>
      </w:r>
    </w:p>
    <w:p w14:paraId="0E4E513B" w14:textId="77777777" w:rsidR="000B6B85" w:rsidRPr="000B6B85" w:rsidRDefault="000B6B85" w:rsidP="000B6B85">
      <w:pPr>
        <w:spacing w:line="360" w:lineRule="auto"/>
        <w:rPr>
          <w:rFonts w:ascii="Arial" w:hAnsi="Arial" w:cs="Arial"/>
        </w:rPr>
      </w:pPr>
      <w:r w:rsidRPr="000B6B85">
        <w:rPr>
          <w:rFonts w:ascii="Arial" w:hAnsi="Arial" w:cs="Arial"/>
          <w:lang w:val="en-US"/>
        </w:rPr>
        <w:lastRenderedPageBreak/>
        <w:t>(c) The ratio of flTCF7L2 to dnTCF7L2 at P7, 1.5-month, and 5-month of age shows no significant change during midbrain development.</w:t>
      </w:r>
    </w:p>
    <w:p w14:paraId="6D8F0E76"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Mouse, n=3.  N.S., no significant difference, ** p&lt;0.01, t-test, SPSS.</w:t>
      </w:r>
    </w:p>
    <w:p w14:paraId="103D061E" w14:textId="15AD8EC2" w:rsidR="000B6B85" w:rsidRDefault="000B6B85" w:rsidP="000B6B85">
      <w:pPr>
        <w:spacing w:line="360" w:lineRule="auto"/>
        <w:rPr>
          <w:rFonts w:ascii="Arial" w:hAnsi="Arial" w:cs="Arial"/>
        </w:rPr>
      </w:pPr>
    </w:p>
    <w:p w14:paraId="3E4A53DC" w14:textId="447FFF48" w:rsidR="000B6B85" w:rsidRDefault="000B6B85" w:rsidP="000B6B85">
      <w:pPr>
        <w:spacing w:line="360" w:lineRule="auto"/>
        <w:rPr>
          <w:rFonts w:ascii="Arial" w:hAnsi="Arial" w:cs="Arial"/>
        </w:rPr>
      </w:pPr>
    </w:p>
    <w:p w14:paraId="7D713742" w14:textId="7B61D177" w:rsidR="000B6B85" w:rsidRDefault="000B6B85" w:rsidP="000B6B85">
      <w:pPr>
        <w:spacing w:line="360" w:lineRule="auto"/>
        <w:rPr>
          <w:rFonts w:ascii="Arial" w:hAnsi="Arial" w:cs="Arial"/>
        </w:rPr>
      </w:pPr>
    </w:p>
    <w:p w14:paraId="72ADB10C" w14:textId="0C6E0C14" w:rsidR="000B6B85" w:rsidRDefault="000B6B85" w:rsidP="000B6B85">
      <w:pPr>
        <w:spacing w:line="360" w:lineRule="auto"/>
        <w:rPr>
          <w:rFonts w:ascii="Arial" w:hAnsi="Arial" w:cs="Arial"/>
        </w:rPr>
      </w:pPr>
    </w:p>
    <w:p w14:paraId="74D21256" w14:textId="3A165A7D" w:rsidR="000B6B85" w:rsidRDefault="000B6B85" w:rsidP="000B6B85">
      <w:pPr>
        <w:spacing w:line="360" w:lineRule="auto"/>
        <w:rPr>
          <w:rFonts w:ascii="Arial" w:hAnsi="Arial" w:cs="Arial"/>
        </w:rPr>
      </w:pPr>
    </w:p>
    <w:p w14:paraId="3F75C7DB"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S17. TCF7L2 disease-associated mutations.  </w:t>
      </w:r>
    </w:p>
    <w:p w14:paraId="24810071"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Protein sequence alignment of TCF7L2 across various species and human TCF7L2 (NM_001198528) were employed for positioning.  Disease-associated mutations include: 1) ENU-induced Y337H mutation colored in </w:t>
      </w:r>
      <w:proofErr w:type="gramStart"/>
      <w:r w:rsidRPr="000B6B85">
        <w:rPr>
          <w:rFonts w:ascii="Arial" w:hAnsi="Arial" w:cs="Arial"/>
          <w:lang w:val="en-US"/>
        </w:rPr>
        <w:t>red;  2</w:t>
      </w:r>
      <w:proofErr w:type="gramEnd"/>
      <w:r w:rsidRPr="000B6B85">
        <w:rPr>
          <w:rFonts w:ascii="Arial" w:hAnsi="Arial" w:cs="Arial"/>
          <w:lang w:val="en-US"/>
        </w:rPr>
        <w:t>) mutations described in previous studies are colored in black (PMID: 25363768, 25533962, and 28191889) and blue (PMID:34003604), respectively.</w:t>
      </w:r>
    </w:p>
    <w:p w14:paraId="069A40F6" w14:textId="6535B6C3" w:rsidR="000B6B85" w:rsidRDefault="000B6B85" w:rsidP="000B6B85">
      <w:pPr>
        <w:spacing w:line="360" w:lineRule="auto"/>
        <w:rPr>
          <w:rFonts w:ascii="Arial" w:hAnsi="Arial" w:cs="Arial"/>
        </w:rPr>
      </w:pPr>
    </w:p>
    <w:p w14:paraId="58B13D6A" w14:textId="228DFEE6" w:rsidR="000B6B85" w:rsidRDefault="000B6B85" w:rsidP="000B6B85">
      <w:pPr>
        <w:spacing w:line="360" w:lineRule="auto"/>
        <w:rPr>
          <w:rFonts w:ascii="Arial" w:hAnsi="Arial" w:cs="Arial"/>
        </w:rPr>
      </w:pPr>
    </w:p>
    <w:p w14:paraId="3C788CE7" w14:textId="77C26177" w:rsidR="000B6B85" w:rsidRDefault="000B6B85" w:rsidP="000B6B85">
      <w:pPr>
        <w:spacing w:line="360" w:lineRule="auto"/>
        <w:rPr>
          <w:rFonts w:ascii="Arial" w:hAnsi="Arial" w:cs="Arial"/>
        </w:rPr>
      </w:pPr>
    </w:p>
    <w:p w14:paraId="7722137B" w14:textId="71523C42" w:rsidR="000B6B85" w:rsidRDefault="000B6B85" w:rsidP="000B6B85">
      <w:pPr>
        <w:spacing w:line="360" w:lineRule="auto"/>
        <w:rPr>
          <w:rFonts w:ascii="Arial" w:hAnsi="Arial" w:cs="Arial"/>
        </w:rPr>
      </w:pPr>
    </w:p>
    <w:p w14:paraId="7ADEA370" w14:textId="4A30FC71" w:rsidR="000B6B85" w:rsidRDefault="000B6B85" w:rsidP="000B6B85">
      <w:pPr>
        <w:spacing w:line="360" w:lineRule="auto"/>
        <w:rPr>
          <w:rFonts w:ascii="Arial" w:hAnsi="Arial" w:cs="Arial"/>
        </w:rPr>
      </w:pPr>
    </w:p>
    <w:p w14:paraId="096E7497"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S18. </w:t>
      </w:r>
      <w:r w:rsidRPr="000B6B85">
        <w:rPr>
          <w:rFonts w:ascii="Arial" w:hAnsi="Arial" w:cs="Arial"/>
          <w:b/>
          <w:bCs/>
          <w:i/>
          <w:iCs/>
          <w:lang w:val="en-US"/>
        </w:rPr>
        <w:t>Tcf7l2</w:t>
      </w:r>
      <w:r w:rsidRPr="000B6B85">
        <w:rPr>
          <w:rFonts w:ascii="Arial" w:hAnsi="Arial" w:cs="Arial"/>
          <w:b/>
          <w:bCs/>
          <w:vertAlign w:val="superscript"/>
          <w:lang w:val="en-US"/>
        </w:rPr>
        <w:t>Y337H/+</w:t>
      </w:r>
      <w:r w:rsidRPr="000B6B85">
        <w:rPr>
          <w:rFonts w:ascii="Arial" w:hAnsi="Arial" w:cs="Arial"/>
          <w:b/>
          <w:bCs/>
          <w:lang w:val="en-US"/>
        </w:rPr>
        <w:t xml:space="preserve"> mutant and </w:t>
      </w:r>
      <w:r w:rsidRPr="000B6B85">
        <w:rPr>
          <w:rFonts w:ascii="Arial" w:hAnsi="Arial" w:cs="Arial"/>
          <w:b/>
          <w:bCs/>
          <w:i/>
          <w:iCs/>
          <w:lang w:val="en-US"/>
        </w:rPr>
        <w:t>Tcf7l2</w:t>
      </w:r>
      <w:r w:rsidRPr="000B6B85">
        <w:rPr>
          <w:rFonts w:ascii="Arial" w:hAnsi="Arial" w:cs="Arial"/>
          <w:b/>
          <w:bCs/>
          <w:vertAlign w:val="superscript"/>
          <w:lang w:val="en-US"/>
        </w:rPr>
        <w:t>+/-</w:t>
      </w:r>
      <w:r w:rsidRPr="000B6B85">
        <w:rPr>
          <w:rFonts w:ascii="Arial" w:hAnsi="Arial" w:cs="Arial"/>
          <w:b/>
          <w:bCs/>
          <w:lang w:val="en-US"/>
        </w:rPr>
        <w:t xml:space="preserve"> mice have normal performance in three-chamber and stereotyped behavior tests. </w:t>
      </w:r>
    </w:p>
    <w:p w14:paraId="6D7B6A2B" w14:textId="77777777" w:rsidR="000B6B85" w:rsidRPr="000B6B85" w:rsidRDefault="000B6B85" w:rsidP="000B6B85">
      <w:pPr>
        <w:spacing w:line="360" w:lineRule="auto"/>
        <w:rPr>
          <w:rFonts w:ascii="Arial" w:hAnsi="Arial" w:cs="Arial"/>
        </w:rPr>
      </w:pPr>
      <w:r w:rsidRPr="000B6B85">
        <w:rPr>
          <w:rFonts w:ascii="Arial" w:hAnsi="Arial" w:cs="Arial"/>
          <w:lang w:val="en-US"/>
        </w:rPr>
        <w:t>(a-d) Three-chamber test for animals with indicated genotypes.  Diagrams for the tests (a and c).  Social preference index was calculated as previously described (PMID: 31780330).  S, stranger; O, object.</w:t>
      </w:r>
    </w:p>
    <w:p w14:paraId="32A4DEFF"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(e and f) Marble burying test and self-grooming measurement with indicated genotypes. </w:t>
      </w:r>
    </w:p>
    <w:p w14:paraId="7A0B9B59" w14:textId="77777777" w:rsidR="000B6B85" w:rsidRPr="000B6B85" w:rsidRDefault="000B6B85" w:rsidP="000B6B85">
      <w:pPr>
        <w:spacing w:line="360" w:lineRule="auto"/>
        <w:rPr>
          <w:rFonts w:ascii="Arial" w:hAnsi="Arial" w:cs="Arial"/>
        </w:rPr>
      </w:pPr>
      <w:r w:rsidRPr="000B6B85">
        <w:rPr>
          <w:rFonts w:ascii="Arial" w:hAnsi="Arial" w:cs="Arial"/>
          <w:lang w:val="en-US"/>
        </w:rPr>
        <w:t xml:space="preserve">The value </w:t>
      </w:r>
      <w:proofErr w:type="gramStart"/>
      <w:r w:rsidRPr="000B6B85">
        <w:rPr>
          <w:rFonts w:ascii="Arial" w:hAnsi="Arial" w:cs="Arial"/>
          <w:lang w:val="en-US"/>
        </w:rPr>
        <w:t>are</w:t>
      </w:r>
      <w:proofErr w:type="gramEnd"/>
      <w:r w:rsidRPr="000B6B85">
        <w:rPr>
          <w:rFonts w:ascii="Arial" w:hAnsi="Arial" w:cs="Arial"/>
          <w:lang w:val="en-US"/>
        </w:rPr>
        <w:t xml:space="preserve"> presented as mean ± SD.  N.S., no significant difference, *** </w:t>
      </w:r>
      <w:r w:rsidRPr="000B6B85">
        <w:rPr>
          <w:rFonts w:ascii="Arial" w:hAnsi="Arial" w:cs="Arial"/>
          <w:i/>
          <w:iCs/>
          <w:lang w:val="en-US"/>
        </w:rPr>
        <w:t>p</w:t>
      </w:r>
      <w:r w:rsidRPr="000B6B85">
        <w:rPr>
          <w:rFonts w:ascii="Arial" w:hAnsi="Arial" w:cs="Arial"/>
          <w:lang w:val="en-US"/>
        </w:rPr>
        <w:t xml:space="preserve">&lt;0.001, t-test, SPSS.  In b and d, +/+ (n=8-10),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(n= 12), and </w:t>
      </w:r>
      <w:r w:rsidRPr="000B6B85">
        <w:rPr>
          <w:rFonts w:ascii="Arial" w:hAnsi="Arial" w:cs="Arial"/>
          <w:i/>
          <w:iCs/>
          <w:lang w:val="en-US"/>
        </w:rPr>
        <w:t>Tcf7l2</w:t>
      </w:r>
      <w:r w:rsidRPr="000B6B85">
        <w:rPr>
          <w:rFonts w:ascii="Arial" w:hAnsi="Arial" w:cs="Arial"/>
          <w:vertAlign w:val="superscript"/>
          <w:lang w:val="en-US"/>
        </w:rPr>
        <w:t xml:space="preserve">Y337H/+ </w:t>
      </w:r>
      <w:r w:rsidRPr="000B6B85">
        <w:rPr>
          <w:rFonts w:ascii="Arial" w:hAnsi="Arial" w:cs="Arial"/>
          <w:lang w:val="en-US"/>
        </w:rPr>
        <w:t>(n= 9).  In e, for marble</w:t>
      </w:r>
      <w:r w:rsidRPr="000B6B85">
        <w:rPr>
          <w:rFonts w:ascii="Arial" w:hAnsi="Arial" w:cs="Arial"/>
        </w:rPr>
        <w:t xml:space="preserve"> </w:t>
      </w:r>
      <w:r w:rsidRPr="000B6B85">
        <w:rPr>
          <w:rFonts w:ascii="Arial" w:hAnsi="Arial" w:cs="Arial"/>
          <w:lang w:val="en-US"/>
        </w:rPr>
        <w:t xml:space="preserve">burying test, +/+ (n=8) and </w:t>
      </w:r>
      <w:r w:rsidRPr="000B6B85">
        <w:rPr>
          <w:rFonts w:ascii="Arial" w:hAnsi="Arial" w:cs="Arial"/>
          <w:i/>
          <w:iCs/>
          <w:lang w:val="en-US"/>
        </w:rPr>
        <w:t>Tcf7l2</w:t>
      </w:r>
      <w:r w:rsidRPr="000B6B85">
        <w:rPr>
          <w:rFonts w:ascii="Arial" w:hAnsi="Arial" w:cs="Arial"/>
          <w:vertAlign w:val="superscript"/>
          <w:lang w:val="en-US"/>
        </w:rPr>
        <w:t xml:space="preserve">Y337H/+ </w:t>
      </w:r>
      <w:r w:rsidRPr="000B6B85">
        <w:rPr>
          <w:rFonts w:ascii="Arial" w:hAnsi="Arial" w:cs="Arial"/>
          <w:lang w:val="en-US"/>
        </w:rPr>
        <w:t xml:space="preserve">(n= 8); for self-grooming test, +/+ (n=16) and </w:t>
      </w:r>
      <w:r w:rsidRPr="000B6B85">
        <w:rPr>
          <w:rFonts w:ascii="Arial" w:hAnsi="Arial" w:cs="Arial"/>
          <w:i/>
          <w:iCs/>
          <w:lang w:val="en-US"/>
        </w:rPr>
        <w:t>Tcf7l2</w:t>
      </w:r>
      <w:r w:rsidRPr="000B6B85">
        <w:rPr>
          <w:rFonts w:ascii="Arial" w:hAnsi="Arial" w:cs="Arial"/>
          <w:vertAlign w:val="superscript"/>
          <w:lang w:val="en-US"/>
        </w:rPr>
        <w:t xml:space="preserve">Y337H/+ </w:t>
      </w:r>
      <w:r w:rsidRPr="000B6B85">
        <w:rPr>
          <w:rFonts w:ascii="Arial" w:hAnsi="Arial" w:cs="Arial"/>
          <w:lang w:val="en-US"/>
        </w:rPr>
        <w:t>(n= 11).  In f, for marble</w:t>
      </w:r>
      <w:r w:rsidRPr="000B6B85">
        <w:rPr>
          <w:rFonts w:ascii="Arial" w:hAnsi="Arial" w:cs="Arial"/>
        </w:rPr>
        <w:t xml:space="preserve"> </w:t>
      </w:r>
      <w:r w:rsidRPr="000B6B85">
        <w:rPr>
          <w:rFonts w:ascii="Arial" w:hAnsi="Arial" w:cs="Arial"/>
          <w:lang w:val="en-US"/>
        </w:rPr>
        <w:t xml:space="preserve">burying test, +/+ (n=8) 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(n= 7); for self-grooming test, +/+ (n=16) and </w:t>
      </w:r>
      <w:r w:rsidRPr="000B6B85">
        <w:rPr>
          <w:rFonts w:ascii="Arial" w:hAnsi="Arial" w:cs="Arial"/>
          <w:i/>
          <w:iCs/>
          <w:lang w:val="en-US"/>
        </w:rPr>
        <w:t>Tcf7l2</w:t>
      </w:r>
      <w:r w:rsidRPr="000B6B85">
        <w:rPr>
          <w:rFonts w:ascii="Arial" w:hAnsi="Arial" w:cs="Arial"/>
          <w:vertAlign w:val="superscript"/>
          <w:lang w:val="en-US"/>
        </w:rPr>
        <w:t>+/-</w:t>
      </w:r>
      <w:r w:rsidRPr="000B6B85">
        <w:rPr>
          <w:rFonts w:ascii="Arial" w:hAnsi="Arial" w:cs="Arial"/>
          <w:lang w:val="en-US"/>
        </w:rPr>
        <w:t xml:space="preserve"> (n= 14).</w:t>
      </w:r>
    </w:p>
    <w:p w14:paraId="54516586" w14:textId="1486DFD2" w:rsidR="000B6B85" w:rsidRDefault="000B6B85" w:rsidP="000B6B85">
      <w:pPr>
        <w:spacing w:line="360" w:lineRule="auto"/>
        <w:rPr>
          <w:rFonts w:ascii="Arial" w:hAnsi="Arial" w:cs="Arial"/>
        </w:rPr>
      </w:pPr>
    </w:p>
    <w:p w14:paraId="15454240" w14:textId="1D0B4541" w:rsidR="000B6B85" w:rsidRDefault="000B6B85" w:rsidP="000B6B85">
      <w:pPr>
        <w:spacing w:line="360" w:lineRule="auto"/>
        <w:rPr>
          <w:rFonts w:ascii="Arial" w:hAnsi="Arial" w:cs="Arial"/>
        </w:rPr>
      </w:pPr>
    </w:p>
    <w:p w14:paraId="546C8456" w14:textId="621DBA25" w:rsidR="000B6B85" w:rsidRDefault="000B6B85" w:rsidP="000B6B85">
      <w:pPr>
        <w:spacing w:line="360" w:lineRule="auto"/>
        <w:rPr>
          <w:rFonts w:ascii="Arial" w:hAnsi="Arial" w:cs="Arial"/>
        </w:rPr>
      </w:pPr>
    </w:p>
    <w:p w14:paraId="297B14A7" w14:textId="71D42421" w:rsidR="000B6B85" w:rsidRDefault="000B6B85" w:rsidP="000B6B85">
      <w:pPr>
        <w:spacing w:line="360" w:lineRule="auto"/>
        <w:rPr>
          <w:rFonts w:ascii="Arial" w:hAnsi="Arial" w:cs="Arial"/>
        </w:rPr>
      </w:pPr>
    </w:p>
    <w:p w14:paraId="727B018B" w14:textId="73F71F90" w:rsidR="000B6B85" w:rsidRDefault="000B6B85" w:rsidP="000B6B85">
      <w:pPr>
        <w:spacing w:line="360" w:lineRule="auto"/>
        <w:rPr>
          <w:rFonts w:ascii="Arial" w:hAnsi="Arial" w:cs="Arial"/>
        </w:rPr>
      </w:pPr>
    </w:p>
    <w:p w14:paraId="20FE4001" w14:textId="77777777" w:rsidR="000B6B85" w:rsidRPr="000B6B85" w:rsidRDefault="000B6B85" w:rsidP="000B6B85">
      <w:pPr>
        <w:spacing w:line="360" w:lineRule="auto"/>
        <w:rPr>
          <w:rFonts w:ascii="Arial" w:hAnsi="Arial" w:cs="Arial"/>
        </w:rPr>
      </w:pPr>
      <w:r w:rsidRPr="000B6B85">
        <w:rPr>
          <w:rFonts w:ascii="Arial" w:hAnsi="Arial" w:cs="Arial"/>
          <w:b/>
          <w:bCs/>
          <w:lang w:val="en-US"/>
        </w:rPr>
        <w:t xml:space="preserve">Figure S19. Our working model.  </w:t>
      </w:r>
    </w:p>
    <w:p w14:paraId="54EA28D3" w14:textId="77777777" w:rsidR="000B6B85" w:rsidRPr="000B6B85" w:rsidRDefault="000B6B85" w:rsidP="000B6B85">
      <w:pPr>
        <w:spacing w:line="360" w:lineRule="auto"/>
        <w:rPr>
          <w:rFonts w:ascii="Arial" w:hAnsi="Arial" w:cs="Arial"/>
        </w:rPr>
      </w:pPr>
      <w:r w:rsidRPr="000B6B85">
        <w:rPr>
          <w:rFonts w:ascii="Arial" w:hAnsi="Arial" w:cs="Arial"/>
          <w:lang w:val="en-US"/>
        </w:rPr>
        <w:t>Recently, lateral PAG-USV neurons (</w:t>
      </w:r>
      <w:r w:rsidRPr="000B6B85">
        <w:rPr>
          <w:rFonts w:ascii="Arial" w:hAnsi="Arial" w:cs="Arial"/>
          <w:i/>
          <w:iCs/>
          <w:lang w:val="en-US"/>
        </w:rPr>
        <w:t>Vglut2</w:t>
      </w:r>
      <w:r w:rsidRPr="000B6B85">
        <w:rPr>
          <w:rFonts w:ascii="Arial" w:hAnsi="Arial" w:cs="Arial"/>
          <w:lang w:val="en-US"/>
        </w:rPr>
        <w:t xml:space="preserve">+, excitatory) have been identified and characterized, which are necessary and sufficient for mouse USV production (PMID31204083).  Besides PAG-USV neurons, </w:t>
      </w:r>
      <w:r w:rsidRPr="000B6B85">
        <w:rPr>
          <w:rFonts w:ascii="Arial" w:hAnsi="Arial" w:cs="Arial"/>
          <w:i/>
          <w:iCs/>
          <w:lang w:val="en-US"/>
        </w:rPr>
        <w:t>Esr1</w:t>
      </w:r>
      <w:r w:rsidRPr="000B6B85">
        <w:rPr>
          <w:rFonts w:ascii="Arial" w:hAnsi="Arial" w:cs="Arial"/>
          <w:lang w:val="en-US"/>
        </w:rPr>
        <w:t>-positive neurons in VMH (</w:t>
      </w:r>
      <w:r w:rsidRPr="000B6B85">
        <w:rPr>
          <w:rFonts w:ascii="Arial" w:hAnsi="Arial" w:cs="Arial"/>
          <w:i/>
          <w:iCs/>
          <w:lang w:val="en-US"/>
        </w:rPr>
        <w:t>Esr1</w:t>
      </w:r>
      <w:r w:rsidRPr="000B6B85">
        <w:rPr>
          <w:rFonts w:ascii="Arial" w:hAnsi="Arial" w:cs="Arial"/>
          <w:lang w:val="en-US"/>
        </w:rPr>
        <w:t>+) and POA (</w:t>
      </w:r>
      <w:r w:rsidRPr="000B6B85">
        <w:rPr>
          <w:rFonts w:ascii="Arial" w:hAnsi="Arial" w:cs="Arial"/>
          <w:i/>
          <w:iCs/>
          <w:lang w:val="en-US"/>
        </w:rPr>
        <w:t>Esr1</w:t>
      </w:r>
      <w:r w:rsidRPr="000B6B85">
        <w:rPr>
          <w:rFonts w:ascii="Arial" w:hAnsi="Arial" w:cs="Arial"/>
          <w:lang w:val="en-US"/>
        </w:rPr>
        <w:t xml:space="preserve">+ &amp; </w:t>
      </w:r>
      <w:r w:rsidRPr="000B6B85">
        <w:rPr>
          <w:rFonts w:ascii="Arial" w:hAnsi="Arial" w:cs="Arial"/>
          <w:i/>
          <w:iCs/>
          <w:lang w:val="en-US"/>
        </w:rPr>
        <w:t>Vgat</w:t>
      </w:r>
      <w:r w:rsidRPr="000B6B85">
        <w:rPr>
          <w:rFonts w:ascii="Arial" w:hAnsi="Arial" w:cs="Arial"/>
          <w:lang w:val="en-US"/>
        </w:rPr>
        <w:t xml:space="preserve">+) and </w:t>
      </w:r>
      <w:r w:rsidRPr="000B6B85">
        <w:rPr>
          <w:rFonts w:ascii="Arial" w:hAnsi="Arial" w:cs="Arial"/>
          <w:i/>
          <w:iCs/>
          <w:lang w:val="en-US"/>
        </w:rPr>
        <w:t>Vgat</w:t>
      </w:r>
      <w:r w:rsidRPr="000B6B85">
        <w:rPr>
          <w:rFonts w:ascii="Arial" w:hAnsi="Arial" w:cs="Arial"/>
          <w:lang w:val="en-US"/>
        </w:rPr>
        <w:t>-positive neurons in Amg (</w:t>
      </w:r>
      <w:r w:rsidRPr="000B6B85">
        <w:rPr>
          <w:rFonts w:ascii="Arial" w:hAnsi="Arial" w:cs="Arial"/>
          <w:i/>
          <w:iCs/>
          <w:lang w:val="en-US"/>
        </w:rPr>
        <w:t>Vgat</w:t>
      </w:r>
      <w:r w:rsidRPr="000B6B85">
        <w:rPr>
          <w:rFonts w:ascii="Arial" w:hAnsi="Arial" w:cs="Arial"/>
          <w:lang w:val="en-US"/>
        </w:rPr>
        <w:t>+) and PAG (</w:t>
      </w:r>
      <w:r w:rsidRPr="000B6B85">
        <w:rPr>
          <w:rFonts w:ascii="Arial" w:hAnsi="Arial" w:cs="Arial"/>
          <w:i/>
          <w:iCs/>
          <w:lang w:val="en-US"/>
        </w:rPr>
        <w:t>Vgat</w:t>
      </w:r>
      <w:r w:rsidRPr="000B6B85">
        <w:rPr>
          <w:rFonts w:ascii="Arial" w:hAnsi="Arial" w:cs="Arial"/>
          <w:lang w:val="en-US"/>
        </w:rPr>
        <w:t xml:space="preserve">+) act upstream of PAG-USV neurons to contribute to mouse USV production and persistence (PMID: 33790464, 30900143, 33268894, and 33372655).  PAG gates the vocal patterning networks located in caudal brainstem, including RAm, which project to vocal motor neuron (MN, </w:t>
      </w:r>
      <w:r w:rsidRPr="000B6B85">
        <w:rPr>
          <w:rFonts w:ascii="Arial" w:hAnsi="Arial" w:cs="Arial"/>
          <w:i/>
          <w:iCs/>
          <w:lang w:val="en-US"/>
        </w:rPr>
        <w:t>ChAT</w:t>
      </w:r>
      <w:r w:rsidRPr="000B6B85">
        <w:rPr>
          <w:rFonts w:ascii="Arial" w:hAnsi="Arial" w:cs="Arial"/>
          <w:lang w:val="en-US"/>
        </w:rPr>
        <w:t xml:space="preserve">+) pool in spinal cord to control laryngeal and respiratory muscles.  The PAG to the brain stem hardware is crucial for both innate and learned vocalization.  Here, we demonstrate that </w:t>
      </w:r>
      <w:r w:rsidRPr="000B6B85">
        <w:rPr>
          <w:rFonts w:ascii="Arial" w:hAnsi="Arial" w:cs="Arial"/>
          <w:i/>
          <w:iCs/>
          <w:lang w:val="en-US"/>
        </w:rPr>
        <w:t xml:space="preserve">Tcf7l2 </w:t>
      </w:r>
      <w:r w:rsidRPr="000B6B85">
        <w:rPr>
          <w:rFonts w:ascii="Arial" w:hAnsi="Arial" w:cs="Arial"/>
          <w:lang w:val="en-US"/>
        </w:rPr>
        <w:t xml:space="preserve">is expressed in </w:t>
      </w:r>
      <w:r w:rsidRPr="000B6B85">
        <w:rPr>
          <w:rFonts w:ascii="Arial" w:hAnsi="Arial" w:cs="Arial"/>
          <w:i/>
          <w:iCs/>
          <w:lang w:val="en-US"/>
        </w:rPr>
        <w:t>Vglut2</w:t>
      </w:r>
      <w:r w:rsidRPr="000B6B85">
        <w:rPr>
          <w:rFonts w:ascii="Arial" w:hAnsi="Arial" w:cs="Arial"/>
          <w:lang w:val="en-US"/>
        </w:rPr>
        <w:t xml:space="preserve">+ but not </w:t>
      </w:r>
      <w:r w:rsidRPr="000B6B85">
        <w:rPr>
          <w:rFonts w:ascii="Arial" w:hAnsi="Arial" w:cs="Arial"/>
          <w:i/>
          <w:iCs/>
          <w:lang w:val="en-US"/>
        </w:rPr>
        <w:t>Vgat</w:t>
      </w:r>
      <w:r w:rsidRPr="000B6B85">
        <w:rPr>
          <w:rFonts w:ascii="Arial" w:hAnsi="Arial" w:cs="Arial"/>
          <w:lang w:val="en-US"/>
        </w:rPr>
        <w:t xml:space="preserve">+ (inhibitory) neurons in lateral PAG.  Expression of </w:t>
      </w:r>
      <w:r w:rsidRPr="000B6B85">
        <w:rPr>
          <w:rFonts w:ascii="Arial" w:hAnsi="Arial" w:cs="Arial"/>
          <w:i/>
          <w:iCs/>
          <w:lang w:val="en-US"/>
        </w:rPr>
        <w:t>Tcf7l2</w:t>
      </w:r>
      <w:r w:rsidRPr="000B6B85">
        <w:rPr>
          <w:rFonts w:ascii="Arial" w:hAnsi="Arial" w:cs="Arial"/>
          <w:lang w:val="en-US"/>
        </w:rPr>
        <w:t xml:space="preserve"> in</w:t>
      </w:r>
      <w:r w:rsidRPr="000B6B85">
        <w:rPr>
          <w:rFonts w:ascii="Arial" w:hAnsi="Arial" w:cs="Arial"/>
          <w:i/>
          <w:iCs/>
          <w:lang w:val="en-US"/>
        </w:rPr>
        <w:t xml:space="preserve"> Vglut2</w:t>
      </w:r>
      <w:r w:rsidRPr="000B6B85">
        <w:rPr>
          <w:rFonts w:ascii="Arial" w:hAnsi="Arial" w:cs="Arial"/>
          <w:lang w:val="en-US"/>
        </w:rPr>
        <w:t xml:space="preserve">+ but not </w:t>
      </w:r>
      <w:r w:rsidRPr="000B6B85">
        <w:rPr>
          <w:rFonts w:ascii="Arial" w:hAnsi="Arial" w:cs="Arial"/>
          <w:i/>
          <w:iCs/>
          <w:lang w:val="en-US"/>
        </w:rPr>
        <w:t>Esr1</w:t>
      </w:r>
      <w:r w:rsidRPr="000B6B85">
        <w:rPr>
          <w:rFonts w:ascii="Arial" w:hAnsi="Arial" w:cs="Arial"/>
          <w:lang w:val="en-US"/>
        </w:rPr>
        <w:t xml:space="preserve">+ or </w:t>
      </w:r>
      <w:r w:rsidRPr="000B6B85">
        <w:rPr>
          <w:rFonts w:ascii="Arial" w:hAnsi="Arial" w:cs="Arial"/>
          <w:i/>
          <w:iCs/>
          <w:lang w:val="en-US"/>
        </w:rPr>
        <w:t>ChAT</w:t>
      </w:r>
      <w:r w:rsidRPr="000B6B85">
        <w:rPr>
          <w:rFonts w:ascii="Arial" w:hAnsi="Arial" w:cs="Arial"/>
          <w:lang w:val="en-US"/>
        </w:rPr>
        <w:t xml:space="preserve">+ neurons is essential for mouse vocalization.  Removal of </w:t>
      </w:r>
      <w:r w:rsidRPr="000B6B85">
        <w:rPr>
          <w:rFonts w:ascii="Arial" w:hAnsi="Arial" w:cs="Arial"/>
          <w:i/>
          <w:iCs/>
          <w:lang w:val="en-US"/>
        </w:rPr>
        <w:t>Tcf7l2</w:t>
      </w:r>
      <w:r w:rsidRPr="000B6B85">
        <w:rPr>
          <w:rFonts w:ascii="Arial" w:hAnsi="Arial" w:cs="Arial"/>
          <w:lang w:val="en-US"/>
        </w:rPr>
        <w:t xml:space="preserve"> in</w:t>
      </w:r>
      <w:r w:rsidRPr="000B6B85">
        <w:rPr>
          <w:rFonts w:ascii="Arial" w:hAnsi="Arial" w:cs="Arial"/>
          <w:i/>
          <w:iCs/>
          <w:lang w:val="en-US"/>
        </w:rPr>
        <w:t xml:space="preserve"> Vglut2</w:t>
      </w:r>
      <w:r w:rsidRPr="000B6B85">
        <w:rPr>
          <w:rFonts w:ascii="Arial" w:hAnsi="Arial" w:cs="Arial"/>
          <w:lang w:val="en-US"/>
        </w:rPr>
        <w:t>+ neurons in midbrain impairs the USV production and lateral PAG synaptic transmission (Left).   In PAG-USV neurons, both flTCF7L2 (containing CBD and HMG domains) and dnTCF7L2 (only containing HMG domain) are expressed and required for mouse USV production, suggesting that a transcriptional repression mechanism of TCF7L2 is crucial for mammal vocalization.  We speculate that the transcriptional repression promotes neuronal differentiation.  However, loss-of-function mutation Y337H and other disease-associated non-synonymous mutations in HMG domain (* in red) relieve the transcriptional repression and reduce neuronal differentiation in these neurons, which in turn decrease synaptic transmission in PAG-USV neurons and leads to impairments of vocal production and syllable complexity (Right).  Abbreviations: PAG, periaqueductal gray; VMH, ventromedial hypothalamus; POA, preoptic area; Amg, amygdala; RAm, nucleus retroambiguus; Co-RE, co-repressors.</w:t>
      </w:r>
    </w:p>
    <w:p w14:paraId="6A82D112" w14:textId="77777777" w:rsidR="000B6B85" w:rsidRPr="000B6B85" w:rsidRDefault="000B6B85" w:rsidP="000B6B85">
      <w:pPr>
        <w:spacing w:line="360" w:lineRule="auto"/>
        <w:rPr>
          <w:rFonts w:ascii="Arial" w:hAnsi="Arial" w:cs="Arial" w:hint="eastAsia"/>
        </w:rPr>
      </w:pPr>
    </w:p>
    <w:p w14:paraId="14956B9D" w14:textId="77777777" w:rsidR="000B6B85" w:rsidRPr="000B6B85" w:rsidRDefault="000B6B85" w:rsidP="000B6B85">
      <w:pPr>
        <w:spacing w:line="360" w:lineRule="auto"/>
        <w:rPr>
          <w:rFonts w:ascii="Arial" w:hAnsi="Arial" w:cs="Arial" w:hint="eastAsia"/>
        </w:rPr>
      </w:pPr>
    </w:p>
    <w:p w14:paraId="5FCD7C0C" w14:textId="77777777" w:rsidR="00320B4F" w:rsidRPr="000B6B85" w:rsidRDefault="00320B4F"/>
    <w:sectPr w:rsidR="00320B4F" w:rsidRPr="000B6B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7F"/>
    <w:rsid w:val="0000024B"/>
    <w:rsid w:val="00003754"/>
    <w:rsid w:val="000155AE"/>
    <w:rsid w:val="0001563E"/>
    <w:rsid w:val="00021F09"/>
    <w:rsid w:val="000338EC"/>
    <w:rsid w:val="00041AC9"/>
    <w:rsid w:val="00075064"/>
    <w:rsid w:val="000918AC"/>
    <w:rsid w:val="000B6B85"/>
    <w:rsid w:val="000D497F"/>
    <w:rsid w:val="000F5506"/>
    <w:rsid w:val="00116F3C"/>
    <w:rsid w:val="00141994"/>
    <w:rsid w:val="001E6795"/>
    <w:rsid w:val="001F08C1"/>
    <w:rsid w:val="002047FA"/>
    <w:rsid w:val="00220077"/>
    <w:rsid w:val="00241014"/>
    <w:rsid w:val="002416F9"/>
    <w:rsid w:val="00250787"/>
    <w:rsid w:val="00285E95"/>
    <w:rsid w:val="002D4730"/>
    <w:rsid w:val="00320B4F"/>
    <w:rsid w:val="003246D1"/>
    <w:rsid w:val="003261FD"/>
    <w:rsid w:val="00367CDA"/>
    <w:rsid w:val="0038491B"/>
    <w:rsid w:val="00447C03"/>
    <w:rsid w:val="004A1FA4"/>
    <w:rsid w:val="005151FA"/>
    <w:rsid w:val="00531ACB"/>
    <w:rsid w:val="0056771D"/>
    <w:rsid w:val="00604131"/>
    <w:rsid w:val="006061C1"/>
    <w:rsid w:val="00612F8F"/>
    <w:rsid w:val="00634E3C"/>
    <w:rsid w:val="006663B9"/>
    <w:rsid w:val="006723E5"/>
    <w:rsid w:val="006F66AD"/>
    <w:rsid w:val="00706FC9"/>
    <w:rsid w:val="00726BB9"/>
    <w:rsid w:val="007417B2"/>
    <w:rsid w:val="0076736D"/>
    <w:rsid w:val="00770B73"/>
    <w:rsid w:val="007B16C6"/>
    <w:rsid w:val="007B4735"/>
    <w:rsid w:val="007B6859"/>
    <w:rsid w:val="007C2F39"/>
    <w:rsid w:val="00837B21"/>
    <w:rsid w:val="00854FF1"/>
    <w:rsid w:val="008F796F"/>
    <w:rsid w:val="009219A8"/>
    <w:rsid w:val="00941A2A"/>
    <w:rsid w:val="0094409C"/>
    <w:rsid w:val="00946C4C"/>
    <w:rsid w:val="009A7ED4"/>
    <w:rsid w:val="009C1629"/>
    <w:rsid w:val="00A00657"/>
    <w:rsid w:val="00A061E5"/>
    <w:rsid w:val="00A15F63"/>
    <w:rsid w:val="00A23D9D"/>
    <w:rsid w:val="00A34246"/>
    <w:rsid w:val="00A54F3A"/>
    <w:rsid w:val="00A74ECD"/>
    <w:rsid w:val="00A84E9F"/>
    <w:rsid w:val="00A85E22"/>
    <w:rsid w:val="00A9072D"/>
    <w:rsid w:val="00A94EAB"/>
    <w:rsid w:val="00AF0C82"/>
    <w:rsid w:val="00B1079C"/>
    <w:rsid w:val="00B40E0D"/>
    <w:rsid w:val="00B52152"/>
    <w:rsid w:val="00B62551"/>
    <w:rsid w:val="00B63F51"/>
    <w:rsid w:val="00B67958"/>
    <w:rsid w:val="00B868B1"/>
    <w:rsid w:val="00B94CE1"/>
    <w:rsid w:val="00BE6229"/>
    <w:rsid w:val="00C06ADF"/>
    <w:rsid w:val="00C133EF"/>
    <w:rsid w:val="00C34E8B"/>
    <w:rsid w:val="00C73A26"/>
    <w:rsid w:val="00C74857"/>
    <w:rsid w:val="00C921A5"/>
    <w:rsid w:val="00CD39AB"/>
    <w:rsid w:val="00CE18BB"/>
    <w:rsid w:val="00CF3CC6"/>
    <w:rsid w:val="00D00C42"/>
    <w:rsid w:val="00D32B90"/>
    <w:rsid w:val="00E520F8"/>
    <w:rsid w:val="00E71A6D"/>
    <w:rsid w:val="00E7686E"/>
    <w:rsid w:val="00E95EA8"/>
    <w:rsid w:val="00E96910"/>
    <w:rsid w:val="00EA5DF8"/>
    <w:rsid w:val="00EC439B"/>
    <w:rsid w:val="00EF1A08"/>
    <w:rsid w:val="00F00A20"/>
    <w:rsid w:val="00F23C82"/>
    <w:rsid w:val="00F24BA2"/>
    <w:rsid w:val="00F2683B"/>
    <w:rsid w:val="00F50900"/>
    <w:rsid w:val="00FC3149"/>
    <w:rsid w:val="00FD719C"/>
    <w:rsid w:val="00FE07E1"/>
    <w:rsid w:val="00FF7939"/>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319A92"/>
  <w15:chartTrackingRefBased/>
  <w15:docId w15:val="{1B475680-CF1F-C644-A166-20149C7C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F50900"/>
    <w:pPr>
      <w:widowControl w:val="0"/>
      <w:adjustRightInd w:val="0"/>
      <w:spacing w:after="200"/>
      <w:ind w:firstLine="522"/>
      <w:jc w:val="center"/>
      <w:textAlignment w:val="baseline"/>
    </w:pPr>
    <w:rPr>
      <w:rFonts w:ascii="Times New Roman" w:eastAsia="SimSun" w:hAnsi="Times New Roman" w:cs="Times New Roman"/>
      <w:iCs/>
      <w:color w:val="000000" w:themeColor="text1"/>
      <w:spacing w:val="10"/>
      <w:sz w:val="21"/>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8960">
      <w:bodyDiv w:val="1"/>
      <w:marLeft w:val="0"/>
      <w:marRight w:val="0"/>
      <w:marTop w:val="0"/>
      <w:marBottom w:val="0"/>
      <w:divBdr>
        <w:top w:val="none" w:sz="0" w:space="0" w:color="auto"/>
        <w:left w:val="none" w:sz="0" w:space="0" w:color="auto"/>
        <w:bottom w:val="none" w:sz="0" w:space="0" w:color="auto"/>
        <w:right w:val="none" w:sz="0" w:space="0" w:color="auto"/>
      </w:divBdr>
    </w:div>
    <w:div w:id="170876381">
      <w:bodyDiv w:val="1"/>
      <w:marLeft w:val="0"/>
      <w:marRight w:val="0"/>
      <w:marTop w:val="0"/>
      <w:marBottom w:val="0"/>
      <w:divBdr>
        <w:top w:val="none" w:sz="0" w:space="0" w:color="auto"/>
        <w:left w:val="none" w:sz="0" w:space="0" w:color="auto"/>
        <w:bottom w:val="none" w:sz="0" w:space="0" w:color="auto"/>
        <w:right w:val="none" w:sz="0" w:space="0" w:color="auto"/>
      </w:divBdr>
    </w:div>
    <w:div w:id="338849629">
      <w:bodyDiv w:val="1"/>
      <w:marLeft w:val="0"/>
      <w:marRight w:val="0"/>
      <w:marTop w:val="0"/>
      <w:marBottom w:val="0"/>
      <w:divBdr>
        <w:top w:val="none" w:sz="0" w:space="0" w:color="auto"/>
        <w:left w:val="none" w:sz="0" w:space="0" w:color="auto"/>
        <w:bottom w:val="none" w:sz="0" w:space="0" w:color="auto"/>
        <w:right w:val="none" w:sz="0" w:space="0" w:color="auto"/>
      </w:divBdr>
    </w:div>
    <w:div w:id="583106273">
      <w:bodyDiv w:val="1"/>
      <w:marLeft w:val="0"/>
      <w:marRight w:val="0"/>
      <w:marTop w:val="0"/>
      <w:marBottom w:val="0"/>
      <w:divBdr>
        <w:top w:val="none" w:sz="0" w:space="0" w:color="auto"/>
        <w:left w:val="none" w:sz="0" w:space="0" w:color="auto"/>
        <w:bottom w:val="none" w:sz="0" w:space="0" w:color="auto"/>
        <w:right w:val="none" w:sz="0" w:space="0" w:color="auto"/>
      </w:divBdr>
    </w:div>
    <w:div w:id="596668972">
      <w:bodyDiv w:val="1"/>
      <w:marLeft w:val="0"/>
      <w:marRight w:val="0"/>
      <w:marTop w:val="0"/>
      <w:marBottom w:val="0"/>
      <w:divBdr>
        <w:top w:val="none" w:sz="0" w:space="0" w:color="auto"/>
        <w:left w:val="none" w:sz="0" w:space="0" w:color="auto"/>
        <w:bottom w:val="none" w:sz="0" w:space="0" w:color="auto"/>
        <w:right w:val="none" w:sz="0" w:space="0" w:color="auto"/>
      </w:divBdr>
    </w:div>
    <w:div w:id="717169521">
      <w:bodyDiv w:val="1"/>
      <w:marLeft w:val="0"/>
      <w:marRight w:val="0"/>
      <w:marTop w:val="0"/>
      <w:marBottom w:val="0"/>
      <w:divBdr>
        <w:top w:val="none" w:sz="0" w:space="0" w:color="auto"/>
        <w:left w:val="none" w:sz="0" w:space="0" w:color="auto"/>
        <w:bottom w:val="none" w:sz="0" w:space="0" w:color="auto"/>
        <w:right w:val="none" w:sz="0" w:space="0" w:color="auto"/>
      </w:divBdr>
    </w:div>
    <w:div w:id="777065346">
      <w:bodyDiv w:val="1"/>
      <w:marLeft w:val="0"/>
      <w:marRight w:val="0"/>
      <w:marTop w:val="0"/>
      <w:marBottom w:val="0"/>
      <w:divBdr>
        <w:top w:val="none" w:sz="0" w:space="0" w:color="auto"/>
        <w:left w:val="none" w:sz="0" w:space="0" w:color="auto"/>
        <w:bottom w:val="none" w:sz="0" w:space="0" w:color="auto"/>
        <w:right w:val="none" w:sz="0" w:space="0" w:color="auto"/>
      </w:divBdr>
    </w:div>
    <w:div w:id="885291260">
      <w:bodyDiv w:val="1"/>
      <w:marLeft w:val="0"/>
      <w:marRight w:val="0"/>
      <w:marTop w:val="0"/>
      <w:marBottom w:val="0"/>
      <w:divBdr>
        <w:top w:val="none" w:sz="0" w:space="0" w:color="auto"/>
        <w:left w:val="none" w:sz="0" w:space="0" w:color="auto"/>
        <w:bottom w:val="none" w:sz="0" w:space="0" w:color="auto"/>
        <w:right w:val="none" w:sz="0" w:space="0" w:color="auto"/>
      </w:divBdr>
    </w:div>
    <w:div w:id="947934347">
      <w:bodyDiv w:val="1"/>
      <w:marLeft w:val="0"/>
      <w:marRight w:val="0"/>
      <w:marTop w:val="0"/>
      <w:marBottom w:val="0"/>
      <w:divBdr>
        <w:top w:val="none" w:sz="0" w:space="0" w:color="auto"/>
        <w:left w:val="none" w:sz="0" w:space="0" w:color="auto"/>
        <w:bottom w:val="none" w:sz="0" w:space="0" w:color="auto"/>
        <w:right w:val="none" w:sz="0" w:space="0" w:color="auto"/>
      </w:divBdr>
    </w:div>
    <w:div w:id="1046105898">
      <w:bodyDiv w:val="1"/>
      <w:marLeft w:val="0"/>
      <w:marRight w:val="0"/>
      <w:marTop w:val="0"/>
      <w:marBottom w:val="0"/>
      <w:divBdr>
        <w:top w:val="none" w:sz="0" w:space="0" w:color="auto"/>
        <w:left w:val="none" w:sz="0" w:space="0" w:color="auto"/>
        <w:bottom w:val="none" w:sz="0" w:space="0" w:color="auto"/>
        <w:right w:val="none" w:sz="0" w:space="0" w:color="auto"/>
      </w:divBdr>
    </w:div>
    <w:div w:id="1107579272">
      <w:bodyDiv w:val="1"/>
      <w:marLeft w:val="0"/>
      <w:marRight w:val="0"/>
      <w:marTop w:val="0"/>
      <w:marBottom w:val="0"/>
      <w:divBdr>
        <w:top w:val="none" w:sz="0" w:space="0" w:color="auto"/>
        <w:left w:val="none" w:sz="0" w:space="0" w:color="auto"/>
        <w:bottom w:val="none" w:sz="0" w:space="0" w:color="auto"/>
        <w:right w:val="none" w:sz="0" w:space="0" w:color="auto"/>
      </w:divBdr>
    </w:div>
    <w:div w:id="1200166305">
      <w:bodyDiv w:val="1"/>
      <w:marLeft w:val="0"/>
      <w:marRight w:val="0"/>
      <w:marTop w:val="0"/>
      <w:marBottom w:val="0"/>
      <w:divBdr>
        <w:top w:val="none" w:sz="0" w:space="0" w:color="auto"/>
        <w:left w:val="none" w:sz="0" w:space="0" w:color="auto"/>
        <w:bottom w:val="none" w:sz="0" w:space="0" w:color="auto"/>
        <w:right w:val="none" w:sz="0" w:space="0" w:color="auto"/>
      </w:divBdr>
    </w:div>
    <w:div w:id="1393575197">
      <w:bodyDiv w:val="1"/>
      <w:marLeft w:val="0"/>
      <w:marRight w:val="0"/>
      <w:marTop w:val="0"/>
      <w:marBottom w:val="0"/>
      <w:divBdr>
        <w:top w:val="none" w:sz="0" w:space="0" w:color="auto"/>
        <w:left w:val="none" w:sz="0" w:space="0" w:color="auto"/>
        <w:bottom w:val="none" w:sz="0" w:space="0" w:color="auto"/>
        <w:right w:val="none" w:sz="0" w:space="0" w:color="auto"/>
      </w:divBdr>
    </w:div>
    <w:div w:id="1532644693">
      <w:bodyDiv w:val="1"/>
      <w:marLeft w:val="0"/>
      <w:marRight w:val="0"/>
      <w:marTop w:val="0"/>
      <w:marBottom w:val="0"/>
      <w:divBdr>
        <w:top w:val="none" w:sz="0" w:space="0" w:color="auto"/>
        <w:left w:val="none" w:sz="0" w:space="0" w:color="auto"/>
        <w:bottom w:val="none" w:sz="0" w:space="0" w:color="auto"/>
        <w:right w:val="none" w:sz="0" w:space="0" w:color="auto"/>
      </w:divBdr>
    </w:div>
    <w:div w:id="1597446436">
      <w:bodyDiv w:val="1"/>
      <w:marLeft w:val="0"/>
      <w:marRight w:val="0"/>
      <w:marTop w:val="0"/>
      <w:marBottom w:val="0"/>
      <w:divBdr>
        <w:top w:val="none" w:sz="0" w:space="0" w:color="auto"/>
        <w:left w:val="none" w:sz="0" w:space="0" w:color="auto"/>
        <w:bottom w:val="none" w:sz="0" w:space="0" w:color="auto"/>
        <w:right w:val="none" w:sz="0" w:space="0" w:color="auto"/>
      </w:divBdr>
    </w:div>
    <w:div w:id="1618367718">
      <w:bodyDiv w:val="1"/>
      <w:marLeft w:val="0"/>
      <w:marRight w:val="0"/>
      <w:marTop w:val="0"/>
      <w:marBottom w:val="0"/>
      <w:divBdr>
        <w:top w:val="none" w:sz="0" w:space="0" w:color="auto"/>
        <w:left w:val="none" w:sz="0" w:space="0" w:color="auto"/>
        <w:bottom w:val="none" w:sz="0" w:space="0" w:color="auto"/>
        <w:right w:val="none" w:sz="0" w:space="0" w:color="auto"/>
      </w:divBdr>
    </w:div>
    <w:div w:id="1635675034">
      <w:bodyDiv w:val="1"/>
      <w:marLeft w:val="0"/>
      <w:marRight w:val="0"/>
      <w:marTop w:val="0"/>
      <w:marBottom w:val="0"/>
      <w:divBdr>
        <w:top w:val="none" w:sz="0" w:space="0" w:color="auto"/>
        <w:left w:val="none" w:sz="0" w:space="0" w:color="auto"/>
        <w:bottom w:val="none" w:sz="0" w:space="0" w:color="auto"/>
        <w:right w:val="none" w:sz="0" w:space="0" w:color="auto"/>
      </w:divBdr>
    </w:div>
    <w:div w:id="1695307177">
      <w:bodyDiv w:val="1"/>
      <w:marLeft w:val="0"/>
      <w:marRight w:val="0"/>
      <w:marTop w:val="0"/>
      <w:marBottom w:val="0"/>
      <w:divBdr>
        <w:top w:val="none" w:sz="0" w:space="0" w:color="auto"/>
        <w:left w:val="none" w:sz="0" w:space="0" w:color="auto"/>
        <w:bottom w:val="none" w:sz="0" w:space="0" w:color="auto"/>
        <w:right w:val="none" w:sz="0" w:space="0" w:color="auto"/>
      </w:divBdr>
    </w:div>
    <w:div w:id="205176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1938</Words>
  <Characters>11047</Characters>
  <Application>Microsoft Office Word</Application>
  <DocSecurity>0</DocSecurity>
  <Lines>92</Lines>
  <Paragraphs>25</Paragraphs>
  <ScaleCrop>false</ScaleCrop>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hv</dc:creator>
  <cp:keywords/>
  <dc:description/>
  <cp:lastModifiedBy>Qi hv</cp:lastModifiedBy>
  <cp:revision>2</cp:revision>
  <dcterms:created xsi:type="dcterms:W3CDTF">2022-12-30T10:25:00Z</dcterms:created>
  <dcterms:modified xsi:type="dcterms:W3CDTF">2022-12-30T10:32:00Z</dcterms:modified>
</cp:coreProperties>
</file>