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00CF1" w14:textId="293DB9CD" w:rsidR="004A32DB" w:rsidRPr="00AF5B38" w:rsidRDefault="002F7697" w:rsidP="004A32DB">
      <w:pPr>
        <w:rPr>
          <w:rFonts w:ascii="Times New Roman" w:hAnsi="Times New Roman" w:cs="Times New Roman"/>
          <w:b/>
          <w:bCs/>
          <w:sz w:val="24"/>
          <w:szCs w:val="24"/>
          <w:lang w:val="en-US"/>
        </w:rPr>
      </w:pPr>
      <w:r w:rsidRPr="00AF5B38">
        <w:rPr>
          <w:rFonts w:ascii="Times New Roman" w:hAnsi="Times New Roman" w:cs="Times New Roman"/>
          <w:b/>
          <w:bCs/>
          <w:sz w:val="24"/>
          <w:szCs w:val="24"/>
          <w:lang w:val="en-US"/>
        </w:rPr>
        <w:t>ONLINE SUPPLEMENT</w:t>
      </w:r>
    </w:p>
    <w:p w14:paraId="74BD5F3A" w14:textId="77777777" w:rsidR="004A32DB" w:rsidRPr="00AF5B38" w:rsidRDefault="004A32DB" w:rsidP="004A32DB">
      <w:pPr>
        <w:rPr>
          <w:rFonts w:ascii="Times New Roman" w:hAnsi="Times New Roman" w:cs="Times New Roman"/>
          <w:sz w:val="24"/>
          <w:szCs w:val="24"/>
          <w:lang w:val="en-US"/>
        </w:rPr>
      </w:pPr>
    </w:p>
    <w:p w14:paraId="1FFB2092" w14:textId="55947FE0" w:rsidR="004A32DB" w:rsidRPr="00AF5B38" w:rsidRDefault="00B201F5" w:rsidP="004A32DB">
      <w:pPr>
        <w:rPr>
          <w:rFonts w:ascii="Times New Roman" w:hAnsi="Times New Roman" w:cs="Times New Roman"/>
          <w:b/>
          <w:bCs/>
          <w:sz w:val="24"/>
          <w:szCs w:val="24"/>
          <w:lang w:val="en-US"/>
        </w:rPr>
      </w:pPr>
      <w:r w:rsidRPr="00AF5B38">
        <w:rPr>
          <w:rFonts w:ascii="Times New Roman" w:hAnsi="Times New Roman" w:cs="Times New Roman"/>
          <w:b/>
          <w:bCs/>
          <w:sz w:val="24"/>
          <w:szCs w:val="24"/>
          <w:lang w:val="en-US"/>
        </w:rPr>
        <w:t>Supplementary T</w:t>
      </w:r>
      <w:r w:rsidR="004A32DB" w:rsidRPr="00AF5B38">
        <w:rPr>
          <w:rFonts w:ascii="Times New Roman" w:hAnsi="Times New Roman" w:cs="Times New Roman"/>
          <w:b/>
          <w:bCs/>
          <w:sz w:val="24"/>
          <w:szCs w:val="24"/>
          <w:lang w:val="en-US"/>
        </w:rPr>
        <w:t xml:space="preserve">able S1. </w:t>
      </w:r>
      <w:r w:rsidR="00421D6A" w:rsidRPr="00AF5B38">
        <w:rPr>
          <w:rFonts w:ascii="Times New Roman" w:eastAsia="Times New Roman" w:hAnsi="Times New Roman" w:cs="Times New Roman"/>
          <w:sz w:val="24"/>
          <w:szCs w:val="24"/>
          <w:lang w:val="en-US" w:eastAsia="fi-FI"/>
        </w:rPr>
        <w:t>D</w:t>
      </w:r>
      <w:r w:rsidR="004A32DB" w:rsidRPr="00AF5B38">
        <w:rPr>
          <w:rFonts w:ascii="Times New Roman" w:eastAsia="Times New Roman" w:hAnsi="Times New Roman" w:cs="Times New Roman"/>
          <w:sz w:val="24"/>
          <w:szCs w:val="24"/>
          <w:lang w:val="en-US" w:eastAsia="fi-FI"/>
        </w:rPr>
        <w:t>escriptive information</w:t>
      </w:r>
      <w:r w:rsidR="00421D6A" w:rsidRPr="00AF5B38">
        <w:rPr>
          <w:rFonts w:ascii="Times New Roman" w:eastAsia="Times New Roman" w:hAnsi="Times New Roman" w:cs="Times New Roman"/>
          <w:sz w:val="24"/>
          <w:szCs w:val="24"/>
          <w:lang w:val="en-US" w:eastAsia="fi-FI"/>
        </w:rPr>
        <w:t xml:space="preserve"> of covariates</w:t>
      </w:r>
      <w:r w:rsidR="004A32DB" w:rsidRPr="00AF5B38">
        <w:rPr>
          <w:rFonts w:ascii="Times New Roman" w:eastAsia="Times New Roman" w:hAnsi="Times New Roman" w:cs="Times New Roman"/>
          <w:sz w:val="24"/>
          <w:szCs w:val="24"/>
          <w:lang w:val="en-US" w:eastAsia="fi-FI"/>
        </w:rPr>
        <w:t xml:space="preserve"> </w:t>
      </w:r>
      <w:r w:rsidR="00B830D7" w:rsidRPr="00AF5B38">
        <w:rPr>
          <w:rFonts w:ascii="Times New Roman" w:eastAsia="Times New Roman" w:hAnsi="Times New Roman" w:cs="Times New Roman"/>
          <w:sz w:val="24"/>
          <w:szCs w:val="24"/>
          <w:lang w:val="en-US" w:eastAsia="fi-FI"/>
        </w:rPr>
        <w:t>for persons</w:t>
      </w:r>
      <w:r w:rsidR="004A32DB" w:rsidRPr="00AF5B38">
        <w:rPr>
          <w:rFonts w:ascii="Times New Roman" w:eastAsia="Times New Roman" w:hAnsi="Times New Roman" w:cs="Times New Roman"/>
          <w:sz w:val="24"/>
          <w:szCs w:val="24"/>
          <w:lang w:val="en-US" w:eastAsia="fi-FI"/>
        </w:rPr>
        <w:t xml:space="preserve"> </w:t>
      </w:r>
      <w:r w:rsidR="00B830D7" w:rsidRPr="00AF5B38">
        <w:rPr>
          <w:rFonts w:ascii="Times New Roman" w:eastAsia="Times New Roman" w:hAnsi="Times New Roman" w:cs="Times New Roman"/>
          <w:sz w:val="24"/>
          <w:szCs w:val="24"/>
          <w:lang w:val="en-US" w:eastAsia="fi-FI"/>
        </w:rPr>
        <w:t xml:space="preserve">without and </w:t>
      </w:r>
      <w:r w:rsidR="004A32DB" w:rsidRPr="00AF5B38">
        <w:rPr>
          <w:rFonts w:ascii="Times New Roman" w:eastAsia="Times New Roman" w:hAnsi="Times New Roman" w:cs="Times New Roman"/>
          <w:sz w:val="24"/>
          <w:szCs w:val="24"/>
          <w:lang w:val="en-US" w:eastAsia="fi-FI"/>
        </w:rPr>
        <w:t>with any mental disorder.</w:t>
      </w:r>
    </w:p>
    <w:tbl>
      <w:tblPr>
        <w:tblStyle w:val="TableGrid"/>
        <w:tblW w:w="865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1560"/>
        <w:gridCol w:w="1275"/>
        <w:gridCol w:w="1134"/>
        <w:gridCol w:w="1276"/>
      </w:tblGrid>
      <w:tr w:rsidR="00F37407" w:rsidRPr="00AF5B38" w14:paraId="2FDBBCD0" w14:textId="77777777" w:rsidTr="00CC3C3A">
        <w:trPr>
          <w:trHeight w:hRule="exact" w:val="340"/>
        </w:trPr>
        <w:tc>
          <w:tcPr>
            <w:tcW w:w="3407" w:type="dxa"/>
            <w:tcBorders>
              <w:top w:val="single" w:sz="4" w:space="0" w:color="auto"/>
            </w:tcBorders>
            <w:noWrap/>
            <w:hideMark/>
          </w:tcPr>
          <w:p w14:paraId="4B692DC4" w14:textId="77777777" w:rsidR="00F37407" w:rsidRPr="00AF5B38" w:rsidRDefault="00F37407" w:rsidP="00534000">
            <w:pPr>
              <w:rPr>
                <w:rFonts w:ascii="Times New Roman" w:hAnsi="Times New Roman" w:cs="Times New Roman"/>
                <w:sz w:val="24"/>
                <w:szCs w:val="24"/>
                <w:lang w:val="en-US"/>
              </w:rPr>
            </w:pPr>
          </w:p>
        </w:tc>
        <w:tc>
          <w:tcPr>
            <w:tcW w:w="5245" w:type="dxa"/>
            <w:gridSpan w:val="4"/>
            <w:tcBorders>
              <w:top w:val="single" w:sz="4" w:space="0" w:color="auto"/>
            </w:tcBorders>
            <w:noWrap/>
            <w:hideMark/>
          </w:tcPr>
          <w:p w14:paraId="1D0DA766" w14:textId="77777777" w:rsidR="00F37407" w:rsidRPr="00AF5B38" w:rsidRDefault="00F37407" w:rsidP="00534000">
            <w:pPr>
              <w:jc w:val="center"/>
              <w:rPr>
                <w:rFonts w:ascii="Times New Roman" w:hAnsi="Times New Roman" w:cs="Times New Roman"/>
                <w:b/>
                <w:bCs/>
                <w:sz w:val="24"/>
                <w:szCs w:val="24"/>
              </w:rPr>
            </w:pPr>
            <w:r w:rsidRPr="00AF5B38">
              <w:rPr>
                <w:rFonts w:ascii="Times New Roman" w:hAnsi="Times New Roman" w:cs="Times New Roman"/>
                <w:b/>
                <w:bCs/>
                <w:sz w:val="24"/>
                <w:szCs w:val="24"/>
              </w:rPr>
              <w:t>Any mental disorder</w:t>
            </w:r>
          </w:p>
        </w:tc>
      </w:tr>
      <w:tr w:rsidR="00F37407" w:rsidRPr="00AF5B38" w14:paraId="627EB986" w14:textId="77777777" w:rsidTr="00CC3C3A">
        <w:trPr>
          <w:trHeight w:hRule="exact" w:val="340"/>
        </w:trPr>
        <w:tc>
          <w:tcPr>
            <w:tcW w:w="3407" w:type="dxa"/>
            <w:tcBorders>
              <w:bottom w:val="single" w:sz="4" w:space="0" w:color="auto"/>
            </w:tcBorders>
            <w:noWrap/>
            <w:hideMark/>
          </w:tcPr>
          <w:p w14:paraId="1BE7395A" w14:textId="77777777" w:rsidR="00F37407" w:rsidRPr="00AF5B38" w:rsidRDefault="00F37407" w:rsidP="00534000">
            <w:pPr>
              <w:rPr>
                <w:rFonts w:ascii="Times New Roman" w:hAnsi="Times New Roman" w:cs="Times New Roman"/>
                <w:sz w:val="24"/>
                <w:szCs w:val="24"/>
              </w:rPr>
            </w:pPr>
          </w:p>
        </w:tc>
        <w:tc>
          <w:tcPr>
            <w:tcW w:w="2835" w:type="dxa"/>
            <w:gridSpan w:val="2"/>
            <w:tcBorders>
              <w:bottom w:val="single" w:sz="4" w:space="0" w:color="auto"/>
            </w:tcBorders>
            <w:noWrap/>
            <w:hideMark/>
          </w:tcPr>
          <w:p w14:paraId="108FF79B" w14:textId="77777777" w:rsidR="00F37407" w:rsidRPr="00AF5B38" w:rsidRDefault="00F37407" w:rsidP="00534000">
            <w:pPr>
              <w:jc w:val="center"/>
              <w:rPr>
                <w:rFonts w:ascii="Times New Roman" w:hAnsi="Times New Roman" w:cs="Times New Roman"/>
                <w:sz w:val="24"/>
                <w:szCs w:val="24"/>
              </w:rPr>
            </w:pPr>
            <w:r w:rsidRPr="00AF5B38">
              <w:rPr>
                <w:rFonts w:ascii="Times New Roman" w:hAnsi="Times New Roman" w:cs="Times New Roman"/>
                <w:sz w:val="24"/>
                <w:szCs w:val="24"/>
              </w:rPr>
              <w:t>no</w:t>
            </w:r>
          </w:p>
        </w:tc>
        <w:tc>
          <w:tcPr>
            <w:tcW w:w="2410" w:type="dxa"/>
            <w:gridSpan w:val="2"/>
            <w:tcBorders>
              <w:bottom w:val="single" w:sz="4" w:space="0" w:color="auto"/>
            </w:tcBorders>
            <w:noWrap/>
            <w:hideMark/>
          </w:tcPr>
          <w:p w14:paraId="7E1ABAD7" w14:textId="77777777" w:rsidR="00F37407" w:rsidRPr="00AF5B38" w:rsidRDefault="00F37407" w:rsidP="00534000">
            <w:pPr>
              <w:jc w:val="center"/>
              <w:rPr>
                <w:rFonts w:ascii="Times New Roman" w:hAnsi="Times New Roman" w:cs="Times New Roman"/>
                <w:sz w:val="24"/>
                <w:szCs w:val="24"/>
              </w:rPr>
            </w:pPr>
            <w:r w:rsidRPr="00AF5B38">
              <w:rPr>
                <w:rFonts w:ascii="Times New Roman" w:hAnsi="Times New Roman" w:cs="Times New Roman"/>
                <w:sz w:val="24"/>
                <w:szCs w:val="24"/>
              </w:rPr>
              <w:t>yes</w:t>
            </w:r>
          </w:p>
        </w:tc>
      </w:tr>
      <w:tr w:rsidR="00F37407" w:rsidRPr="00AF5B38" w14:paraId="4526E097" w14:textId="77777777" w:rsidTr="00CC3C3A">
        <w:trPr>
          <w:trHeight w:hRule="exact" w:val="340"/>
        </w:trPr>
        <w:tc>
          <w:tcPr>
            <w:tcW w:w="3407" w:type="dxa"/>
            <w:tcBorders>
              <w:top w:val="single" w:sz="4" w:space="0" w:color="auto"/>
            </w:tcBorders>
            <w:noWrap/>
            <w:hideMark/>
          </w:tcPr>
          <w:p w14:paraId="2AA29844" w14:textId="77777777" w:rsidR="00F37407" w:rsidRPr="00AF5B38" w:rsidRDefault="00F37407" w:rsidP="00534000">
            <w:pPr>
              <w:rPr>
                <w:rFonts w:ascii="Times New Roman" w:hAnsi="Times New Roman" w:cs="Times New Roman"/>
                <w:b/>
                <w:bCs/>
                <w:sz w:val="24"/>
                <w:szCs w:val="24"/>
              </w:rPr>
            </w:pPr>
            <w:r w:rsidRPr="00AF5B38">
              <w:rPr>
                <w:rFonts w:ascii="Times New Roman" w:hAnsi="Times New Roman" w:cs="Times New Roman"/>
                <w:b/>
                <w:bCs/>
                <w:sz w:val="24"/>
                <w:szCs w:val="24"/>
              </w:rPr>
              <w:t>Sex</w:t>
            </w:r>
          </w:p>
        </w:tc>
        <w:tc>
          <w:tcPr>
            <w:tcW w:w="1560" w:type="dxa"/>
            <w:tcBorders>
              <w:top w:val="single" w:sz="4" w:space="0" w:color="auto"/>
            </w:tcBorders>
            <w:noWrap/>
            <w:hideMark/>
          </w:tcPr>
          <w:p w14:paraId="3AB8426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N</w:t>
            </w:r>
          </w:p>
        </w:tc>
        <w:tc>
          <w:tcPr>
            <w:tcW w:w="1275" w:type="dxa"/>
            <w:tcBorders>
              <w:top w:val="single" w:sz="4" w:space="0" w:color="auto"/>
            </w:tcBorders>
            <w:noWrap/>
            <w:hideMark/>
          </w:tcPr>
          <w:p w14:paraId="49D7E06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w:t>
            </w:r>
          </w:p>
        </w:tc>
        <w:tc>
          <w:tcPr>
            <w:tcW w:w="1134" w:type="dxa"/>
            <w:tcBorders>
              <w:top w:val="single" w:sz="4" w:space="0" w:color="auto"/>
            </w:tcBorders>
            <w:noWrap/>
            <w:hideMark/>
          </w:tcPr>
          <w:p w14:paraId="79C9973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N</w:t>
            </w:r>
          </w:p>
        </w:tc>
        <w:tc>
          <w:tcPr>
            <w:tcW w:w="1276" w:type="dxa"/>
            <w:tcBorders>
              <w:top w:val="single" w:sz="4" w:space="0" w:color="auto"/>
            </w:tcBorders>
            <w:noWrap/>
            <w:hideMark/>
          </w:tcPr>
          <w:p w14:paraId="45BB7FE9"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w:t>
            </w:r>
          </w:p>
        </w:tc>
      </w:tr>
      <w:tr w:rsidR="00F37407" w:rsidRPr="00AF5B38" w14:paraId="63F7B0D9" w14:textId="77777777" w:rsidTr="00534000">
        <w:trPr>
          <w:trHeight w:hRule="exact" w:val="340"/>
        </w:trPr>
        <w:tc>
          <w:tcPr>
            <w:tcW w:w="3407" w:type="dxa"/>
            <w:noWrap/>
            <w:hideMark/>
          </w:tcPr>
          <w:p w14:paraId="7F82DD9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male</w:t>
            </w:r>
          </w:p>
        </w:tc>
        <w:tc>
          <w:tcPr>
            <w:tcW w:w="1560" w:type="dxa"/>
            <w:noWrap/>
            <w:hideMark/>
          </w:tcPr>
          <w:p w14:paraId="5A7CCB4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481159</w:t>
            </w:r>
          </w:p>
        </w:tc>
        <w:tc>
          <w:tcPr>
            <w:tcW w:w="1275" w:type="dxa"/>
            <w:noWrap/>
            <w:hideMark/>
          </w:tcPr>
          <w:p w14:paraId="008FCE72"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51.9 %</w:t>
            </w:r>
          </w:p>
        </w:tc>
        <w:tc>
          <w:tcPr>
            <w:tcW w:w="1134" w:type="dxa"/>
            <w:noWrap/>
            <w:hideMark/>
          </w:tcPr>
          <w:p w14:paraId="27EFA8D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60983</w:t>
            </w:r>
          </w:p>
        </w:tc>
        <w:tc>
          <w:tcPr>
            <w:tcW w:w="1276" w:type="dxa"/>
            <w:noWrap/>
            <w:hideMark/>
          </w:tcPr>
          <w:p w14:paraId="302DB14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42.3 %</w:t>
            </w:r>
          </w:p>
        </w:tc>
      </w:tr>
      <w:tr w:rsidR="00F37407" w:rsidRPr="00AF5B38" w14:paraId="0B971853" w14:textId="77777777" w:rsidTr="00534000">
        <w:trPr>
          <w:trHeight w:hRule="exact" w:val="340"/>
        </w:trPr>
        <w:tc>
          <w:tcPr>
            <w:tcW w:w="3407" w:type="dxa"/>
            <w:noWrap/>
            <w:hideMark/>
          </w:tcPr>
          <w:p w14:paraId="30485D2C"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female</w:t>
            </w:r>
          </w:p>
        </w:tc>
        <w:tc>
          <w:tcPr>
            <w:tcW w:w="1560" w:type="dxa"/>
            <w:noWrap/>
            <w:hideMark/>
          </w:tcPr>
          <w:p w14:paraId="632B252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445397</w:t>
            </w:r>
          </w:p>
        </w:tc>
        <w:tc>
          <w:tcPr>
            <w:tcW w:w="1275" w:type="dxa"/>
            <w:noWrap/>
            <w:hideMark/>
          </w:tcPr>
          <w:p w14:paraId="093DC7B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48.1 %</w:t>
            </w:r>
          </w:p>
        </w:tc>
        <w:tc>
          <w:tcPr>
            <w:tcW w:w="1134" w:type="dxa"/>
            <w:noWrap/>
            <w:hideMark/>
          </w:tcPr>
          <w:p w14:paraId="2222F92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83341</w:t>
            </w:r>
          </w:p>
        </w:tc>
        <w:tc>
          <w:tcPr>
            <w:tcW w:w="1276" w:type="dxa"/>
            <w:noWrap/>
            <w:hideMark/>
          </w:tcPr>
          <w:p w14:paraId="32BCAF1F"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57.7 %</w:t>
            </w:r>
          </w:p>
        </w:tc>
      </w:tr>
      <w:tr w:rsidR="00F37407" w:rsidRPr="00AF5B38" w14:paraId="1385399C" w14:textId="77777777" w:rsidTr="00534000">
        <w:trPr>
          <w:trHeight w:hRule="exact" w:val="340"/>
        </w:trPr>
        <w:tc>
          <w:tcPr>
            <w:tcW w:w="3407" w:type="dxa"/>
            <w:noWrap/>
            <w:hideMark/>
          </w:tcPr>
          <w:p w14:paraId="3E8CD662" w14:textId="77777777" w:rsidR="00F37407" w:rsidRPr="00AF5B38" w:rsidRDefault="00F37407" w:rsidP="00534000">
            <w:pPr>
              <w:rPr>
                <w:rFonts w:ascii="Times New Roman" w:hAnsi="Times New Roman" w:cs="Times New Roman"/>
                <w:b/>
                <w:bCs/>
                <w:sz w:val="24"/>
                <w:szCs w:val="24"/>
              </w:rPr>
            </w:pPr>
            <w:r w:rsidRPr="00AF5B38">
              <w:rPr>
                <w:rFonts w:ascii="Times New Roman" w:hAnsi="Times New Roman" w:cs="Times New Roman"/>
                <w:b/>
                <w:bCs/>
                <w:sz w:val="24"/>
                <w:szCs w:val="24"/>
              </w:rPr>
              <w:t>Mother’s education</w:t>
            </w:r>
          </w:p>
        </w:tc>
        <w:tc>
          <w:tcPr>
            <w:tcW w:w="1560" w:type="dxa"/>
            <w:noWrap/>
            <w:hideMark/>
          </w:tcPr>
          <w:p w14:paraId="3C094A37" w14:textId="77777777" w:rsidR="00F37407" w:rsidRPr="00AF5B38" w:rsidRDefault="00F37407" w:rsidP="00534000">
            <w:pPr>
              <w:rPr>
                <w:rFonts w:ascii="Times New Roman" w:hAnsi="Times New Roman" w:cs="Times New Roman"/>
                <w:sz w:val="24"/>
                <w:szCs w:val="24"/>
              </w:rPr>
            </w:pPr>
          </w:p>
        </w:tc>
        <w:tc>
          <w:tcPr>
            <w:tcW w:w="1275" w:type="dxa"/>
            <w:noWrap/>
            <w:hideMark/>
          </w:tcPr>
          <w:p w14:paraId="4B70E6F0" w14:textId="77777777" w:rsidR="00F37407" w:rsidRPr="00AF5B38" w:rsidRDefault="00F37407" w:rsidP="00534000">
            <w:pPr>
              <w:rPr>
                <w:rFonts w:ascii="Times New Roman" w:hAnsi="Times New Roman" w:cs="Times New Roman"/>
                <w:sz w:val="24"/>
                <w:szCs w:val="24"/>
              </w:rPr>
            </w:pPr>
          </w:p>
        </w:tc>
        <w:tc>
          <w:tcPr>
            <w:tcW w:w="1134" w:type="dxa"/>
            <w:noWrap/>
            <w:hideMark/>
          </w:tcPr>
          <w:p w14:paraId="45585F8D" w14:textId="77777777" w:rsidR="00F37407" w:rsidRPr="00AF5B38" w:rsidRDefault="00F37407" w:rsidP="00534000">
            <w:pPr>
              <w:rPr>
                <w:rFonts w:ascii="Times New Roman" w:hAnsi="Times New Roman" w:cs="Times New Roman"/>
                <w:sz w:val="24"/>
                <w:szCs w:val="24"/>
              </w:rPr>
            </w:pPr>
          </w:p>
        </w:tc>
        <w:tc>
          <w:tcPr>
            <w:tcW w:w="1276" w:type="dxa"/>
            <w:noWrap/>
            <w:hideMark/>
          </w:tcPr>
          <w:p w14:paraId="6A56804F" w14:textId="77777777" w:rsidR="00F37407" w:rsidRPr="00AF5B38" w:rsidRDefault="00F37407" w:rsidP="00534000">
            <w:pPr>
              <w:rPr>
                <w:rFonts w:ascii="Times New Roman" w:hAnsi="Times New Roman" w:cs="Times New Roman"/>
                <w:sz w:val="24"/>
                <w:szCs w:val="24"/>
              </w:rPr>
            </w:pPr>
          </w:p>
        </w:tc>
      </w:tr>
      <w:tr w:rsidR="00F37407" w:rsidRPr="00AF5B38" w14:paraId="2E5E58D2" w14:textId="77777777" w:rsidTr="00534000">
        <w:trPr>
          <w:trHeight w:hRule="exact" w:val="340"/>
        </w:trPr>
        <w:tc>
          <w:tcPr>
            <w:tcW w:w="3407" w:type="dxa"/>
            <w:hideMark/>
          </w:tcPr>
          <w:p w14:paraId="78FFC027"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unknown</w:t>
            </w:r>
          </w:p>
        </w:tc>
        <w:tc>
          <w:tcPr>
            <w:tcW w:w="1560" w:type="dxa"/>
            <w:noWrap/>
            <w:hideMark/>
          </w:tcPr>
          <w:p w14:paraId="067B980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21186</w:t>
            </w:r>
          </w:p>
        </w:tc>
        <w:tc>
          <w:tcPr>
            <w:tcW w:w="1275" w:type="dxa"/>
            <w:noWrap/>
            <w:hideMark/>
          </w:tcPr>
          <w:p w14:paraId="4E82E6F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2.3 %</w:t>
            </w:r>
          </w:p>
        </w:tc>
        <w:tc>
          <w:tcPr>
            <w:tcW w:w="1134" w:type="dxa"/>
            <w:noWrap/>
            <w:hideMark/>
          </w:tcPr>
          <w:p w14:paraId="0EE400C1"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4173</w:t>
            </w:r>
          </w:p>
        </w:tc>
        <w:tc>
          <w:tcPr>
            <w:tcW w:w="1276" w:type="dxa"/>
            <w:noWrap/>
            <w:hideMark/>
          </w:tcPr>
          <w:p w14:paraId="5BFDB039"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2.9 %</w:t>
            </w:r>
          </w:p>
        </w:tc>
      </w:tr>
      <w:tr w:rsidR="00F37407" w:rsidRPr="00AF5B38" w14:paraId="42B432DE" w14:textId="77777777" w:rsidTr="00534000">
        <w:trPr>
          <w:trHeight w:hRule="exact" w:val="340"/>
        </w:trPr>
        <w:tc>
          <w:tcPr>
            <w:tcW w:w="3407" w:type="dxa"/>
            <w:hideMark/>
          </w:tcPr>
          <w:p w14:paraId="7482292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comprehensive</w:t>
            </w:r>
          </w:p>
        </w:tc>
        <w:tc>
          <w:tcPr>
            <w:tcW w:w="1560" w:type="dxa"/>
            <w:noWrap/>
            <w:hideMark/>
          </w:tcPr>
          <w:p w14:paraId="4071DE9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128528</w:t>
            </w:r>
          </w:p>
        </w:tc>
        <w:tc>
          <w:tcPr>
            <w:tcW w:w="1275" w:type="dxa"/>
            <w:noWrap/>
            <w:hideMark/>
          </w:tcPr>
          <w:p w14:paraId="6B741E0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13.9 %</w:t>
            </w:r>
          </w:p>
        </w:tc>
        <w:tc>
          <w:tcPr>
            <w:tcW w:w="1134" w:type="dxa"/>
            <w:noWrap/>
            <w:hideMark/>
          </w:tcPr>
          <w:p w14:paraId="60B15CC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27349</w:t>
            </w:r>
          </w:p>
        </w:tc>
        <w:tc>
          <w:tcPr>
            <w:tcW w:w="1276" w:type="dxa"/>
            <w:noWrap/>
            <w:hideMark/>
          </w:tcPr>
          <w:p w14:paraId="0F40C437"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18.9 %</w:t>
            </w:r>
          </w:p>
        </w:tc>
      </w:tr>
      <w:tr w:rsidR="00F37407" w:rsidRPr="00AF5B38" w14:paraId="4F251C52" w14:textId="77777777" w:rsidTr="00534000">
        <w:trPr>
          <w:trHeight w:hRule="exact" w:val="340"/>
        </w:trPr>
        <w:tc>
          <w:tcPr>
            <w:tcW w:w="3407" w:type="dxa"/>
            <w:hideMark/>
          </w:tcPr>
          <w:p w14:paraId="1610540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upper secondary</w:t>
            </w:r>
          </w:p>
        </w:tc>
        <w:tc>
          <w:tcPr>
            <w:tcW w:w="1560" w:type="dxa"/>
            <w:noWrap/>
            <w:hideMark/>
          </w:tcPr>
          <w:p w14:paraId="0B74612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392750</w:t>
            </w:r>
          </w:p>
        </w:tc>
        <w:tc>
          <w:tcPr>
            <w:tcW w:w="1275" w:type="dxa"/>
            <w:noWrap/>
            <w:hideMark/>
          </w:tcPr>
          <w:p w14:paraId="0AC0732F"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42.4 %</w:t>
            </w:r>
          </w:p>
        </w:tc>
        <w:tc>
          <w:tcPr>
            <w:tcW w:w="1134" w:type="dxa"/>
            <w:noWrap/>
            <w:hideMark/>
          </w:tcPr>
          <w:p w14:paraId="140F8D4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63101</w:t>
            </w:r>
          </w:p>
        </w:tc>
        <w:tc>
          <w:tcPr>
            <w:tcW w:w="1276" w:type="dxa"/>
            <w:noWrap/>
            <w:hideMark/>
          </w:tcPr>
          <w:p w14:paraId="33AB5693"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43.7 %</w:t>
            </w:r>
          </w:p>
        </w:tc>
      </w:tr>
      <w:tr w:rsidR="00F37407" w:rsidRPr="00AF5B38" w14:paraId="72E22F46" w14:textId="77777777" w:rsidTr="00534000">
        <w:trPr>
          <w:trHeight w:hRule="exact" w:val="340"/>
        </w:trPr>
        <w:tc>
          <w:tcPr>
            <w:tcW w:w="3407" w:type="dxa"/>
            <w:hideMark/>
          </w:tcPr>
          <w:p w14:paraId="5DBC443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lower tertiary</w:t>
            </w:r>
          </w:p>
        </w:tc>
        <w:tc>
          <w:tcPr>
            <w:tcW w:w="1560" w:type="dxa"/>
            <w:noWrap/>
            <w:hideMark/>
          </w:tcPr>
          <w:p w14:paraId="1A92B8D2"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222339</w:t>
            </w:r>
          </w:p>
        </w:tc>
        <w:tc>
          <w:tcPr>
            <w:tcW w:w="1275" w:type="dxa"/>
            <w:noWrap/>
            <w:hideMark/>
          </w:tcPr>
          <w:p w14:paraId="09C90FE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24.0 %</w:t>
            </w:r>
          </w:p>
        </w:tc>
        <w:tc>
          <w:tcPr>
            <w:tcW w:w="1134" w:type="dxa"/>
            <w:noWrap/>
            <w:hideMark/>
          </w:tcPr>
          <w:p w14:paraId="0173F2EE"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29352</w:t>
            </w:r>
          </w:p>
        </w:tc>
        <w:tc>
          <w:tcPr>
            <w:tcW w:w="1276" w:type="dxa"/>
            <w:noWrap/>
            <w:hideMark/>
          </w:tcPr>
          <w:p w14:paraId="583B380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20.3 %</w:t>
            </w:r>
          </w:p>
        </w:tc>
      </w:tr>
      <w:tr w:rsidR="00F37407" w:rsidRPr="00AF5B38" w14:paraId="73649BD1" w14:textId="77777777" w:rsidTr="00534000">
        <w:trPr>
          <w:trHeight w:hRule="exact" w:val="340"/>
        </w:trPr>
        <w:tc>
          <w:tcPr>
            <w:tcW w:w="3407" w:type="dxa"/>
            <w:hideMark/>
          </w:tcPr>
          <w:p w14:paraId="6A3C92F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lang w:val="en-US"/>
              </w:rPr>
              <w:t>Bachelor’s or equivalent</w:t>
            </w:r>
          </w:p>
        </w:tc>
        <w:tc>
          <w:tcPr>
            <w:tcW w:w="1560" w:type="dxa"/>
            <w:noWrap/>
            <w:hideMark/>
          </w:tcPr>
          <w:p w14:paraId="30DE84A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69593</w:t>
            </w:r>
          </w:p>
        </w:tc>
        <w:tc>
          <w:tcPr>
            <w:tcW w:w="1275" w:type="dxa"/>
            <w:noWrap/>
            <w:hideMark/>
          </w:tcPr>
          <w:p w14:paraId="6394486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7.5 %</w:t>
            </w:r>
          </w:p>
        </w:tc>
        <w:tc>
          <w:tcPr>
            <w:tcW w:w="1134" w:type="dxa"/>
            <w:noWrap/>
            <w:hideMark/>
          </w:tcPr>
          <w:p w14:paraId="4AAB28D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9213</w:t>
            </w:r>
          </w:p>
        </w:tc>
        <w:tc>
          <w:tcPr>
            <w:tcW w:w="1276" w:type="dxa"/>
            <w:noWrap/>
            <w:hideMark/>
          </w:tcPr>
          <w:p w14:paraId="234A45C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6.4 %</w:t>
            </w:r>
          </w:p>
        </w:tc>
      </w:tr>
      <w:tr w:rsidR="00F37407" w:rsidRPr="00AF5B38" w14:paraId="4A5AEA8E" w14:textId="77777777" w:rsidTr="00534000">
        <w:trPr>
          <w:trHeight w:hRule="exact" w:val="340"/>
        </w:trPr>
        <w:tc>
          <w:tcPr>
            <w:tcW w:w="3407" w:type="dxa"/>
            <w:hideMark/>
          </w:tcPr>
          <w:p w14:paraId="75BA92A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lang w:val="en-US"/>
              </w:rPr>
              <w:t>Master’s or higher</w:t>
            </w:r>
          </w:p>
        </w:tc>
        <w:tc>
          <w:tcPr>
            <w:tcW w:w="1560" w:type="dxa"/>
            <w:noWrap/>
            <w:hideMark/>
          </w:tcPr>
          <w:p w14:paraId="119979C6"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92160</w:t>
            </w:r>
          </w:p>
        </w:tc>
        <w:tc>
          <w:tcPr>
            <w:tcW w:w="1275" w:type="dxa"/>
            <w:noWrap/>
            <w:hideMark/>
          </w:tcPr>
          <w:p w14:paraId="47E157B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9.9 %</w:t>
            </w:r>
          </w:p>
        </w:tc>
        <w:tc>
          <w:tcPr>
            <w:tcW w:w="1134" w:type="dxa"/>
            <w:noWrap/>
            <w:hideMark/>
          </w:tcPr>
          <w:p w14:paraId="2AEE65C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11136</w:t>
            </w:r>
          </w:p>
        </w:tc>
        <w:tc>
          <w:tcPr>
            <w:tcW w:w="1276" w:type="dxa"/>
            <w:noWrap/>
            <w:hideMark/>
          </w:tcPr>
          <w:p w14:paraId="16C2CDB9"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7.7 %</w:t>
            </w:r>
          </w:p>
        </w:tc>
      </w:tr>
      <w:tr w:rsidR="00F37407" w:rsidRPr="00AF5B38" w14:paraId="51817060" w14:textId="77777777" w:rsidTr="00534000">
        <w:trPr>
          <w:trHeight w:hRule="exact" w:val="340"/>
        </w:trPr>
        <w:tc>
          <w:tcPr>
            <w:tcW w:w="3407" w:type="dxa"/>
            <w:noWrap/>
            <w:hideMark/>
          </w:tcPr>
          <w:p w14:paraId="1CE513D8" w14:textId="77777777" w:rsidR="00F37407" w:rsidRPr="00AF5B38" w:rsidRDefault="00F37407" w:rsidP="00534000">
            <w:pPr>
              <w:rPr>
                <w:rFonts w:ascii="Times New Roman" w:hAnsi="Times New Roman" w:cs="Times New Roman"/>
                <w:b/>
                <w:bCs/>
                <w:sz w:val="24"/>
                <w:szCs w:val="24"/>
              </w:rPr>
            </w:pPr>
            <w:r w:rsidRPr="00AF5B38">
              <w:rPr>
                <w:rFonts w:ascii="Times New Roman" w:hAnsi="Times New Roman" w:cs="Times New Roman"/>
                <w:b/>
                <w:bCs/>
                <w:sz w:val="24"/>
                <w:szCs w:val="24"/>
              </w:rPr>
              <w:t>Father’s education</w:t>
            </w:r>
          </w:p>
        </w:tc>
        <w:tc>
          <w:tcPr>
            <w:tcW w:w="1560" w:type="dxa"/>
            <w:noWrap/>
            <w:hideMark/>
          </w:tcPr>
          <w:p w14:paraId="1B36F92C" w14:textId="77777777" w:rsidR="00F37407" w:rsidRPr="00AF5B38" w:rsidRDefault="00F37407" w:rsidP="00534000">
            <w:pPr>
              <w:rPr>
                <w:rFonts w:ascii="Times New Roman" w:hAnsi="Times New Roman" w:cs="Times New Roman"/>
                <w:sz w:val="24"/>
                <w:szCs w:val="24"/>
              </w:rPr>
            </w:pPr>
          </w:p>
        </w:tc>
        <w:tc>
          <w:tcPr>
            <w:tcW w:w="1275" w:type="dxa"/>
            <w:noWrap/>
            <w:hideMark/>
          </w:tcPr>
          <w:p w14:paraId="2701CD33" w14:textId="77777777" w:rsidR="00F37407" w:rsidRPr="00AF5B38" w:rsidRDefault="00F37407" w:rsidP="00534000">
            <w:pPr>
              <w:rPr>
                <w:rFonts w:ascii="Times New Roman" w:hAnsi="Times New Roman" w:cs="Times New Roman"/>
                <w:sz w:val="24"/>
                <w:szCs w:val="24"/>
              </w:rPr>
            </w:pPr>
          </w:p>
        </w:tc>
        <w:tc>
          <w:tcPr>
            <w:tcW w:w="1134" w:type="dxa"/>
            <w:noWrap/>
            <w:hideMark/>
          </w:tcPr>
          <w:p w14:paraId="0B29EA8F" w14:textId="77777777" w:rsidR="00F37407" w:rsidRPr="00AF5B38" w:rsidRDefault="00F37407" w:rsidP="00534000">
            <w:pPr>
              <w:rPr>
                <w:rFonts w:ascii="Times New Roman" w:hAnsi="Times New Roman" w:cs="Times New Roman"/>
                <w:sz w:val="24"/>
                <w:szCs w:val="24"/>
              </w:rPr>
            </w:pPr>
          </w:p>
        </w:tc>
        <w:tc>
          <w:tcPr>
            <w:tcW w:w="1276" w:type="dxa"/>
            <w:noWrap/>
            <w:hideMark/>
          </w:tcPr>
          <w:p w14:paraId="621818EF" w14:textId="77777777" w:rsidR="00F37407" w:rsidRPr="00AF5B38" w:rsidRDefault="00F37407" w:rsidP="00534000">
            <w:pPr>
              <w:rPr>
                <w:rFonts w:ascii="Times New Roman" w:hAnsi="Times New Roman" w:cs="Times New Roman"/>
                <w:sz w:val="24"/>
                <w:szCs w:val="24"/>
              </w:rPr>
            </w:pPr>
          </w:p>
        </w:tc>
      </w:tr>
      <w:tr w:rsidR="00F37407" w:rsidRPr="00AF5B38" w14:paraId="77C7271C" w14:textId="77777777" w:rsidTr="00534000">
        <w:trPr>
          <w:trHeight w:hRule="exact" w:val="340"/>
        </w:trPr>
        <w:tc>
          <w:tcPr>
            <w:tcW w:w="3407" w:type="dxa"/>
            <w:hideMark/>
          </w:tcPr>
          <w:p w14:paraId="6DC0EDC3"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unknown</w:t>
            </w:r>
          </w:p>
        </w:tc>
        <w:tc>
          <w:tcPr>
            <w:tcW w:w="1560" w:type="dxa"/>
            <w:noWrap/>
            <w:hideMark/>
          </w:tcPr>
          <w:p w14:paraId="1D6E385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41844</w:t>
            </w:r>
          </w:p>
        </w:tc>
        <w:tc>
          <w:tcPr>
            <w:tcW w:w="1275" w:type="dxa"/>
            <w:noWrap/>
            <w:hideMark/>
          </w:tcPr>
          <w:p w14:paraId="28744E07"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4.5 %</w:t>
            </w:r>
          </w:p>
        </w:tc>
        <w:tc>
          <w:tcPr>
            <w:tcW w:w="1134" w:type="dxa"/>
            <w:noWrap/>
            <w:hideMark/>
          </w:tcPr>
          <w:p w14:paraId="10E2360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9095</w:t>
            </w:r>
          </w:p>
        </w:tc>
        <w:tc>
          <w:tcPr>
            <w:tcW w:w="1276" w:type="dxa"/>
            <w:noWrap/>
            <w:hideMark/>
          </w:tcPr>
          <w:p w14:paraId="513EF84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6.3 %</w:t>
            </w:r>
          </w:p>
        </w:tc>
      </w:tr>
      <w:tr w:rsidR="00F37407" w:rsidRPr="00AF5B38" w14:paraId="3B1FF89C" w14:textId="77777777" w:rsidTr="00534000">
        <w:trPr>
          <w:trHeight w:hRule="exact" w:val="340"/>
        </w:trPr>
        <w:tc>
          <w:tcPr>
            <w:tcW w:w="3407" w:type="dxa"/>
            <w:hideMark/>
          </w:tcPr>
          <w:p w14:paraId="2E34584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comprehensive</w:t>
            </w:r>
          </w:p>
        </w:tc>
        <w:tc>
          <w:tcPr>
            <w:tcW w:w="1560" w:type="dxa"/>
            <w:noWrap/>
            <w:hideMark/>
          </w:tcPr>
          <w:p w14:paraId="292B866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186104</w:t>
            </w:r>
          </w:p>
        </w:tc>
        <w:tc>
          <w:tcPr>
            <w:tcW w:w="1275" w:type="dxa"/>
            <w:noWrap/>
            <w:hideMark/>
          </w:tcPr>
          <w:p w14:paraId="05D07C8F"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20.1 %</w:t>
            </w:r>
          </w:p>
        </w:tc>
        <w:tc>
          <w:tcPr>
            <w:tcW w:w="1134" w:type="dxa"/>
            <w:noWrap/>
            <w:hideMark/>
          </w:tcPr>
          <w:p w14:paraId="2A472A9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34741</w:t>
            </w:r>
          </w:p>
        </w:tc>
        <w:tc>
          <w:tcPr>
            <w:tcW w:w="1276" w:type="dxa"/>
            <w:noWrap/>
            <w:hideMark/>
          </w:tcPr>
          <w:p w14:paraId="0739453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24.1 %</w:t>
            </w:r>
          </w:p>
        </w:tc>
      </w:tr>
      <w:tr w:rsidR="00F37407" w:rsidRPr="00AF5B38" w14:paraId="733D31A8" w14:textId="77777777" w:rsidTr="00534000">
        <w:trPr>
          <w:trHeight w:hRule="exact" w:val="340"/>
        </w:trPr>
        <w:tc>
          <w:tcPr>
            <w:tcW w:w="3407" w:type="dxa"/>
            <w:hideMark/>
          </w:tcPr>
          <w:p w14:paraId="54915F06"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upper secondary</w:t>
            </w:r>
          </w:p>
        </w:tc>
        <w:tc>
          <w:tcPr>
            <w:tcW w:w="1560" w:type="dxa"/>
            <w:noWrap/>
            <w:hideMark/>
          </w:tcPr>
          <w:p w14:paraId="67F747A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393010</w:t>
            </w:r>
          </w:p>
        </w:tc>
        <w:tc>
          <w:tcPr>
            <w:tcW w:w="1275" w:type="dxa"/>
            <w:noWrap/>
            <w:hideMark/>
          </w:tcPr>
          <w:p w14:paraId="14852079"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42.4 %</w:t>
            </w:r>
          </w:p>
        </w:tc>
        <w:tc>
          <w:tcPr>
            <w:tcW w:w="1134" w:type="dxa"/>
            <w:noWrap/>
            <w:hideMark/>
          </w:tcPr>
          <w:p w14:paraId="523B820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60262</w:t>
            </w:r>
          </w:p>
        </w:tc>
        <w:tc>
          <w:tcPr>
            <w:tcW w:w="1276" w:type="dxa"/>
            <w:noWrap/>
            <w:hideMark/>
          </w:tcPr>
          <w:p w14:paraId="4FF7DF4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41.8 %</w:t>
            </w:r>
          </w:p>
        </w:tc>
      </w:tr>
      <w:tr w:rsidR="00F37407" w:rsidRPr="00AF5B38" w14:paraId="12131545" w14:textId="77777777" w:rsidTr="00534000">
        <w:trPr>
          <w:trHeight w:hRule="exact" w:val="340"/>
        </w:trPr>
        <w:tc>
          <w:tcPr>
            <w:tcW w:w="3407" w:type="dxa"/>
            <w:hideMark/>
          </w:tcPr>
          <w:p w14:paraId="0DA6E0D6"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lower tertiary</w:t>
            </w:r>
          </w:p>
        </w:tc>
        <w:tc>
          <w:tcPr>
            <w:tcW w:w="1560" w:type="dxa"/>
            <w:noWrap/>
            <w:hideMark/>
          </w:tcPr>
          <w:p w14:paraId="560C2D4F"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134014</w:t>
            </w:r>
          </w:p>
        </w:tc>
        <w:tc>
          <w:tcPr>
            <w:tcW w:w="1275" w:type="dxa"/>
            <w:noWrap/>
            <w:hideMark/>
          </w:tcPr>
          <w:p w14:paraId="2C33190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14.5 %</w:t>
            </w:r>
          </w:p>
        </w:tc>
        <w:tc>
          <w:tcPr>
            <w:tcW w:w="1134" w:type="dxa"/>
            <w:noWrap/>
            <w:hideMark/>
          </w:tcPr>
          <w:p w14:paraId="3F54CA09"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17871</w:t>
            </w:r>
          </w:p>
        </w:tc>
        <w:tc>
          <w:tcPr>
            <w:tcW w:w="1276" w:type="dxa"/>
            <w:noWrap/>
            <w:hideMark/>
          </w:tcPr>
          <w:p w14:paraId="32D78B9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12.4 %</w:t>
            </w:r>
          </w:p>
        </w:tc>
      </w:tr>
      <w:tr w:rsidR="00F37407" w:rsidRPr="00AF5B38" w14:paraId="41F18CBE" w14:textId="77777777" w:rsidTr="00534000">
        <w:trPr>
          <w:trHeight w:hRule="exact" w:val="340"/>
        </w:trPr>
        <w:tc>
          <w:tcPr>
            <w:tcW w:w="3407" w:type="dxa"/>
            <w:hideMark/>
          </w:tcPr>
          <w:p w14:paraId="0123C3C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lang w:val="en-US"/>
              </w:rPr>
              <w:t>Bachelor’s or equivalent</w:t>
            </w:r>
          </w:p>
        </w:tc>
        <w:tc>
          <w:tcPr>
            <w:tcW w:w="1560" w:type="dxa"/>
            <w:noWrap/>
            <w:hideMark/>
          </w:tcPr>
          <w:p w14:paraId="54193B6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74402</w:t>
            </w:r>
          </w:p>
        </w:tc>
        <w:tc>
          <w:tcPr>
            <w:tcW w:w="1275" w:type="dxa"/>
            <w:noWrap/>
            <w:hideMark/>
          </w:tcPr>
          <w:p w14:paraId="670876B2"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8.0 %</w:t>
            </w:r>
          </w:p>
        </w:tc>
        <w:tc>
          <w:tcPr>
            <w:tcW w:w="1134" w:type="dxa"/>
            <w:noWrap/>
            <w:hideMark/>
          </w:tcPr>
          <w:p w14:paraId="4ABE6A46"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10054</w:t>
            </w:r>
          </w:p>
        </w:tc>
        <w:tc>
          <w:tcPr>
            <w:tcW w:w="1276" w:type="dxa"/>
            <w:noWrap/>
            <w:hideMark/>
          </w:tcPr>
          <w:p w14:paraId="05FFD09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7.0 %</w:t>
            </w:r>
          </w:p>
        </w:tc>
      </w:tr>
      <w:tr w:rsidR="00F37407" w:rsidRPr="00AF5B38" w14:paraId="785EEFFC" w14:textId="77777777" w:rsidTr="00534000">
        <w:trPr>
          <w:trHeight w:hRule="exact" w:val="340"/>
        </w:trPr>
        <w:tc>
          <w:tcPr>
            <w:tcW w:w="3407" w:type="dxa"/>
            <w:hideMark/>
          </w:tcPr>
          <w:p w14:paraId="6AB119B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lang w:val="en-US"/>
              </w:rPr>
              <w:t>Master’s or higher</w:t>
            </w:r>
          </w:p>
        </w:tc>
        <w:tc>
          <w:tcPr>
            <w:tcW w:w="1560" w:type="dxa"/>
            <w:noWrap/>
            <w:hideMark/>
          </w:tcPr>
          <w:p w14:paraId="27350A6E"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97182</w:t>
            </w:r>
          </w:p>
        </w:tc>
        <w:tc>
          <w:tcPr>
            <w:tcW w:w="1275" w:type="dxa"/>
            <w:noWrap/>
            <w:hideMark/>
          </w:tcPr>
          <w:p w14:paraId="38DDDC3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10.5 %</w:t>
            </w:r>
          </w:p>
        </w:tc>
        <w:tc>
          <w:tcPr>
            <w:tcW w:w="1134" w:type="dxa"/>
            <w:noWrap/>
            <w:hideMark/>
          </w:tcPr>
          <w:p w14:paraId="325674B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12301</w:t>
            </w:r>
          </w:p>
        </w:tc>
        <w:tc>
          <w:tcPr>
            <w:tcW w:w="1276" w:type="dxa"/>
            <w:noWrap/>
            <w:hideMark/>
          </w:tcPr>
          <w:p w14:paraId="39C93E11"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8.5 %</w:t>
            </w:r>
          </w:p>
        </w:tc>
      </w:tr>
      <w:tr w:rsidR="00F37407" w:rsidRPr="00AF5B38" w14:paraId="4E6EAE49" w14:textId="77777777" w:rsidTr="00534000">
        <w:trPr>
          <w:trHeight w:hRule="exact" w:val="340"/>
        </w:trPr>
        <w:tc>
          <w:tcPr>
            <w:tcW w:w="3407" w:type="dxa"/>
            <w:noWrap/>
            <w:hideMark/>
          </w:tcPr>
          <w:p w14:paraId="6D298045" w14:textId="77777777" w:rsidR="00F37407" w:rsidRPr="00AF5B38" w:rsidRDefault="00F37407" w:rsidP="00534000">
            <w:pPr>
              <w:rPr>
                <w:rFonts w:ascii="Times New Roman" w:hAnsi="Times New Roman" w:cs="Times New Roman"/>
                <w:b/>
                <w:bCs/>
                <w:sz w:val="24"/>
                <w:szCs w:val="24"/>
              </w:rPr>
            </w:pPr>
            <w:r w:rsidRPr="00AF5B38">
              <w:rPr>
                <w:rFonts w:ascii="Times New Roman" w:hAnsi="Times New Roman" w:cs="Times New Roman"/>
                <w:b/>
                <w:bCs/>
                <w:sz w:val="24"/>
                <w:szCs w:val="24"/>
              </w:rPr>
              <w:t xml:space="preserve">Mother’s income </w:t>
            </w:r>
          </w:p>
        </w:tc>
        <w:tc>
          <w:tcPr>
            <w:tcW w:w="1560" w:type="dxa"/>
            <w:noWrap/>
            <w:hideMark/>
          </w:tcPr>
          <w:p w14:paraId="6C2ABC4B" w14:textId="77777777" w:rsidR="00F37407" w:rsidRPr="00AF5B38" w:rsidRDefault="00F37407" w:rsidP="00534000">
            <w:pPr>
              <w:rPr>
                <w:rFonts w:ascii="Times New Roman" w:hAnsi="Times New Roman" w:cs="Times New Roman"/>
                <w:sz w:val="24"/>
                <w:szCs w:val="24"/>
              </w:rPr>
            </w:pPr>
          </w:p>
        </w:tc>
        <w:tc>
          <w:tcPr>
            <w:tcW w:w="1275" w:type="dxa"/>
            <w:noWrap/>
            <w:hideMark/>
          </w:tcPr>
          <w:p w14:paraId="3E86725F" w14:textId="77777777" w:rsidR="00F37407" w:rsidRPr="00AF5B38" w:rsidRDefault="00F37407" w:rsidP="00534000">
            <w:pPr>
              <w:rPr>
                <w:rFonts w:ascii="Times New Roman" w:hAnsi="Times New Roman" w:cs="Times New Roman"/>
                <w:sz w:val="24"/>
                <w:szCs w:val="24"/>
              </w:rPr>
            </w:pPr>
          </w:p>
        </w:tc>
        <w:tc>
          <w:tcPr>
            <w:tcW w:w="1134" w:type="dxa"/>
            <w:noWrap/>
            <w:hideMark/>
          </w:tcPr>
          <w:p w14:paraId="46DE7A5B" w14:textId="77777777" w:rsidR="00F37407" w:rsidRPr="00AF5B38" w:rsidRDefault="00F37407" w:rsidP="00534000">
            <w:pPr>
              <w:rPr>
                <w:rFonts w:ascii="Times New Roman" w:hAnsi="Times New Roman" w:cs="Times New Roman"/>
                <w:sz w:val="24"/>
                <w:szCs w:val="24"/>
              </w:rPr>
            </w:pPr>
          </w:p>
        </w:tc>
        <w:tc>
          <w:tcPr>
            <w:tcW w:w="1276" w:type="dxa"/>
            <w:noWrap/>
            <w:hideMark/>
          </w:tcPr>
          <w:p w14:paraId="6008D8B6" w14:textId="77777777" w:rsidR="00F37407" w:rsidRPr="00AF5B38" w:rsidRDefault="00F37407" w:rsidP="00534000">
            <w:pPr>
              <w:rPr>
                <w:rFonts w:ascii="Times New Roman" w:hAnsi="Times New Roman" w:cs="Times New Roman"/>
                <w:sz w:val="24"/>
                <w:szCs w:val="24"/>
              </w:rPr>
            </w:pPr>
          </w:p>
        </w:tc>
      </w:tr>
      <w:tr w:rsidR="00F37407" w:rsidRPr="00AF5B38" w14:paraId="24879D34" w14:textId="77777777" w:rsidTr="00534000">
        <w:trPr>
          <w:trHeight w:hRule="exact" w:val="340"/>
        </w:trPr>
        <w:tc>
          <w:tcPr>
            <w:tcW w:w="3407" w:type="dxa"/>
            <w:hideMark/>
          </w:tcPr>
          <w:p w14:paraId="0720FD2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unknown</w:t>
            </w:r>
          </w:p>
        </w:tc>
        <w:tc>
          <w:tcPr>
            <w:tcW w:w="1560" w:type="dxa"/>
            <w:noWrap/>
            <w:hideMark/>
          </w:tcPr>
          <w:p w14:paraId="179C00A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21469</w:t>
            </w:r>
          </w:p>
        </w:tc>
        <w:tc>
          <w:tcPr>
            <w:tcW w:w="1275" w:type="dxa"/>
            <w:noWrap/>
            <w:hideMark/>
          </w:tcPr>
          <w:p w14:paraId="56D1F7CF"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2.3 %</w:t>
            </w:r>
          </w:p>
        </w:tc>
        <w:tc>
          <w:tcPr>
            <w:tcW w:w="1134" w:type="dxa"/>
            <w:noWrap/>
            <w:hideMark/>
          </w:tcPr>
          <w:p w14:paraId="501CA4A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4237</w:t>
            </w:r>
          </w:p>
        </w:tc>
        <w:tc>
          <w:tcPr>
            <w:tcW w:w="1276" w:type="dxa"/>
            <w:noWrap/>
            <w:hideMark/>
          </w:tcPr>
          <w:p w14:paraId="75E670F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2.9 %</w:t>
            </w:r>
          </w:p>
        </w:tc>
      </w:tr>
      <w:tr w:rsidR="00F37407" w:rsidRPr="00AF5B38" w14:paraId="4609EBF7" w14:textId="77777777" w:rsidTr="00534000">
        <w:trPr>
          <w:trHeight w:hRule="exact" w:val="340"/>
        </w:trPr>
        <w:tc>
          <w:tcPr>
            <w:tcW w:w="3407" w:type="dxa"/>
            <w:hideMark/>
          </w:tcPr>
          <w:p w14:paraId="01A68AA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1st quintile</w:t>
            </w:r>
          </w:p>
        </w:tc>
        <w:tc>
          <w:tcPr>
            <w:tcW w:w="1560" w:type="dxa"/>
            <w:noWrap/>
            <w:hideMark/>
          </w:tcPr>
          <w:p w14:paraId="6D226D21"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171257</w:t>
            </w:r>
          </w:p>
        </w:tc>
        <w:tc>
          <w:tcPr>
            <w:tcW w:w="1275" w:type="dxa"/>
            <w:noWrap/>
            <w:hideMark/>
          </w:tcPr>
          <w:p w14:paraId="5CC16EDE"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18.5 %</w:t>
            </w:r>
          </w:p>
        </w:tc>
        <w:tc>
          <w:tcPr>
            <w:tcW w:w="1134" w:type="dxa"/>
            <w:noWrap/>
            <w:hideMark/>
          </w:tcPr>
          <w:p w14:paraId="03C724F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37779</w:t>
            </w:r>
          </w:p>
        </w:tc>
        <w:tc>
          <w:tcPr>
            <w:tcW w:w="1276" w:type="dxa"/>
            <w:noWrap/>
            <w:hideMark/>
          </w:tcPr>
          <w:p w14:paraId="09E234A2"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26.2 %</w:t>
            </w:r>
          </w:p>
        </w:tc>
      </w:tr>
      <w:tr w:rsidR="00F37407" w:rsidRPr="00AF5B38" w14:paraId="79D57A6D" w14:textId="77777777" w:rsidTr="00534000">
        <w:trPr>
          <w:trHeight w:hRule="exact" w:val="340"/>
        </w:trPr>
        <w:tc>
          <w:tcPr>
            <w:tcW w:w="3407" w:type="dxa"/>
            <w:hideMark/>
          </w:tcPr>
          <w:p w14:paraId="05AE36A7"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2nd quintile</w:t>
            </w:r>
          </w:p>
        </w:tc>
        <w:tc>
          <w:tcPr>
            <w:tcW w:w="1560" w:type="dxa"/>
            <w:noWrap/>
            <w:hideMark/>
          </w:tcPr>
          <w:p w14:paraId="077368EE"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177775</w:t>
            </w:r>
          </w:p>
        </w:tc>
        <w:tc>
          <w:tcPr>
            <w:tcW w:w="1275" w:type="dxa"/>
            <w:noWrap/>
            <w:hideMark/>
          </w:tcPr>
          <w:p w14:paraId="718D382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19.2 %</w:t>
            </w:r>
          </w:p>
        </w:tc>
        <w:tc>
          <w:tcPr>
            <w:tcW w:w="1134" w:type="dxa"/>
            <w:noWrap/>
            <w:hideMark/>
          </w:tcPr>
          <w:p w14:paraId="51AFBA6F"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31259</w:t>
            </w:r>
          </w:p>
        </w:tc>
        <w:tc>
          <w:tcPr>
            <w:tcW w:w="1276" w:type="dxa"/>
            <w:noWrap/>
            <w:hideMark/>
          </w:tcPr>
          <w:p w14:paraId="5D9009D1"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21.7 %</w:t>
            </w:r>
          </w:p>
        </w:tc>
      </w:tr>
      <w:tr w:rsidR="00F37407" w:rsidRPr="00AF5B38" w14:paraId="4F33F6AE" w14:textId="77777777" w:rsidTr="00534000">
        <w:trPr>
          <w:trHeight w:hRule="exact" w:val="340"/>
        </w:trPr>
        <w:tc>
          <w:tcPr>
            <w:tcW w:w="3407" w:type="dxa"/>
            <w:hideMark/>
          </w:tcPr>
          <w:p w14:paraId="0DC6B032"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3rd quintile</w:t>
            </w:r>
          </w:p>
        </w:tc>
        <w:tc>
          <w:tcPr>
            <w:tcW w:w="1560" w:type="dxa"/>
            <w:noWrap/>
            <w:hideMark/>
          </w:tcPr>
          <w:p w14:paraId="1A6226B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181387</w:t>
            </w:r>
          </w:p>
        </w:tc>
        <w:tc>
          <w:tcPr>
            <w:tcW w:w="1275" w:type="dxa"/>
            <w:noWrap/>
            <w:hideMark/>
          </w:tcPr>
          <w:p w14:paraId="4274D97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19.6 %</w:t>
            </w:r>
          </w:p>
        </w:tc>
        <w:tc>
          <w:tcPr>
            <w:tcW w:w="1134" w:type="dxa"/>
            <w:noWrap/>
            <w:hideMark/>
          </w:tcPr>
          <w:p w14:paraId="17C72B3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27649</w:t>
            </w:r>
          </w:p>
        </w:tc>
        <w:tc>
          <w:tcPr>
            <w:tcW w:w="1276" w:type="dxa"/>
            <w:noWrap/>
            <w:hideMark/>
          </w:tcPr>
          <w:p w14:paraId="4ED15197"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19.2 %</w:t>
            </w:r>
          </w:p>
        </w:tc>
      </w:tr>
      <w:tr w:rsidR="00F37407" w:rsidRPr="00AF5B38" w14:paraId="73D56784" w14:textId="77777777" w:rsidTr="00534000">
        <w:trPr>
          <w:trHeight w:hRule="exact" w:val="340"/>
        </w:trPr>
        <w:tc>
          <w:tcPr>
            <w:tcW w:w="3407" w:type="dxa"/>
            <w:hideMark/>
          </w:tcPr>
          <w:p w14:paraId="178B4F79"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4th quintile</w:t>
            </w:r>
          </w:p>
        </w:tc>
        <w:tc>
          <w:tcPr>
            <w:tcW w:w="1560" w:type="dxa"/>
            <w:noWrap/>
            <w:hideMark/>
          </w:tcPr>
          <w:p w14:paraId="56749BC3"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185600</w:t>
            </w:r>
          </w:p>
        </w:tc>
        <w:tc>
          <w:tcPr>
            <w:tcW w:w="1275" w:type="dxa"/>
            <w:noWrap/>
            <w:hideMark/>
          </w:tcPr>
          <w:p w14:paraId="52887AA1"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20.0 %</w:t>
            </w:r>
          </w:p>
        </w:tc>
        <w:tc>
          <w:tcPr>
            <w:tcW w:w="1134" w:type="dxa"/>
            <w:noWrap/>
            <w:hideMark/>
          </w:tcPr>
          <w:p w14:paraId="58D556D1"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23434</w:t>
            </w:r>
          </w:p>
        </w:tc>
        <w:tc>
          <w:tcPr>
            <w:tcW w:w="1276" w:type="dxa"/>
            <w:noWrap/>
            <w:hideMark/>
          </w:tcPr>
          <w:p w14:paraId="0B707216"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16.2 %</w:t>
            </w:r>
          </w:p>
        </w:tc>
      </w:tr>
      <w:tr w:rsidR="00F37407" w:rsidRPr="00AF5B38" w14:paraId="4C9850F3" w14:textId="77777777" w:rsidTr="00534000">
        <w:trPr>
          <w:trHeight w:hRule="exact" w:val="340"/>
        </w:trPr>
        <w:tc>
          <w:tcPr>
            <w:tcW w:w="3407" w:type="dxa"/>
            <w:hideMark/>
          </w:tcPr>
          <w:p w14:paraId="5CF135A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5th quintile</w:t>
            </w:r>
          </w:p>
        </w:tc>
        <w:tc>
          <w:tcPr>
            <w:tcW w:w="1560" w:type="dxa"/>
            <w:noWrap/>
            <w:hideMark/>
          </w:tcPr>
          <w:p w14:paraId="2CA332F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189068</w:t>
            </w:r>
          </w:p>
        </w:tc>
        <w:tc>
          <w:tcPr>
            <w:tcW w:w="1275" w:type="dxa"/>
            <w:noWrap/>
            <w:hideMark/>
          </w:tcPr>
          <w:p w14:paraId="0BE5E5A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20.4 %</w:t>
            </w:r>
          </w:p>
        </w:tc>
        <w:tc>
          <w:tcPr>
            <w:tcW w:w="1134" w:type="dxa"/>
            <w:noWrap/>
            <w:hideMark/>
          </w:tcPr>
          <w:p w14:paraId="0DA8D213"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19966</w:t>
            </w:r>
          </w:p>
        </w:tc>
        <w:tc>
          <w:tcPr>
            <w:tcW w:w="1276" w:type="dxa"/>
            <w:noWrap/>
            <w:hideMark/>
          </w:tcPr>
          <w:p w14:paraId="208FED8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13.8 %</w:t>
            </w:r>
          </w:p>
        </w:tc>
      </w:tr>
      <w:tr w:rsidR="00F37407" w:rsidRPr="00AF5B38" w14:paraId="3C506B9A" w14:textId="77777777" w:rsidTr="00534000">
        <w:trPr>
          <w:trHeight w:hRule="exact" w:val="340"/>
        </w:trPr>
        <w:tc>
          <w:tcPr>
            <w:tcW w:w="3407" w:type="dxa"/>
            <w:noWrap/>
            <w:hideMark/>
          </w:tcPr>
          <w:p w14:paraId="0A664C41" w14:textId="77777777" w:rsidR="00F37407" w:rsidRPr="00AF5B38" w:rsidRDefault="00F37407" w:rsidP="00534000">
            <w:pPr>
              <w:rPr>
                <w:rFonts w:ascii="Times New Roman" w:hAnsi="Times New Roman" w:cs="Times New Roman"/>
                <w:b/>
                <w:bCs/>
                <w:sz w:val="24"/>
                <w:szCs w:val="24"/>
              </w:rPr>
            </w:pPr>
            <w:r w:rsidRPr="00AF5B38">
              <w:rPr>
                <w:rFonts w:ascii="Times New Roman" w:hAnsi="Times New Roman" w:cs="Times New Roman"/>
                <w:b/>
                <w:bCs/>
                <w:sz w:val="24"/>
                <w:szCs w:val="24"/>
              </w:rPr>
              <w:t xml:space="preserve">Father’s income </w:t>
            </w:r>
          </w:p>
        </w:tc>
        <w:tc>
          <w:tcPr>
            <w:tcW w:w="1560" w:type="dxa"/>
            <w:noWrap/>
            <w:hideMark/>
          </w:tcPr>
          <w:p w14:paraId="11880227" w14:textId="77777777" w:rsidR="00F37407" w:rsidRPr="00AF5B38" w:rsidRDefault="00F37407" w:rsidP="00534000">
            <w:pPr>
              <w:rPr>
                <w:rFonts w:ascii="Times New Roman" w:hAnsi="Times New Roman" w:cs="Times New Roman"/>
                <w:sz w:val="24"/>
                <w:szCs w:val="24"/>
              </w:rPr>
            </w:pPr>
          </w:p>
        </w:tc>
        <w:tc>
          <w:tcPr>
            <w:tcW w:w="1275" w:type="dxa"/>
            <w:noWrap/>
            <w:hideMark/>
          </w:tcPr>
          <w:p w14:paraId="29C74FE9" w14:textId="77777777" w:rsidR="00F37407" w:rsidRPr="00AF5B38" w:rsidRDefault="00F37407" w:rsidP="00534000">
            <w:pPr>
              <w:rPr>
                <w:rFonts w:ascii="Times New Roman" w:hAnsi="Times New Roman" w:cs="Times New Roman"/>
                <w:sz w:val="24"/>
                <w:szCs w:val="24"/>
              </w:rPr>
            </w:pPr>
          </w:p>
        </w:tc>
        <w:tc>
          <w:tcPr>
            <w:tcW w:w="1134" w:type="dxa"/>
            <w:noWrap/>
            <w:hideMark/>
          </w:tcPr>
          <w:p w14:paraId="5E516AE5" w14:textId="77777777" w:rsidR="00F37407" w:rsidRPr="00AF5B38" w:rsidRDefault="00F37407" w:rsidP="00534000">
            <w:pPr>
              <w:rPr>
                <w:rFonts w:ascii="Times New Roman" w:hAnsi="Times New Roman" w:cs="Times New Roman"/>
                <w:sz w:val="24"/>
                <w:szCs w:val="24"/>
              </w:rPr>
            </w:pPr>
          </w:p>
        </w:tc>
        <w:tc>
          <w:tcPr>
            <w:tcW w:w="1276" w:type="dxa"/>
            <w:noWrap/>
            <w:hideMark/>
          </w:tcPr>
          <w:p w14:paraId="747EB771" w14:textId="77777777" w:rsidR="00F37407" w:rsidRPr="00AF5B38" w:rsidRDefault="00F37407" w:rsidP="00534000">
            <w:pPr>
              <w:rPr>
                <w:rFonts w:ascii="Times New Roman" w:hAnsi="Times New Roman" w:cs="Times New Roman"/>
                <w:sz w:val="24"/>
                <w:szCs w:val="24"/>
              </w:rPr>
            </w:pPr>
          </w:p>
        </w:tc>
      </w:tr>
      <w:tr w:rsidR="00F37407" w:rsidRPr="00AF5B38" w14:paraId="55A2FE47" w14:textId="77777777" w:rsidTr="00534000">
        <w:trPr>
          <w:trHeight w:hRule="exact" w:val="340"/>
        </w:trPr>
        <w:tc>
          <w:tcPr>
            <w:tcW w:w="3407" w:type="dxa"/>
            <w:hideMark/>
          </w:tcPr>
          <w:p w14:paraId="743CCF0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unknown</w:t>
            </w:r>
          </w:p>
        </w:tc>
        <w:tc>
          <w:tcPr>
            <w:tcW w:w="1560" w:type="dxa"/>
            <w:noWrap/>
            <w:hideMark/>
          </w:tcPr>
          <w:p w14:paraId="5BDF48CF"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42959</w:t>
            </w:r>
          </w:p>
        </w:tc>
        <w:tc>
          <w:tcPr>
            <w:tcW w:w="1275" w:type="dxa"/>
            <w:noWrap/>
            <w:hideMark/>
          </w:tcPr>
          <w:p w14:paraId="1FF9246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4.6 %</w:t>
            </w:r>
          </w:p>
        </w:tc>
        <w:tc>
          <w:tcPr>
            <w:tcW w:w="1134" w:type="dxa"/>
            <w:noWrap/>
            <w:hideMark/>
          </w:tcPr>
          <w:p w14:paraId="33F6A99C"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9372</w:t>
            </w:r>
          </w:p>
        </w:tc>
        <w:tc>
          <w:tcPr>
            <w:tcW w:w="1276" w:type="dxa"/>
            <w:noWrap/>
            <w:hideMark/>
          </w:tcPr>
          <w:p w14:paraId="18D59ADE"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6.5 %</w:t>
            </w:r>
          </w:p>
        </w:tc>
      </w:tr>
      <w:tr w:rsidR="00F37407" w:rsidRPr="00AF5B38" w14:paraId="5E63CEEB" w14:textId="77777777" w:rsidTr="00534000">
        <w:trPr>
          <w:trHeight w:hRule="exact" w:val="340"/>
        </w:trPr>
        <w:tc>
          <w:tcPr>
            <w:tcW w:w="3407" w:type="dxa"/>
            <w:hideMark/>
          </w:tcPr>
          <w:p w14:paraId="6901DC82"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1st quintile</w:t>
            </w:r>
          </w:p>
        </w:tc>
        <w:tc>
          <w:tcPr>
            <w:tcW w:w="1560" w:type="dxa"/>
            <w:noWrap/>
            <w:hideMark/>
          </w:tcPr>
          <w:p w14:paraId="07754497"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167490</w:t>
            </w:r>
          </w:p>
        </w:tc>
        <w:tc>
          <w:tcPr>
            <w:tcW w:w="1275" w:type="dxa"/>
            <w:noWrap/>
            <w:hideMark/>
          </w:tcPr>
          <w:p w14:paraId="38D514C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18.1 %</w:t>
            </w:r>
          </w:p>
        </w:tc>
        <w:tc>
          <w:tcPr>
            <w:tcW w:w="1134" w:type="dxa"/>
            <w:noWrap/>
            <w:hideMark/>
          </w:tcPr>
          <w:p w14:paraId="618AA11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36227</w:t>
            </w:r>
          </w:p>
        </w:tc>
        <w:tc>
          <w:tcPr>
            <w:tcW w:w="1276" w:type="dxa"/>
            <w:noWrap/>
            <w:hideMark/>
          </w:tcPr>
          <w:p w14:paraId="1E528277"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25.1 %</w:t>
            </w:r>
          </w:p>
        </w:tc>
      </w:tr>
      <w:tr w:rsidR="00F37407" w:rsidRPr="00AF5B38" w14:paraId="34037519" w14:textId="77777777" w:rsidTr="00534000">
        <w:trPr>
          <w:trHeight w:hRule="exact" w:val="340"/>
        </w:trPr>
        <w:tc>
          <w:tcPr>
            <w:tcW w:w="3407" w:type="dxa"/>
            <w:hideMark/>
          </w:tcPr>
          <w:p w14:paraId="3605F659"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2nd quintile</w:t>
            </w:r>
          </w:p>
        </w:tc>
        <w:tc>
          <w:tcPr>
            <w:tcW w:w="1560" w:type="dxa"/>
            <w:noWrap/>
            <w:hideMark/>
          </w:tcPr>
          <w:p w14:paraId="1DC87A2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173975</w:t>
            </w:r>
          </w:p>
        </w:tc>
        <w:tc>
          <w:tcPr>
            <w:tcW w:w="1275" w:type="dxa"/>
            <w:noWrap/>
            <w:hideMark/>
          </w:tcPr>
          <w:p w14:paraId="2F03823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18.8 %</w:t>
            </w:r>
          </w:p>
        </w:tc>
        <w:tc>
          <w:tcPr>
            <w:tcW w:w="1134" w:type="dxa"/>
            <w:noWrap/>
            <w:hideMark/>
          </w:tcPr>
          <w:p w14:paraId="34A6389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29732</w:t>
            </w:r>
          </w:p>
        </w:tc>
        <w:tc>
          <w:tcPr>
            <w:tcW w:w="1276" w:type="dxa"/>
            <w:noWrap/>
            <w:hideMark/>
          </w:tcPr>
          <w:p w14:paraId="67D6BC52"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20.6 %</w:t>
            </w:r>
          </w:p>
        </w:tc>
      </w:tr>
      <w:tr w:rsidR="00F37407" w:rsidRPr="00AF5B38" w14:paraId="6E6B8A3E" w14:textId="77777777" w:rsidTr="00534000">
        <w:trPr>
          <w:trHeight w:hRule="exact" w:val="340"/>
        </w:trPr>
        <w:tc>
          <w:tcPr>
            <w:tcW w:w="3407" w:type="dxa"/>
            <w:hideMark/>
          </w:tcPr>
          <w:p w14:paraId="03B01BB9"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3rd quintile</w:t>
            </w:r>
          </w:p>
        </w:tc>
        <w:tc>
          <w:tcPr>
            <w:tcW w:w="1560" w:type="dxa"/>
            <w:noWrap/>
            <w:hideMark/>
          </w:tcPr>
          <w:p w14:paraId="1624414E"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177650</w:t>
            </w:r>
          </w:p>
        </w:tc>
        <w:tc>
          <w:tcPr>
            <w:tcW w:w="1275" w:type="dxa"/>
            <w:noWrap/>
            <w:hideMark/>
          </w:tcPr>
          <w:p w14:paraId="07EA108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19.2 %</w:t>
            </w:r>
          </w:p>
        </w:tc>
        <w:tc>
          <w:tcPr>
            <w:tcW w:w="1134" w:type="dxa"/>
            <w:noWrap/>
            <w:hideMark/>
          </w:tcPr>
          <w:p w14:paraId="3989A21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26056</w:t>
            </w:r>
          </w:p>
        </w:tc>
        <w:tc>
          <w:tcPr>
            <w:tcW w:w="1276" w:type="dxa"/>
            <w:noWrap/>
            <w:hideMark/>
          </w:tcPr>
          <w:p w14:paraId="701B9D39"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18.1 %</w:t>
            </w:r>
          </w:p>
        </w:tc>
      </w:tr>
      <w:tr w:rsidR="00F37407" w:rsidRPr="00AF5B38" w14:paraId="72875341" w14:textId="77777777" w:rsidTr="00534000">
        <w:trPr>
          <w:trHeight w:hRule="exact" w:val="340"/>
        </w:trPr>
        <w:tc>
          <w:tcPr>
            <w:tcW w:w="3407" w:type="dxa"/>
            <w:hideMark/>
          </w:tcPr>
          <w:p w14:paraId="2EA35427"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4th quintile</w:t>
            </w:r>
          </w:p>
        </w:tc>
        <w:tc>
          <w:tcPr>
            <w:tcW w:w="1560" w:type="dxa"/>
            <w:noWrap/>
            <w:hideMark/>
          </w:tcPr>
          <w:p w14:paraId="4AE017BC"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180336</w:t>
            </w:r>
          </w:p>
        </w:tc>
        <w:tc>
          <w:tcPr>
            <w:tcW w:w="1275" w:type="dxa"/>
            <w:noWrap/>
            <w:hideMark/>
          </w:tcPr>
          <w:p w14:paraId="11FB70A6"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19.5 %</w:t>
            </w:r>
          </w:p>
        </w:tc>
        <w:tc>
          <w:tcPr>
            <w:tcW w:w="1134" w:type="dxa"/>
            <w:noWrap/>
            <w:hideMark/>
          </w:tcPr>
          <w:p w14:paraId="761D529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23374</w:t>
            </w:r>
          </w:p>
        </w:tc>
        <w:tc>
          <w:tcPr>
            <w:tcW w:w="1276" w:type="dxa"/>
            <w:noWrap/>
            <w:hideMark/>
          </w:tcPr>
          <w:p w14:paraId="5DF747B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16.2 %</w:t>
            </w:r>
          </w:p>
        </w:tc>
      </w:tr>
      <w:tr w:rsidR="00F37407" w:rsidRPr="00AF5B38" w14:paraId="15468FEB" w14:textId="77777777" w:rsidTr="00534000">
        <w:trPr>
          <w:trHeight w:hRule="exact" w:val="340"/>
        </w:trPr>
        <w:tc>
          <w:tcPr>
            <w:tcW w:w="3407" w:type="dxa"/>
            <w:hideMark/>
          </w:tcPr>
          <w:p w14:paraId="4C91D6A7"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5th quintile</w:t>
            </w:r>
          </w:p>
        </w:tc>
        <w:tc>
          <w:tcPr>
            <w:tcW w:w="1560" w:type="dxa"/>
            <w:noWrap/>
            <w:hideMark/>
          </w:tcPr>
          <w:p w14:paraId="11E4B031"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184146</w:t>
            </w:r>
          </w:p>
        </w:tc>
        <w:tc>
          <w:tcPr>
            <w:tcW w:w="1275" w:type="dxa"/>
            <w:noWrap/>
            <w:hideMark/>
          </w:tcPr>
          <w:p w14:paraId="0D481462"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19.9 %</w:t>
            </w:r>
          </w:p>
        </w:tc>
        <w:tc>
          <w:tcPr>
            <w:tcW w:w="1134" w:type="dxa"/>
            <w:noWrap/>
            <w:hideMark/>
          </w:tcPr>
          <w:p w14:paraId="2142992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19563</w:t>
            </w:r>
          </w:p>
        </w:tc>
        <w:tc>
          <w:tcPr>
            <w:tcW w:w="1276" w:type="dxa"/>
            <w:noWrap/>
            <w:hideMark/>
          </w:tcPr>
          <w:p w14:paraId="12F9D3FF"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13.6 %</w:t>
            </w:r>
          </w:p>
        </w:tc>
      </w:tr>
      <w:tr w:rsidR="00F37407" w:rsidRPr="00AF5B38" w14:paraId="6463C19B" w14:textId="77777777" w:rsidTr="00534000">
        <w:trPr>
          <w:trHeight w:hRule="exact" w:val="340"/>
        </w:trPr>
        <w:tc>
          <w:tcPr>
            <w:tcW w:w="3407" w:type="dxa"/>
            <w:noWrap/>
            <w:hideMark/>
          </w:tcPr>
          <w:p w14:paraId="4F0BD947" w14:textId="77777777" w:rsidR="00F37407" w:rsidRPr="00AF5B38" w:rsidRDefault="00F37407" w:rsidP="00534000">
            <w:pPr>
              <w:rPr>
                <w:rFonts w:ascii="Times New Roman" w:hAnsi="Times New Roman" w:cs="Times New Roman"/>
                <w:b/>
                <w:bCs/>
                <w:sz w:val="24"/>
                <w:szCs w:val="24"/>
              </w:rPr>
            </w:pPr>
            <w:r w:rsidRPr="00AF5B38">
              <w:rPr>
                <w:rFonts w:ascii="Times New Roman" w:hAnsi="Times New Roman" w:cs="Times New Roman"/>
                <w:b/>
                <w:bCs/>
                <w:sz w:val="24"/>
                <w:szCs w:val="24"/>
              </w:rPr>
              <w:t xml:space="preserve">Mother’s mental disorder </w:t>
            </w:r>
          </w:p>
        </w:tc>
        <w:tc>
          <w:tcPr>
            <w:tcW w:w="1560" w:type="dxa"/>
            <w:noWrap/>
            <w:hideMark/>
          </w:tcPr>
          <w:p w14:paraId="149B4765" w14:textId="77777777" w:rsidR="00F37407" w:rsidRPr="00AF5B38" w:rsidRDefault="00F37407" w:rsidP="00534000">
            <w:pPr>
              <w:rPr>
                <w:rFonts w:ascii="Times New Roman" w:hAnsi="Times New Roman" w:cs="Times New Roman"/>
                <w:sz w:val="24"/>
                <w:szCs w:val="24"/>
              </w:rPr>
            </w:pPr>
          </w:p>
        </w:tc>
        <w:tc>
          <w:tcPr>
            <w:tcW w:w="1275" w:type="dxa"/>
            <w:noWrap/>
            <w:hideMark/>
          </w:tcPr>
          <w:p w14:paraId="240EB5ED" w14:textId="77777777" w:rsidR="00F37407" w:rsidRPr="00AF5B38" w:rsidRDefault="00F37407" w:rsidP="00534000">
            <w:pPr>
              <w:rPr>
                <w:rFonts w:ascii="Times New Roman" w:hAnsi="Times New Roman" w:cs="Times New Roman"/>
                <w:sz w:val="24"/>
                <w:szCs w:val="24"/>
              </w:rPr>
            </w:pPr>
          </w:p>
        </w:tc>
        <w:tc>
          <w:tcPr>
            <w:tcW w:w="1134" w:type="dxa"/>
            <w:noWrap/>
            <w:hideMark/>
          </w:tcPr>
          <w:p w14:paraId="6365FC78" w14:textId="77777777" w:rsidR="00F37407" w:rsidRPr="00AF5B38" w:rsidRDefault="00F37407" w:rsidP="00534000">
            <w:pPr>
              <w:rPr>
                <w:rFonts w:ascii="Times New Roman" w:hAnsi="Times New Roman" w:cs="Times New Roman"/>
                <w:sz w:val="24"/>
                <w:szCs w:val="24"/>
              </w:rPr>
            </w:pPr>
          </w:p>
        </w:tc>
        <w:tc>
          <w:tcPr>
            <w:tcW w:w="1276" w:type="dxa"/>
            <w:noWrap/>
            <w:hideMark/>
          </w:tcPr>
          <w:p w14:paraId="5A936A59" w14:textId="77777777" w:rsidR="00F37407" w:rsidRPr="00AF5B38" w:rsidRDefault="00F37407" w:rsidP="00534000">
            <w:pPr>
              <w:rPr>
                <w:rFonts w:ascii="Times New Roman" w:hAnsi="Times New Roman" w:cs="Times New Roman"/>
                <w:sz w:val="24"/>
                <w:szCs w:val="24"/>
              </w:rPr>
            </w:pPr>
          </w:p>
        </w:tc>
      </w:tr>
      <w:tr w:rsidR="00F37407" w:rsidRPr="00AF5B38" w14:paraId="25E1CE5D" w14:textId="77777777" w:rsidTr="00534000">
        <w:trPr>
          <w:trHeight w:hRule="exact" w:val="340"/>
        </w:trPr>
        <w:tc>
          <w:tcPr>
            <w:tcW w:w="3407" w:type="dxa"/>
            <w:hideMark/>
          </w:tcPr>
          <w:p w14:paraId="62073903"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no</w:t>
            </w:r>
          </w:p>
        </w:tc>
        <w:tc>
          <w:tcPr>
            <w:tcW w:w="1560" w:type="dxa"/>
            <w:noWrap/>
            <w:hideMark/>
          </w:tcPr>
          <w:p w14:paraId="4A2322E6"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864394</w:t>
            </w:r>
          </w:p>
        </w:tc>
        <w:tc>
          <w:tcPr>
            <w:tcW w:w="1275" w:type="dxa"/>
            <w:noWrap/>
            <w:hideMark/>
          </w:tcPr>
          <w:p w14:paraId="40FEA03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93.3 %</w:t>
            </w:r>
          </w:p>
        </w:tc>
        <w:tc>
          <w:tcPr>
            <w:tcW w:w="1134" w:type="dxa"/>
            <w:noWrap/>
            <w:hideMark/>
          </w:tcPr>
          <w:p w14:paraId="0355C6A3"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128540</w:t>
            </w:r>
          </w:p>
        </w:tc>
        <w:tc>
          <w:tcPr>
            <w:tcW w:w="1276" w:type="dxa"/>
            <w:noWrap/>
            <w:hideMark/>
          </w:tcPr>
          <w:p w14:paraId="0CB20E7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89.1 %</w:t>
            </w:r>
          </w:p>
        </w:tc>
      </w:tr>
      <w:tr w:rsidR="00F37407" w:rsidRPr="00AF5B38" w14:paraId="2764FA4F" w14:textId="77777777" w:rsidTr="00534000">
        <w:trPr>
          <w:trHeight w:hRule="exact" w:val="340"/>
        </w:trPr>
        <w:tc>
          <w:tcPr>
            <w:tcW w:w="3407" w:type="dxa"/>
            <w:hideMark/>
          </w:tcPr>
          <w:p w14:paraId="62B6852C"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yes</w:t>
            </w:r>
          </w:p>
        </w:tc>
        <w:tc>
          <w:tcPr>
            <w:tcW w:w="1560" w:type="dxa"/>
            <w:noWrap/>
            <w:hideMark/>
          </w:tcPr>
          <w:p w14:paraId="0F1FDC7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62162</w:t>
            </w:r>
          </w:p>
        </w:tc>
        <w:tc>
          <w:tcPr>
            <w:tcW w:w="1275" w:type="dxa"/>
            <w:noWrap/>
            <w:hideMark/>
          </w:tcPr>
          <w:p w14:paraId="5458FE1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6.7 %</w:t>
            </w:r>
          </w:p>
        </w:tc>
        <w:tc>
          <w:tcPr>
            <w:tcW w:w="1134" w:type="dxa"/>
            <w:noWrap/>
            <w:hideMark/>
          </w:tcPr>
          <w:p w14:paraId="7518C22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15784</w:t>
            </w:r>
          </w:p>
        </w:tc>
        <w:tc>
          <w:tcPr>
            <w:tcW w:w="1276" w:type="dxa"/>
            <w:noWrap/>
            <w:hideMark/>
          </w:tcPr>
          <w:p w14:paraId="51DD0711"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10.9 %</w:t>
            </w:r>
          </w:p>
        </w:tc>
      </w:tr>
      <w:tr w:rsidR="00F37407" w:rsidRPr="00AF5B38" w14:paraId="0DA2E4CB" w14:textId="77777777" w:rsidTr="00534000">
        <w:trPr>
          <w:trHeight w:hRule="exact" w:val="340"/>
        </w:trPr>
        <w:tc>
          <w:tcPr>
            <w:tcW w:w="3407" w:type="dxa"/>
            <w:noWrap/>
            <w:hideMark/>
          </w:tcPr>
          <w:p w14:paraId="67E36816" w14:textId="77777777" w:rsidR="00F37407" w:rsidRPr="00AF5B38" w:rsidRDefault="00F37407" w:rsidP="00534000">
            <w:pPr>
              <w:rPr>
                <w:rFonts w:ascii="Times New Roman" w:hAnsi="Times New Roman" w:cs="Times New Roman"/>
                <w:b/>
                <w:bCs/>
                <w:sz w:val="24"/>
                <w:szCs w:val="24"/>
              </w:rPr>
            </w:pPr>
            <w:r w:rsidRPr="00AF5B38">
              <w:rPr>
                <w:rFonts w:ascii="Times New Roman" w:hAnsi="Times New Roman" w:cs="Times New Roman"/>
                <w:b/>
                <w:bCs/>
                <w:sz w:val="24"/>
                <w:szCs w:val="24"/>
              </w:rPr>
              <w:lastRenderedPageBreak/>
              <w:t>Father’s mental disorder</w:t>
            </w:r>
          </w:p>
        </w:tc>
        <w:tc>
          <w:tcPr>
            <w:tcW w:w="1560" w:type="dxa"/>
            <w:noWrap/>
            <w:hideMark/>
          </w:tcPr>
          <w:p w14:paraId="1A1D0776" w14:textId="77777777" w:rsidR="00F37407" w:rsidRPr="00AF5B38" w:rsidRDefault="00F37407" w:rsidP="00534000">
            <w:pPr>
              <w:rPr>
                <w:rFonts w:ascii="Times New Roman" w:hAnsi="Times New Roman" w:cs="Times New Roman"/>
                <w:sz w:val="24"/>
                <w:szCs w:val="24"/>
              </w:rPr>
            </w:pPr>
          </w:p>
        </w:tc>
        <w:tc>
          <w:tcPr>
            <w:tcW w:w="1275" w:type="dxa"/>
            <w:noWrap/>
            <w:hideMark/>
          </w:tcPr>
          <w:p w14:paraId="66B3E9D2" w14:textId="77777777" w:rsidR="00F37407" w:rsidRPr="00AF5B38" w:rsidRDefault="00F37407" w:rsidP="00534000">
            <w:pPr>
              <w:rPr>
                <w:rFonts w:ascii="Times New Roman" w:hAnsi="Times New Roman" w:cs="Times New Roman"/>
                <w:sz w:val="24"/>
                <w:szCs w:val="24"/>
              </w:rPr>
            </w:pPr>
          </w:p>
        </w:tc>
        <w:tc>
          <w:tcPr>
            <w:tcW w:w="1134" w:type="dxa"/>
            <w:noWrap/>
            <w:hideMark/>
          </w:tcPr>
          <w:p w14:paraId="1F1E00B9" w14:textId="77777777" w:rsidR="00F37407" w:rsidRPr="00AF5B38" w:rsidRDefault="00F37407" w:rsidP="00534000">
            <w:pPr>
              <w:rPr>
                <w:rFonts w:ascii="Times New Roman" w:hAnsi="Times New Roman" w:cs="Times New Roman"/>
                <w:sz w:val="24"/>
                <w:szCs w:val="24"/>
              </w:rPr>
            </w:pPr>
          </w:p>
        </w:tc>
        <w:tc>
          <w:tcPr>
            <w:tcW w:w="1276" w:type="dxa"/>
            <w:noWrap/>
            <w:hideMark/>
          </w:tcPr>
          <w:p w14:paraId="5D0E6E1B" w14:textId="77777777" w:rsidR="00F37407" w:rsidRPr="00AF5B38" w:rsidRDefault="00F37407" w:rsidP="00534000">
            <w:pPr>
              <w:rPr>
                <w:rFonts w:ascii="Times New Roman" w:hAnsi="Times New Roman" w:cs="Times New Roman"/>
                <w:sz w:val="24"/>
                <w:szCs w:val="24"/>
              </w:rPr>
            </w:pPr>
          </w:p>
        </w:tc>
      </w:tr>
      <w:tr w:rsidR="00F37407" w:rsidRPr="00AF5B38" w14:paraId="3CDFC215" w14:textId="77777777" w:rsidTr="00534000">
        <w:trPr>
          <w:trHeight w:hRule="exact" w:val="340"/>
        </w:trPr>
        <w:tc>
          <w:tcPr>
            <w:tcW w:w="3407" w:type="dxa"/>
            <w:hideMark/>
          </w:tcPr>
          <w:p w14:paraId="3D2FF133"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no</w:t>
            </w:r>
          </w:p>
        </w:tc>
        <w:tc>
          <w:tcPr>
            <w:tcW w:w="1560" w:type="dxa"/>
            <w:noWrap/>
            <w:hideMark/>
          </w:tcPr>
          <w:p w14:paraId="734506DE"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861048</w:t>
            </w:r>
          </w:p>
        </w:tc>
        <w:tc>
          <w:tcPr>
            <w:tcW w:w="1275" w:type="dxa"/>
            <w:noWrap/>
            <w:hideMark/>
          </w:tcPr>
          <w:p w14:paraId="3A256E95"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92.9 %</w:t>
            </w:r>
          </w:p>
        </w:tc>
        <w:tc>
          <w:tcPr>
            <w:tcW w:w="1134" w:type="dxa"/>
            <w:noWrap/>
            <w:hideMark/>
          </w:tcPr>
          <w:p w14:paraId="49100E63"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127752</w:t>
            </w:r>
          </w:p>
        </w:tc>
        <w:tc>
          <w:tcPr>
            <w:tcW w:w="1276" w:type="dxa"/>
            <w:noWrap/>
            <w:hideMark/>
          </w:tcPr>
          <w:p w14:paraId="0804D804"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88.5 %</w:t>
            </w:r>
          </w:p>
        </w:tc>
      </w:tr>
      <w:tr w:rsidR="00F37407" w:rsidRPr="00AF5B38" w14:paraId="238C6DD3" w14:textId="77777777" w:rsidTr="00534000">
        <w:trPr>
          <w:trHeight w:hRule="exact" w:val="340"/>
        </w:trPr>
        <w:tc>
          <w:tcPr>
            <w:tcW w:w="3407" w:type="dxa"/>
            <w:hideMark/>
          </w:tcPr>
          <w:p w14:paraId="6F25750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yes</w:t>
            </w:r>
          </w:p>
        </w:tc>
        <w:tc>
          <w:tcPr>
            <w:tcW w:w="1560" w:type="dxa"/>
            <w:noWrap/>
            <w:hideMark/>
          </w:tcPr>
          <w:p w14:paraId="0B0829E6"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65508</w:t>
            </w:r>
          </w:p>
        </w:tc>
        <w:tc>
          <w:tcPr>
            <w:tcW w:w="1275" w:type="dxa"/>
            <w:noWrap/>
            <w:hideMark/>
          </w:tcPr>
          <w:p w14:paraId="533C1C9E"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7.1 %</w:t>
            </w:r>
          </w:p>
        </w:tc>
        <w:tc>
          <w:tcPr>
            <w:tcW w:w="1134" w:type="dxa"/>
            <w:noWrap/>
            <w:hideMark/>
          </w:tcPr>
          <w:p w14:paraId="4422BED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16572</w:t>
            </w:r>
          </w:p>
        </w:tc>
        <w:tc>
          <w:tcPr>
            <w:tcW w:w="1276" w:type="dxa"/>
            <w:noWrap/>
            <w:hideMark/>
          </w:tcPr>
          <w:p w14:paraId="040088C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11.5 %</w:t>
            </w:r>
          </w:p>
        </w:tc>
      </w:tr>
      <w:tr w:rsidR="00F37407" w:rsidRPr="00AF5B38" w14:paraId="70D38257" w14:textId="77777777" w:rsidTr="00534000">
        <w:trPr>
          <w:trHeight w:hRule="exact" w:val="340"/>
        </w:trPr>
        <w:tc>
          <w:tcPr>
            <w:tcW w:w="3407" w:type="dxa"/>
            <w:noWrap/>
            <w:hideMark/>
          </w:tcPr>
          <w:p w14:paraId="5D5DF338" w14:textId="77777777" w:rsidR="00F37407" w:rsidRPr="00AF5B38" w:rsidRDefault="00F37407" w:rsidP="00534000">
            <w:pPr>
              <w:rPr>
                <w:rFonts w:ascii="Times New Roman" w:hAnsi="Times New Roman" w:cs="Times New Roman"/>
                <w:b/>
                <w:bCs/>
                <w:sz w:val="24"/>
                <w:szCs w:val="24"/>
              </w:rPr>
            </w:pPr>
            <w:r w:rsidRPr="00AF5B38">
              <w:rPr>
                <w:rFonts w:ascii="Times New Roman" w:hAnsi="Times New Roman" w:cs="Times New Roman"/>
                <w:b/>
                <w:bCs/>
                <w:sz w:val="24"/>
                <w:szCs w:val="24"/>
              </w:rPr>
              <w:t>Urbanicity</w:t>
            </w:r>
          </w:p>
        </w:tc>
        <w:tc>
          <w:tcPr>
            <w:tcW w:w="1560" w:type="dxa"/>
            <w:noWrap/>
            <w:hideMark/>
          </w:tcPr>
          <w:p w14:paraId="784894B1" w14:textId="77777777" w:rsidR="00F37407" w:rsidRPr="00AF5B38" w:rsidRDefault="00F37407" w:rsidP="00534000">
            <w:pPr>
              <w:rPr>
                <w:rFonts w:ascii="Times New Roman" w:hAnsi="Times New Roman" w:cs="Times New Roman"/>
                <w:sz w:val="24"/>
                <w:szCs w:val="24"/>
              </w:rPr>
            </w:pPr>
          </w:p>
        </w:tc>
        <w:tc>
          <w:tcPr>
            <w:tcW w:w="1275" w:type="dxa"/>
            <w:noWrap/>
            <w:hideMark/>
          </w:tcPr>
          <w:p w14:paraId="137D32FB" w14:textId="77777777" w:rsidR="00F37407" w:rsidRPr="00AF5B38" w:rsidRDefault="00F37407" w:rsidP="00534000">
            <w:pPr>
              <w:rPr>
                <w:rFonts w:ascii="Times New Roman" w:hAnsi="Times New Roman" w:cs="Times New Roman"/>
                <w:sz w:val="24"/>
                <w:szCs w:val="24"/>
              </w:rPr>
            </w:pPr>
          </w:p>
        </w:tc>
        <w:tc>
          <w:tcPr>
            <w:tcW w:w="1134" w:type="dxa"/>
            <w:noWrap/>
            <w:hideMark/>
          </w:tcPr>
          <w:p w14:paraId="45197138" w14:textId="77777777" w:rsidR="00F37407" w:rsidRPr="00AF5B38" w:rsidRDefault="00F37407" w:rsidP="00534000">
            <w:pPr>
              <w:rPr>
                <w:rFonts w:ascii="Times New Roman" w:hAnsi="Times New Roman" w:cs="Times New Roman"/>
                <w:sz w:val="24"/>
                <w:szCs w:val="24"/>
              </w:rPr>
            </w:pPr>
          </w:p>
        </w:tc>
        <w:tc>
          <w:tcPr>
            <w:tcW w:w="1276" w:type="dxa"/>
            <w:noWrap/>
            <w:hideMark/>
          </w:tcPr>
          <w:p w14:paraId="7C19475C" w14:textId="77777777" w:rsidR="00F37407" w:rsidRPr="00AF5B38" w:rsidRDefault="00F37407" w:rsidP="00534000">
            <w:pPr>
              <w:rPr>
                <w:rFonts w:ascii="Times New Roman" w:hAnsi="Times New Roman" w:cs="Times New Roman"/>
                <w:sz w:val="24"/>
                <w:szCs w:val="24"/>
              </w:rPr>
            </w:pPr>
          </w:p>
        </w:tc>
      </w:tr>
      <w:tr w:rsidR="00F37407" w:rsidRPr="00AF5B38" w14:paraId="52EAD0A9" w14:textId="77777777" w:rsidTr="00534000">
        <w:trPr>
          <w:trHeight w:hRule="exact" w:val="340"/>
        </w:trPr>
        <w:tc>
          <w:tcPr>
            <w:tcW w:w="3407" w:type="dxa"/>
            <w:hideMark/>
          </w:tcPr>
          <w:p w14:paraId="7D3C2F6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unknown</w:t>
            </w:r>
          </w:p>
        </w:tc>
        <w:tc>
          <w:tcPr>
            <w:tcW w:w="1560" w:type="dxa"/>
            <w:noWrap/>
            <w:hideMark/>
          </w:tcPr>
          <w:p w14:paraId="08F4512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4133</w:t>
            </w:r>
          </w:p>
        </w:tc>
        <w:tc>
          <w:tcPr>
            <w:tcW w:w="1275" w:type="dxa"/>
            <w:noWrap/>
            <w:hideMark/>
          </w:tcPr>
          <w:p w14:paraId="1FD8FB17"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0.4 %</w:t>
            </w:r>
          </w:p>
        </w:tc>
        <w:tc>
          <w:tcPr>
            <w:tcW w:w="1134" w:type="dxa"/>
            <w:noWrap/>
            <w:hideMark/>
          </w:tcPr>
          <w:p w14:paraId="6225594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1859</w:t>
            </w:r>
          </w:p>
        </w:tc>
        <w:tc>
          <w:tcPr>
            <w:tcW w:w="1276" w:type="dxa"/>
            <w:noWrap/>
            <w:hideMark/>
          </w:tcPr>
          <w:p w14:paraId="4DDDD96C"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1.3 %</w:t>
            </w:r>
          </w:p>
        </w:tc>
      </w:tr>
      <w:tr w:rsidR="00F37407" w:rsidRPr="00AF5B38" w14:paraId="0D8ECC75" w14:textId="77777777" w:rsidTr="00534000">
        <w:trPr>
          <w:trHeight w:hRule="exact" w:val="340"/>
        </w:trPr>
        <w:tc>
          <w:tcPr>
            <w:tcW w:w="3407" w:type="dxa"/>
            <w:hideMark/>
          </w:tcPr>
          <w:p w14:paraId="1553C7B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urban</w:t>
            </w:r>
          </w:p>
        </w:tc>
        <w:tc>
          <w:tcPr>
            <w:tcW w:w="1560" w:type="dxa"/>
            <w:noWrap/>
            <w:hideMark/>
          </w:tcPr>
          <w:p w14:paraId="4A21E65D"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471385</w:t>
            </w:r>
          </w:p>
        </w:tc>
        <w:tc>
          <w:tcPr>
            <w:tcW w:w="1275" w:type="dxa"/>
            <w:noWrap/>
            <w:hideMark/>
          </w:tcPr>
          <w:p w14:paraId="118F55AE"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50.9 %</w:t>
            </w:r>
          </w:p>
        </w:tc>
        <w:tc>
          <w:tcPr>
            <w:tcW w:w="1134" w:type="dxa"/>
            <w:noWrap/>
            <w:hideMark/>
          </w:tcPr>
          <w:p w14:paraId="42D6AA29"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80157</w:t>
            </w:r>
          </w:p>
        </w:tc>
        <w:tc>
          <w:tcPr>
            <w:tcW w:w="1276" w:type="dxa"/>
            <w:noWrap/>
            <w:hideMark/>
          </w:tcPr>
          <w:p w14:paraId="404AB85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55.5 %</w:t>
            </w:r>
          </w:p>
        </w:tc>
      </w:tr>
      <w:tr w:rsidR="00F37407" w:rsidRPr="00AF5B38" w14:paraId="54B05970" w14:textId="77777777" w:rsidTr="00534000">
        <w:trPr>
          <w:trHeight w:hRule="exact" w:val="340"/>
        </w:trPr>
        <w:tc>
          <w:tcPr>
            <w:tcW w:w="3407" w:type="dxa"/>
            <w:hideMark/>
          </w:tcPr>
          <w:p w14:paraId="3A4658BB"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semi-urban</w:t>
            </w:r>
          </w:p>
        </w:tc>
        <w:tc>
          <w:tcPr>
            <w:tcW w:w="1560" w:type="dxa"/>
            <w:noWrap/>
            <w:hideMark/>
          </w:tcPr>
          <w:p w14:paraId="37C6C89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177237</w:t>
            </w:r>
          </w:p>
        </w:tc>
        <w:tc>
          <w:tcPr>
            <w:tcW w:w="1275" w:type="dxa"/>
            <w:noWrap/>
            <w:hideMark/>
          </w:tcPr>
          <w:p w14:paraId="600912DA"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19.1 %</w:t>
            </w:r>
          </w:p>
        </w:tc>
        <w:tc>
          <w:tcPr>
            <w:tcW w:w="1134" w:type="dxa"/>
            <w:noWrap/>
            <w:hideMark/>
          </w:tcPr>
          <w:p w14:paraId="57252D87"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25707</w:t>
            </w:r>
          </w:p>
        </w:tc>
        <w:tc>
          <w:tcPr>
            <w:tcW w:w="1276" w:type="dxa"/>
            <w:noWrap/>
            <w:hideMark/>
          </w:tcPr>
          <w:p w14:paraId="4850894E"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17.8 %</w:t>
            </w:r>
          </w:p>
        </w:tc>
      </w:tr>
      <w:tr w:rsidR="00F37407" w:rsidRPr="00AF5B38" w14:paraId="7C2192B0" w14:textId="77777777" w:rsidTr="00534000">
        <w:trPr>
          <w:trHeight w:hRule="exact" w:val="340"/>
        </w:trPr>
        <w:tc>
          <w:tcPr>
            <w:tcW w:w="3407" w:type="dxa"/>
            <w:tcBorders>
              <w:bottom w:val="single" w:sz="4" w:space="0" w:color="auto"/>
            </w:tcBorders>
            <w:hideMark/>
          </w:tcPr>
          <w:p w14:paraId="0C64114E"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rural</w:t>
            </w:r>
          </w:p>
        </w:tc>
        <w:tc>
          <w:tcPr>
            <w:tcW w:w="1560" w:type="dxa"/>
            <w:tcBorders>
              <w:bottom w:val="single" w:sz="4" w:space="0" w:color="auto"/>
            </w:tcBorders>
            <w:noWrap/>
            <w:hideMark/>
          </w:tcPr>
          <w:p w14:paraId="75F89B39"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273801</w:t>
            </w:r>
          </w:p>
        </w:tc>
        <w:tc>
          <w:tcPr>
            <w:tcW w:w="1275" w:type="dxa"/>
            <w:tcBorders>
              <w:bottom w:val="single" w:sz="4" w:space="0" w:color="auto"/>
            </w:tcBorders>
            <w:noWrap/>
            <w:hideMark/>
          </w:tcPr>
          <w:p w14:paraId="5D67DB42"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29.6 %</w:t>
            </w:r>
          </w:p>
        </w:tc>
        <w:tc>
          <w:tcPr>
            <w:tcW w:w="1134" w:type="dxa"/>
            <w:tcBorders>
              <w:bottom w:val="single" w:sz="4" w:space="0" w:color="auto"/>
            </w:tcBorders>
            <w:noWrap/>
            <w:hideMark/>
          </w:tcPr>
          <w:p w14:paraId="74534F10"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36601</w:t>
            </w:r>
          </w:p>
        </w:tc>
        <w:tc>
          <w:tcPr>
            <w:tcW w:w="1276" w:type="dxa"/>
            <w:tcBorders>
              <w:bottom w:val="single" w:sz="4" w:space="0" w:color="auto"/>
            </w:tcBorders>
            <w:noWrap/>
            <w:hideMark/>
          </w:tcPr>
          <w:p w14:paraId="3B0CFBB8" w14:textId="77777777" w:rsidR="00F37407" w:rsidRPr="00AF5B38" w:rsidRDefault="00F37407" w:rsidP="00534000">
            <w:pPr>
              <w:rPr>
                <w:rFonts w:ascii="Times New Roman" w:hAnsi="Times New Roman" w:cs="Times New Roman"/>
                <w:sz w:val="24"/>
                <w:szCs w:val="24"/>
              </w:rPr>
            </w:pPr>
            <w:r w:rsidRPr="00AF5B38">
              <w:rPr>
                <w:rFonts w:ascii="Times New Roman" w:hAnsi="Times New Roman" w:cs="Times New Roman"/>
                <w:sz w:val="24"/>
                <w:szCs w:val="24"/>
              </w:rPr>
              <w:t>25.4 %</w:t>
            </w:r>
          </w:p>
        </w:tc>
      </w:tr>
    </w:tbl>
    <w:p w14:paraId="0558F5D1" w14:textId="77777777" w:rsidR="004A32DB" w:rsidRPr="00AF5B38" w:rsidRDefault="004A32DB" w:rsidP="00B830D7">
      <w:pPr>
        <w:spacing w:after="0" w:line="240" w:lineRule="auto"/>
        <w:rPr>
          <w:rFonts w:ascii="Times New Roman" w:hAnsi="Times New Roman" w:cs="Times New Roman"/>
          <w:sz w:val="24"/>
          <w:szCs w:val="24"/>
          <w:lang w:val="en-US"/>
        </w:rPr>
      </w:pPr>
    </w:p>
    <w:p w14:paraId="7FCE7FA9" w14:textId="77777777" w:rsidR="005B142B" w:rsidRPr="00AF5B38" w:rsidRDefault="005B142B" w:rsidP="00DD5B2E">
      <w:pPr>
        <w:tabs>
          <w:tab w:val="left" w:pos="3215"/>
        </w:tabs>
        <w:rPr>
          <w:rFonts w:ascii="Times New Roman" w:hAnsi="Times New Roman" w:cs="Times New Roman"/>
          <w:b/>
          <w:bCs/>
          <w:sz w:val="24"/>
          <w:szCs w:val="24"/>
          <w:lang w:val="en-US"/>
        </w:rPr>
      </w:pPr>
    </w:p>
    <w:p w14:paraId="3C4D8A08" w14:textId="65F9F216" w:rsidR="005B4161" w:rsidRPr="00AF5B38" w:rsidRDefault="005B4161" w:rsidP="004A32DB">
      <w:pPr>
        <w:rPr>
          <w:rFonts w:ascii="Times New Roman" w:hAnsi="Times New Roman" w:cs="Times New Roman"/>
          <w:b/>
          <w:bCs/>
          <w:sz w:val="24"/>
          <w:szCs w:val="24"/>
          <w:lang w:val="en-US"/>
        </w:rPr>
      </w:pPr>
    </w:p>
    <w:p w14:paraId="40C910CE" w14:textId="77777777" w:rsidR="005B4161" w:rsidRPr="00AF5B38" w:rsidRDefault="005B4161">
      <w:pPr>
        <w:rPr>
          <w:rFonts w:ascii="Times New Roman" w:hAnsi="Times New Roman" w:cs="Times New Roman"/>
          <w:b/>
          <w:bCs/>
          <w:sz w:val="24"/>
          <w:szCs w:val="24"/>
          <w:lang w:val="en-US"/>
        </w:rPr>
      </w:pPr>
      <w:r w:rsidRPr="00AF5B38">
        <w:rPr>
          <w:rFonts w:ascii="Times New Roman" w:hAnsi="Times New Roman" w:cs="Times New Roman"/>
          <w:b/>
          <w:bCs/>
          <w:sz w:val="24"/>
          <w:szCs w:val="24"/>
          <w:lang w:val="en-US"/>
        </w:rPr>
        <w:br w:type="page"/>
      </w:r>
    </w:p>
    <w:p w14:paraId="6132692E" w14:textId="4476EAB9" w:rsidR="004A32DB" w:rsidRPr="00AF5B38" w:rsidRDefault="005B4161" w:rsidP="005B4161">
      <w:pPr>
        <w:spacing w:before="240" w:after="0" w:line="480" w:lineRule="auto"/>
        <w:rPr>
          <w:rFonts w:ascii="Times New Roman" w:eastAsia="Times New Roman" w:hAnsi="Times New Roman" w:cs="Times New Roman"/>
          <w:color w:val="000000"/>
          <w:sz w:val="24"/>
          <w:szCs w:val="24"/>
          <w:lang w:val="en-US" w:eastAsia="fi-FI"/>
        </w:rPr>
      </w:pPr>
      <w:r w:rsidRPr="00AF5B38">
        <w:rPr>
          <w:rFonts w:ascii="Times New Roman" w:hAnsi="Times New Roman" w:cs="Times New Roman"/>
          <w:b/>
          <w:bCs/>
          <w:sz w:val="24"/>
          <w:szCs w:val="24"/>
          <w:lang w:val="en-US"/>
        </w:rPr>
        <w:lastRenderedPageBreak/>
        <w:t>Supplement</w:t>
      </w:r>
      <w:r w:rsidR="00C24120" w:rsidRPr="00AF5B38">
        <w:rPr>
          <w:rFonts w:ascii="Times New Roman" w:hAnsi="Times New Roman" w:cs="Times New Roman"/>
          <w:b/>
          <w:bCs/>
          <w:sz w:val="24"/>
          <w:szCs w:val="24"/>
          <w:lang w:val="en-US"/>
        </w:rPr>
        <w:t>ary</w:t>
      </w:r>
      <w:r w:rsidRPr="00AF5B38">
        <w:rPr>
          <w:rFonts w:ascii="Times New Roman" w:hAnsi="Times New Roman" w:cs="Times New Roman"/>
          <w:b/>
          <w:bCs/>
          <w:sz w:val="24"/>
          <w:szCs w:val="24"/>
          <w:lang w:val="en-US"/>
        </w:rPr>
        <w:t xml:space="preserve"> Table S2. </w:t>
      </w:r>
      <w:r w:rsidRPr="00AF5B38">
        <w:rPr>
          <w:rFonts w:ascii="Times New Roman" w:hAnsi="Times New Roman" w:cs="Times New Roman"/>
          <w:sz w:val="24"/>
          <w:szCs w:val="24"/>
          <w:lang w:val="en-US"/>
        </w:rPr>
        <w:t xml:space="preserve">The association between </w:t>
      </w:r>
      <w:r w:rsidRPr="00AF5B38">
        <w:rPr>
          <w:rFonts w:ascii="Times New Roman" w:eastAsia="Times New Roman" w:hAnsi="Times New Roman" w:cs="Times New Roman"/>
          <w:color w:val="000000"/>
          <w:sz w:val="24"/>
          <w:szCs w:val="24"/>
          <w:lang w:val="en-US" w:eastAsia="fi-FI"/>
        </w:rPr>
        <w:t xml:space="preserve">standardized school achievement in adolescence with later </w:t>
      </w:r>
      <w:r w:rsidR="0093484E" w:rsidRPr="00AF5B38">
        <w:rPr>
          <w:rFonts w:ascii="Times New Roman" w:eastAsia="Times New Roman" w:hAnsi="Times New Roman" w:cs="Times New Roman"/>
          <w:color w:val="000000"/>
          <w:sz w:val="24"/>
          <w:szCs w:val="24"/>
          <w:lang w:val="en-US" w:eastAsia="fi-FI"/>
        </w:rPr>
        <w:t>mental disorders</w:t>
      </w:r>
      <w:r w:rsidRPr="00AF5B38">
        <w:rPr>
          <w:rFonts w:ascii="Times New Roman" w:eastAsia="Times New Roman" w:hAnsi="Times New Roman" w:cs="Times New Roman"/>
          <w:color w:val="000000"/>
          <w:sz w:val="24"/>
          <w:szCs w:val="24"/>
          <w:lang w:val="en-US" w:eastAsia="fi-FI"/>
        </w:rPr>
        <w:t xml:space="preserve"> for males and females.</w:t>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2042"/>
        <w:gridCol w:w="2127"/>
        <w:gridCol w:w="2126"/>
        <w:gridCol w:w="2126"/>
      </w:tblGrid>
      <w:tr w:rsidR="005B4161" w:rsidRPr="00AF5B38" w14:paraId="4DB4A3E6" w14:textId="77777777" w:rsidTr="005B4161">
        <w:trPr>
          <w:trHeight w:val="320"/>
        </w:trPr>
        <w:tc>
          <w:tcPr>
            <w:tcW w:w="1927" w:type="dxa"/>
            <w:tcBorders>
              <w:top w:val="single" w:sz="4" w:space="0" w:color="auto"/>
              <w:bottom w:val="single" w:sz="4" w:space="0" w:color="auto"/>
            </w:tcBorders>
            <w:noWrap/>
            <w:hideMark/>
          </w:tcPr>
          <w:p w14:paraId="67E109C2" w14:textId="77777777" w:rsidR="005B4161" w:rsidRPr="00AF5B38" w:rsidRDefault="005B4161">
            <w:pPr>
              <w:rPr>
                <w:rFonts w:ascii="Times New Roman" w:hAnsi="Times New Roman" w:cs="Times New Roman"/>
                <w:sz w:val="24"/>
                <w:szCs w:val="24"/>
              </w:rPr>
            </w:pPr>
          </w:p>
        </w:tc>
        <w:tc>
          <w:tcPr>
            <w:tcW w:w="4169" w:type="dxa"/>
            <w:gridSpan w:val="2"/>
            <w:tcBorders>
              <w:top w:val="single" w:sz="4" w:space="0" w:color="auto"/>
              <w:bottom w:val="single" w:sz="4" w:space="0" w:color="auto"/>
            </w:tcBorders>
            <w:noWrap/>
            <w:hideMark/>
          </w:tcPr>
          <w:p w14:paraId="3F4039EF" w14:textId="5A92AF19" w:rsidR="005B4161" w:rsidRPr="00AF5B38" w:rsidRDefault="005B4161" w:rsidP="005B4161">
            <w:pPr>
              <w:jc w:val="center"/>
              <w:rPr>
                <w:rFonts w:ascii="Times New Roman" w:hAnsi="Times New Roman" w:cs="Times New Roman"/>
                <w:sz w:val="24"/>
                <w:szCs w:val="24"/>
              </w:rPr>
            </w:pPr>
            <w:r w:rsidRPr="00AF5B38">
              <w:rPr>
                <w:rFonts w:ascii="Times New Roman" w:hAnsi="Times New Roman" w:cs="Times New Roman"/>
                <w:sz w:val="24"/>
                <w:szCs w:val="24"/>
              </w:rPr>
              <w:t>Male</w:t>
            </w:r>
            <w:r w:rsidR="00AF5B38" w:rsidRPr="00AF5B38">
              <w:rPr>
                <w:rFonts w:ascii="Times New Roman" w:hAnsi="Times New Roman" w:cs="Times New Roman"/>
                <w:sz w:val="24"/>
                <w:szCs w:val="24"/>
              </w:rPr>
              <w:t>s</w:t>
            </w:r>
          </w:p>
        </w:tc>
        <w:tc>
          <w:tcPr>
            <w:tcW w:w="4252" w:type="dxa"/>
            <w:gridSpan w:val="2"/>
            <w:tcBorders>
              <w:top w:val="single" w:sz="4" w:space="0" w:color="auto"/>
              <w:bottom w:val="single" w:sz="4" w:space="0" w:color="auto"/>
            </w:tcBorders>
            <w:noWrap/>
            <w:hideMark/>
          </w:tcPr>
          <w:p w14:paraId="1DFB533A" w14:textId="48542AB9" w:rsidR="005B4161" w:rsidRPr="00AF5B38" w:rsidRDefault="005B4161" w:rsidP="005B4161">
            <w:pPr>
              <w:jc w:val="center"/>
              <w:rPr>
                <w:rFonts w:ascii="Times New Roman" w:hAnsi="Times New Roman" w:cs="Times New Roman"/>
                <w:sz w:val="24"/>
                <w:szCs w:val="24"/>
              </w:rPr>
            </w:pPr>
            <w:r w:rsidRPr="00AF5B38">
              <w:rPr>
                <w:rFonts w:ascii="Times New Roman" w:hAnsi="Times New Roman" w:cs="Times New Roman"/>
                <w:sz w:val="24"/>
                <w:szCs w:val="24"/>
              </w:rPr>
              <w:t>Female</w:t>
            </w:r>
            <w:r w:rsidR="00AF5B38" w:rsidRPr="00AF5B38">
              <w:rPr>
                <w:rFonts w:ascii="Times New Roman" w:hAnsi="Times New Roman" w:cs="Times New Roman"/>
                <w:sz w:val="24"/>
                <w:szCs w:val="24"/>
              </w:rPr>
              <w:t>s</w:t>
            </w:r>
          </w:p>
        </w:tc>
      </w:tr>
      <w:tr w:rsidR="005B4161" w:rsidRPr="00AF5B38" w14:paraId="3330C502" w14:textId="77777777" w:rsidTr="005B4161">
        <w:trPr>
          <w:trHeight w:val="320"/>
        </w:trPr>
        <w:tc>
          <w:tcPr>
            <w:tcW w:w="1927" w:type="dxa"/>
            <w:tcBorders>
              <w:top w:val="single" w:sz="4" w:space="0" w:color="auto"/>
            </w:tcBorders>
            <w:noWrap/>
            <w:hideMark/>
          </w:tcPr>
          <w:p w14:paraId="26008181" w14:textId="77777777" w:rsidR="005B4161" w:rsidRPr="00AF5B38" w:rsidRDefault="005B4161" w:rsidP="005B4161">
            <w:pPr>
              <w:rPr>
                <w:rFonts w:ascii="Times New Roman" w:hAnsi="Times New Roman" w:cs="Times New Roman"/>
                <w:sz w:val="24"/>
                <w:szCs w:val="24"/>
              </w:rPr>
            </w:pPr>
          </w:p>
        </w:tc>
        <w:tc>
          <w:tcPr>
            <w:tcW w:w="2042" w:type="dxa"/>
            <w:tcBorders>
              <w:top w:val="single" w:sz="4" w:space="0" w:color="auto"/>
              <w:bottom w:val="single" w:sz="4" w:space="0" w:color="auto"/>
            </w:tcBorders>
            <w:noWrap/>
            <w:hideMark/>
          </w:tcPr>
          <w:p w14:paraId="7C74E842"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Model 1</w:t>
            </w:r>
          </w:p>
        </w:tc>
        <w:tc>
          <w:tcPr>
            <w:tcW w:w="2127" w:type="dxa"/>
            <w:tcBorders>
              <w:top w:val="single" w:sz="4" w:space="0" w:color="auto"/>
              <w:bottom w:val="single" w:sz="4" w:space="0" w:color="auto"/>
            </w:tcBorders>
            <w:noWrap/>
            <w:hideMark/>
          </w:tcPr>
          <w:p w14:paraId="2BFF273C"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Model 2</w:t>
            </w:r>
          </w:p>
        </w:tc>
        <w:tc>
          <w:tcPr>
            <w:tcW w:w="2126" w:type="dxa"/>
            <w:tcBorders>
              <w:top w:val="single" w:sz="4" w:space="0" w:color="auto"/>
              <w:bottom w:val="single" w:sz="4" w:space="0" w:color="auto"/>
            </w:tcBorders>
            <w:noWrap/>
            <w:hideMark/>
          </w:tcPr>
          <w:p w14:paraId="7690FAFD"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Model 1</w:t>
            </w:r>
          </w:p>
        </w:tc>
        <w:tc>
          <w:tcPr>
            <w:tcW w:w="2126" w:type="dxa"/>
            <w:tcBorders>
              <w:top w:val="single" w:sz="4" w:space="0" w:color="auto"/>
              <w:bottom w:val="single" w:sz="4" w:space="0" w:color="auto"/>
            </w:tcBorders>
            <w:noWrap/>
            <w:hideMark/>
          </w:tcPr>
          <w:p w14:paraId="32F9C614"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Model 2</w:t>
            </w:r>
          </w:p>
        </w:tc>
      </w:tr>
      <w:tr w:rsidR="005B4161" w:rsidRPr="00AF5B38" w14:paraId="4F6AB5C2" w14:textId="77777777" w:rsidTr="002463D8">
        <w:trPr>
          <w:trHeight w:val="320"/>
        </w:trPr>
        <w:tc>
          <w:tcPr>
            <w:tcW w:w="1927" w:type="dxa"/>
            <w:tcBorders>
              <w:bottom w:val="single" w:sz="4" w:space="0" w:color="auto"/>
            </w:tcBorders>
            <w:noWrap/>
            <w:hideMark/>
          </w:tcPr>
          <w:p w14:paraId="7102AC19"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Mental disorder</w:t>
            </w:r>
          </w:p>
        </w:tc>
        <w:tc>
          <w:tcPr>
            <w:tcW w:w="2042" w:type="dxa"/>
            <w:tcBorders>
              <w:top w:val="single" w:sz="4" w:space="0" w:color="auto"/>
              <w:bottom w:val="single" w:sz="4" w:space="0" w:color="auto"/>
            </w:tcBorders>
            <w:noWrap/>
            <w:hideMark/>
          </w:tcPr>
          <w:p w14:paraId="0E913B23"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HR (95% CI)</w:t>
            </w:r>
          </w:p>
        </w:tc>
        <w:tc>
          <w:tcPr>
            <w:tcW w:w="2127" w:type="dxa"/>
            <w:tcBorders>
              <w:top w:val="single" w:sz="4" w:space="0" w:color="auto"/>
              <w:bottom w:val="single" w:sz="4" w:space="0" w:color="auto"/>
            </w:tcBorders>
            <w:noWrap/>
            <w:hideMark/>
          </w:tcPr>
          <w:p w14:paraId="74967186"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HR (95% CI)</w:t>
            </w:r>
          </w:p>
        </w:tc>
        <w:tc>
          <w:tcPr>
            <w:tcW w:w="2126" w:type="dxa"/>
            <w:tcBorders>
              <w:top w:val="single" w:sz="4" w:space="0" w:color="auto"/>
              <w:bottom w:val="single" w:sz="4" w:space="0" w:color="auto"/>
            </w:tcBorders>
            <w:noWrap/>
            <w:hideMark/>
          </w:tcPr>
          <w:p w14:paraId="4A8E0A47"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HR (95% CI)</w:t>
            </w:r>
          </w:p>
        </w:tc>
        <w:tc>
          <w:tcPr>
            <w:tcW w:w="2126" w:type="dxa"/>
            <w:tcBorders>
              <w:top w:val="single" w:sz="4" w:space="0" w:color="auto"/>
              <w:bottom w:val="single" w:sz="4" w:space="0" w:color="auto"/>
            </w:tcBorders>
            <w:noWrap/>
            <w:hideMark/>
          </w:tcPr>
          <w:p w14:paraId="462D3583"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HR (95% CI)</w:t>
            </w:r>
          </w:p>
        </w:tc>
      </w:tr>
      <w:tr w:rsidR="005B4161" w:rsidRPr="00AF5B38" w14:paraId="6948013D" w14:textId="77777777" w:rsidTr="002463D8">
        <w:trPr>
          <w:trHeight w:val="320"/>
        </w:trPr>
        <w:tc>
          <w:tcPr>
            <w:tcW w:w="1927" w:type="dxa"/>
            <w:tcBorders>
              <w:top w:val="single" w:sz="4" w:space="0" w:color="auto"/>
            </w:tcBorders>
            <w:noWrap/>
            <w:hideMark/>
          </w:tcPr>
          <w:p w14:paraId="4BCBC524"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Any</w:t>
            </w:r>
          </w:p>
        </w:tc>
        <w:tc>
          <w:tcPr>
            <w:tcW w:w="2042" w:type="dxa"/>
            <w:tcBorders>
              <w:top w:val="single" w:sz="4" w:space="0" w:color="auto"/>
            </w:tcBorders>
            <w:noWrap/>
            <w:hideMark/>
          </w:tcPr>
          <w:p w14:paraId="6356E4F8"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0.68 (0.67 to 0.68)</w:t>
            </w:r>
          </w:p>
        </w:tc>
        <w:tc>
          <w:tcPr>
            <w:tcW w:w="2127" w:type="dxa"/>
            <w:tcBorders>
              <w:top w:val="single" w:sz="4" w:space="0" w:color="auto"/>
            </w:tcBorders>
            <w:noWrap/>
            <w:hideMark/>
          </w:tcPr>
          <w:p w14:paraId="179AF7B5"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0.68 (0.68 to 0.69)</w:t>
            </w:r>
          </w:p>
        </w:tc>
        <w:tc>
          <w:tcPr>
            <w:tcW w:w="2126" w:type="dxa"/>
            <w:tcBorders>
              <w:top w:val="single" w:sz="4" w:space="0" w:color="auto"/>
            </w:tcBorders>
            <w:noWrap/>
            <w:hideMark/>
          </w:tcPr>
          <w:p w14:paraId="2F1D86AA"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0.72 (0.71 to 0.72)</w:t>
            </w:r>
          </w:p>
        </w:tc>
        <w:tc>
          <w:tcPr>
            <w:tcW w:w="2126" w:type="dxa"/>
            <w:tcBorders>
              <w:top w:val="single" w:sz="4" w:space="0" w:color="auto"/>
            </w:tcBorders>
            <w:noWrap/>
            <w:hideMark/>
          </w:tcPr>
          <w:p w14:paraId="1AC3EC2C"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0.74 (0.73 to 0.74)</w:t>
            </w:r>
          </w:p>
        </w:tc>
      </w:tr>
      <w:tr w:rsidR="005B4161" w:rsidRPr="00AF5B38" w14:paraId="7A7F55F2" w14:textId="77777777" w:rsidTr="005B4161">
        <w:trPr>
          <w:trHeight w:val="320"/>
        </w:trPr>
        <w:tc>
          <w:tcPr>
            <w:tcW w:w="1927" w:type="dxa"/>
            <w:noWrap/>
            <w:hideMark/>
          </w:tcPr>
          <w:p w14:paraId="0A647647"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Substance use</w:t>
            </w:r>
          </w:p>
        </w:tc>
        <w:tc>
          <w:tcPr>
            <w:tcW w:w="2042" w:type="dxa"/>
            <w:noWrap/>
            <w:hideMark/>
          </w:tcPr>
          <w:p w14:paraId="4B1A3199"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0.48 (0.47 to 0.49)</w:t>
            </w:r>
          </w:p>
        </w:tc>
        <w:tc>
          <w:tcPr>
            <w:tcW w:w="2127" w:type="dxa"/>
            <w:noWrap/>
            <w:hideMark/>
          </w:tcPr>
          <w:p w14:paraId="46ED9013" w14:textId="5BC29362"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0.49 (0.48 to 0.5</w:t>
            </w:r>
            <w:r w:rsidR="003928E4" w:rsidRPr="00AF5B38">
              <w:rPr>
                <w:rFonts w:ascii="Times New Roman" w:hAnsi="Times New Roman" w:cs="Times New Roman"/>
                <w:sz w:val="24"/>
                <w:szCs w:val="24"/>
              </w:rPr>
              <w:t>0</w:t>
            </w:r>
            <w:r w:rsidRPr="00AF5B38">
              <w:rPr>
                <w:rFonts w:ascii="Times New Roman" w:hAnsi="Times New Roman" w:cs="Times New Roman"/>
                <w:sz w:val="24"/>
                <w:szCs w:val="24"/>
              </w:rPr>
              <w:t>)</w:t>
            </w:r>
          </w:p>
        </w:tc>
        <w:tc>
          <w:tcPr>
            <w:tcW w:w="2126" w:type="dxa"/>
            <w:noWrap/>
            <w:hideMark/>
          </w:tcPr>
          <w:p w14:paraId="22BD0C69"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0.47 (0.46 to 0.48)</w:t>
            </w:r>
          </w:p>
        </w:tc>
        <w:tc>
          <w:tcPr>
            <w:tcW w:w="2126" w:type="dxa"/>
            <w:noWrap/>
            <w:hideMark/>
          </w:tcPr>
          <w:p w14:paraId="4991D403"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0.49 (0.48 to 0.51)</w:t>
            </w:r>
          </w:p>
        </w:tc>
      </w:tr>
      <w:tr w:rsidR="005B4161" w:rsidRPr="00AF5B38" w14:paraId="432F2D75" w14:textId="77777777" w:rsidTr="005B4161">
        <w:trPr>
          <w:trHeight w:val="320"/>
        </w:trPr>
        <w:tc>
          <w:tcPr>
            <w:tcW w:w="1927" w:type="dxa"/>
            <w:noWrap/>
            <w:hideMark/>
          </w:tcPr>
          <w:p w14:paraId="02112379" w14:textId="027A501E" w:rsidR="005B4161" w:rsidRPr="00AF5B38" w:rsidRDefault="00537D74">
            <w:pPr>
              <w:rPr>
                <w:rFonts w:ascii="Times New Roman" w:hAnsi="Times New Roman" w:cs="Times New Roman"/>
                <w:sz w:val="24"/>
                <w:szCs w:val="24"/>
              </w:rPr>
            </w:pPr>
            <w:r w:rsidRPr="00AF5B38">
              <w:rPr>
                <w:rFonts w:ascii="Times New Roman" w:hAnsi="Times New Roman" w:cs="Times New Roman"/>
                <w:sz w:val="24"/>
                <w:szCs w:val="24"/>
              </w:rPr>
              <w:t>Schizophrenia spectrum</w:t>
            </w:r>
          </w:p>
        </w:tc>
        <w:tc>
          <w:tcPr>
            <w:tcW w:w="2042" w:type="dxa"/>
            <w:noWrap/>
            <w:hideMark/>
          </w:tcPr>
          <w:p w14:paraId="668A847D"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0.76 (0.74 to 0.77)</w:t>
            </w:r>
          </w:p>
        </w:tc>
        <w:tc>
          <w:tcPr>
            <w:tcW w:w="2127" w:type="dxa"/>
            <w:noWrap/>
            <w:hideMark/>
          </w:tcPr>
          <w:p w14:paraId="6B099DB4"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0.74 (0.72 to 0.75)</w:t>
            </w:r>
          </w:p>
        </w:tc>
        <w:tc>
          <w:tcPr>
            <w:tcW w:w="2126" w:type="dxa"/>
            <w:noWrap/>
            <w:hideMark/>
          </w:tcPr>
          <w:p w14:paraId="6AF4019E"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0.73 (0.71 to 0.75)</w:t>
            </w:r>
          </w:p>
        </w:tc>
        <w:tc>
          <w:tcPr>
            <w:tcW w:w="2126" w:type="dxa"/>
            <w:noWrap/>
            <w:hideMark/>
          </w:tcPr>
          <w:p w14:paraId="2DEEF4B9"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0.73 (0.71 to 0.75)</w:t>
            </w:r>
          </w:p>
        </w:tc>
      </w:tr>
      <w:tr w:rsidR="005B4161" w:rsidRPr="00AF5B38" w14:paraId="370514A6" w14:textId="77777777" w:rsidTr="005B4161">
        <w:trPr>
          <w:trHeight w:val="320"/>
        </w:trPr>
        <w:tc>
          <w:tcPr>
            <w:tcW w:w="1927" w:type="dxa"/>
            <w:noWrap/>
            <w:hideMark/>
          </w:tcPr>
          <w:p w14:paraId="03EFA997"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Bipolar</w:t>
            </w:r>
          </w:p>
        </w:tc>
        <w:tc>
          <w:tcPr>
            <w:tcW w:w="2042" w:type="dxa"/>
            <w:noWrap/>
            <w:hideMark/>
          </w:tcPr>
          <w:p w14:paraId="1C49AF4B"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0.86 (0.83 to 0.89)</w:t>
            </w:r>
          </w:p>
        </w:tc>
        <w:tc>
          <w:tcPr>
            <w:tcW w:w="2127" w:type="dxa"/>
            <w:noWrap/>
            <w:hideMark/>
          </w:tcPr>
          <w:p w14:paraId="51D694E1" w14:textId="24391A08"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0.84 (0.8</w:t>
            </w:r>
            <w:r w:rsidR="003928E4" w:rsidRPr="00AF5B38">
              <w:rPr>
                <w:rFonts w:ascii="Times New Roman" w:hAnsi="Times New Roman" w:cs="Times New Roman"/>
                <w:sz w:val="24"/>
                <w:szCs w:val="24"/>
              </w:rPr>
              <w:t>0</w:t>
            </w:r>
            <w:r w:rsidRPr="00AF5B38">
              <w:rPr>
                <w:rFonts w:ascii="Times New Roman" w:hAnsi="Times New Roman" w:cs="Times New Roman"/>
                <w:sz w:val="24"/>
                <w:szCs w:val="24"/>
              </w:rPr>
              <w:t xml:space="preserve"> to 0.87)</w:t>
            </w:r>
          </w:p>
        </w:tc>
        <w:tc>
          <w:tcPr>
            <w:tcW w:w="2126" w:type="dxa"/>
            <w:noWrap/>
            <w:hideMark/>
          </w:tcPr>
          <w:p w14:paraId="301A6444"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0.73 (0.71 to 0.75)</w:t>
            </w:r>
          </w:p>
        </w:tc>
        <w:tc>
          <w:tcPr>
            <w:tcW w:w="2126" w:type="dxa"/>
            <w:noWrap/>
            <w:hideMark/>
          </w:tcPr>
          <w:p w14:paraId="7F854716"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0.75 (0.73 to 0.77)</w:t>
            </w:r>
          </w:p>
        </w:tc>
      </w:tr>
      <w:tr w:rsidR="005B4161" w:rsidRPr="00AF5B38" w14:paraId="711013AC" w14:textId="77777777" w:rsidTr="005B4161">
        <w:trPr>
          <w:trHeight w:val="320"/>
        </w:trPr>
        <w:tc>
          <w:tcPr>
            <w:tcW w:w="1927" w:type="dxa"/>
            <w:noWrap/>
            <w:hideMark/>
          </w:tcPr>
          <w:p w14:paraId="58F5EF4F"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Depression</w:t>
            </w:r>
          </w:p>
        </w:tc>
        <w:tc>
          <w:tcPr>
            <w:tcW w:w="2042" w:type="dxa"/>
            <w:noWrap/>
            <w:hideMark/>
          </w:tcPr>
          <w:p w14:paraId="6DEA7CB8"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0.76 (0.75 to 0.77)</w:t>
            </w:r>
          </w:p>
        </w:tc>
        <w:tc>
          <w:tcPr>
            <w:tcW w:w="2127" w:type="dxa"/>
            <w:noWrap/>
            <w:hideMark/>
          </w:tcPr>
          <w:p w14:paraId="57BF8292"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0.76 (0.75 to 0.77)</w:t>
            </w:r>
          </w:p>
        </w:tc>
        <w:tc>
          <w:tcPr>
            <w:tcW w:w="2126" w:type="dxa"/>
            <w:noWrap/>
            <w:hideMark/>
          </w:tcPr>
          <w:p w14:paraId="6901123F"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0.73 (0.72 to 0.73)</w:t>
            </w:r>
          </w:p>
        </w:tc>
        <w:tc>
          <w:tcPr>
            <w:tcW w:w="2126" w:type="dxa"/>
            <w:noWrap/>
            <w:hideMark/>
          </w:tcPr>
          <w:p w14:paraId="6925FAB6"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0.75 (0.75 to 0.76)</w:t>
            </w:r>
          </w:p>
        </w:tc>
      </w:tr>
      <w:tr w:rsidR="005B4161" w:rsidRPr="00AF5B38" w14:paraId="75BB7EAD" w14:textId="77777777" w:rsidTr="005B4161">
        <w:trPr>
          <w:trHeight w:val="320"/>
        </w:trPr>
        <w:tc>
          <w:tcPr>
            <w:tcW w:w="1927" w:type="dxa"/>
            <w:noWrap/>
            <w:hideMark/>
          </w:tcPr>
          <w:p w14:paraId="10CF9B7B"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Anxiety</w:t>
            </w:r>
          </w:p>
        </w:tc>
        <w:tc>
          <w:tcPr>
            <w:tcW w:w="2042" w:type="dxa"/>
            <w:noWrap/>
            <w:hideMark/>
          </w:tcPr>
          <w:p w14:paraId="078C8A0A" w14:textId="062C67C0"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0.69 (0.68 to 0.7</w:t>
            </w:r>
            <w:r w:rsidR="003928E4" w:rsidRPr="00AF5B38">
              <w:rPr>
                <w:rFonts w:ascii="Times New Roman" w:hAnsi="Times New Roman" w:cs="Times New Roman"/>
                <w:sz w:val="24"/>
                <w:szCs w:val="24"/>
              </w:rPr>
              <w:t>0</w:t>
            </w:r>
            <w:r w:rsidRPr="00AF5B38">
              <w:rPr>
                <w:rFonts w:ascii="Times New Roman" w:hAnsi="Times New Roman" w:cs="Times New Roman"/>
                <w:sz w:val="24"/>
                <w:szCs w:val="24"/>
              </w:rPr>
              <w:t>)</w:t>
            </w:r>
          </w:p>
        </w:tc>
        <w:tc>
          <w:tcPr>
            <w:tcW w:w="2127" w:type="dxa"/>
            <w:noWrap/>
            <w:hideMark/>
          </w:tcPr>
          <w:p w14:paraId="359858A2" w14:textId="41ECC6BF"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w:t>
            </w:r>
            <w:r w:rsidR="003928E4" w:rsidRPr="00AF5B38">
              <w:rPr>
                <w:rFonts w:ascii="Times New Roman" w:hAnsi="Times New Roman" w:cs="Times New Roman"/>
                <w:sz w:val="24"/>
                <w:szCs w:val="24"/>
              </w:rPr>
              <w:t>0</w:t>
            </w:r>
            <w:r w:rsidRPr="00AF5B38">
              <w:rPr>
                <w:rFonts w:ascii="Times New Roman" w:hAnsi="Times New Roman" w:cs="Times New Roman"/>
                <w:sz w:val="24"/>
                <w:szCs w:val="24"/>
              </w:rPr>
              <w:t xml:space="preserve"> (0.69 to 0.71)</w:t>
            </w:r>
          </w:p>
        </w:tc>
        <w:tc>
          <w:tcPr>
            <w:tcW w:w="2126" w:type="dxa"/>
            <w:noWrap/>
            <w:hideMark/>
          </w:tcPr>
          <w:p w14:paraId="308CFEC4" w14:textId="4CCAB5BC"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0.71 (0.7</w:t>
            </w:r>
            <w:r w:rsidR="003928E4" w:rsidRPr="00AF5B38">
              <w:rPr>
                <w:rFonts w:ascii="Times New Roman" w:hAnsi="Times New Roman" w:cs="Times New Roman"/>
                <w:sz w:val="24"/>
                <w:szCs w:val="24"/>
              </w:rPr>
              <w:t>0</w:t>
            </w:r>
            <w:r w:rsidRPr="00AF5B38">
              <w:rPr>
                <w:rFonts w:ascii="Times New Roman" w:hAnsi="Times New Roman" w:cs="Times New Roman"/>
                <w:sz w:val="24"/>
                <w:szCs w:val="24"/>
              </w:rPr>
              <w:t xml:space="preserve"> to 0.72)</w:t>
            </w:r>
          </w:p>
        </w:tc>
        <w:tc>
          <w:tcPr>
            <w:tcW w:w="2126" w:type="dxa"/>
            <w:noWrap/>
            <w:hideMark/>
          </w:tcPr>
          <w:p w14:paraId="2C167CB9"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0.73 (0.72 to 0.74)</w:t>
            </w:r>
          </w:p>
        </w:tc>
      </w:tr>
      <w:tr w:rsidR="005B4161" w:rsidRPr="00AF5B38" w14:paraId="27D8BC6F" w14:textId="77777777" w:rsidTr="005B4161">
        <w:trPr>
          <w:trHeight w:val="320"/>
        </w:trPr>
        <w:tc>
          <w:tcPr>
            <w:tcW w:w="1927" w:type="dxa"/>
            <w:noWrap/>
            <w:hideMark/>
          </w:tcPr>
          <w:p w14:paraId="34F798E7"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Eating</w:t>
            </w:r>
          </w:p>
        </w:tc>
        <w:tc>
          <w:tcPr>
            <w:tcW w:w="2042" w:type="dxa"/>
            <w:noWrap/>
            <w:hideMark/>
          </w:tcPr>
          <w:p w14:paraId="19B198AF"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1.27 (1.14 to 1.41)</w:t>
            </w:r>
          </w:p>
        </w:tc>
        <w:tc>
          <w:tcPr>
            <w:tcW w:w="2127" w:type="dxa"/>
            <w:noWrap/>
            <w:hideMark/>
          </w:tcPr>
          <w:p w14:paraId="4D3B1EFB" w14:textId="3620433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1.3</w:t>
            </w:r>
            <w:r w:rsidR="003928E4" w:rsidRPr="00AF5B38">
              <w:rPr>
                <w:rFonts w:ascii="Times New Roman" w:hAnsi="Times New Roman" w:cs="Times New Roman"/>
                <w:sz w:val="24"/>
                <w:szCs w:val="24"/>
              </w:rPr>
              <w:t>0</w:t>
            </w:r>
            <w:r w:rsidRPr="00AF5B38">
              <w:rPr>
                <w:rFonts w:ascii="Times New Roman" w:hAnsi="Times New Roman" w:cs="Times New Roman"/>
                <w:sz w:val="24"/>
                <w:szCs w:val="24"/>
              </w:rPr>
              <w:t xml:space="preserve"> (1.16 to 1.46)</w:t>
            </w:r>
          </w:p>
        </w:tc>
        <w:tc>
          <w:tcPr>
            <w:tcW w:w="2126" w:type="dxa"/>
            <w:noWrap/>
            <w:hideMark/>
          </w:tcPr>
          <w:p w14:paraId="70205FDE"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1.33 (1.29 to 1.36)</w:t>
            </w:r>
          </w:p>
        </w:tc>
        <w:tc>
          <w:tcPr>
            <w:tcW w:w="2126" w:type="dxa"/>
            <w:noWrap/>
            <w:hideMark/>
          </w:tcPr>
          <w:p w14:paraId="250ABBF0" w14:textId="1DC12FEA"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1.26 (1.22 to 1.3</w:t>
            </w:r>
            <w:r w:rsidR="003928E4" w:rsidRPr="00AF5B38">
              <w:rPr>
                <w:rFonts w:ascii="Times New Roman" w:hAnsi="Times New Roman" w:cs="Times New Roman"/>
                <w:sz w:val="24"/>
                <w:szCs w:val="24"/>
              </w:rPr>
              <w:t>0</w:t>
            </w:r>
            <w:r w:rsidRPr="00AF5B38">
              <w:rPr>
                <w:rFonts w:ascii="Times New Roman" w:hAnsi="Times New Roman" w:cs="Times New Roman"/>
                <w:sz w:val="24"/>
                <w:szCs w:val="24"/>
              </w:rPr>
              <w:t>)</w:t>
            </w:r>
          </w:p>
        </w:tc>
      </w:tr>
      <w:tr w:rsidR="005B4161" w:rsidRPr="00AF5B38" w14:paraId="6FC55162" w14:textId="77777777" w:rsidTr="005B4161">
        <w:trPr>
          <w:trHeight w:val="320"/>
        </w:trPr>
        <w:tc>
          <w:tcPr>
            <w:tcW w:w="1927" w:type="dxa"/>
            <w:noWrap/>
            <w:hideMark/>
          </w:tcPr>
          <w:p w14:paraId="40C1A46C"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Sleep</w:t>
            </w:r>
          </w:p>
        </w:tc>
        <w:tc>
          <w:tcPr>
            <w:tcW w:w="2042" w:type="dxa"/>
            <w:noWrap/>
            <w:hideMark/>
          </w:tcPr>
          <w:p w14:paraId="5FCDA29E" w14:textId="1E0975F6"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0.63 (0.6</w:t>
            </w:r>
            <w:r w:rsidR="003928E4" w:rsidRPr="00AF5B38">
              <w:rPr>
                <w:rFonts w:ascii="Times New Roman" w:hAnsi="Times New Roman" w:cs="Times New Roman"/>
                <w:sz w:val="24"/>
                <w:szCs w:val="24"/>
              </w:rPr>
              <w:t>0</w:t>
            </w:r>
            <w:r w:rsidRPr="00AF5B38">
              <w:rPr>
                <w:rFonts w:ascii="Times New Roman" w:hAnsi="Times New Roman" w:cs="Times New Roman"/>
                <w:sz w:val="24"/>
                <w:szCs w:val="24"/>
              </w:rPr>
              <w:t xml:space="preserve"> to 0.66)</w:t>
            </w:r>
          </w:p>
        </w:tc>
        <w:tc>
          <w:tcPr>
            <w:tcW w:w="2127" w:type="dxa"/>
            <w:noWrap/>
            <w:hideMark/>
          </w:tcPr>
          <w:p w14:paraId="6EE46A00"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0.64 (0.61 to 0.67)</w:t>
            </w:r>
          </w:p>
        </w:tc>
        <w:tc>
          <w:tcPr>
            <w:tcW w:w="2126" w:type="dxa"/>
            <w:noWrap/>
            <w:hideMark/>
          </w:tcPr>
          <w:p w14:paraId="4BC383B3"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0.72 (0.69 to 0.75)</w:t>
            </w:r>
          </w:p>
        </w:tc>
        <w:tc>
          <w:tcPr>
            <w:tcW w:w="2126" w:type="dxa"/>
            <w:noWrap/>
            <w:hideMark/>
          </w:tcPr>
          <w:p w14:paraId="26A0540E" w14:textId="6E6B7DA2"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0.73 (0.7</w:t>
            </w:r>
            <w:r w:rsidR="003928E4" w:rsidRPr="00AF5B38">
              <w:rPr>
                <w:rFonts w:ascii="Times New Roman" w:hAnsi="Times New Roman" w:cs="Times New Roman"/>
                <w:sz w:val="24"/>
                <w:szCs w:val="24"/>
              </w:rPr>
              <w:t>0</w:t>
            </w:r>
            <w:r w:rsidRPr="00AF5B38">
              <w:rPr>
                <w:rFonts w:ascii="Times New Roman" w:hAnsi="Times New Roman" w:cs="Times New Roman"/>
                <w:sz w:val="24"/>
                <w:szCs w:val="24"/>
              </w:rPr>
              <w:t xml:space="preserve"> to 0.77)</w:t>
            </w:r>
          </w:p>
        </w:tc>
      </w:tr>
      <w:tr w:rsidR="005B4161" w:rsidRPr="00AF5B38" w14:paraId="44779957" w14:textId="77777777" w:rsidTr="005B4161">
        <w:trPr>
          <w:trHeight w:val="320"/>
        </w:trPr>
        <w:tc>
          <w:tcPr>
            <w:tcW w:w="1927" w:type="dxa"/>
            <w:tcBorders>
              <w:bottom w:val="single" w:sz="4" w:space="0" w:color="auto"/>
            </w:tcBorders>
            <w:noWrap/>
            <w:hideMark/>
          </w:tcPr>
          <w:p w14:paraId="7FD0148F"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Personality</w:t>
            </w:r>
          </w:p>
        </w:tc>
        <w:tc>
          <w:tcPr>
            <w:tcW w:w="2042" w:type="dxa"/>
            <w:tcBorders>
              <w:bottom w:val="single" w:sz="4" w:space="0" w:color="auto"/>
            </w:tcBorders>
            <w:noWrap/>
            <w:hideMark/>
          </w:tcPr>
          <w:p w14:paraId="6CB1AACE"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0.67 (0.65 to 0.69)</w:t>
            </w:r>
          </w:p>
        </w:tc>
        <w:tc>
          <w:tcPr>
            <w:tcW w:w="2127" w:type="dxa"/>
            <w:tcBorders>
              <w:bottom w:val="single" w:sz="4" w:space="0" w:color="auto"/>
            </w:tcBorders>
            <w:noWrap/>
            <w:hideMark/>
          </w:tcPr>
          <w:p w14:paraId="76F2A096"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0.69 (0.66 to 0.71)</w:t>
            </w:r>
          </w:p>
        </w:tc>
        <w:tc>
          <w:tcPr>
            <w:tcW w:w="2126" w:type="dxa"/>
            <w:tcBorders>
              <w:bottom w:val="single" w:sz="4" w:space="0" w:color="auto"/>
            </w:tcBorders>
            <w:noWrap/>
            <w:hideMark/>
          </w:tcPr>
          <w:p w14:paraId="55078F28"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0.64 (0.62 to 0.66)</w:t>
            </w:r>
          </w:p>
        </w:tc>
        <w:tc>
          <w:tcPr>
            <w:tcW w:w="2126" w:type="dxa"/>
            <w:tcBorders>
              <w:bottom w:val="single" w:sz="4" w:space="0" w:color="auto"/>
            </w:tcBorders>
            <w:noWrap/>
            <w:hideMark/>
          </w:tcPr>
          <w:p w14:paraId="1E0BC454" w14:textId="77777777" w:rsidR="005B4161" w:rsidRPr="00AF5B38" w:rsidRDefault="005B4161">
            <w:pPr>
              <w:rPr>
                <w:rFonts w:ascii="Times New Roman" w:hAnsi="Times New Roman" w:cs="Times New Roman"/>
                <w:sz w:val="24"/>
                <w:szCs w:val="24"/>
              </w:rPr>
            </w:pPr>
            <w:r w:rsidRPr="00AF5B38">
              <w:rPr>
                <w:rFonts w:ascii="Times New Roman" w:hAnsi="Times New Roman" w:cs="Times New Roman"/>
                <w:sz w:val="24"/>
                <w:szCs w:val="24"/>
              </w:rPr>
              <w:t>0.66 (0.64 to 0.68)</w:t>
            </w:r>
          </w:p>
        </w:tc>
      </w:tr>
    </w:tbl>
    <w:p w14:paraId="1A02F838" w14:textId="638DBFFC" w:rsidR="005B4161" w:rsidRPr="00AF5B38" w:rsidRDefault="003928E4" w:rsidP="004A32DB">
      <w:pPr>
        <w:rPr>
          <w:rFonts w:ascii="Times New Roman" w:eastAsia="Times New Roman" w:hAnsi="Times New Roman" w:cs="Times New Roman"/>
          <w:color w:val="000000"/>
          <w:sz w:val="24"/>
          <w:szCs w:val="24"/>
          <w:lang w:val="en-US" w:eastAsia="fi-FI"/>
        </w:rPr>
      </w:pPr>
      <w:r w:rsidRPr="00AF5B38">
        <w:rPr>
          <w:rFonts w:ascii="Times New Roman" w:eastAsia="Times New Roman" w:hAnsi="Times New Roman" w:cs="Times New Roman"/>
          <w:color w:val="000000"/>
          <w:sz w:val="24"/>
          <w:szCs w:val="24"/>
          <w:lang w:val="en-US" w:eastAsia="fi-FI"/>
        </w:rPr>
        <w:t xml:space="preserve">Note: </w:t>
      </w:r>
      <w:r w:rsidR="005B4161" w:rsidRPr="00AF5B38">
        <w:rPr>
          <w:rFonts w:ascii="Times New Roman" w:eastAsia="Times New Roman" w:hAnsi="Times New Roman" w:cs="Times New Roman"/>
          <w:color w:val="000000"/>
          <w:sz w:val="24"/>
          <w:szCs w:val="24"/>
          <w:lang w:val="en-US" w:eastAsia="fi-FI"/>
        </w:rPr>
        <w:t>Values are hazard ratios (HRs) with 95% confidence intervals (CIs).</w:t>
      </w:r>
      <w:r w:rsidRPr="00AF5B38">
        <w:rPr>
          <w:rFonts w:ascii="Times New Roman" w:eastAsia="Times New Roman" w:hAnsi="Times New Roman" w:cs="Times New Roman"/>
          <w:color w:val="000000"/>
          <w:sz w:val="24"/>
          <w:szCs w:val="24"/>
          <w:lang w:val="en-US" w:eastAsia="fi-FI"/>
        </w:rPr>
        <w:t xml:space="preserve"> Model 1 adjusted for year of </w:t>
      </w:r>
      <w:r w:rsidR="00F757FF" w:rsidRPr="00AF5B38">
        <w:rPr>
          <w:rFonts w:ascii="Times New Roman" w:eastAsia="Times New Roman" w:hAnsi="Times New Roman" w:cs="Times New Roman"/>
          <w:color w:val="000000"/>
          <w:sz w:val="24"/>
          <w:szCs w:val="24"/>
          <w:lang w:val="en-US" w:eastAsia="fi-FI"/>
        </w:rPr>
        <w:t>birth</w:t>
      </w:r>
      <w:r w:rsidR="00AF5B38" w:rsidRPr="00AF5B38">
        <w:rPr>
          <w:rFonts w:ascii="Times New Roman" w:eastAsia="Times New Roman" w:hAnsi="Times New Roman" w:cs="Times New Roman"/>
          <w:color w:val="000000"/>
          <w:sz w:val="24"/>
          <w:szCs w:val="24"/>
          <w:lang w:val="en-US" w:eastAsia="fi-FI"/>
        </w:rPr>
        <w:t xml:space="preserve"> </w:t>
      </w:r>
      <w:r w:rsidR="00F757FF" w:rsidRPr="00AF5B38">
        <w:rPr>
          <w:rFonts w:ascii="Times New Roman" w:eastAsia="Times New Roman" w:hAnsi="Times New Roman" w:cs="Times New Roman"/>
          <w:color w:val="000000"/>
          <w:sz w:val="24"/>
          <w:szCs w:val="24"/>
          <w:lang w:val="en-US" w:eastAsia="fi-FI"/>
        </w:rPr>
        <w:t>and time-varying calendar year period</w:t>
      </w:r>
      <w:r w:rsidRPr="00AF5B38">
        <w:rPr>
          <w:rFonts w:ascii="Times New Roman" w:eastAsia="Times New Roman" w:hAnsi="Times New Roman" w:cs="Times New Roman"/>
          <w:color w:val="000000"/>
          <w:sz w:val="24"/>
          <w:szCs w:val="24"/>
          <w:lang w:val="en-US" w:eastAsia="fi-FI"/>
        </w:rPr>
        <w:t xml:space="preserve">. Model 2 adjusted for year of </w:t>
      </w:r>
      <w:r w:rsidR="00F757FF" w:rsidRPr="00AF5B38">
        <w:rPr>
          <w:rFonts w:ascii="Times New Roman" w:eastAsia="Times New Roman" w:hAnsi="Times New Roman" w:cs="Times New Roman"/>
          <w:color w:val="000000"/>
          <w:sz w:val="24"/>
          <w:szCs w:val="24"/>
          <w:lang w:val="en-US" w:eastAsia="fi-FI"/>
        </w:rPr>
        <w:t>birth</w:t>
      </w:r>
      <w:r w:rsidRPr="00AF5B38">
        <w:rPr>
          <w:rFonts w:ascii="Times New Roman" w:eastAsia="Times New Roman" w:hAnsi="Times New Roman" w:cs="Times New Roman"/>
          <w:color w:val="000000"/>
          <w:sz w:val="24"/>
          <w:szCs w:val="24"/>
          <w:lang w:val="en-US" w:eastAsia="fi-FI"/>
        </w:rPr>
        <w:t xml:space="preserve">, </w:t>
      </w:r>
      <w:r w:rsidR="00F757FF" w:rsidRPr="00AF5B38">
        <w:rPr>
          <w:rFonts w:ascii="Times New Roman" w:eastAsia="Times New Roman" w:hAnsi="Times New Roman" w:cs="Times New Roman"/>
          <w:color w:val="000000"/>
          <w:sz w:val="24"/>
          <w:szCs w:val="24"/>
          <w:lang w:val="en-US" w:eastAsia="fi-FI"/>
        </w:rPr>
        <w:t xml:space="preserve">time-varying calendar year period, </w:t>
      </w:r>
      <w:r w:rsidRPr="00AF5B38">
        <w:rPr>
          <w:rFonts w:ascii="Times New Roman" w:eastAsia="Times New Roman" w:hAnsi="Times New Roman" w:cs="Times New Roman"/>
          <w:color w:val="000000"/>
          <w:sz w:val="24"/>
          <w:szCs w:val="24"/>
          <w:lang w:val="en-US" w:eastAsia="fi-FI"/>
        </w:rPr>
        <w:t>urbanicity, parental education, parental income, and parental mental health history.</w:t>
      </w:r>
      <w:r w:rsidR="009A7A82" w:rsidRPr="00AF5B38">
        <w:rPr>
          <w:rFonts w:ascii="Times New Roman" w:eastAsia="Times New Roman" w:hAnsi="Times New Roman" w:cs="Times New Roman"/>
          <w:color w:val="000000"/>
          <w:sz w:val="24"/>
          <w:szCs w:val="24"/>
          <w:lang w:val="en-US" w:eastAsia="fi-FI"/>
        </w:rPr>
        <w:t xml:space="preserve"> Mental disorders included: any mental disorders (ICD-10 diagnoses F00-F99), mental and behavioral disorders due to psychoactive substance use (F10-F19), schizophrenia spectrum disorders including schizophrenia, schizotypal, and delusional disorders (F20-F29), bipolar disorder (F30-F31), depression (F32-F33), neurotic, stress-related, and somatoform disorders (F40-F48), eating disorders (F50-F50.9), nonorganic sleep disorders (F51), and disorders of adult personality and behavior (F60-F69).</w:t>
      </w:r>
    </w:p>
    <w:p w14:paraId="38A3B702" w14:textId="77777777" w:rsidR="005B4161" w:rsidRPr="00AF5B38" w:rsidRDefault="005B4161" w:rsidP="004A32DB">
      <w:pPr>
        <w:rPr>
          <w:rFonts w:ascii="Times New Roman" w:hAnsi="Times New Roman" w:cs="Times New Roman"/>
          <w:sz w:val="24"/>
          <w:szCs w:val="24"/>
          <w:lang w:val="en-US"/>
        </w:rPr>
      </w:pPr>
    </w:p>
    <w:sectPr w:rsidR="005B4161" w:rsidRPr="00AF5B38" w:rsidSect="005B142B">
      <w:footerReference w:type="default" r:id="rId8"/>
      <w:pgSz w:w="11906" w:h="16838"/>
      <w:pgMar w:top="1417" w:right="1134" w:bottom="141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05027" w14:textId="77777777" w:rsidR="00AF69DE" w:rsidRDefault="00AF69DE" w:rsidP="00A861AA">
      <w:pPr>
        <w:spacing w:after="0" w:line="240" w:lineRule="auto"/>
      </w:pPr>
      <w:r>
        <w:separator/>
      </w:r>
    </w:p>
  </w:endnote>
  <w:endnote w:type="continuationSeparator" w:id="0">
    <w:p w14:paraId="1A3FF498" w14:textId="77777777" w:rsidR="00AF69DE" w:rsidRDefault="00AF69DE" w:rsidP="00A86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337301"/>
      <w:docPartObj>
        <w:docPartGallery w:val="Page Numbers (Bottom of Page)"/>
        <w:docPartUnique/>
      </w:docPartObj>
    </w:sdtPr>
    <w:sdtEndPr>
      <w:rPr>
        <w:noProof/>
      </w:rPr>
    </w:sdtEndPr>
    <w:sdtContent>
      <w:p w14:paraId="37E60EFE" w14:textId="37B95BED" w:rsidR="005B142B" w:rsidRDefault="005B14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369DB5" w14:textId="77777777" w:rsidR="00A861AA" w:rsidRPr="00A861AA" w:rsidRDefault="00A861AA">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D4478" w14:textId="77777777" w:rsidR="00AF69DE" w:rsidRDefault="00AF69DE" w:rsidP="00A861AA">
      <w:pPr>
        <w:spacing w:after="0" w:line="240" w:lineRule="auto"/>
      </w:pPr>
      <w:r>
        <w:separator/>
      </w:r>
    </w:p>
  </w:footnote>
  <w:footnote w:type="continuationSeparator" w:id="0">
    <w:p w14:paraId="4C8AF076" w14:textId="77777777" w:rsidR="00AF69DE" w:rsidRDefault="00AF69DE" w:rsidP="00A861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C0E"/>
    <w:multiLevelType w:val="multilevel"/>
    <w:tmpl w:val="7F56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17160"/>
    <w:multiLevelType w:val="hybridMultilevel"/>
    <w:tmpl w:val="3970D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55624"/>
    <w:multiLevelType w:val="multilevel"/>
    <w:tmpl w:val="FA22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2A453F"/>
    <w:multiLevelType w:val="multilevel"/>
    <w:tmpl w:val="83AE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504E2"/>
    <w:multiLevelType w:val="multilevel"/>
    <w:tmpl w:val="A4921AA6"/>
    <w:lvl w:ilvl="0">
      <w:start w:val="1"/>
      <w:numFmt w:val="decimal"/>
      <w:lvlText w:val="%1."/>
      <w:lvlJc w:val="left"/>
      <w:pPr>
        <w:ind w:left="720" w:hanging="360"/>
      </w:pPr>
      <w:rPr>
        <w:rFonts w:hint="default"/>
        <w:b w:val="0"/>
        <w:bCs/>
        <w:color w:val="000000"/>
      </w:rPr>
    </w:lvl>
    <w:lvl w:ilvl="1">
      <w:start w:val="3"/>
      <w:numFmt w:val="decimal"/>
      <w:isLgl/>
      <w:lvlText w:val="%1.%2"/>
      <w:lvlJc w:val="left"/>
      <w:pPr>
        <w:ind w:left="780" w:hanging="4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 w15:restartNumberingAfterBreak="0">
    <w:nsid w:val="50EF33FC"/>
    <w:multiLevelType w:val="hybridMultilevel"/>
    <w:tmpl w:val="2DFA5966"/>
    <w:lvl w:ilvl="0" w:tplc="D53CEDA4">
      <w:numFmt w:val="bullet"/>
      <w:lvlText w:val="-"/>
      <w:lvlJc w:val="left"/>
      <w:pPr>
        <w:ind w:left="1664" w:hanging="360"/>
      </w:pPr>
      <w:rPr>
        <w:rFonts w:ascii="Times New Roman" w:eastAsia="Times New Roman" w:hAnsi="Times New Roman"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6" w15:restartNumberingAfterBreak="0">
    <w:nsid w:val="5AD84CAB"/>
    <w:multiLevelType w:val="multilevel"/>
    <w:tmpl w:val="E778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DC0C2C"/>
    <w:multiLevelType w:val="hybridMultilevel"/>
    <w:tmpl w:val="4F6C42A4"/>
    <w:lvl w:ilvl="0" w:tplc="5A88704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77176ED2"/>
    <w:multiLevelType w:val="hybridMultilevel"/>
    <w:tmpl w:val="AC3AC034"/>
    <w:lvl w:ilvl="0" w:tplc="5D9A3222">
      <w:numFmt w:val="bullet"/>
      <w:lvlText w:val="-"/>
      <w:lvlJc w:val="left"/>
      <w:pPr>
        <w:ind w:left="1664" w:hanging="360"/>
      </w:pPr>
      <w:rPr>
        <w:rFonts w:ascii="Times New Roman" w:eastAsiaTheme="minorHAnsi" w:hAnsi="Times New Roman"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9" w15:restartNumberingAfterBreak="0">
    <w:nsid w:val="7F774A12"/>
    <w:multiLevelType w:val="multilevel"/>
    <w:tmpl w:val="AC7E0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4358803">
    <w:abstractNumId w:val="2"/>
  </w:num>
  <w:num w:numId="2" w16cid:durableId="1240796144">
    <w:abstractNumId w:val="0"/>
  </w:num>
  <w:num w:numId="3" w16cid:durableId="437258096">
    <w:abstractNumId w:val="6"/>
  </w:num>
  <w:num w:numId="4" w16cid:durableId="1086994001">
    <w:abstractNumId w:val="9"/>
  </w:num>
  <w:num w:numId="5" w16cid:durableId="1070618567">
    <w:abstractNumId w:val="3"/>
  </w:num>
  <w:num w:numId="6" w16cid:durableId="986740485">
    <w:abstractNumId w:val="4"/>
  </w:num>
  <w:num w:numId="7" w16cid:durableId="362633639">
    <w:abstractNumId w:val="5"/>
  </w:num>
  <w:num w:numId="8" w16cid:durableId="1096630394">
    <w:abstractNumId w:val="7"/>
  </w:num>
  <w:num w:numId="9" w16cid:durableId="1943948969">
    <w:abstractNumId w:val="8"/>
  </w:num>
  <w:num w:numId="10" w16cid:durableId="104768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2DB"/>
    <w:rsid w:val="000D2027"/>
    <w:rsid w:val="001C2926"/>
    <w:rsid w:val="00240011"/>
    <w:rsid w:val="002463D8"/>
    <w:rsid w:val="00263870"/>
    <w:rsid w:val="0027278C"/>
    <w:rsid w:val="002D63C5"/>
    <w:rsid w:val="002F7697"/>
    <w:rsid w:val="00355A8E"/>
    <w:rsid w:val="00364D22"/>
    <w:rsid w:val="003928E4"/>
    <w:rsid w:val="003953D0"/>
    <w:rsid w:val="00421D6A"/>
    <w:rsid w:val="00494EB2"/>
    <w:rsid w:val="004A32DB"/>
    <w:rsid w:val="004E0186"/>
    <w:rsid w:val="004F1DF4"/>
    <w:rsid w:val="004F3138"/>
    <w:rsid w:val="00537D74"/>
    <w:rsid w:val="005B142B"/>
    <w:rsid w:val="005B4161"/>
    <w:rsid w:val="006120D0"/>
    <w:rsid w:val="00621AA1"/>
    <w:rsid w:val="006450BF"/>
    <w:rsid w:val="00692EB0"/>
    <w:rsid w:val="006B7CB4"/>
    <w:rsid w:val="007622BD"/>
    <w:rsid w:val="0078231D"/>
    <w:rsid w:val="007C46F8"/>
    <w:rsid w:val="0093484E"/>
    <w:rsid w:val="009730B6"/>
    <w:rsid w:val="009A7A82"/>
    <w:rsid w:val="009C58DA"/>
    <w:rsid w:val="00A0290E"/>
    <w:rsid w:val="00A02B5E"/>
    <w:rsid w:val="00A861AA"/>
    <w:rsid w:val="00AA1B3B"/>
    <w:rsid w:val="00AF5B38"/>
    <w:rsid w:val="00AF69DE"/>
    <w:rsid w:val="00B200A3"/>
    <w:rsid w:val="00B201F5"/>
    <w:rsid w:val="00B64A51"/>
    <w:rsid w:val="00B830D7"/>
    <w:rsid w:val="00BA0822"/>
    <w:rsid w:val="00C005CD"/>
    <w:rsid w:val="00C24120"/>
    <w:rsid w:val="00CC088D"/>
    <w:rsid w:val="00CC3C3A"/>
    <w:rsid w:val="00CE3C28"/>
    <w:rsid w:val="00CE6CD4"/>
    <w:rsid w:val="00CF2E1F"/>
    <w:rsid w:val="00D0417E"/>
    <w:rsid w:val="00D10174"/>
    <w:rsid w:val="00DD5B2E"/>
    <w:rsid w:val="00E67C6D"/>
    <w:rsid w:val="00EC599E"/>
    <w:rsid w:val="00F015AA"/>
    <w:rsid w:val="00F37407"/>
    <w:rsid w:val="00F757F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9A0C"/>
  <w15:chartTrackingRefBased/>
  <w15:docId w15:val="{6EC4F278-2F8A-4376-9C36-F528C539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DB"/>
  </w:style>
  <w:style w:type="paragraph" w:styleId="Heading1">
    <w:name w:val="heading 1"/>
    <w:basedOn w:val="Normal"/>
    <w:next w:val="Normal"/>
    <w:link w:val="Heading1Char"/>
    <w:uiPriority w:val="9"/>
    <w:qFormat/>
    <w:rsid w:val="004A32DB"/>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link w:val="Heading2Char"/>
    <w:uiPriority w:val="9"/>
    <w:qFormat/>
    <w:rsid w:val="004A32D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2DB"/>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4A32DB"/>
    <w:rPr>
      <w:rFonts w:ascii="Times New Roman" w:eastAsia="Times New Roman" w:hAnsi="Times New Roman" w:cs="Times New Roman"/>
      <w:b/>
      <w:bCs/>
      <w:sz w:val="36"/>
      <w:szCs w:val="36"/>
      <w:lang w:eastAsia="en-GB"/>
    </w:rPr>
  </w:style>
  <w:style w:type="paragraph" w:styleId="ListParagraph">
    <w:name w:val="List Paragraph"/>
    <w:basedOn w:val="Normal"/>
    <w:uiPriority w:val="34"/>
    <w:qFormat/>
    <w:rsid w:val="004A32DB"/>
    <w:pPr>
      <w:ind w:left="720"/>
      <w:contextualSpacing/>
    </w:pPr>
  </w:style>
  <w:style w:type="character" w:styleId="CommentReference">
    <w:name w:val="annotation reference"/>
    <w:basedOn w:val="DefaultParagraphFont"/>
    <w:uiPriority w:val="99"/>
    <w:semiHidden/>
    <w:unhideWhenUsed/>
    <w:rsid w:val="004A32DB"/>
    <w:rPr>
      <w:sz w:val="16"/>
      <w:szCs w:val="16"/>
    </w:rPr>
  </w:style>
  <w:style w:type="paragraph" w:styleId="CommentText">
    <w:name w:val="annotation text"/>
    <w:basedOn w:val="Normal"/>
    <w:link w:val="CommentTextChar"/>
    <w:uiPriority w:val="99"/>
    <w:unhideWhenUsed/>
    <w:rsid w:val="004A32DB"/>
    <w:pPr>
      <w:spacing w:line="240" w:lineRule="auto"/>
    </w:pPr>
    <w:rPr>
      <w:sz w:val="20"/>
      <w:szCs w:val="20"/>
    </w:rPr>
  </w:style>
  <w:style w:type="character" w:customStyle="1" w:styleId="CommentTextChar">
    <w:name w:val="Comment Text Char"/>
    <w:basedOn w:val="DefaultParagraphFont"/>
    <w:link w:val="CommentText"/>
    <w:uiPriority w:val="99"/>
    <w:rsid w:val="004A32DB"/>
    <w:rPr>
      <w:sz w:val="20"/>
      <w:szCs w:val="20"/>
    </w:rPr>
  </w:style>
  <w:style w:type="character" w:customStyle="1" w:styleId="CommentSubjectChar">
    <w:name w:val="Comment Subject Char"/>
    <w:basedOn w:val="CommentTextChar"/>
    <w:link w:val="CommentSubject"/>
    <w:uiPriority w:val="99"/>
    <w:semiHidden/>
    <w:rsid w:val="004A32DB"/>
    <w:rPr>
      <w:b/>
      <w:bCs/>
      <w:sz w:val="20"/>
      <w:szCs w:val="20"/>
    </w:rPr>
  </w:style>
  <w:style w:type="paragraph" w:styleId="CommentSubject">
    <w:name w:val="annotation subject"/>
    <w:basedOn w:val="CommentText"/>
    <w:next w:val="CommentText"/>
    <w:link w:val="CommentSubjectChar"/>
    <w:uiPriority w:val="99"/>
    <w:semiHidden/>
    <w:unhideWhenUsed/>
    <w:rsid w:val="004A32DB"/>
    <w:rPr>
      <w:b/>
      <w:bCs/>
    </w:rPr>
  </w:style>
  <w:style w:type="character" w:customStyle="1" w:styleId="CommentSubjectChar1">
    <w:name w:val="Comment Subject Char1"/>
    <w:basedOn w:val="CommentTextChar"/>
    <w:uiPriority w:val="99"/>
    <w:semiHidden/>
    <w:rsid w:val="004A32DB"/>
    <w:rPr>
      <w:b/>
      <w:bCs/>
      <w:sz w:val="20"/>
      <w:szCs w:val="20"/>
    </w:rPr>
  </w:style>
  <w:style w:type="character" w:styleId="Hyperlink">
    <w:name w:val="Hyperlink"/>
    <w:basedOn w:val="DefaultParagraphFont"/>
    <w:uiPriority w:val="99"/>
    <w:unhideWhenUsed/>
    <w:rsid w:val="004A32DB"/>
    <w:rPr>
      <w:color w:val="0563C1" w:themeColor="hyperlink"/>
      <w:u w:val="single"/>
    </w:rPr>
  </w:style>
  <w:style w:type="paragraph" w:styleId="Header">
    <w:name w:val="header"/>
    <w:basedOn w:val="Normal"/>
    <w:link w:val="HeaderChar"/>
    <w:uiPriority w:val="99"/>
    <w:unhideWhenUsed/>
    <w:rsid w:val="004A32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2DB"/>
  </w:style>
  <w:style w:type="paragraph" w:styleId="Footer">
    <w:name w:val="footer"/>
    <w:basedOn w:val="Normal"/>
    <w:link w:val="FooterChar"/>
    <w:uiPriority w:val="99"/>
    <w:unhideWhenUsed/>
    <w:rsid w:val="004A32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2DB"/>
  </w:style>
  <w:style w:type="character" w:customStyle="1" w:styleId="apple-converted-space">
    <w:name w:val="apple-converted-space"/>
    <w:basedOn w:val="DefaultParagraphFont"/>
    <w:rsid w:val="004A32DB"/>
  </w:style>
  <w:style w:type="character" w:styleId="PlaceholderText">
    <w:name w:val="Placeholder Text"/>
    <w:basedOn w:val="DefaultParagraphFont"/>
    <w:uiPriority w:val="99"/>
    <w:semiHidden/>
    <w:rsid w:val="00BA0822"/>
    <w:rPr>
      <w:color w:val="808080"/>
    </w:rPr>
  </w:style>
  <w:style w:type="paragraph" w:styleId="Revision">
    <w:name w:val="Revision"/>
    <w:hidden/>
    <w:uiPriority w:val="99"/>
    <w:semiHidden/>
    <w:rsid w:val="007C46F8"/>
    <w:pPr>
      <w:spacing w:after="0" w:line="240" w:lineRule="auto"/>
    </w:pPr>
  </w:style>
  <w:style w:type="table" w:styleId="TableGrid">
    <w:name w:val="Table Grid"/>
    <w:basedOn w:val="TableNormal"/>
    <w:uiPriority w:val="39"/>
    <w:rsid w:val="00B83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7233">
      <w:bodyDiv w:val="1"/>
      <w:marLeft w:val="0"/>
      <w:marRight w:val="0"/>
      <w:marTop w:val="0"/>
      <w:marBottom w:val="0"/>
      <w:divBdr>
        <w:top w:val="none" w:sz="0" w:space="0" w:color="auto"/>
        <w:left w:val="none" w:sz="0" w:space="0" w:color="auto"/>
        <w:bottom w:val="none" w:sz="0" w:space="0" w:color="auto"/>
        <w:right w:val="none" w:sz="0" w:space="0" w:color="auto"/>
      </w:divBdr>
    </w:div>
    <w:div w:id="173498956">
      <w:bodyDiv w:val="1"/>
      <w:marLeft w:val="0"/>
      <w:marRight w:val="0"/>
      <w:marTop w:val="0"/>
      <w:marBottom w:val="0"/>
      <w:divBdr>
        <w:top w:val="none" w:sz="0" w:space="0" w:color="auto"/>
        <w:left w:val="none" w:sz="0" w:space="0" w:color="auto"/>
        <w:bottom w:val="none" w:sz="0" w:space="0" w:color="auto"/>
        <w:right w:val="none" w:sz="0" w:space="0" w:color="auto"/>
      </w:divBdr>
      <w:divsChild>
        <w:div w:id="1408960072">
          <w:marLeft w:val="640"/>
          <w:marRight w:val="0"/>
          <w:marTop w:val="0"/>
          <w:marBottom w:val="0"/>
          <w:divBdr>
            <w:top w:val="none" w:sz="0" w:space="0" w:color="auto"/>
            <w:left w:val="none" w:sz="0" w:space="0" w:color="auto"/>
            <w:bottom w:val="none" w:sz="0" w:space="0" w:color="auto"/>
            <w:right w:val="none" w:sz="0" w:space="0" w:color="auto"/>
          </w:divBdr>
        </w:div>
        <w:div w:id="256180617">
          <w:marLeft w:val="640"/>
          <w:marRight w:val="0"/>
          <w:marTop w:val="0"/>
          <w:marBottom w:val="0"/>
          <w:divBdr>
            <w:top w:val="none" w:sz="0" w:space="0" w:color="auto"/>
            <w:left w:val="none" w:sz="0" w:space="0" w:color="auto"/>
            <w:bottom w:val="none" w:sz="0" w:space="0" w:color="auto"/>
            <w:right w:val="none" w:sz="0" w:space="0" w:color="auto"/>
          </w:divBdr>
        </w:div>
        <w:div w:id="1991666570">
          <w:marLeft w:val="640"/>
          <w:marRight w:val="0"/>
          <w:marTop w:val="0"/>
          <w:marBottom w:val="0"/>
          <w:divBdr>
            <w:top w:val="none" w:sz="0" w:space="0" w:color="auto"/>
            <w:left w:val="none" w:sz="0" w:space="0" w:color="auto"/>
            <w:bottom w:val="none" w:sz="0" w:space="0" w:color="auto"/>
            <w:right w:val="none" w:sz="0" w:space="0" w:color="auto"/>
          </w:divBdr>
        </w:div>
        <w:div w:id="682317948">
          <w:marLeft w:val="640"/>
          <w:marRight w:val="0"/>
          <w:marTop w:val="0"/>
          <w:marBottom w:val="0"/>
          <w:divBdr>
            <w:top w:val="none" w:sz="0" w:space="0" w:color="auto"/>
            <w:left w:val="none" w:sz="0" w:space="0" w:color="auto"/>
            <w:bottom w:val="none" w:sz="0" w:space="0" w:color="auto"/>
            <w:right w:val="none" w:sz="0" w:space="0" w:color="auto"/>
          </w:divBdr>
        </w:div>
        <w:div w:id="917790598">
          <w:marLeft w:val="640"/>
          <w:marRight w:val="0"/>
          <w:marTop w:val="0"/>
          <w:marBottom w:val="0"/>
          <w:divBdr>
            <w:top w:val="none" w:sz="0" w:space="0" w:color="auto"/>
            <w:left w:val="none" w:sz="0" w:space="0" w:color="auto"/>
            <w:bottom w:val="none" w:sz="0" w:space="0" w:color="auto"/>
            <w:right w:val="none" w:sz="0" w:space="0" w:color="auto"/>
          </w:divBdr>
        </w:div>
        <w:div w:id="827329055">
          <w:marLeft w:val="640"/>
          <w:marRight w:val="0"/>
          <w:marTop w:val="0"/>
          <w:marBottom w:val="0"/>
          <w:divBdr>
            <w:top w:val="none" w:sz="0" w:space="0" w:color="auto"/>
            <w:left w:val="none" w:sz="0" w:space="0" w:color="auto"/>
            <w:bottom w:val="none" w:sz="0" w:space="0" w:color="auto"/>
            <w:right w:val="none" w:sz="0" w:space="0" w:color="auto"/>
          </w:divBdr>
        </w:div>
        <w:div w:id="1076125595">
          <w:marLeft w:val="640"/>
          <w:marRight w:val="0"/>
          <w:marTop w:val="0"/>
          <w:marBottom w:val="0"/>
          <w:divBdr>
            <w:top w:val="none" w:sz="0" w:space="0" w:color="auto"/>
            <w:left w:val="none" w:sz="0" w:space="0" w:color="auto"/>
            <w:bottom w:val="none" w:sz="0" w:space="0" w:color="auto"/>
            <w:right w:val="none" w:sz="0" w:space="0" w:color="auto"/>
          </w:divBdr>
        </w:div>
        <w:div w:id="1854800047">
          <w:marLeft w:val="640"/>
          <w:marRight w:val="0"/>
          <w:marTop w:val="0"/>
          <w:marBottom w:val="0"/>
          <w:divBdr>
            <w:top w:val="none" w:sz="0" w:space="0" w:color="auto"/>
            <w:left w:val="none" w:sz="0" w:space="0" w:color="auto"/>
            <w:bottom w:val="none" w:sz="0" w:space="0" w:color="auto"/>
            <w:right w:val="none" w:sz="0" w:space="0" w:color="auto"/>
          </w:divBdr>
        </w:div>
        <w:div w:id="1310790411">
          <w:marLeft w:val="640"/>
          <w:marRight w:val="0"/>
          <w:marTop w:val="0"/>
          <w:marBottom w:val="0"/>
          <w:divBdr>
            <w:top w:val="none" w:sz="0" w:space="0" w:color="auto"/>
            <w:left w:val="none" w:sz="0" w:space="0" w:color="auto"/>
            <w:bottom w:val="none" w:sz="0" w:space="0" w:color="auto"/>
            <w:right w:val="none" w:sz="0" w:space="0" w:color="auto"/>
          </w:divBdr>
        </w:div>
        <w:div w:id="371543547">
          <w:marLeft w:val="640"/>
          <w:marRight w:val="0"/>
          <w:marTop w:val="0"/>
          <w:marBottom w:val="0"/>
          <w:divBdr>
            <w:top w:val="none" w:sz="0" w:space="0" w:color="auto"/>
            <w:left w:val="none" w:sz="0" w:space="0" w:color="auto"/>
            <w:bottom w:val="none" w:sz="0" w:space="0" w:color="auto"/>
            <w:right w:val="none" w:sz="0" w:space="0" w:color="auto"/>
          </w:divBdr>
        </w:div>
        <w:div w:id="1056273120">
          <w:marLeft w:val="640"/>
          <w:marRight w:val="0"/>
          <w:marTop w:val="0"/>
          <w:marBottom w:val="0"/>
          <w:divBdr>
            <w:top w:val="none" w:sz="0" w:space="0" w:color="auto"/>
            <w:left w:val="none" w:sz="0" w:space="0" w:color="auto"/>
            <w:bottom w:val="none" w:sz="0" w:space="0" w:color="auto"/>
            <w:right w:val="none" w:sz="0" w:space="0" w:color="auto"/>
          </w:divBdr>
        </w:div>
        <w:div w:id="446780290">
          <w:marLeft w:val="640"/>
          <w:marRight w:val="0"/>
          <w:marTop w:val="0"/>
          <w:marBottom w:val="0"/>
          <w:divBdr>
            <w:top w:val="none" w:sz="0" w:space="0" w:color="auto"/>
            <w:left w:val="none" w:sz="0" w:space="0" w:color="auto"/>
            <w:bottom w:val="none" w:sz="0" w:space="0" w:color="auto"/>
            <w:right w:val="none" w:sz="0" w:space="0" w:color="auto"/>
          </w:divBdr>
        </w:div>
        <w:div w:id="1419711713">
          <w:marLeft w:val="640"/>
          <w:marRight w:val="0"/>
          <w:marTop w:val="0"/>
          <w:marBottom w:val="0"/>
          <w:divBdr>
            <w:top w:val="none" w:sz="0" w:space="0" w:color="auto"/>
            <w:left w:val="none" w:sz="0" w:space="0" w:color="auto"/>
            <w:bottom w:val="none" w:sz="0" w:space="0" w:color="auto"/>
            <w:right w:val="none" w:sz="0" w:space="0" w:color="auto"/>
          </w:divBdr>
        </w:div>
        <w:div w:id="483472208">
          <w:marLeft w:val="640"/>
          <w:marRight w:val="0"/>
          <w:marTop w:val="0"/>
          <w:marBottom w:val="0"/>
          <w:divBdr>
            <w:top w:val="none" w:sz="0" w:space="0" w:color="auto"/>
            <w:left w:val="none" w:sz="0" w:space="0" w:color="auto"/>
            <w:bottom w:val="none" w:sz="0" w:space="0" w:color="auto"/>
            <w:right w:val="none" w:sz="0" w:space="0" w:color="auto"/>
          </w:divBdr>
        </w:div>
        <w:div w:id="259601919">
          <w:marLeft w:val="640"/>
          <w:marRight w:val="0"/>
          <w:marTop w:val="0"/>
          <w:marBottom w:val="0"/>
          <w:divBdr>
            <w:top w:val="none" w:sz="0" w:space="0" w:color="auto"/>
            <w:left w:val="none" w:sz="0" w:space="0" w:color="auto"/>
            <w:bottom w:val="none" w:sz="0" w:space="0" w:color="auto"/>
            <w:right w:val="none" w:sz="0" w:space="0" w:color="auto"/>
          </w:divBdr>
        </w:div>
        <w:div w:id="541131837">
          <w:marLeft w:val="640"/>
          <w:marRight w:val="0"/>
          <w:marTop w:val="0"/>
          <w:marBottom w:val="0"/>
          <w:divBdr>
            <w:top w:val="none" w:sz="0" w:space="0" w:color="auto"/>
            <w:left w:val="none" w:sz="0" w:space="0" w:color="auto"/>
            <w:bottom w:val="none" w:sz="0" w:space="0" w:color="auto"/>
            <w:right w:val="none" w:sz="0" w:space="0" w:color="auto"/>
          </w:divBdr>
        </w:div>
        <w:div w:id="592326806">
          <w:marLeft w:val="640"/>
          <w:marRight w:val="0"/>
          <w:marTop w:val="0"/>
          <w:marBottom w:val="0"/>
          <w:divBdr>
            <w:top w:val="none" w:sz="0" w:space="0" w:color="auto"/>
            <w:left w:val="none" w:sz="0" w:space="0" w:color="auto"/>
            <w:bottom w:val="none" w:sz="0" w:space="0" w:color="auto"/>
            <w:right w:val="none" w:sz="0" w:space="0" w:color="auto"/>
          </w:divBdr>
        </w:div>
        <w:div w:id="1862233912">
          <w:marLeft w:val="640"/>
          <w:marRight w:val="0"/>
          <w:marTop w:val="0"/>
          <w:marBottom w:val="0"/>
          <w:divBdr>
            <w:top w:val="none" w:sz="0" w:space="0" w:color="auto"/>
            <w:left w:val="none" w:sz="0" w:space="0" w:color="auto"/>
            <w:bottom w:val="none" w:sz="0" w:space="0" w:color="auto"/>
            <w:right w:val="none" w:sz="0" w:space="0" w:color="auto"/>
          </w:divBdr>
        </w:div>
        <w:div w:id="1803376749">
          <w:marLeft w:val="640"/>
          <w:marRight w:val="0"/>
          <w:marTop w:val="0"/>
          <w:marBottom w:val="0"/>
          <w:divBdr>
            <w:top w:val="none" w:sz="0" w:space="0" w:color="auto"/>
            <w:left w:val="none" w:sz="0" w:space="0" w:color="auto"/>
            <w:bottom w:val="none" w:sz="0" w:space="0" w:color="auto"/>
            <w:right w:val="none" w:sz="0" w:space="0" w:color="auto"/>
          </w:divBdr>
        </w:div>
        <w:div w:id="1914045205">
          <w:marLeft w:val="640"/>
          <w:marRight w:val="0"/>
          <w:marTop w:val="0"/>
          <w:marBottom w:val="0"/>
          <w:divBdr>
            <w:top w:val="none" w:sz="0" w:space="0" w:color="auto"/>
            <w:left w:val="none" w:sz="0" w:space="0" w:color="auto"/>
            <w:bottom w:val="none" w:sz="0" w:space="0" w:color="auto"/>
            <w:right w:val="none" w:sz="0" w:space="0" w:color="auto"/>
          </w:divBdr>
        </w:div>
        <w:div w:id="1057128064">
          <w:marLeft w:val="640"/>
          <w:marRight w:val="0"/>
          <w:marTop w:val="0"/>
          <w:marBottom w:val="0"/>
          <w:divBdr>
            <w:top w:val="none" w:sz="0" w:space="0" w:color="auto"/>
            <w:left w:val="none" w:sz="0" w:space="0" w:color="auto"/>
            <w:bottom w:val="none" w:sz="0" w:space="0" w:color="auto"/>
            <w:right w:val="none" w:sz="0" w:space="0" w:color="auto"/>
          </w:divBdr>
        </w:div>
        <w:div w:id="371732382">
          <w:marLeft w:val="640"/>
          <w:marRight w:val="0"/>
          <w:marTop w:val="0"/>
          <w:marBottom w:val="0"/>
          <w:divBdr>
            <w:top w:val="none" w:sz="0" w:space="0" w:color="auto"/>
            <w:left w:val="none" w:sz="0" w:space="0" w:color="auto"/>
            <w:bottom w:val="none" w:sz="0" w:space="0" w:color="auto"/>
            <w:right w:val="none" w:sz="0" w:space="0" w:color="auto"/>
          </w:divBdr>
        </w:div>
        <w:div w:id="1372340336">
          <w:marLeft w:val="640"/>
          <w:marRight w:val="0"/>
          <w:marTop w:val="0"/>
          <w:marBottom w:val="0"/>
          <w:divBdr>
            <w:top w:val="none" w:sz="0" w:space="0" w:color="auto"/>
            <w:left w:val="none" w:sz="0" w:space="0" w:color="auto"/>
            <w:bottom w:val="none" w:sz="0" w:space="0" w:color="auto"/>
            <w:right w:val="none" w:sz="0" w:space="0" w:color="auto"/>
          </w:divBdr>
        </w:div>
        <w:div w:id="889264081">
          <w:marLeft w:val="640"/>
          <w:marRight w:val="0"/>
          <w:marTop w:val="0"/>
          <w:marBottom w:val="0"/>
          <w:divBdr>
            <w:top w:val="none" w:sz="0" w:space="0" w:color="auto"/>
            <w:left w:val="none" w:sz="0" w:space="0" w:color="auto"/>
            <w:bottom w:val="none" w:sz="0" w:space="0" w:color="auto"/>
            <w:right w:val="none" w:sz="0" w:space="0" w:color="auto"/>
          </w:divBdr>
        </w:div>
        <w:div w:id="1288392599">
          <w:marLeft w:val="640"/>
          <w:marRight w:val="0"/>
          <w:marTop w:val="0"/>
          <w:marBottom w:val="0"/>
          <w:divBdr>
            <w:top w:val="none" w:sz="0" w:space="0" w:color="auto"/>
            <w:left w:val="none" w:sz="0" w:space="0" w:color="auto"/>
            <w:bottom w:val="none" w:sz="0" w:space="0" w:color="auto"/>
            <w:right w:val="none" w:sz="0" w:space="0" w:color="auto"/>
          </w:divBdr>
        </w:div>
        <w:div w:id="80226781">
          <w:marLeft w:val="640"/>
          <w:marRight w:val="0"/>
          <w:marTop w:val="0"/>
          <w:marBottom w:val="0"/>
          <w:divBdr>
            <w:top w:val="none" w:sz="0" w:space="0" w:color="auto"/>
            <w:left w:val="none" w:sz="0" w:space="0" w:color="auto"/>
            <w:bottom w:val="none" w:sz="0" w:space="0" w:color="auto"/>
            <w:right w:val="none" w:sz="0" w:space="0" w:color="auto"/>
          </w:divBdr>
        </w:div>
        <w:div w:id="108282267">
          <w:marLeft w:val="640"/>
          <w:marRight w:val="0"/>
          <w:marTop w:val="0"/>
          <w:marBottom w:val="0"/>
          <w:divBdr>
            <w:top w:val="none" w:sz="0" w:space="0" w:color="auto"/>
            <w:left w:val="none" w:sz="0" w:space="0" w:color="auto"/>
            <w:bottom w:val="none" w:sz="0" w:space="0" w:color="auto"/>
            <w:right w:val="none" w:sz="0" w:space="0" w:color="auto"/>
          </w:divBdr>
        </w:div>
        <w:div w:id="1895894577">
          <w:marLeft w:val="640"/>
          <w:marRight w:val="0"/>
          <w:marTop w:val="0"/>
          <w:marBottom w:val="0"/>
          <w:divBdr>
            <w:top w:val="none" w:sz="0" w:space="0" w:color="auto"/>
            <w:left w:val="none" w:sz="0" w:space="0" w:color="auto"/>
            <w:bottom w:val="none" w:sz="0" w:space="0" w:color="auto"/>
            <w:right w:val="none" w:sz="0" w:space="0" w:color="auto"/>
          </w:divBdr>
        </w:div>
      </w:divsChild>
    </w:div>
    <w:div w:id="323780064">
      <w:bodyDiv w:val="1"/>
      <w:marLeft w:val="0"/>
      <w:marRight w:val="0"/>
      <w:marTop w:val="0"/>
      <w:marBottom w:val="0"/>
      <w:divBdr>
        <w:top w:val="none" w:sz="0" w:space="0" w:color="auto"/>
        <w:left w:val="none" w:sz="0" w:space="0" w:color="auto"/>
        <w:bottom w:val="none" w:sz="0" w:space="0" w:color="auto"/>
        <w:right w:val="none" w:sz="0" w:space="0" w:color="auto"/>
      </w:divBdr>
    </w:div>
    <w:div w:id="397480979">
      <w:bodyDiv w:val="1"/>
      <w:marLeft w:val="0"/>
      <w:marRight w:val="0"/>
      <w:marTop w:val="0"/>
      <w:marBottom w:val="0"/>
      <w:divBdr>
        <w:top w:val="none" w:sz="0" w:space="0" w:color="auto"/>
        <w:left w:val="none" w:sz="0" w:space="0" w:color="auto"/>
        <w:bottom w:val="none" w:sz="0" w:space="0" w:color="auto"/>
        <w:right w:val="none" w:sz="0" w:space="0" w:color="auto"/>
      </w:divBdr>
      <w:divsChild>
        <w:div w:id="506098557">
          <w:marLeft w:val="640"/>
          <w:marRight w:val="0"/>
          <w:marTop w:val="0"/>
          <w:marBottom w:val="0"/>
          <w:divBdr>
            <w:top w:val="none" w:sz="0" w:space="0" w:color="auto"/>
            <w:left w:val="none" w:sz="0" w:space="0" w:color="auto"/>
            <w:bottom w:val="none" w:sz="0" w:space="0" w:color="auto"/>
            <w:right w:val="none" w:sz="0" w:space="0" w:color="auto"/>
          </w:divBdr>
        </w:div>
        <w:div w:id="1003245946">
          <w:marLeft w:val="640"/>
          <w:marRight w:val="0"/>
          <w:marTop w:val="0"/>
          <w:marBottom w:val="0"/>
          <w:divBdr>
            <w:top w:val="none" w:sz="0" w:space="0" w:color="auto"/>
            <w:left w:val="none" w:sz="0" w:space="0" w:color="auto"/>
            <w:bottom w:val="none" w:sz="0" w:space="0" w:color="auto"/>
            <w:right w:val="none" w:sz="0" w:space="0" w:color="auto"/>
          </w:divBdr>
        </w:div>
        <w:div w:id="1435125691">
          <w:marLeft w:val="640"/>
          <w:marRight w:val="0"/>
          <w:marTop w:val="0"/>
          <w:marBottom w:val="0"/>
          <w:divBdr>
            <w:top w:val="none" w:sz="0" w:space="0" w:color="auto"/>
            <w:left w:val="none" w:sz="0" w:space="0" w:color="auto"/>
            <w:bottom w:val="none" w:sz="0" w:space="0" w:color="auto"/>
            <w:right w:val="none" w:sz="0" w:space="0" w:color="auto"/>
          </w:divBdr>
        </w:div>
        <w:div w:id="1758019227">
          <w:marLeft w:val="640"/>
          <w:marRight w:val="0"/>
          <w:marTop w:val="0"/>
          <w:marBottom w:val="0"/>
          <w:divBdr>
            <w:top w:val="none" w:sz="0" w:space="0" w:color="auto"/>
            <w:left w:val="none" w:sz="0" w:space="0" w:color="auto"/>
            <w:bottom w:val="none" w:sz="0" w:space="0" w:color="auto"/>
            <w:right w:val="none" w:sz="0" w:space="0" w:color="auto"/>
          </w:divBdr>
        </w:div>
        <w:div w:id="1760830390">
          <w:marLeft w:val="640"/>
          <w:marRight w:val="0"/>
          <w:marTop w:val="0"/>
          <w:marBottom w:val="0"/>
          <w:divBdr>
            <w:top w:val="none" w:sz="0" w:space="0" w:color="auto"/>
            <w:left w:val="none" w:sz="0" w:space="0" w:color="auto"/>
            <w:bottom w:val="none" w:sz="0" w:space="0" w:color="auto"/>
            <w:right w:val="none" w:sz="0" w:space="0" w:color="auto"/>
          </w:divBdr>
        </w:div>
        <w:div w:id="156920551">
          <w:marLeft w:val="640"/>
          <w:marRight w:val="0"/>
          <w:marTop w:val="0"/>
          <w:marBottom w:val="0"/>
          <w:divBdr>
            <w:top w:val="none" w:sz="0" w:space="0" w:color="auto"/>
            <w:left w:val="none" w:sz="0" w:space="0" w:color="auto"/>
            <w:bottom w:val="none" w:sz="0" w:space="0" w:color="auto"/>
            <w:right w:val="none" w:sz="0" w:space="0" w:color="auto"/>
          </w:divBdr>
        </w:div>
        <w:div w:id="1022245004">
          <w:marLeft w:val="640"/>
          <w:marRight w:val="0"/>
          <w:marTop w:val="0"/>
          <w:marBottom w:val="0"/>
          <w:divBdr>
            <w:top w:val="none" w:sz="0" w:space="0" w:color="auto"/>
            <w:left w:val="none" w:sz="0" w:space="0" w:color="auto"/>
            <w:bottom w:val="none" w:sz="0" w:space="0" w:color="auto"/>
            <w:right w:val="none" w:sz="0" w:space="0" w:color="auto"/>
          </w:divBdr>
        </w:div>
        <w:div w:id="1543134276">
          <w:marLeft w:val="640"/>
          <w:marRight w:val="0"/>
          <w:marTop w:val="0"/>
          <w:marBottom w:val="0"/>
          <w:divBdr>
            <w:top w:val="none" w:sz="0" w:space="0" w:color="auto"/>
            <w:left w:val="none" w:sz="0" w:space="0" w:color="auto"/>
            <w:bottom w:val="none" w:sz="0" w:space="0" w:color="auto"/>
            <w:right w:val="none" w:sz="0" w:space="0" w:color="auto"/>
          </w:divBdr>
        </w:div>
        <w:div w:id="1327980985">
          <w:marLeft w:val="640"/>
          <w:marRight w:val="0"/>
          <w:marTop w:val="0"/>
          <w:marBottom w:val="0"/>
          <w:divBdr>
            <w:top w:val="none" w:sz="0" w:space="0" w:color="auto"/>
            <w:left w:val="none" w:sz="0" w:space="0" w:color="auto"/>
            <w:bottom w:val="none" w:sz="0" w:space="0" w:color="auto"/>
            <w:right w:val="none" w:sz="0" w:space="0" w:color="auto"/>
          </w:divBdr>
        </w:div>
        <w:div w:id="674845657">
          <w:marLeft w:val="640"/>
          <w:marRight w:val="0"/>
          <w:marTop w:val="0"/>
          <w:marBottom w:val="0"/>
          <w:divBdr>
            <w:top w:val="none" w:sz="0" w:space="0" w:color="auto"/>
            <w:left w:val="none" w:sz="0" w:space="0" w:color="auto"/>
            <w:bottom w:val="none" w:sz="0" w:space="0" w:color="auto"/>
            <w:right w:val="none" w:sz="0" w:space="0" w:color="auto"/>
          </w:divBdr>
        </w:div>
        <w:div w:id="1123380482">
          <w:marLeft w:val="640"/>
          <w:marRight w:val="0"/>
          <w:marTop w:val="0"/>
          <w:marBottom w:val="0"/>
          <w:divBdr>
            <w:top w:val="none" w:sz="0" w:space="0" w:color="auto"/>
            <w:left w:val="none" w:sz="0" w:space="0" w:color="auto"/>
            <w:bottom w:val="none" w:sz="0" w:space="0" w:color="auto"/>
            <w:right w:val="none" w:sz="0" w:space="0" w:color="auto"/>
          </w:divBdr>
        </w:div>
        <w:div w:id="418797533">
          <w:marLeft w:val="640"/>
          <w:marRight w:val="0"/>
          <w:marTop w:val="0"/>
          <w:marBottom w:val="0"/>
          <w:divBdr>
            <w:top w:val="none" w:sz="0" w:space="0" w:color="auto"/>
            <w:left w:val="none" w:sz="0" w:space="0" w:color="auto"/>
            <w:bottom w:val="none" w:sz="0" w:space="0" w:color="auto"/>
            <w:right w:val="none" w:sz="0" w:space="0" w:color="auto"/>
          </w:divBdr>
        </w:div>
        <w:div w:id="1303389769">
          <w:marLeft w:val="640"/>
          <w:marRight w:val="0"/>
          <w:marTop w:val="0"/>
          <w:marBottom w:val="0"/>
          <w:divBdr>
            <w:top w:val="none" w:sz="0" w:space="0" w:color="auto"/>
            <w:left w:val="none" w:sz="0" w:space="0" w:color="auto"/>
            <w:bottom w:val="none" w:sz="0" w:space="0" w:color="auto"/>
            <w:right w:val="none" w:sz="0" w:space="0" w:color="auto"/>
          </w:divBdr>
        </w:div>
        <w:div w:id="1579316700">
          <w:marLeft w:val="640"/>
          <w:marRight w:val="0"/>
          <w:marTop w:val="0"/>
          <w:marBottom w:val="0"/>
          <w:divBdr>
            <w:top w:val="none" w:sz="0" w:space="0" w:color="auto"/>
            <w:left w:val="none" w:sz="0" w:space="0" w:color="auto"/>
            <w:bottom w:val="none" w:sz="0" w:space="0" w:color="auto"/>
            <w:right w:val="none" w:sz="0" w:space="0" w:color="auto"/>
          </w:divBdr>
        </w:div>
        <w:div w:id="492792989">
          <w:marLeft w:val="640"/>
          <w:marRight w:val="0"/>
          <w:marTop w:val="0"/>
          <w:marBottom w:val="0"/>
          <w:divBdr>
            <w:top w:val="none" w:sz="0" w:space="0" w:color="auto"/>
            <w:left w:val="none" w:sz="0" w:space="0" w:color="auto"/>
            <w:bottom w:val="none" w:sz="0" w:space="0" w:color="auto"/>
            <w:right w:val="none" w:sz="0" w:space="0" w:color="auto"/>
          </w:divBdr>
        </w:div>
        <w:div w:id="1547258710">
          <w:marLeft w:val="640"/>
          <w:marRight w:val="0"/>
          <w:marTop w:val="0"/>
          <w:marBottom w:val="0"/>
          <w:divBdr>
            <w:top w:val="none" w:sz="0" w:space="0" w:color="auto"/>
            <w:left w:val="none" w:sz="0" w:space="0" w:color="auto"/>
            <w:bottom w:val="none" w:sz="0" w:space="0" w:color="auto"/>
            <w:right w:val="none" w:sz="0" w:space="0" w:color="auto"/>
          </w:divBdr>
        </w:div>
        <w:div w:id="1316446196">
          <w:marLeft w:val="640"/>
          <w:marRight w:val="0"/>
          <w:marTop w:val="0"/>
          <w:marBottom w:val="0"/>
          <w:divBdr>
            <w:top w:val="none" w:sz="0" w:space="0" w:color="auto"/>
            <w:left w:val="none" w:sz="0" w:space="0" w:color="auto"/>
            <w:bottom w:val="none" w:sz="0" w:space="0" w:color="auto"/>
            <w:right w:val="none" w:sz="0" w:space="0" w:color="auto"/>
          </w:divBdr>
        </w:div>
        <w:div w:id="1174224675">
          <w:marLeft w:val="640"/>
          <w:marRight w:val="0"/>
          <w:marTop w:val="0"/>
          <w:marBottom w:val="0"/>
          <w:divBdr>
            <w:top w:val="none" w:sz="0" w:space="0" w:color="auto"/>
            <w:left w:val="none" w:sz="0" w:space="0" w:color="auto"/>
            <w:bottom w:val="none" w:sz="0" w:space="0" w:color="auto"/>
            <w:right w:val="none" w:sz="0" w:space="0" w:color="auto"/>
          </w:divBdr>
        </w:div>
        <w:div w:id="1212034899">
          <w:marLeft w:val="640"/>
          <w:marRight w:val="0"/>
          <w:marTop w:val="0"/>
          <w:marBottom w:val="0"/>
          <w:divBdr>
            <w:top w:val="none" w:sz="0" w:space="0" w:color="auto"/>
            <w:left w:val="none" w:sz="0" w:space="0" w:color="auto"/>
            <w:bottom w:val="none" w:sz="0" w:space="0" w:color="auto"/>
            <w:right w:val="none" w:sz="0" w:space="0" w:color="auto"/>
          </w:divBdr>
        </w:div>
        <w:div w:id="664477848">
          <w:marLeft w:val="640"/>
          <w:marRight w:val="0"/>
          <w:marTop w:val="0"/>
          <w:marBottom w:val="0"/>
          <w:divBdr>
            <w:top w:val="none" w:sz="0" w:space="0" w:color="auto"/>
            <w:left w:val="none" w:sz="0" w:space="0" w:color="auto"/>
            <w:bottom w:val="none" w:sz="0" w:space="0" w:color="auto"/>
            <w:right w:val="none" w:sz="0" w:space="0" w:color="auto"/>
          </w:divBdr>
        </w:div>
        <w:div w:id="1906796090">
          <w:marLeft w:val="640"/>
          <w:marRight w:val="0"/>
          <w:marTop w:val="0"/>
          <w:marBottom w:val="0"/>
          <w:divBdr>
            <w:top w:val="none" w:sz="0" w:space="0" w:color="auto"/>
            <w:left w:val="none" w:sz="0" w:space="0" w:color="auto"/>
            <w:bottom w:val="none" w:sz="0" w:space="0" w:color="auto"/>
            <w:right w:val="none" w:sz="0" w:space="0" w:color="auto"/>
          </w:divBdr>
        </w:div>
        <w:div w:id="1592153486">
          <w:marLeft w:val="640"/>
          <w:marRight w:val="0"/>
          <w:marTop w:val="0"/>
          <w:marBottom w:val="0"/>
          <w:divBdr>
            <w:top w:val="none" w:sz="0" w:space="0" w:color="auto"/>
            <w:left w:val="none" w:sz="0" w:space="0" w:color="auto"/>
            <w:bottom w:val="none" w:sz="0" w:space="0" w:color="auto"/>
            <w:right w:val="none" w:sz="0" w:space="0" w:color="auto"/>
          </w:divBdr>
        </w:div>
        <w:div w:id="1564677152">
          <w:marLeft w:val="640"/>
          <w:marRight w:val="0"/>
          <w:marTop w:val="0"/>
          <w:marBottom w:val="0"/>
          <w:divBdr>
            <w:top w:val="none" w:sz="0" w:space="0" w:color="auto"/>
            <w:left w:val="none" w:sz="0" w:space="0" w:color="auto"/>
            <w:bottom w:val="none" w:sz="0" w:space="0" w:color="auto"/>
            <w:right w:val="none" w:sz="0" w:space="0" w:color="auto"/>
          </w:divBdr>
        </w:div>
        <w:div w:id="320810580">
          <w:marLeft w:val="640"/>
          <w:marRight w:val="0"/>
          <w:marTop w:val="0"/>
          <w:marBottom w:val="0"/>
          <w:divBdr>
            <w:top w:val="none" w:sz="0" w:space="0" w:color="auto"/>
            <w:left w:val="none" w:sz="0" w:space="0" w:color="auto"/>
            <w:bottom w:val="none" w:sz="0" w:space="0" w:color="auto"/>
            <w:right w:val="none" w:sz="0" w:space="0" w:color="auto"/>
          </w:divBdr>
        </w:div>
        <w:div w:id="1608122564">
          <w:marLeft w:val="640"/>
          <w:marRight w:val="0"/>
          <w:marTop w:val="0"/>
          <w:marBottom w:val="0"/>
          <w:divBdr>
            <w:top w:val="none" w:sz="0" w:space="0" w:color="auto"/>
            <w:left w:val="none" w:sz="0" w:space="0" w:color="auto"/>
            <w:bottom w:val="none" w:sz="0" w:space="0" w:color="auto"/>
            <w:right w:val="none" w:sz="0" w:space="0" w:color="auto"/>
          </w:divBdr>
        </w:div>
        <w:div w:id="1700813143">
          <w:marLeft w:val="640"/>
          <w:marRight w:val="0"/>
          <w:marTop w:val="0"/>
          <w:marBottom w:val="0"/>
          <w:divBdr>
            <w:top w:val="none" w:sz="0" w:space="0" w:color="auto"/>
            <w:left w:val="none" w:sz="0" w:space="0" w:color="auto"/>
            <w:bottom w:val="none" w:sz="0" w:space="0" w:color="auto"/>
            <w:right w:val="none" w:sz="0" w:space="0" w:color="auto"/>
          </w:divBdr>
        </w:div>
        <w:div w:id="150685199">
          <w:marLeft w:val="640"/>
          <w:marRight w:val="0"/>
          <w:marTop w:val="0"/>
          <w:marBottom w:val="0"/>
          <w:divBdr>
            <w:top w:val="none" w:sz="0" w:space="0" w:color="auto"/>
            <w:left w:val="none" w:sz="0" w:space="0" w:color="auto"/>
            <w:bottom w:val="none" w:sz="0" w:space="0" w:color="auto"/>
            <w:right w:val="none" w:sz="0" w:space="0" w:color="auto"/>
          </w:divBdr>
        </w:div>
        <w:div w:id="1027414615">
          <w:marLeft w:val="640"/>
          <w:marRight w:val="0"/>
          <w:marTop w:val="0"/>
          <w:marBottom w:val="0"/>
          <w:divBdr>
            <w:top w:val="none" w:sz="0" w:space="0" w:color="auto"/>
            <w:left w:val="none" w:sz="0" w:space="0" w:color="auto"/>
            <w:bottom w:val="none" w:sz="0" w:space="0" w:color="auto"/>
            <w:right w:val="none" w:sz="0" w:space="0" w:color="auto"/>
          </w:divBdr>
        </w:div>
      </w:divsChild>
    </w:div>
    <w:div w:id="434177829">
      <w:bodyDiv w:val="1"/>
      <w:marLeft w:val="0"/>
      <w:marRight w:val="0"/>
      <w:marTop w:val="0"/>
      <w:marBottom w:val="0"/>
      <w:divBdr>
        <w:top w:val="none" w:sz="0" w:space="0" w:color="auto"/>
        <w:left w:val="none" w:sz="0" w:space="0" w:color="auto"/>
        <w:bottom w:val="none" w:sz="0" w:space="0" w:color="auto"/>
        <w:right w:val="none" w:sz="0" w:space="0" w:color="auto"/>
      </w:divBdr>
      <w:divsChild>
        <w:div w:id="561598511">
          <w:marLeft w:val="640"/>
          <w:marRight w:val="0"/>
          <w:marTop w:val="0"/>
          <w:marBottom w:val="0"/>
          <w:divBdr>
            <w:top w:val="none" w:sz="0" w:space="0" w:color="auto"/>
            <w:left w:val="none" w:sz="0" w:space="0" w:color="auto"/>
            <w:bottom w:val="none" w:sz="0" w:space="0" w:color="auto"/>
            <w:right w:val="none" w:sz="0" w:space="0" w:color="auto"/>
          </w:divBdr>
        </w:div>
        <w:div w:id="949967605">
          <w:marLeft w:val="640"/>
          <w:marRight w:val="0"/>
          <w:marTop w:val="0"/>
          <w:marBottom w:val="0"/>
          <w:divBdr>
            <w:top w:val="none" w:sz="0" w:space="0" w:color="auto"/>
            <w:left w:val="none" w:sz="0" w:space="0" w:color="auto"/>
            <w:bottom w:val="none" w:sz="0" w:space="0" w:color="auto"/>
            <w:right w:val="none" w:sz="0" w:space="0" w:color="auto"/>
          </w:divBdr>
        </w:div>
        <w:div w:id="16926309">
          <w:marLeft w:val="640"/>
          <w:marRight w:val="0"/>
          <w:marTop w:val="0"/>
          <w:marBottom w:val="0"/>
          <w:divBdr>
            <w:top w:val="none" w:sz="0" w:space="0" w:color="auto"/>
            <w:left w:val="none" w:sz="0" w:space="0" w:color="auto"/>
            <w:bottom w:val="none" w:sz="0" w:space="0" w:color="auto"/>
            <w:right w:val="none" w:sz="0" w:space="0" w:color="auto"/>
          </w:divBdr>
        </w:div>
        <w:div w:id="535312565">
          <w:marLeft w:val="640"/>
          <w:marRight w:val="0"/>
          <w:marTop w:val="0"/>
          <w:marBottom w:val="0"/>
          <w:divBdr>
            <w:top w:val="none" w:sz="0" w:space="0" w:color="auto"/>
            <w:left w:val="none" w:sz="0" w:space="0" w:color="auto"/>
            <w:bottom w:val="none" w:sz="0" w:space="0" w:color="auto"/>
            <w:right w:val="none" w:sz="0" w:space="0" w:color="auto"/>
          </w:divBdr>
        </w:div>
        <w:div w:id="342363732">
          <w:marLeft w:val="640"/>
          <w:marRight w:val="0"/>
          <w:marTop w:val="0"/>
          <w:marBottom w:val="0"/>
          <w:divBdr>
            <w:top w:val="none" w:sz="0" w:space="0" w:color="auto"/>
            <w:left w:val="none" w:sz="0" w:space="0" w:color="auto"/>
            <w:bottom w:val="none" w:sz="0" w:space="0" w:color="auto"/>
            <w:right w:val="none" w:sz="0" w:space="0" w:color="auto"/>
          </w:divBdr>
        </w:div>
        <w:div w:id="916018148">
          <w:marLeft w:val="640"/>
          <w:marRight w:val="0"/>
          <w:marTop w:val="0"/>
          <w:marBottom w:val="0"/>
          <w:divBdr>
            <w:top w:val="none" w:sz="0" w:space="0" w:color="auto"/>
            <w:left w:val="none" w:sz="0" w:space="0" w:color="auto"/>
            <w:bottom w:val="none" w:sz="0" w:space="0" w:color="auto"/>
            <w:right w:val="none" w:sz="0" w:space="0" w:color="auto"/>
          </w:divBdr>
        </w:div>
        <w:div w:id="1698122566">
          <w:marLeft w:val="640"/>
          <w:marRight w:val="0"/>
          <w:marTop w:val="0"/>
          <w:marBottom w:val="0"/>
          <w:divBdr>
            <w:top w:val="none" w:sz="0" w:space="0" w:color="auto"/>
            <w:left w:val="none" w:sz="0" w:space="0" w:color="auto"/>
            <w:bottom w:val="none" w:sz="0" w:space="0" w:color="auto"/>
            <w:right w:val="none" w:sz="0" w:space="0" w:color="auto"/>
          </w:divBdr>
        </w:div>
        <w:div w:id="1680233578">
          <w:marLeft w:val="640"/>
          <w:marRight w:val="0"/>
          <w:marTop w:val="0"/>
          <w:marBottom w:val="0"/>
          <w:divBdr>
            <w:top w:val="none" w:sz="0" w:space="0" w:color="auto"/>
            <w:left w:val="none" w:sz="0" w:space="0" w:color="auto"/>
            <w:bottom w:val="none" w:sz="0" w:space="0" w:color="auto"/>
            <w:right w:val="none" w:sz="0" w:space="0" w:color="auto"/>
          </w:divBdr>
        </w:div>
        <w:div w:id="2103060398">
          <w:marLeft w:val="640"/>
          <w:marRight w:val="0"/>
          <w:marTop w:val="0"/>
          <w:marBottom w:val="0"/>
          <w:divBdr>
            <w:top w:val="none" w:sz="0" w:space="0" w:color="auto"/>
            <w:left w:val="none" w:sz="0" w:space="0" w:color="auto"/>
            <w:bottom w:val="none" w:sz="0" w:space="0" w:color="auto"/>
            <w:right w:val="none" w:sz="0" w:space="0" w:color="auto"/>
          </w:divBdr>
        </w:div>
        <w:div w:id="1181043716">
          <w:marLeft w:val="640"/>
          <w:marRight w:val="0"/>
          <w:marTop w:val="0"/>
          <w:marBottom w:val="0"/>
          <w:divBdr>
            <w:top w:val="none" w:sz="0" w:space="0" w:color="auto"/>
            <w:left w:val="none" w:sz="0" w:space="0" w:color="auto"/>
            <w:bottom w:val="none" w:sz="0" w:space="0" w:color="auto"/>
            <w:right w:val="none" w:sz="0" w:space="0" w:color="auto"/>
          </w:divBdr>
        </w:div>
        <w:div w:id="1491020707">
          <w:marLeft w:val="640"/>
          <w:marRight w:val="0"/>
          <w:marTop w:val="0"/>
          <w:marBottom w:val="0"/>
          <w:divBdr>
            <w:top w:val="none" w:sz="0" w:space="0" w:color="auto"/>
            <w:left w:val="none" w:sz="0" w:space="0" w:color="auto"/>
            <w:bottom w:val="none" w:sz="0" w:space="0" w:color="auto"/>
            <w:right w:val="none" w:sz="0" w:space="0" w:color="auto"/>
          </w:divBdr>
        </w:div>
        <w:div w:id="485320837">
          <w:marLeft w:val="640"/>
          <w:marRight w:val="0"/>
          <w:marTop w:val="0"/>
          <w:marBottom w:val="0"/>
          <w:divBdr>
            <w:top w:val="none" w:sz="0" w:space="0" w:color="auto"/>
            <w:left w:val="none" w:sz="0" w:space="0" w:color="auto"/>
            <w:bottom w:val="none" w:sz="0" w:space="0" w:color="auto"/>
            <w:right w:val="none" w:sz="0" w:space="0" w:color="auto"/>
          </w:divBdr>
        </w:div>
        <w:div w:id="1365717028">
          <w:marLeft w:val="640"/>
          <w:marRight w:val="0"/>
          <w:marTop w:val="0"/>
          <w:marBottom w:val="0"/>
          <w:divBdr>
            <w:top w:val="none" w:sz="0" w:space="0" w:color="auto"/>
            <w:left w:val="none" w:sz="0" w:space="0" w:color="auto"/>
            <w:bottom w:val="none" w:sz="0" w:space="0" w:color="auto"/>
            <w:right w:val="none" w:sz="0" w:space="0" w:color="auto"/>
          </w:divBdr>
        </w:div>
        <w:div w:id="2060786734">
          <w:marLeft w:val="640"/>
          <w:marRight w:val="0"/>
          <w:marTop w:val="0"/>
          <w:marBottom w:val="0"/>
          <w:divBdr>
            <w:top w:val="none" w:sz="0" w:space="0" w:color="auto"/>
            <w:left w:val="none" w:sz="0" w:space="0" w:color="auto"/>
            <w:bottom w:val="none" w:sz="0" w:space="0" w:color="auto"/>
            <w:right w:val="none" w:sz="0" w:space="0" w:color="auto"/>
          </w:divBdr>
        </w:div>
        <w:div w:id="629701404">
          <w:marLeft w:val="640"/>
          <w:marRight w:val="0"/>
          <w:marTop w:val="0"/>
          <w:marBottom w:val="0"/>
          <w:divBdr>
            <w:top w:val="none" w:sz="0" w:space="0" w:color="auto"/>
            <w:left w:val="none" w:sz="0" w:space="0" w:color="auto"/>
            <w:bottom w:val="none" w:sz="0" w:space="0" w:color="auto"/>
            <w:right w:val="none" w:sz="0" w:space="0" w:color="auto"/>
          </w:divBdr>
        </w:div>
        <w:div w:id="555094799">
          <w:marLeft w:val="640"/>
          <w:marRight w:val="0"/>
          <w:marTop w:val="0"/>
          <w:marBottom w:val="0"/>
          <w:divBdr>
            <w:top w:val="none" w:sz="0" w:space="0" w:color="auto"/>
            <w:left w:val="none" w:sz="0" w:space="0" w:color="auto"/>
            <w:bottom w:val="none" w:sz="0" w:space="0" w:color="auto"/>
            <w:right w:val="none" w:sz="0" w:space="0" w:color="auto"/>
          </w:divBdr>
        </w:div>
        <w:div w:id="1118255046">
          <w:marLeft w:val="640"/>
          <w:marRight w:val="0"/>
          <w:marTop w:val="0"/>
          <w:marBottom w:val="0"/>
          <w:divBdr>
            <w:top w:val="none" w:sz="0" w:space="0" w:color="auto"/>
            <w:left w:val="none" w:sz="0" w:space="0" w:color="auto"/>
            <w:bottom w:val="none" w:sz="0" w:space="0" w:color="auto"/>
            <w:right w:val="none" w:sz="0" w:space="0" w:color="auto"/>
          </w:divBdr>
        </w:div>
        <w:div w:id="1143623842">
          <w:marLeft w:val="640"/>
          <w:marRight w:val="0"/>
          <w:marTop w:val="0"/>
          <w:marBottom w:val="0"/>
          <w:divBdr>
            <w:top w:val="none" w:sz="0" w:space="0" w:color="auto"/>
            <w:left w:val="none" w:sz="0" w:space="0" w:color="auto"/>
            <w:bottom w:val="none" w:sz="0" w:space="0" w:color="auto"/>
            <w:right w:val="none" w:sz="0" w:space="0" w:color="auto"/>
          </w:divBdr>
        </w:div>
        <w:div w:id="1886747221">
          <w:marLeft w:val="640"/>
          <w:marRight w:val="0"/>
          <w:marTop w:val="0"/>
          <w:marBottom w:val="0"/>
          <w:divBdr>
            <w:top w:val="none" w:sz="0" w:space="0" w:color="auto"/>
            <w:left w:val="none" w:sz="0" w:space="0" w:color="auto"/>
            <w:bottom w:val="none" w:sz="0" w:space="0" w:color="auto"/>
            <w:right w:val="none" w:sz="0" w:space="0" w:color="auto"/>
          </w:divBdr>
        </w:div>
        <w:div w:id="1257858879">
          <w:marLeft w:val="640"/>
          <w:marRight w:val="0"/>
          <w:marTop w:val="0"/>
          <w:marBottom w:val="0"/>
          <w:divBdr>
            <w:top w:val="none" w:sz="0" w:space="0" w:color="auto"/>
            <w:left w:val="none" w:sz="0" w:space="0" w:color="auto"/>
            <w:bottom w:val="none" w:sz="0" w:space="0" w:color="auto"/>
            <w:right w:val="none" w:sz="0" w:space="0" w:color="auto"/>
          </w:divBdr>
        </w:div>
        <w:div w:id="15809448">
          <w:marLeft w:val="640"/>
          <w:marRight w:val="0"/>
          <w:marTop w:val="0"/>
          <w:marBottom w:val="0"/>
          <w:divBdr>
            <w:top w:val="none" w:sz="0" w:space="0" w:color="auto"/>
            <w:left w:val="none" w:sz="0" w:space="0" w:color="auto"/>
            <w:bottom w:val="none" w:sz="0" w:space="0" w:color="auto"/>
            <w:right w:val="none" w:sz="0" w:space="0" w:color="auto"/>
          </w:divBdr>
        </w:div>
        <w:div w:id="1134173161">
          <w:marLeft w:val="640"/>
          <w:marRight w:val="0"/>
          <w:marTop w:val="0"/>
          <w:marBottom w:val="0"/>
          <w:divBdr>
            <w:top w:val="none" w:sz="0" w:space="0" w:color="auto"/>
            <w:left w:val="none" w:sz="0" w:space="0" w:color="auto"/>
            <w:bottom w:val="none" w:sz="0" w:space="0" w:color="auto"/>
            <w:right w:val="none" w:sz="0" w:space="0" w:color="auto"/>
          </w:divBdr>
        </w:div>
        <w:div w:id="1248270163">
          <w:marLeft w:val="640"/>
          <w:marRight w:val="0"/>
          <w:marTop w:val="0"/>
          <w:marBottom w:val="0"/>
          <w:divBdr>
            <w:top w:val="none" w:sz="0" w:space="0" w:color="auto"/>
            <w:left w:val="none" w:sz="0" w:space="0" w:color="auto"/>
            <w:bottom w:val="none" w:sz="0" w:space="0" w:color="auto"/>
            <w:right w:val="none" w:sz="0" w:space="0" w:color="auto"/>
          </w:divBdr>
        </w:div>
        <w:div w:id="1510289167">
          <w:marLeft w:val="640"/>
          <w:marRight w:val="0"/>
          <w:marTop w:val="0"/>
          <w:marBottom w:val="0"/>
          <w:divBdr>
            <w:top w:val="none" w:sz="0" w:space="0" w:color="auto"/>
            <w:left w:val="none" w:sz="0" w:space="0" w:color="auto"/>
            <w:bottom w:val="none" w:sz="0" w:space="0" w:color="auto"/>
            <w:right w:val="none" w:sz="0" w:space="0" w:color="auto"/>
          </w:divBdr>
        </w:div>
        <w:div w:id="1968311337">
          <w:marLeft w:val="640"/>
          <w:marRight w:val="0"/>
          <w:marTop w:val="0"/>
          <w:marBottom w:val="0"/>
          <w:divBdr>
            <w:top w:val="none" w:sz="0" w:space="0" w:color="auto"/>
            <w:left w:val="none" w:sz="0" w:space="0" w:color="auto"/>
            <w:bottom w:val="none" w:sz="0" w:space="0" w:color="auto"/>
            <w:right w:val="none" w:sz="0" w:space="0" w:color="auto"/>
          </w:divBdr>
        </w:div>
      </w:divsChild>
    </w:div>
    <w:div w:id="461191141">
      <w:bodyDiv w:val="1"/>
      <w:marLeft w:val="0"/>
      <w:marRight w:val="0"/>
      <w:marTop w:val="0"/>
      <w:marBottom w:val="0"/>
      <w:divBdr>
        <w:top w:val="none" w:sz="0" w:space="0" w:color="auto"/>
        <w:left w:val="none" w:sz="0" w:space="0" w:color="auto"/>
        <w:bottom w:val="none" w:sz="0" w:space="0" w:color="auto"/>
        <w:right w:val="none" w:sz="0" w:space="0" w:color="auto"/>
      </w:divBdr>
      <w:divsChild>
        <w:div w:id="64884276">
          <w:marLeft w:val="480"/>
          <w:marRight w:val="0"/>
          <w:marTop w:val="0"/>
          <w:marBottom w:val="0"/>
          <w:divBdr>
            <w:top w:val="none" w:sz="0" w:space="0" w:color="auto"/>
            <w:left w:val="none" w:sz="0" w:space="0" w:color="auto"/>
            <w:bottom w:val="none" w:sz="0" w:space="0" w:color="auto"/>
            <w:right w:val="none" w:sz="0" w:space="0" w:color="auto"/>
          </w:divBdr>
        </w:div>
        <w:div w:id="1933199974">
          <w:marLeft w:val="480"/>
          <w:marRight w:val="0"/>
          <w:marTop w:val="0"/>
          <w:marBottom w:val="0"/>
          <w:divBdr>
            <w:top w:val="none" w:sz="0" w:space="0" w:color="auto"/>
            <w:left w:val="none" w:sz="0" w:space="0" w:color="auto"/>
            <w:bottom w:val="none" w:sz="0" w:space="0" w:color="auto"/>
            <w:right w:val="none" w:sz="0" w:space="0" w:color="auto"/>
          </w:divBdr>
        </w:div>
        <w:div w:id="1302540251">
          <w:marLeft w:val="480"/>
          <w:marRight w:val="0"/>
          <w:marTop w:val="0"/>
          <w:marBottom w:val="0"/>
          <w:divBdr>
            <w:top w:val="none" w:sz="0" w:space="0" w:color="auto"/>
            <w:left w:val="none" w:sz="0" w:space="0" w:color="auto"/>
            <w:bottom w:val="none" w:sz="0" w:space="0" w:color="auto"/>
            <w:right w:val="none" w:sz="0" w:space="0" w:color="auto"/>
          </w:divBdr>
        </w:div>
        <w:div w:id="2010716627">
          <w:marLeft w:val="480"/>
          <w:marRight w:val="0"/>
          <w:marTop w:val="0"/>
          <w:marBottom w:val="0"/>
          <w:divBdr>
            <w:top w:val="none" w:sz="0" w:space="0" w:color="auto"/>
            <w:left w:val="none" w:sz="0" w:space="0" w:color="auto"/>
            <w:bottom w:val="none" w:sz="0" w:space="0" w:color="auto"/>
            <w:right w:val="none" w:sz="0" w:space="0" w:color="auto"/>
          </w:divBdr>
        </w:div>
        <w:div w:id="1374304985">
          <w:marLeft w:val="480"/>
          <w:marRight w:val="0"/>
          <w:marTop w:val="0"/>
          <w:marBottom w:val="0"/>
          <w:divBdr>
            <w:top w:val="none" w:sz="0" w:space="0" w:color="auto"/>
            <w:left w:val="none" w:sz="0" w:space="0" w:color="auto"/>
            <w:bottom w:val="none" w:sz="0" w:space="0" w:color="auto"/>
            <w:right w:val="none" w:sz="0" w:space="0" w:color="auto"/>
          </w:divBdr>
        </w:div>
        <w:div w:id="723917100">
          <w:marLeft w:val="480"/>
          <w:marRight w:val="0"/>
          <w:marTop w:val="0"/>
          <w:marBottom w:val="0"/>
          <w:divBdr>
            <w:top w:val="none" w:sz="0" w:space="0" w:color="auto"/>
            <w:left w:val="none" w:sz="0" w:space="0" w:color="auto"/>
            <w:bottom w:val="none" w:sz="0" w:space="0" w:color="auto"/>
            <w:right w:val="none" w:sz="0" w:space="0" w:color="auto"/>
          </w:divBdr>
        </w:div>
        <w:div w:id="848106405">
          <w:marLeft w:val="480"/>
          <w:marRight w:val="0"/>
          <w:marTop w:val="0"/>
          <w:marBottom w:val="0"/>
          <w:divBdr>
            <w:top w:val="none" w:sz="0" w:space="0" w:color="auto"/>
            <w:left w:val="none" w:sz="0" w:space="0" w:color="auto"/>
            <w:bottom w:val="none" w:sz="0" w:space="0" w:color="auto"/>
            <w:right w:val="none" w:sz="0" w:space="0" w:color="auto"/>
          </w:divBdr>
        </w:div>
        <w:div w:id="714232978">
          <w:marLeft w:val="480"/>
          <w:marRight w:val="0"/>
          <w:marTop w:val="0"/>
          <w:marBottom w:val="0"/>
          <w:divBdr>
            <w:top w:val="none" w:sz="0" w:space="0" w:color="auto"/>
            <w:left w:val="none" w:sz="0" w:space="0" w:color="auto"/>
            <w:bottom w:val="none" w:sz="0" w:space="0" w:color="auto"/>
            <w:right w:val="none" w:sz="0" w:space="0" w:color="auto"/>
          </w:divBdr>
        </w:div>
        <w:div w:id="188491406">
          <w:marLeft w:val="480"/>
          <w:marRight w:val="0"/>
          <w:marTop w:val="0"/>
          <w:marBottom w:val="0"/>
          <w:divBdr>
            <w:top w:val="none" w:sz="0" w:space="0" w:color="auto"/>
            <w:left w:val="none" w:sz="0" w:space="0" w:color="auto"/>
            <w:bottom w:val="none" w:sz="0" w:space="0" w:color="auto"/>
            <w:right w:val="none" w:sz="0" w:space="0" w:color="auto"/>
          </w:divBdr>
        </w:div>
        <w:div w:id="935986040">
          <w:marLeft w:val="480"/>
          <w:marRight w:val="0"/>
          <w:marTop w:val="0"/>
          <w:marBottom w:val="0"/>
          <w:divBdr>
            <w:top w:val="none" w:sz="0" w:space="0" w:color="auto"/>
            <w:left w:val="none" w:sz="0" w:space="0" w:color="auto"/>
            <w:bottom w:val="none" w:sz="0" w:space="0" w:color="auto"/>
            <w:right w:val="none" w:sz="0" w:space="0" w:color="auto"/>
          </w:divBdr>
        </w:div>
        <w:div w:id="614025592">
          <w:marLeft w:val="480"/>
          <w:marRight w:val="0"/>
          <w:marTop w:val="0"/>
          <w:marBottom w:val="0"/>
          <w:divBdr>
            <w:top w:val="none" w:sz="0" w:space="0" w:color="auto"/>
            <w:left w:val="none" w:sz="0" w:space="0" w:color="auto"/>
            <w:bottom w:val="none" w:sz="0" w:space="0" w:color="auto"/>
            <w:right w:val="none" w:sz="0" w:space="0" w:color="auto"/>
          </w:divBdr>
        </w:div>
        <w:div w:id="464347381">
          <w:marLeft w:val="480"/>
          <w:marRight w:val="0"/>
          <w:marTop w:val="0"/>
          <w:marBottom w:val="0"/>
          <w:divBdr>
            <w:top w:val="none" w:sz="0" w:space="0" w:color="auto"/>
            <w:left w:val="none" w:sz="0" w:space="0" w:color="auto"/>
            <w:bottom w:val="none" w:sz="0" w:space="0" w:color="auto"/>
            <w:right w:val="none" w:sz="0" w:space="0" w:color="auto"/>
          </w:divBdr>
        </w:div>
        <w:div w:id="905578382">
          <w:marLeft w:val="480"/>
          <w:marRight w:val="0"/>
          <w:marTop w:val="0"/>
          <w:marBottom w:val="0"/>
          <w:divBdr>
            <w:top w:val="none" w:sz="0" w:space="0" w:color="auto"/>
            <w:left w:val="none" w:sz="0" w:space="0" w:color="auto"/>
            <w:bottom w:val="none" w:sz="0" w:space="0" w:color="auto"/>
            <w:right w:val="none" w:sz="0" w:space="0" w:color="auto"/>
          </w:divBdr>
        </w:div>
        <w:div w:id="1738478521">
          <w:marLeft w:val="480"/>
          <w:marRight w:val="0"/>
          <w:marTop w:val="0"/>
          <w:marBottom w:val="0"/>
          <w:divBdr>
            <w:top w:val="none" w:sz="0" w:space="0" w:color="auto"/>
            <w:left w:val="none" w:sz="0" w:space="0" w:color="auto"/>
            <w:bottom w:val="none" w:sz="0" w:space="0" w:color="auto"/>
            <w:right w:val="none" w:sz="0" w:space="0" w:color="auto"/>
          </w:divBdr>
        </w:div>
        <w:div w:id="537398754">
          <w:marLeft w:val="480"/>
          <w:marRight w:val="0"/>
          <w:marTop w:val="0"/>
          <w:marBottom w:val="0"/>
          <w:divBdr>
            <w:top w:val="none" w:sz="0" w:space="0" w:color="auto"/>
            <w:left w:val="none" w:sz="0" w:space="0" w:color="auto"/>
            <w:bottom w:val="none" w:sz="0" w:space="0" w:color="auto"/>
            <w:right w:val="none" w:sz="0" w:space="0" w:color="auto"/>
          </w:divBdr>
        </w:div>
        <w:div w:id="432018322">
          <w:marLeft w:val="480"/>
          <w:marRight w:val="0"/>
          <w:marTop w:val="0"/>
          <w:marBottom w:val="0"/>
          <w:divBdr>
            <w:top w:val="none" w:sz="0" w:space="0" w:color="auto"/>
            <w:left w:val="none" w:sz="0" w:space="0" w:color="auto"/>
            <w:bottom w:val="none" w:sz="0" w:space="0" w:color="auto"/>
            <w:right w:val="none" w:sz="0" w:space="0" w:color="auto"/>
          </w:divBdr>
        </w:div>
        <w:div w:id="1222405900">
          <w:marLeft w:val="480"/>
          <w:marRight w:val="0"/>
          <w:marTop w:val="0"/>
          <w:marBottom w:val="0"/>
          <w:divBdr>
            <w:top w:val="none" w:sz="0" w:space="0" w:color="auto"/>
            <w:left w:val="none" w:sz="0" w:space="0" w:color="auto"/>
            <w:bottom w:val="none" w:sz="0" w:space="0" w:color="auto"/>
            <w:right w:val="none" w:sz="0" w:space="0" w:color="auto"/>
          </w:divBdr>
        </w:div>
        <w:div w:id="1513105235">
          <w:marLeft w:val="480"/>
          <w:marRight w:val="0"/>
          <w:marTop w:val="0"/>
          <w:marBottom w:val="0"/>
          <w:divBdr>
            <w:top w:val="none" w:sz="0" w:space="0" w:color="auto"/>
            <w:left w:val="none" w:sz="0" w:space="0" w:color="auto"/>
            <w:bottom w:val="none" w:sz="0" w:space="0" w:color="auto"/>
            <w:right w:val="none" w:sz="0" w:space="0" w:color="auto"/>
          </w:divBdr>
        </w:div>
        <w:div w:id="944114661">
          <w:marLeft w:val="480"/>
          <w:marRight w:val="0"/>
          <w:marTop w:val="0"/>
          <w:marBottom w:val="0"/>
          <w:divBdr>
            <w:top w:val="none" w:sz="0" w:space="0" w:color="auto"/>
            <w:left w:val="none" w:sz="0" w:space="0" w:color="auto"/>
            <w:bottom w:val="none" w:sz="0" w:space="0" w:color="auto"/>
            <w:right w:val="none" w:sz="0" w:space="0" w:color="auto"/>
          </w:divBdr>
        </w:div>
        <w:div w:id="1784376058">
          <w:marLeft w:val="480"/>
          <w:marRight w:val="0"/>
          <w:marTop w:val="0"/>
          <w:marBottom w:val="0"/>
          <w:divBdr>
            <w:top w:val="none" w:sz="0" w:space="0" w:color="auto"/>
            <w:left w:val="none" w:sz="0" w:space="0" w:color="auto"/>
            <w:bottom w:val="none" w:sz="0" w:space="0" w:color="auto"/>
            <w:right w:val="none" w:sz="0" w:space="0" w:color="auto"/>
          </w:divBdr>
        </w:div>
        <w:div w:id="726029252">
          <w:marLeft w:val="480"/>
          <w:marRight w:val="0"/>
          <w:marTop w:val="0"/>
          <w:marBottom w:val="0"/>
          <w:divBdr>
            <w:top w:val="none" w:sz="0" w:space="0" w:color="auto"/>
            <w:left w:val="none" w:sz="0" w:space="0" w:color="auto"/>
            <w:bottom w:val="none" w:sz="0" w:space="0" w:color="auto"/>
            <w:right w:val="none" w:sz="0" w:space="0" w:color="auto"/>
          </w:divBdr>
        </w:div>
        <w:div w:id="414597638">
          <w:marLeft w:val="480"/>
          <w:marRight w:val="0"/>
          <w:marTop w:val="0"/>
          <w:marBottom w:val="0"/>
          <w:divBdr>
            <w:top w:val="none" w:sz="0" w:space="0" w:color="auto"/>
            <w:left w:val="none" w:sz="0" w:space="0" w:color="auto"/>
            <w:bottom w:val="none" w:sz="0" w:space="0" w:color="auto"/>
            <w:right w:val="none" w:sz="0" w:space="0" w:color="auto"/>
          </w:divBdr>
        </w:div>
        <w:div w:id="17439447">
          <w:marLeft w:val="480"/>
          <w:marRight w:val="0"/>
          <w:marTop w:val="0"/>
          <w:marBottom w:val="0"/>
          <w:divBdr>
            <w:top w:val="none" w:sz="0" w:space="0" w:color="auto"/>
            <w:left w:val="none" w:sz="0" w:space="0" w:color="auto"/>
            <w:bottom w:val="none" w:sz="0" w:space="0" w:color="auto"/>
            <w:right w:val="none" w:sz="0" w:space="0" w:color="auto"/>
          </w:divBdr>
        </w:div>
        <w:div w:id="1064379205">
          <w:marLeft w:val="480"/>
          <w:marRight w:val="0"/>
          <w:marTop w:val="0"/>
          <w:marBottom w:val="0"/>
          <w:divBdr>
            <w:top w:val="none" w:sz="0" w:space="0" w:color="auto"/>
            <w:left w:val="none" w:sz="0" w:space="0" w:color="auto"/>
            <w:bottom w:val="none" w:sz="0" w:space="0" w:color="auto"/>
            <w:right w:val="none" w:sz="0" w:space="0" w:color="auto"/>
          </w:divBdr>
        </w:div>
        <w:div w:id="353192364">
          <w:marLeft w:val="480"/>
          <w:marRight w:val="0"/>
          <w:marTop w:val="0"/>
          <w:marBottom w:val="0"/>
          <w:divBdr>
            <w:top w:val="none" w:sz="0" w:space="0" w:color="auto"/>
            <w:left w:val="none" w:sz="0" w:space="0" w:color="auto"/>
            <w:bottom w:val="none" w:sz="0" w:space="0" w:color="auto"/>
            <w:right w:val="none" w:sz="0" w:space="0" w:color="auto"/>
          </w:divBdr>
        </w:div>
        <w:div w:id="1858929789">
          <w:marLeft w:val="480"/>
          <w:marRight w:val="0"/>
          <w:marTop w:val="0"/>
          <w:marBottom w:val="0"/>
          <w:divBdr>
            <w:top w:val="none" w:sz="0" w:space="0" w:color="auto"/>
            <w:left w:val="none" w:sz="0" w:space="0" w:color="auto"/>
            <w:bottom w:val="none" w:sz="0" w:space="0" w:color="auto"/>
            <w:right w:val="none" w:sz="0" w:space="0" w:color="auto"/>
          </w:divBdr>
        </w:div>
        <w:div w:id="1171260572">
          <w:marLeft w:val="480"/>
          <w:marRight w:val="0"/>
          <w:marTop w:val="0"/>
          <w:marBottom w:val="0"/>
          <w:divBdr>
            <w:top w:val="none" w:sz="0" w:space="0" w:color="auto"/>
            <w:left w:val="none" w:sz="0" w:space="0" w:color="auto"/>
            <w:bottom w:val="none" w:sz="0" w:space="0" w:color="auto"/>
            <w:right w:val="none" w:sz="0" w:space="0" w:color="auto"/>
          </w:divBdr>
        </w:div>
        <w:div w:id="1406419126">
          <w:marLeft w:val="480"/>
          <w:marRight w:val="0"/>
          <w:marTop w:val="0"/>
          <w:marBottom w:val="0"/>
          <w:divBdr>
            <w:top w:val="none" w:sz="0" w:space="0" w:color="auto"/>
            <w:left w:val="none" w:sz="0" w:space="0" w:color="auto"/>
            <w:bottom w:val="none" w:sz="0" w:space="0" w:color="auto"/>
            <w:right w:val="none" w:sz="0" w:space="0" w:color="auto"/>
          </w:divBdr>
        </w:div>
      </w:divsChild>
    </w:div>
    <w:div w:id="493571531">
      <w:bodyDiv w:val="1"/>
      <w:marLeft w:val="0"/>
      <w:marRight w:val="0"/>
      <w:marTop w:val="0"/>
      <w:marBottom w:val="0"/>
      <w:divBdr>
        <w:top w:val="none" w:sz="0" w:space="0" w:color="auto"/>
        <w:left w:val="none" w:sz="0" w:space="0" w:color="auto"/>
        <w:bottom w:val="none" w:sz="0" w:space="0" w:color="auto"/>
        <w:right w:val="none" w:sz="0" w:space="0" w:color="auto"/>
      </w:divBdr>
    </w:div>
    <w:div w:id="539316262">
      <w:bodyDiv w:val="1"/>
      <w:marLeft w:val="0"/>
      <w:marRight w:val="0"/>
      <w:marTop w:val="0"/>
      <w:marBottom w:val="0"/>
      <w:divBdr>
        <w:top w:val="none" w:sz="0" w:space="0" w:color="auto"/>
        <w:left w:val="none" w:sz="0" w:space="0" w:color="auto"/>
        <w:bottom w:val="none" w:sz="0" w:space="0" w:color="auto"/>
        <w:right w:val="none" w:sz="0" w:space="0" w:color="auto"/>
      </w:divBdr>
      <w:divsChild>
        <w:div w:id="1835992983">
          <w:marLeft w:val="640"/>
          <w:marRight w:val="0"/>
          <w:marTop w:val="0"/>
          <w:marBottom w:val="0"/>
          <w:divBdr>
            <w:top w:val="none" w:sz="0" w:space="0" w:color="auto"/>
            <w:left w:val="none" w:sz="0" w:space="0" w:color="auto"/>
            <w:bottom w:val="none" w:sz="0" w:space="0" w:color="auto"/>
            <w:right w:val="none" w:sz="0" w:space="0" w:color="auto"/>
          </w:divBdr>
        </w:div>
        <w:div w:id="1125661070">
          <w:marLeft w:val="640"/>
          <w:marRight w:val="0"/>
          <w:marTop w:val="0"/>
          <w:marBottom w:val="0"/>
          <w:divBdr>
            <w:top w:val="none" w:sz="0" w:space="0" w:color="auto"/>
            <w:left w:val="none" w:sz="0" w:space="0" w:color="auto"/>
            <w:bottom w:val="none" w:sz="0" w:space="0" w:color="auto"/>
            <w:right w:val="none" w:sz="0" w:space="0" w:color="auto"/>
          </w:divBdr>
        </w:div>
        <w:div w:id="286745130">
          <w:marLeft w:val="640"/>
          <w:marRight w:val="0"/>
          <w:marTop w:val="0"/>
          <w:marBottom w:val="0"/>
          <w:divBdr>
            <w:top w:val="none" w:sz="0" w:space="0" w:color="auto"/>
            <w:left w:val="none" w:sz="0" w:space="0" w:color="auto"/>
            <w:bottom w:val="none" w:sz="0" w:space="0" w:color="auto"/>
            <w:right w:val="none" w:sz="0" w:space="0" w:color="auto"/>
          </w:divBdr>
        </w:div>
        <w:div w:id="64570921">
          <w:marLeft w:val="640"/>
          <w:marRight w:val="0"/>
          <w:marTop w:val="0"/>
          <w:marBottom w:val="0"/>
          <w:divBdr>
            <w:top w:val="none" w:sz="0" w:space="0" w:color="auto"/>
            <w:left w:val="none" w:sz="0" w:space="0" w:color="auto"/>
            <w:bottom w:val="none" w:sz="0" w:space="0" w:color="auto"/>
            <w:right w:val="none" w:sz="0" w:space="0" w:color="auto"/>
          </w:divBdr>
        </w:div>
        <w:div w:id="1043485823">
          <w:marLeft w:val="640"/>
          <w:marRight w:val="0"/>
          <w:marTop w:val="0"/>
          <w:marBottom w:val="0"/>
          <w:divBdr>
            <w:top w:val="none" w:sz="0" w:space="0" w:color="auto"/>
            <w:left w:val="none" w:sz="0" w:space="0" w:color="auto"/>
            <w:bottom w:val="none" w:sz="0" w:space="0" w:color="auto"/>
            <w:right w:val="none" w:sz="0" w:space="0" w:color="auto"/>
          </w:divBdr>
        </w:div>
        <w:div w:id="705831936">
          <w:marLeft w:val="640"/>
          <w:marRight w:val="0"/>
          <w:marTop w:val="0"/>
          <w:marBottom w:val="0"/>
          <w:divBdr>
            <w:top w:val="none" w:sz="0" w:space="0" w:color="auto"/>
            <w:left w:val="none" w:sz="0" w:space="0" w:color="auto"/>
            <w:bottom w:val="none" w:sz="0" w:space="0" w:color="auto"/>
            <w:right w:val="none" w:sz="0" w:space="0" w:color="auto"/>
          </w:divBdr>
        </w:div>
        <w:div w:id="570585521">
          <w:marLeft w:val="640"/>
          <w:marRight w:val="0"/>
          <w:marTop w:val="0"/>
          <w:marBottom w:val="0"/>
          <w:divBdr>
            <w:top w:val="none" w:sz="0" w:space="0" w:color="auto"/>
            <w:left w:val="none" w:sz="0" w:space="0" w:color="auto"/>
            <w:bottom w:val="none" w:sz="0" w:space="0" w:color="auto"/>
            <w:right w:val="none" w:sz="0" w:space="0" w:color="auto"/>
          </w:divBdr>
        </w:div>
        <w:div w:id="813371423">
          <w:marLeft w:val="640"/>
          <w:marRight w:val="0"/>
          <w:marTop w:val="0"/>
          <w:marBottom w:val="0"/>
          <w:divBdr>
            <w:top w:val="none" w:sz="0" w:space="0" w:color="auto"/>
            <w:left w:val="none" w:sz="0" w:space="0" w:color="auto"/>
            <w:bottom w:val="none" w:sz="0" w:space="0" w:color="auto"/>
            <w:right w:val="none" w:sz="0" w:space="0" w:color="auto"/>
          </w:divBdr>
        </w:div>
        <w:div w:id="1898929334">
          <w:marLeft w:val="640"/>
          <w:marRight w:val="0"/>
          <w:marTop w:val="0"/>
          <w:marBottom w:val="0"/>
          <w:divBdr>
            <w:top w:val="none" w:sz="0" w:space="0" w:color="auto"/>
            <w:left w:val="none" w:sz="0" w:space="0" w:color="auto"/>
            <w:bottom w:val="none" w:sz="0" w:space="0" w:color="auto"/>
            <w:right w:val="none" w:sz="0" w:space="0" w:color="auto"/>
          </w:divBdr>
        </w:div>
        <w:div w:id="1663699577">
          <w:marLeft w:val="640"/>
          <w:marRight w:val="0"/>
          <w:marTop w:val="0"/>
          <w:marBottom w:val="0"/>
          <w:divBdr>
            <w:top w:val="none" w:sz="0" w:space="0" w:color="auto"/>
            <w:left w:val="none" w:sz="0" w:space="0" w:color="auto"/>
            <w:bottom w:val="none" w:sz="0" w:space="0" w:color="auto"/>
            <w:right w:val="none" w:sz="0" w:space="0" w:color="auto"/>
          </w:divBdr>
        </w:div>
        <w:div w:id="1272977200">
          <w:marLeft w:val="640"/>
          <w:marRight w:val="0"/>
          <w:marTop w:val="0"/>
          <w:marBottom w:val="0"/>
          <w:divBdr>
            <w:top w:val="none" w:sz="0" w:space="0" w:color="auto"/>
            <w:left w:val="none" w:sz="0" w:space="0" w:color="auto"/>
            <w:bottom w:val="none" w:sz="0" w:space="0" w:color="auto"/>
            <w:right w:val="none" w:sz="0" w:space="0" w:color="auto"/>
          </w:divBdr>
        </w:div>
        <w:div w:id="224266836">
          <w:marLeft w:val="640"/>
          <w:marRight w:val="0"/>
          <w:marTop w:val="0"/>
          <w:marBottom w:val="0"/>
          <w:divBdr>
            <w:top w:val="none" w:sz="0" w:space="0" w:color="auto"/>
            <w:left w:val="none" w:sz="0" w:space="0" w:color="auto"/>
            <w:bottom w:val="none" w:sz="0" w:space="0" w:color="auto"/>
            <w:right w:val="none" w:sz="0" w:space="0" w:color="auto"/>
          </w:divBdr>
        </w:div>
        <w:div w:id="1014579511">
          <w:marLeft w:val="640"/>
          <w:marRight w:val="0"/>
          <w:marTop w:val="0"/>
          <w:marBottom w:val="0"/>
          <w:divBdr>
            <w:top w:val="none" w:sz="0" w:space="0" w:color="auto"/>
            <w:left w:val="none" w:sz="0" w:space="0" w:color="auto"/>
            <w:bottom w:val="none" w:sz="0" w:space="0" w:color="auto"/>
            <w:right w:val="none" w:sz="0" w:space="0" w:color="auto"/>
          </w:divBdr>
        </w:div>
        <w:div w:id="101996646">
          <w:marLeft w:val="640"/>
          <w:marRight w:val="0"/>
          <w:marTop w:val="0"/>
          <w:marBottom w:val="0"/>
          <w:divBdr>
            <w:top w:val="none" w:sz="0" w:space="0" w:color="auto"/>
            <w:left w:val="none" w:sz="0" w:space="0" w:color="auto"/>
            <w:bottom w:val="none" w:sz="0" w:space="0" w:color="auto"/>
            <w:right w:val="none" w:sz="0" w:space="0" w:color="auto"/>
          </w:divBdr>
        </w:div>
        <w:div w:id="1867329459">
          <w:marLeft w:val="640"/>
          <w:marRight w:val="0"/>
          <w:marTop w:val="0"/>
          <w:marBottom w:val="0"/>
          <w:divBdr>
            <w:top w:val="none" w:sz="0" w:space="0" w:color="auto"/>
            <w:left w:val="none" w:sz="0" w:space="0" w:color="auto"/>
            <w:bottom w:val="none" w:sz="0" w:space="0" w:color="auto"/>
            <w:right w:val="none" w:sz="0" w:space="0" w:color="auto"/>
          </w:divBdr>
        </w:div>
        <w:div w:id="222065068">
          <w:marLeft w:val="640"/>
          <w:marRight w:val="0"/>
          <w:marTop w:val="0"/>
          <w:marBottom w:val="0"/>
          <w:divBdr>
            <w:top w:val="none" w:sz="0" w:space="0" w:color="auto"/>
            <w:left w:val="none" w:sz="0" w:space="0" w:color="auto"/>
            <w:bottom w:val="none" w:sz="0" w:space="0" w:color="auto"/>
            <w:right w:val="none" w:sz="0" w:space="0" w:color="auto"/>
          </w:divBdr>
        </w:div>
        <w:div w:id="2101291607">
          <w:marLeft w:val="640"/>
          <w:marRight w:val="0"/>
          <w:marTop w:val="0"/>
          <w:marBottom w:val="0"/>
          <w:divBdr>
            <w:top w:val="none" w:sz="0" w:space="0" w:color="auto"/>
            <w:left w:val="none" w:sz="0" w:space="0" w:color="auto"/>
            <w:bottom w:val="none" w:sz="0" w:space="0" w:color="auto"/>
            <w:right w:val="none" w:sz="0" w:space="0" w:color="auto"/>
          </w:divBdr>
        </w:div>
        <w:div w:id="1311790976">
          <w:marLeft w:val="640"/>
          <w:marRight w:val="0"/>
          <w:marTop w:val="0"/>
          <w:marBottom w:val="0"/>
          <w:divBdr>
            <w:top w:val="none" w:sz="0" w:space="0" w:color="auto"/>
            <w:left w:val="none" w:sz="0" w:space="0" w:color="auto"/>
            <w:bottom w:val="none" w:sz="0" w:space="0" w:color="auto"/>
            <w:right w:val="none" w:sz="0" w:space="0" w:color="auto"/>
          </w:divBdr>
        </w:div>
        <w:div w:id="1759256694">
          <w:marLeft w:val="640"/>
          <w:marRight w:val="0"/>
          <w:marTop w:val="0"/>
          <w:marBottom w:val="0"/>
          <w:divBdr>
            <w:top w:val="none" w:sz="0" w:space="0" w:color="auto"/>
            <w:left w:val="none" w:sz="0" w:space="0" w:color="auto"/>
            <w:bottom w:val="none" w:sz="0" w:space="0" w:color="auto"/>
            <w:right w:val="none" w:sz="0" w:space="0" w:color="auto"/>
          </w:divBdr>
        </w:div>
        <w:div w:id="1592735817">
          <w:marLeft w:val="640"/>
          <w:marRight w:val="0"/>
          <w:marTop w:val="0"/>
          <w:marBottom w:val="0"/>
          <w:divBdr>
            <w:top w:val="none" w:sz="0" w:space="0" w:color="auto"/>
            <w:left w:val="none" w:sz="0" w:space="0" w:color="auto"/>
            <w:bottom w:val="none" w:sz="0" w:space="0" w:color="auto"/>
            <w:right w:val="none" w:sz="0" w:space="0" w:color="auto"/>
          </w:divBdr>
        </w:div>
        <w:div w:id="1756434805">
          <w:marLeft w:val="640"/>
          <w:marRight w:val="0"/>
          <w:marTop w:val="0"/>
          <w:marBottom w:val="0"/>
          <w:divBdr>
            <w:top w:val="none" w:sz="0" w:space="0" w:color="auto"/>
            <w:left w:val="none" w:sz="0" w:space="0" w:color="auto"/>
            <w:bottom w:val="none" w:sz="0" w:space="0" w:color="auto"/>
            <w:right w:val="none" w:sz="0" w:space="0" w:color="auto"/>
          </w:divBdr>
        </w:div>
        <w:div w:id="1048141840">
          <w:marLeft w:val="640"/>
          <w:marRight w:val="0"/>
          <w:marTop w:val="0"/>
          <w:marBottom w:val="0"/>
          <w:divBdr>
            <w:top w:val="none" w:sz="0" w:space="0" w:color="auto"/>
            <w:left w:val="none" w:sz="0" w:space="0" w:color="auto"/>
            <w:bottom w:val="none" w:sz="0" w:space="0" w:color="auto"/>
            <w:right w:val="none" w:sz="0" w:space="0" w:color="auto"/>
          </w:divBdr>
        </w:div>
        <w:div w:id="1746027525">
          <w:marLeft w:val="640"/>
          <w:marRight w:val="0"/>
          <w:marTop w:val="0"/>
          <w:marBottom w:val="0"/>
          <w:divBdr>
            <w:top w:val="none" w:sz="0" w:space="0" w:color="auto"/>
            <w:left w:val="none" w:sz="0" w:space="0" w:color="auto"/>
            <w:bottom w:val="none" w:sz="0" w:space="0" w:color="auto"/>
            <w:right w:val="none" w:sz="0" w:space="0" w:color="auto"/>
          </w:divBdr>
        </w:div>
        <w:div w:id="289676590">
          <w:marLeft w:val="640"/>
          <w:marRight w:val="0"/>
          <w:marTop w:val="0"/>
          <w:marBottom w:val="0"/>
          <w:divBdr>
            <w:top w:val="none" w:sz="0" w:space="0" w:color="auto"/>
            <w:left w:val="none" w:sz="0" w:space="0" w:color="auto"/>
            <w:bottom w:val="none" w:sz="0" w:space="0" w:color="auto"/>
            <w:right w:val="none" w:sz="0" w:space="0" w:color="auto"/>
          </w:divBdr>
        </w:div>
        <w:div w:id="123155773">
          <w:marLeft w:val="640"/>
          <w:marRight w:val="0"/>
          <w:marTop w:val="0"/>
          <w:marBottom w:val="0"/>
          <w:divBdr>
            <w:top w:val="none" w:sz="0" w:space="0" w:color="auto"/>
            <w:left w:val="none" w:sz="0" w:space="0" w:color="auto"/>
            <w:bottom w:val="none" w:sz="0" w:space="0" w:color="auto"/>
            <w:right w:val="none" w:sz="0" w:space="0" w:color="auto"/>
          </w:divBdr>
        </w:div>
        <w:div w:id="83377172">
          <w:marLeft w:val="640"/>
          <w:marRight w:val="0"/>
          <w:marTop w:val="0"/>
          <w:marBottom w:val="0"/>
          <w:divBdr>
            <w:top w:val="none" w:sz="0" w:space="0" w:color="auto"/>
            <w:left w:val="none" w:sz="0" w:space="0" w:color="auto"/>
            <w:bottom w:val="none" w:sz="0" w:space="0" w:color="auto"/>
            <w:right w:val="none" w:sz="0" w:space="0" w:color="auto"/>
          </w:divBdr>
        </w:div>
        <w:div w:id="2018073460">
          <w:marLeft w:val="640"/>
          <w:marRight w:val="0"/>
          <w:marTop w:val="0"/>
          <w:marBottom w:val="0"/>
          <w:divBdr>
            <w:top w:val="none" w:sz="0" w:space="0" w:color="auto"/>
            <w:left w:val="none" w:sz="0" w:space="0" w:color="auto"/>
            <w:bottom w:val="none" w:sz="0" w:space="0" w:color="auto"/>
            <w:right w:val="none" w:sz="0" w:space="0" w:color="auto"/>
          </w:divBdr>
        </w:div>
      </w:divsChild>
    </w:div>
    <w:div w:id="631404740">
      <w:bodyDiv w:val="1"/>
      <w:marLeft w:val="0"/>
      <w:marRight w:val="0"/>
      <w:marTop w:val="0"/>
      <w:marBottom w:val="0"/>
      <w:divBdr>
        <w:top w:val="none" w:sz="0" w:space="0" w:color="auto"/>
        <w:left w:val="none" w:sz="0" w:space="0" w:color="auto"/>
        <w:bottom w:val="none" w:sz="0" w:space="0" w:color="auto"/>
        <w:right w:val="none" w:sz="0" w:space="0" w:color="auto"/>
      </w:divBdr>
    </w:div>
    <w:div w:id="722608007">
      <w:bodyDiv w:val="1"/>
      <w:marLeft w:val="0"/>
      <w:marRight w:val="0"/>
      <w:marTop w:val="0"/>
      <w:marBottom w:val="0"/>
      <w:divBdr>
        <w:top w:val="none" w:sz="0" w:space="0" w:color="auto"/>
        <w:left w:val="none" w:sz="0" w:space="0" w:color="auto"/>
        <w:bottom w:val="none" w:sz="0" w:space="0" w:color="auto"/>
        <w:right w:val="none" w:sz="0" w:space="0" w:color="auto"/>
      </w:divBdr>
    </w:div>
    <w:div w:id="724376420">
      <w:bodyDiv w:val="1"/>
      <w:marLeft w:val="0"/>
      <w:marRight w:val="0"/>
      <w:marTop w:val="0"/>
      <w:marBottom w:val="0"/>
      <w:divBdr>
        <w:top w:val="none" w:sz="0" w:space="0" w:color="auto"/>
        <w:left w:val="none" w:sz="0" w:space="0" w:color="auto"/>
        <w:bottom w:val="none" w:sz="0" w:space="0" w:color="auto"/>
        <w:right w:val="none" w:sz="0" w:space="0" w:color="auto"/>
      </w:divBdr>
    </w:div>
    <w:div w:id="741410534">
      <w:bodyDiv w:val="1"/>
      <w:marLeft w:val="0"/>
      <w:marRight w:val="0"/>
      <w:marTop w:val="0"/>
      <w:marBottom w:val="0"/>
      <w:divBdr>
        <w:top w:val="none" w:sz="0" w:space="0" w:color="auto"/>
        <w:left w:val="none" w:sz="0" w:space="0" w:color="auto"/>
        <w:bottom w:val="none" w:sz="0" w:space="0" w:color="auto"/>
        <w:right w:val="none" w:sz="0" w:space="0" w:color="auto"/>
      </w:divBdr>
    </w:div>
    <w:div w:id="744688006">
      <w:bodyDiv w:val="1"/>
      <w:marLeft w:val="0"/>
      <w:marRight w:val="0"/>
      <w:marTop w:val="0"/>
      <w:marBottom w:val="0"/>
      <w:divBdr>
        <w:top w:val="none" w:sz="0" w:space="0" w:color="auto"/>
        <w:left w:val="none" w:sz="0" w:space="0" w:color="auto"/>
        <w:bottom w:val="none" w:sz="0" w:space="0" w:color="auto"/>
        <w:right w:val="none" w:sz="0" w:space="0" w:color="auto"/>
      </w:divBdr>
      <w:divsChild>
        <w:div w:id="1552616470">
          <w:marLeft w:val="640"/>
          <w:marRight w:val="0"/>
          <w:marTop w:val="0"/>
          <w:marBottom w:val="0"/>
          <w:divBdr>
            <w:top w:val="none" w:sz="0" w:space="0" w:color="auto"/>
            <w:left w:val="none" w:sz="0" w:space="0" w:color="auto"/>
            <w:bottom w:val="none" w:sz="0" w:space="0" w:color="auto"/>
            <w:right w:val="none" w:sz="0" w:space="0" w:color="auto"/>
          </w:divBdr>
        </w:div>
        <w:div w:id="769621907">
          <w:marLeft w:val="640"/>
          <w:marRight w:val="0"/>
          <w:marTop w:val="0"/>
          <w:marBottom w:val="0"/>
          <w:divBdr>
            <w:top w:val="none" w:sz="0" w:space="0" w:color="auto"/>
            <w:left w:val="none" w:sz="0" w:space="0" w:color="auto"/>
            <w:bottom w:val="none" w:sz="0" w:space="0" w:color="auto"/>
            <w:right w:val="none" w:sz="0" w:space="0" w:color="auto"/>
          </w:divBdr>
        </w:div>
        <w:div w:id="1274438153">
          <w:marLeft w:val="640"/>
          <w:marRight w:val="0"/>
          <w:marTop w:val="0"/>
          <w:marBottom w:val="0"/>
          <w:divBdr>
            <w:top w:val="none" w:sz="0" w:space="0" w:color="auto"/>
            <w:left w:val="none" w:sz="0" w:space="0" w:color="auto"/>
            <w:bottom w:val="none" w:sz="0" w:space="0" w:color="auto"/>
            <w:right w:val="none" w:sz="0" w:space="0" w:color="auto"/>
          </w:divBdr>
        </w:div>
        <w:div w:id="280309042">
          <w:marLeft w:val="640"/>
          <w:marRight w:val="0"/>
          <w:marTop w:val="0"/>
          <w:marBottom w:val="0"/>
          <w:divBdr>
            <w:top w:val="none" w:sz="0" w:space="0" w:color="auto"/>
            <w:left w:val="none" w:sz="0" w:space="0" w:color="auto"/>
            <w:bottom w:val="none" w:sz="0" w:space="0" w:color="auto"/>
            <w:right w:val="none" w:sz="0" w:space="0" w:color="auto"/>
          </w:divBdr>
        </w:div>
        <w:div w:id="1985310729">
          <w:marLeft w:val="640"/>
          <w:marRight w:val="0"/>
          <w:marTop w:val="0"/>
          <w:marBottom w:val="0"/>
          <w:divBdr>
            <w:top w:val="none" w:sz="0" w:space="0" w:color="auto"/>
            <w:left w:val="none" w:sz="0" w:space="0" w:color="auto"/>
            <w:bottom w:val="none" w:sz="0" w:space="0" w:color="auto"/>
            <w:right w:val="none" w:sz="0" w:space="0" w:color="auto"/>
          </w:divBdr>
        </w:div>
        <w:div w:id="721710011">
          <w:marLeft w:val="640"/>
          <w:marRight w:val="0"/>
          <w:marTop w:val="0"/>
          <w:marBottom w:val="0"/>
          <w:divBdr>
            <w:top w:val="none" w:sz="0" w:space="0" w:color="auto"/>
            <w:left w:val="none" w:sz="0" w:space="0" w:color="auto"/>
            <w:bottom w:val="none" w:sz="0" w:space="0" w:color="auto"/>
            <w:right w:val="none" w:sz="0" w:space="0" w:color="auto"/>
          </w:divBdr>
        </w:div>
        <w:div w:id="107354581">
          <w:marLeft w:val="640"/>
          <w:marRight w:val="0"/>
          <w:marTop w:val="0"/>
          <w:marBottom w:val="0"/>
          <w:divBdr>
            <w:top w:val="none" w:sz="0" w:space="0" w:color="auto"/>
            <w:left w:val="none" w:sz="0" w:space="0" w:color="auto"/>
            <w:bottom w:val="none" w:sz="0" w:space="0" w:color="auto"/>
            <w:right w:val="none" w:sz="0" w:space="0" w:color="auto"/>
          </w:divBdr>
        </w:div>
        <w:div w:id="13925991">
          <w:marLeft w:val="640"/>
          <w:marRight w:val="0"/>
          <w:marTop w:val="0"/>
          <w:marBottom w:val="0"/>
          <w:divBdr>
            <w:top w:val="none" w:sz="0" w:space="0" w:color="auto"/>
            <w:left w:val="none" w:sz="0" w:space="0" w:color="auto"/>
            <w:bottom w:val="none" w:sz="0" w:space="0" w:color="auto"/>
            <w:right w:val="none" w:sz="0" w:space="0" w:color="auto"/>
          </w:divBdr>
        </w:div>
        <w:div w:id="1929851108">
          <w:marLeft w:val="640"/>
          <w:marRight w:val="0"/>
          <w:marTop w:val="0"/>
          <w:marBottom w:val="0"/>
          <w:divBdr>
            <w:top w:val="none" w:sz="0" w:space="0" w:color="auto"/>
            <w:left w:val="none" w:sz="0" w:space="0" w:color="auto"/>
            <w:bottom w:val="none" w:sz="0" w:space="0" w:color="auto"/>
            <w:right w:val="none" w:sz="0" w:space="0" w:color="auto"/>
          </w:divBdr>
        </w:div>
        <w:div w:id="1013070891">
          <w:marLeft w:val="640"/>
          <w:marRight w:val="0"/>
          <w:marTop w:val="0"/>
          <w:marBottom w:val="0"/>
          <w:divBdr>
            <w:top w:val="none" w:sz="0" w:space="0" w:color="auto"/>
            <w:left w:val="none" w:sz="0" w:space="0" w:color="auto"/>
            <w:bottom w:val="none" w:sz="0" w:space="0" w:color="auto"/>
            <w:right w:val="none" w:sz="0" w:space="0" w:color="auto"/>
          </w:divBdr>
        </w:div>
        <w:div w:id="1418668131">
          <w:marLeft w:val="640"/>
          <w:marRight w:val="0"/>
          <w:marTop w:val="0"/>
          <w:marBottom w:val="0"/>
          <w:divBdr>
            <w:top w:val="none" w:sz="0" w:space="0" w:color="auto"/>
            <w:left w:val="none" w:sz="0" w:space="0" w:color="auto"/>
            <w:bottom w:val="none" w:sz="0" w:space="0" w:color="auto"/>
            <w:right w:val="none" w:sz="0" w:space="0" w:color="auto"/>
          </w:divBdr>
        </w:div>
        <w:div w:id="1614433956">
          <w:marLeft w:val="640"/>
          <w:marRight w:val="0"/>
          <w:marTop w:val="0"/>
          <w:marBottom w:val="0"/>
          <w:divBdr>
            <w:top w:val="none" w:sz="0" w:space="0" w:color="auto"/>
            <w:left w:val="none" w:sz="0" w:space="0" w:color="auto"/>
            <w:bottom w:val="none" w:sz="0" w:space="0" w:color="auto"/>
            <w:right w:val="none" w:sz="0" w:space="0" w:color="auto"/>
          </w:divBdr>
        </w:div>
        <w:div w:id="383993249">
          <w:marLeft w:val="640"/>
          <w:marRight w:val="0"/>
          <w:marTop w:val="0"/>
          <w:marBottom w:val="0"/>
          <w:divBdr>
            <w:top w:val="none" w:sz="0" w:space="0" w:color="auto"/>
            <w:left w:val="none" w:sz="0" w:space="0" w:color="auto"/>
            <w:bottom w:val="none" w:sz="0" w:space="0" w:color="auto"/>
            <w:right w:val="none" w:sz="0" w:space="0" w:color="auto"/>
          </w:divBdr>
        </w:div>
        <w:div w:id="1609698530">
          <w:marLeft w:val="640"/>
          <w:marRight w:val="0"/>
          <w:marTop w:val="0"/>
          <w:marBottom w:val="0"/>
          <w:divBdr>
            <w:top w:val="none" w:sz="0" w:space="0" w:color="auto"/>
            <w:left w:val="none" w:sz="0" w:space="0" w:color="auto"/>
            <w:bottom w:val="none" w:sz="0" w:space="0" w:color="auto"/>
            <w:right w:val="none" w:sz="0" w:space="0" w:color="auto"/>
          </w:divBdr>
        </w:div>
        <w:div w:id="1227300669">
          <w:marLeft w:val="640"/>
          <w:marRight w:val="0"/>
          <w:marTop w:val="0"/>
          <w:marBottom w:val="0"/>
          <w:divBdr>
            <w:top w:val="none" w:sz="0" w:space="0" w:color="auto"/>
            <w:left w:val="none" w:sz="0" w:space="0" w:color="auto"/>
            <w:bottom w:val="none" w:sz="0" w:space="0" w:color="auto"/>
            <w:right w:val="none" w:sz="0" w:space="0" w:color="auto"/>
          </w:divBdr>
        </w:div>
        <w:div w:id="1936744907">
          <w:marLeft w:val="640"/>
          <w:marRight w:val="0"/>
          <w:marTop w:val="0"/>
          <w:marBottom w:val="0"/>
          <w:divBdr>
            <w:top w:val="none" w:sz="0" w:space="0" w:color="auto"/>
            <w:left w:val="none" w:sz="0" w:space="0" w:color="auto"/>
            <w:bottom w:val="none" w:sz="0" w:space="0" w:color="auto"/>
            <w:right w:val="none" w:sz="0" w:space="0" w:color="auto"/>
          </w:divBdr>
        </w:div>
        <w:div w:id="1201897186">
          <w:marLeft w:val="640"/>
          <w:marRight w:val="0"/>
          <w:marTop w:val="0"/>
          <w:marBottom w:val="0"/>
          <w:divBdr>
            <w:top w:val="none" w:sz="0" w:space="0" w:color="auto"/>
            <w:left w:val="none" w:sz="0" w:space="0" w:color="auto"/>
            <w:bottom w:val="none" w:sz="0" w:space="0" w:color="auto"/>
            <w:right w:val="none" w:sz="0" w:space="0" w:color="auto"/>
          </w:divBdr>
        </w:div>
        <w:div w:id="1057627027">
          <w:marLeft w:val="640"/>
          <w:marRight w:val="0"/>
          <w:marTop w:val="0"/>
          <w:marBottom w:val="0"/>
          <w:divBdr>
            <w:top w:val="none" w:sz="0" w:space="0" w:color="auto"/>
            <w:left w:val="none" w:sz="0" w:space="0" w:color="auto"/>
            <w:bottom w:val="none" w:sz="0" w:space="0" w:color="auto"/>
            <w:right w:val="none" w:sz="0" w:space="0" w:color="auto"/>
          </w:divBdr>
        </w:div>
        <w:div w:id="1949850099">
          <w:marLeft w:val="640"/>
          <w:marRight w:val="0"/>
          <w:marTop w:val="0"/>
          <w:marBottom w:val="0"/>
          <w:divBdr>
            <w:top w:val="none" w:sz="0" w:space="0" w:color="auto"/>
            <w:left w:val="none" w:sz="0" w:space="0" w:color="auto"/>
            <w:bottom w:val="none" w:sz="0" w:space="0" w:color="auto"/>
            <w:right w:val="none" w:sz="0" w:space="0" w:color="auto"/>
          </w:divBdr>
        </w:div>
        <w:div w:id="1533882885">
          <w:marLeft w:val="640"/>
          <w:marRight w:val="0"/>
          <w:marTop w:val="0"/>
          <w:marBottom w:val="0"/>
          <w:divBdr>
            <w:top w:val="none" w:sz="0" w:space="0" w:color="auto"/>
            <w:left w:val="none" w:sz="0" w:space="0" w:color="auto"/>
            <w:bottom w:val="none" w:sz="0" w:space="0" w:color="auto"/>
            <w:right w:val="none" w:sz="0" w:space="0" w:color="auto"/>
          </w:divBdr>
        </w:div>
        <w:div w:id="2127383407">
          <w:marLeft w:val="640"/>
          <w:marRight w:val="0"/>
          <w:marTop w:val="0"/>
          <w:marBottom w:val="0"/>
          <w:divBdr>
            <w:top w:val="none" w:sz="0" w:space="0" w:color="auto"/>
            <w:left w:val="none" w:sz="0" w:space="0" w:color="auto"/>
            <w:bottom w:val="none" w:sz="0" w:space="0" w:color="auto"/>
            <w:right w:val="none" w:sz="0" w:space="0" w:color="auto"/>
          </w:divBdr>
        </w:div>
        <w:div w:id="2143303022">
          <w:marLeft w:val="640"/>
          <w:marRight w:val="0"/>
          <w:marTop w:val="0"/>
          <w:marBottom w:val="0"/>
          <w:divBdr>
            <w:top w:val="none" w:sz="0" w:space="0" w:color="auto"/>
            <w:left w:val="none" w:sz="0" w:space="0" w:color="auto"/>
            <w:bottom w:val="none" w:sz="0" w:space="0" w:color="auto"/>
            <w:right w:val="none" w:sz="0" w:space="0" w:color="auto"/>
          </w:divBdr>
        </w:div>
        <w:div w:id="1553809012">
          <w:marLeft w:val="640"/>
          <w:marRight w:val="0"/>
          <w:marTop w:val="0"/>
          <w:marBottom w:val="0"/>
          <w:divBdr>
            <w:top w:val="none" w:sz="0" w:space="0" w:color="auto"/>
            <w:left w:val="none" w:sz="0" w:space="0" w:color="auto"/>
            <w:bottom w:val="none" w:sz="0" w:space="0" w:color="auto"/>
            <w:right w:val="none" w:sz="0" w:space="0" w:color="auto"/>
          </w:divBdr>
        </w:div>
        <w:div w:id="2017144625">
          <w:marLeft w:val="640"/>
          <w:marRight w:val="0"/>
          <w:marTop w:val="0"/>
          <w:marBottom w:val="0"/>
          <w:divBdr>
            <w:top w:val="none" w:sz="0" w:space="0" w:color="auto"/>
            <w:left w:val="none" w:sz="0" w:space="0" w:color="auto"/>
            <w:bottom w:val="none" w:sz="0" w:space="0" w:color="auto"/>
            <w:right w:val="none" w:sz="0" w:space="0" w:color="auto"/>
          </w:divBdr>
        </w:div>
        <w:div w:id="326133129">
          <w:marLeft w:val="640"/>
          <w:marRight w:val="0"/>
          <w:marTop w:val="0"/>
          <w:marBottom w:val="0"/>
          <w:divBdr>
            <w:top w:val="none" w:sz="0" w:space="0" w:color="auto"/>
            <w:left w:val="none" w:sz="0" w:space="0" w:color="auto"/>
            <w:bottom w:val="none" w:sz="0" w:space="0" w:color="auto"/>
            <w:right w:val="none" w:sz="0" w:space="0" w:color="auto"/>
          </w:divBdr>
        </w:div>
        <w:div w:id="1660767756">
          <w:marLeft w:val="640"/>
          <w:marRight w:val="0"/>
          <w:marTop w:val="0"/>
          <w:marBottom w:val="0"/>
          <w:divBdr>
            <w:top w:val="none" w:sz="0" w:space="0" w:color="auto"/>
            <w:left w:val="none" w:sz="0" w:space="0" w:color="auto"/>
            <w:bottom w:val="none" w:sz="0" w:space="0" w:color="auto"/>
            <w:right w:val="none" w:sz="0" w:space="0" w:color="auto"/>
          </w:divBdr>
        </w:div>
        <w:div w:id="1161896632">
          <w:marLeft w:val="640"/>
          <w:marRight w:val="0"/>
          <w:marTop w:val="0"/>
          <w:marBottom w:val="0"/>
          <w:divBdr>
            <w:top w:val="none" w:sz="0" w:space="0" w:color="auto"/>
            <w:left w:val="none" w:sz="0" w:space="0" w:color="auto"/>
            <w:bottom w:val="none" w:sz="0" w:space="0" w:color="auto"/>
            <w:right w:val="none" w:sz="0" w:space="0" w:color="auto"/>
          </w:divBdr>
        </w:div>
        <w:div w:id="2117285613">
          <w:marLeft w:val="640"/>
          <w:marRight w:val="0"/>
          <w:marTop w:val="0"/>
          <w:marBottom w:val="0"/>
          <w:divBdr>
            <w:top w:val="none" w:sz="0" w:space="0" w:color="auto"/>
            <w:left w:val="none" w:sz="0" w:space="0" w:color="auto"/>
            <w:bottom w:val="none" w:sz="0" w:space="0" w:color="auto"/>
            <w:right w:val="none" w:sz="0" w:space="0" w:color="auto"/>
          </w:divBdr>
        </w:div>
      </w:divsChild>
    </w:div>
    <w:div w:id="1055853493">
      <w:bodyDiv w:val="1"/>
      <w:marLeft w:val="0"/>
      <w:marRight w:val="0"/>
      <w:marTop w:val="0"/>
      <w:marBottom w:val="0"/>
      <w:divBdr>
        <w:top w:val="none" w:sz="0" w:space="0" w:color="auto"/>
        <w:left w:val="none" w:sz="0" w:space="0" w:color="auto"/>
        <w:bottom w:val="none" w:sz="0" w:space="0" w:color="auto"/>
        <w:right w:val="none" w:sz="0" w:space="0" w:color="auto"/>
      </w:divBdr>
    </w:div>
    <w:div w:id="1137720132">
      <w:bodyDiv w:val="1"/>
      <w:marLeft w:val="0"/>
      <w:marRight w:val="0"/>
      <w:marTop w:val="0"/>
      <w:marBottom w:val="0"/>
      <w:divBdr>
        <w:top w:val="none" w:sz="0" w:space="0" w:color="auto"/>
        <w:left w:val="none" w:sz="0" w:space="0" w:color="auto"/>
        <w:bottom w:val="none" w:sz="0" w:space="0" w:color="auto"/>
        <w:right w:val="none" w:sz="0" w:space="0" w:color="auto"/>
      </w:divBdr>
    </w:div>
    <w:div w:id="1144783525">
      <w:bodyDiv w:val="1"/>
      <w:marLeft w:val="0"/>
      <w:marRight w:val="0"/>
      <w:marTop w:val="0"/>
      <w:marBottom w:val="0"/>
      <w:divBdr>
        <w:top w:val="none" w:sz="0" w:space="0" w:color="auto"/>
        <w:left w:val="none" w:sz="0" w:space="0" w:color="auto"/>
        <w:bottom w:val="none" w:sz="0" w:space="0" w:color="auto"/>
        <w:right w:val="none" w:sz="0" w:space="0" w:color="auto"/>
      </w:divBdr>
    </w:div>
    <w:div w:id="1179807922">
      <w:bodyDiv w:val="1"/>
      <w:marLeft w:val="0"/>
      <w:marRight w:val="0"/>
      <w:marTop w:val="0"/>
      <w:marBottom w:val="0"/>
      <w:divBdr>
        <w:top w:val="none" w:sz="0" w:space="0" w:color="auto"/>
        <w:left w:val="none" w:sz="0" w:space="0" w:color="auto"/>
        <w:bottom w:val="none" w:sz="0" w:space="0" w:color="auto"/>
        <w:right w:val="none" w:sz="0" w:space="0" w:color="auto"/>
      </w:divBdr>
      <w:divsChild>
        <w:div w:id="849608807">
          <w:marLeft w:val="640"/>
          <w:marRight w:val="0"/>
          <w:marTop w:val="0"/>
          <w:marBottom w:val="0"/>
          <w:divBdr>
            <w:top w:val="none" w:sz="0" w:space="0" w:color="auto"/>
            <w:left w:val="none" w:sz="0" w:space="0" w:color="auto"/>
            <w:bottom w:val="none" w:sz="0" w:space="0" w:color="auto"/>
            <w:right w:val="none" w:sz="0" w:space="0" w:color="auto"/>
          </w:divBdr>
        </w:div>
        <w:div w:id="1918588829">
          <w:marLeft w:val="640"/>
          <w:marRight w:val="0"/>
          <w:marTop w:val="0"/>
          <w:marBottom w:val="0"/>
          <w:divBdr>
            <w:top w:val="none" w:sz="0" w:space="0" w:color="auto"/>
            <w:left w:val="none" w:sz="0" w:space="0" w:color="auto"/>
            <w:bottom w:val="none" w:sz="0" w:space="0" w:color="auto"/>
            <w:right w:val="none" w:sz="0" w:space="0" w:color="auto"/>
          </w:divBdr>
        </w:div>
        <w:div w:id="892733826">
          <w:marLeft w:val="640"/>
          <w:marRight w:val="0"/>
          <w:marTop w:val="0"/>
          <w:marBottom w:val="0"/>
          <w:divBdr>
            <w:top w:val="none" w:sz="0" w:space="0" w:color="auto"/>
            <w:left w:val="none" w:sz="0" w:space="0" w:color="auto"/>
            <w:bottom w:val="none" w:sz="0" w:space="0" w:color="auto"/>
            <w:right w:val="none" w:sz="0" w:space="0" w:color="auto"/>
          </w:divBdr>
        </w:div>
        <w:div w:id="1361975543">
          <w:marLeft w:val="640"/>
          <w:marRight w:val="0"/>
          <w:marTop w:val="0"/>
          <w:marBottom w:val="0"/>
          <w:divBdr>
            <w:top w:val="none" w:sz="0" w:space="0" w:color="auto"/>
            <w:left w:val="none" w:sz="0" w:space="0" w:color="auto"/>
            <w:bottom w:val="none" w:sz="0" w:space="0" w:color="auto"/>
            <w:right w:val="none" w:sz="0" w:space="0" w:color="auto"/>
          </w:divBdr>
        </w:div>
        <w:div w:id="1180506614">
          <w:marLeft w:val="640"/>
          <w:marRight w:val="0"/>
          <w:marTop w:val="0"/>
          <w:marBottom w:val="0"/>
          <w:divBdr>
            <w:top w:val="none" w:sz="0" w:space="0" w:color="auto"/>
            <w:left w:val="none" w:sz="0" w:space="0" w:color="auto"/>
            <w:bottom w:val="none" w:sz="0" w:space="0" w:color="auto"/>
            <w:right w:val="none" w:sz="0" w:space="0" w:color="auto"/>
          </w:divBdr>
        </w:div>
        <w:div w:id="2038464388">
          <w:marLeft w:val="640"/>
          <w:marRight w:val="0"/>
          <w:marTop w:val="0"/>
          <w:marBottom w:val="0"/>
          <w:divBdr>
            <w:top w:val="none" w:sz="0" w:space="0" w:color="auto"/>
            <w:left w:val="none" w:sz="0" w:space="0" w:color="auto"/>
            <w:bottom w:val="none" w:sz="0" w:space="0" w:color="auto"/>
            <w:right w:val="none" w:sz="0" w:space="0" w:color="auto"/>
          </w:divBdr>
        </w:div>
        <w:div w:id="287470083">
          <w:marLeft w:val="640"/>
          <w:marRight w:val="0"/>
          <w:marTop w:val="0"/>
          <w:marBottom w:val="0"/>
          <w:divBdr>
            <w:top w:val="none" w:sz="0" w:space="0" w:color="auto"/>
            <w:left w:val="none" w:sz="0" w:space="0" w:color="auto"/>
            <w:bottom w:val="none" w:sz="0" w:space="0" w:color="auto"/>
            <w:right w:val="none" w:sz="0" w:space="0" w:color="auto"/>
          </w:divBdr>
        </w:div>
        <w:div w:id="1989943912">
          <w:marLeft w:val="640"/>
          <w:marRight w:val="0"/>
          <w:marTop w:val="0"/>
          <w:marBottom w:val="0"/>
          <w:divBdr>
            <w:top w:val="none" w:sz="0" w:space="0" w:color="auto"/>
            <w:left w:val="none" w:sz="0" w:space="0" w:color="auto"/>
            <w:bottom w:val="none" w:sz="0" w:space="0" w:color="auto"/>
            <w:right w:val="none" w:sz="0" w:space="0" w:color="auto"/>
          </w:divBdr>
        </w:div>
        <w:div w:id="2045055579">
          <w:marLeft w:val="640"/>
          <w:marRight w:val="0"/>
          <w:marTop w:val="0"/>
          <w:marBottom w:val="0"/>
          <w:divBdr>
            <w:top w:val="none" w:sz="0" w:space="0" w:color="auto"/>
            <w:left w:val="none" w:sz="0" w:space="0" w:color="auto"/>
            <w:bottom w:val="none" w:sz="0" w:space="0" w:color="auto"/>
            <w:right w:val="none" w:sz="0" w:space="0" w:color="auto"/>
          </w:divBdr>
        </w:div>
        <w:div w:id="771508687">
          <w:marLeft w:val="640"/>
          <w:marRight w:val="0"/>
          <w:marTop w:val="0"/>
          <w:marBottom w:val="0"/>
          <w:divBdr>
            <w:top w:val="none" w:sz="0" w:space="0" w:color="auto"/>
            <w:left w:val="none" w:sz="0" w:space="0" w:color="auto"/>
            <w:bottom w:val="none" w:sz="0" w:space="0" w:color="auto"/>
            <w:right w:val="none" w:sz="0" w:space="0" w:color="auto"/>
          </w:divBdr>
        </w:div>
        <w:div w:id="464199776">
          <w:marLeft w:val="640"/>
          <w:marRight w:val="0"/>
          <w:marTop w:val="0"/>
          <w:marBottom w:val="0"/>
          <w:divBdr>
            <w:top w:val="none" w:sz="0" w:space="0" w:color="auto"/>
            <w:left w:val="none" w:sz="0" w:space="0" w:color="auto"/>
            <w:bottom w:val="none" w:sz="0" w:space="0" w:color="auto"/>
            <w:right w:val="none" w:sz="0" w:space="0" w:color="auto"/>
          </w:divBdr>
        </w:div>
        <w:div w:id="328600505">
          <w:marLeft w:val="640"/>
          <w:marRight w:val="0"/>
          <w:marTop w:val="0"/>
          <w:marBottom w:val="0"/>
          <w:divBdr>
            <w:top w:val="none" w:sz="0" w:space="0" w:color="auto"/>
            <w:left w:val="none" w:sz="0" w:space="0" w:color="auto"/>
            <w:bottom w:val="none" w:sz="0" w:space="0" w:color="auto"/>
            <w:right w:val="none" w:sz="0" w:space="0" w:color="auto"/>
          </w:divBdr>
        </w:div>
        <w:div w:id="1164853413">
          <w:marLeft w:val="640"/>
          <w:marRight w:val="0"/>
          <w:marTop w:val="0"/>
          <w:marBottom w:val="0"/>
          <w:divBdr>
            <w:top w:val="none" w:sz="0" w:space="0" w:color="auto"/>
            <w:left w:val="none" w:sz="0" w:space="0" w:color="auto"/>
            <w:bottom w:val="none" w:sz="0" w:space="0" w:color="auto"/>
            <w:right w:val="none" w:sz="0" w:space="0" w:color="auto"/>
          </w:divBdr>
        </w:div>
        <w:div w:id="531110329">
          <w:marLeft w:val="640"/>
          <w:marRight w:val="0"/>
          <w:marTop w:val="0"/>
          <w:marBottom w:val="0"/>
          <w:divBdr>
            <w:top w:val="none" w:sz="0" w:space="0" w:color="auto"/>
            <w:left w:val="none" w:sz="0" w:space="0" w:color="auto"/>
            <w:bottom w:val="none" w:sz="0" w:space="0" w:color="auto"/>
            <w:right w:val="none" w:sz="0" w:space="0" w:color="auto"/>
          </w:divBdr>
        </w:div>
        <w:div w:id="1435713678">
          <w:marLeft w:val="640"/>
          <w:marRight w:val="0"/>
          <w:marTop w:val="0"/>
          <w:marBottom w:val="0"/>
          <w:divBdr>
            <w:top w:val="none" w:sz="0" w:space="0" w:color="auto"/>
            <w:left w:val="none" w:sz="0" w:space="0" w:color="auto"/>
            <w:bottom w:val="none" w:sz="0" w:space="0" w:color="auto"/>
            <w:right w:val="none" w:sz="0" w:space="0" w:color="auto"/>
          </w:divBdr>
        </w:div>
        <w:div w:id="841238458">
          <w:marLeft w:val="640"/>
          <w:marRight w:val="0"/>
          <w:marTop w:val="0"/>
          <w:marBottom w:val="0"/>
          <w:divBdr>
            <w:top w:val="none" w:sz="0" w:space="0" w:color="auto"/>
            <w:left w:val="none" w:sz="0" w:space="0" w:color="auto"/>
            <w:bottom w:val="none" w:sz="0" w:space="0" w:color="auto"/>
            <w:right w:val="none" w:sz="0" w:space="0" w:color="auto"/>
          </w:divBdr>
        </w:div>
        <w:div w:id="1043092514">
          <w:marLeft w:val="640"/>
          <w:marRight w:val="0"/>
          <w:marTop w:val="0"/>
          <w:marBottom w:val="0"/>
          <w:divBdr>
            <w:top w:val="none" w:sz="0" w:space="0" w:color="auto"/>
            <w:left w:val="none" w:sz="0" w:space="0" w:color="auto"/>
            <w:bottom w:val="none" w:sz="0" w:space="0" w:color="auto"/>
            <w:right w:val="none" w:sz="0" w:space="0" w:color="auto"/>
          </w:divBdr>
        </w:div>
        <w:div w:id="1326393375">
          <w:marLeft w:val="640"/>
          <w:marRight w:val="0"/>
          <w:marTop w:val="0"/>
          <w:marBottom w:val="0"/>
          <w:divBdr>
            <w:top w:val="none" w:sz="0" w:space="0" w:color="auto"/>
            <w:left w:val="none" w:sz="0" w:space="0" w:color="auto"/>
            <w:bottom w:val="none" w:sz="0" w:space="0" w:color="auto"/>
            <w:right w:val="none" w:sz="0" w:space="0" w:color="auto"/>
          </w:divBdr>
        </w:div>
        <w:div w:id="1398170123">
          <w:marLeft w:val="640"/>
          <w:marRight w:val="0"/>
          <w:marTop w:val="0"/>
          <w:marBottom w:val="0"/>
          <w:divBdr>
            <w:top w:val="none" w:sz="0" w:space="0" w:color="auto"/>
            <w:left w:val="none" w:sz="0" w:space="0" w:color="auto"/>
            <w:bottom w:val="none" w:sz="0" w:space="0" w:color="auto"/>
            <w:right w:val="none" w:sz="0" w:space="0" w:color="auto"/>
          </w:divBdr>
        </w:div>
        <w:div w:id="1766147059">
          <w:marLeft w:val="640"/>
          <w:marRight w:val="0"/>
          <w:marTop w:val="0"/>
          <w:marBottom w:val="0"/>
          <w:divBdr>
            <w:top w:val="none" w:sz="0" w:space="0" w:color="auto"/>
            <w:left w:val="none" w:sz="0" w:space="0" w:color="auto"/>
            <w:bottom w:val="none" w:sz="0" w:space="0" w:color="auto"/>
            <w:right w:val="none" w:sz="0" w:space="0" w:color="auto"/>
          </w:divBdr>
        </w:div>
        <w:div w:id="1707832263">
          <w:marLeft w:val="640"/>
          <w:marRight w:val="0"/>
          <w:marTop w:val="0"/>
          <w:marBottom w:val="0"/>
          <w:divBdr>
            <w:top w:val="none" w:sz="0" w:space="0" w:color="auto"/>
            <w:left w:val="none" w:sz="0" w:space="0" w:color="auto"/>
            <w:bottom w:val="none" w:sz="0" w:space="0" w:color="auto"/>
            <w:right w:val="none" w:sz="0" w:space="0" w:color="auto"/>
          </w:divBdr>
        </w:div>
        <w:div w:id="1249851475">
          <w:marLeft w:val="640"/>
          <w:marRight w:val="0"/>
          <w:marTop w:val="0"/>
          <w:marBottom w:val="0"/>
          <w:divBdr>
            <w:top w:val="none" w:sz="0" w:space="0" w:color="auto"/>
            <w:left w:val="none" w:sz="0" w:space="0" w:color="auto"/>
            <w:bottom w:val="none" w:sz="0" w:space="0" w:color="auto"/>
            <w:right w:val="none" w:sz="0" w:space="0" w:color="auto"/>
          </w:divBdr>
        </w:div>
        <w:div w:id="1466775373">
          <w:marLeft w:val="640"/>
          <w:marRight w:val="0"/>
          <w:marTop w:val="0"/>
          <w:marBottom w:val="0"/>
          <w:divBdr>
            <w:top w:val="none" w:sz="0" w:space="0" w:color="auto"/>
            <w:left w:val="none" w:sz="0" w:space="0" w:color="auto"/>
            <w:bottom w:val="none" w:sz="0" w:space="0" w:color="auto"/>
            <w:right w:val="none" w:sz="0" w:space="0" w:color="auto"/>
          </w:divBdr>
        </w:div>
        <w:div w:id="633607606">
          <w:marLeft w:val="640"/>
          <w:marRight w:val="0"/>
          <w:marTop w:val="0"/>
          <w:marBottom w:val="0"/>
          <w:divBdr>
            <w:top w:val="none" w:sz="0" w:space="0" w:color="auto"/>
            <w:left w:val="none" w:sz="0" w:space="0" w:color="auto"/>
            <w:bottom w:val="none" w:sz="0" w:space="0" w:color="auto"/>
            <w:right w:val="none" w:sz="0" w:space="0" w:color="auto"/>
          </w:divBdr>
        </w:div>
        <w:div w:id="2096630483">
          <w:marLeft w:val="640"/>
          <w:marRight w:val="0"/>
          <w:marTop w:val="0"/>
          <w:marBottom w:val="0"/>
          <w:divBdr>
            <w:top w:val="none" w:sz="0" w:space="0" w:color="auto"/>
            <w:left w:val="none" w:sz="0" w:space="0" w:color="auto"/>
            <w:bottom w:val="none" w:sz="0" w:space="0" w:color="auto"/>
            <w:right w:val="none" w:sz="0" w:space="0" w:color="auto"/>
          </w:divBdr>
        </w:div>
      </w:divsChild>
    </w:div>
    <w:div w:id="1222252784">
      <w:bodyDiv w:val="1"/>
      <w:marLeft w:val="0"/>
      <w:marRight w:val="0"/>
      <w:marTop w:val="0"/>
      <w:marBottom w:val="0"/>
      <w:divBdr>
        <w:top w:val="none" w:sz="0" w:space="0" w:color="auto"/>
        <w:left w:val="none" w:sz="0" w:space="0" w:color="auto"/>
        <w:bottom w:val="none" w:sz="0" w:space="0" w:color="auto"/>
        <w:right w:val="none" w:sz="0" w:space="0" w:color="auto"/>
      </w:divBdr>
    </w:div>
    <w:div w:id="1391341321">
      <w:bodyDiv w:val="1"/>
      <w:marLeft w:val="0"/>
      <w:marRight w:val="0"/>
      <w:marTop w:val="0"/>
      <w:marBottom w:val="0"/>
      <w:divBdr>
        <w:top w:val="none" w:sz="0" w:space="0" w:color="auto"/>
        <w:left w:val="none" w:sz="0" w:space="0" w:color="auto"/>
        <w:bottom w:val="none" w:sz="0" w:space="0" w:color="auto"/>
        <w:right w:val="none" w:sz="0" w:space="0" w:color="auto"/>
      </w:divBdr>
      <w:divsChild>
        <w:div w:id="157893739">
          <w:marLeft w:val="640"/>
          <w:marRight w:val="0"/>
          <w:marTop w:val="0"/>
          <w:marBottom w:val="0"/>
          <w:divBdr>
            <w:top w:val="none" w:sz="0" w:space="0" w:color="auto"/>
            <w:left w:val="none" w:sz="0" w:space="0" w:color="auto"/>
            <w:bottom w:val="none" w:sz="0" w:space="0" w:color="auto"/>
            <w:right w:val="none" w:sz="0" w:space="0" w:color="auto"/>
          </w:divBdr>
        </w:div>
        <w:div w:id="1291323578">
          <w:marLeft w:val="640"/>
          <w:marRight w:val="0"/>
          <w:marTop w:val="0"/>
          <w:marBottom w:val="0"/>
          <w:divBdr>
            <w:top w:val="none" w:sz="0" w:space="0" w:color="auto"/>
            <w:left w:val="none" w:sz="0" w:space="0" w:color="auto"/>
            <w:bottom w:val="none" w:sz="0" w:space="0" w:color="auto"/>
            <w:right w:val="none" w:sz="0" w:space="0" w:color="auto"/>
          </w:divBdr>
        </w:div>
        <w:div w:id="1427994985">
          <w:marLeft w:val="640"/>
          <w:marRight w:val="0"/>
          <w:marTop w:val="0"/>
          <w:marBottom w:val="0"/>
          <w:divBdr>
            <w:top w:val="none" w:sz="0" w:space="0" w:color="auto"/>
            <w:left w:val="none" w:sz="0" w:space="0" w:color="auto"/>
            <w:bottom w:val="none" w:sz="0" w:space="0" w:color="auto"/>
            <w:right w:val="none" w:sz="0" w:space="0" w:color="auto"/>
          </w:divBdr>
        </w:div>
        <w:div w:id="1486121710">
          <w:marLeft w:val="640"/>
          <w:marRight w:val="0"/>
          <w:marTop w:val="0"/>
          <w:marBottom w:val="0"/>
          <w:divBdr>
            <w:top w:val="none" w:sz="0" w:space="0" w:color="auto"/>
            <w:left w:val="none" w:sz="0" w:space="0" w:color="auto"/>
            <w:bottom w:val="none" w:sz="0" w:space="0" w:color="auto"/>
            <w:right w:val="none" w:sz="0" w:space="0" w:color="auto"/>
          </w:divBdr>
        </w:div>
        <w:div w:id="1160197295">
          <w:marLeft w:val="640"/>
          <w:marRight w:val="0"/>
          <w:marTop w:val="0"/>
          <w:marBottom w:val="0"/>
          <w:divBdr>
            <w:top w:val="none" w:sz="0" w:space="0" w:color="auto"/>
            <w:left w:val="none" w:sz="0" w:space="0" w:color="auto"/>
            <w:bottom w:val="none" w:sz="0" w:space="0" w:color="auto"/>
            <w:right w:val="none" w:sz="0" w:space="0" w:color="auto"/>
          </w:divBdr>
        </w:div>
        <w:div w:id="988021140">
          <w:marLeft w:val="640"/>
          <w:marRight w:val="0"/>
          <w:marTop w:val="0"/>
          <w:marBottom w:val="0"/>
          <w:divBdr>
            <w:top w:val="none" w:sz="0" w:space="0" w:color="auto"/>
            <w:left w:val="none" w:sz="0" w:space="0" w:color="auto"/>
            <w:bottom w:val="none" w:sz="0" w:space="0" w:color="auto"/>
            <w:right w:val="none" w:sz="0" w:space="0" w:color="auto"/>
          </w:divBdr>
        </w:div>
        <w:div w:id="174002301">
          <w:marLeft w:val="640"/>
          <w:marRight w:val="0"/>
          <w:marTop w:val="0"/>
          <w:marBottom w:val="0"/>
          <w:divBdr>
            <w:top w:val="none" w:sz="0" w:space="0" w:color="auto"/>
            <w:left w:val="none" w:sz="0" w:space="0" w:color="auto"/>
            <w:bottom w:val="none" w:sz="0" w:space="0" w:color="auto"/>
            <w:right w:val="none" w:sz="0" w:space="0" w:color="auto"/>
          </w:divBdr>
        </w:div>
        <w:div w:id="516235025">
          <w:marLeft w:val="640"/>
          <w:marRight w:val="0"/>
          <w:marTop w:val="0"/>
          <w:marBottom w:val="0"/>
          <w:divBdr>
            <w:top w:val="none" w:sz="0" w:space="0" w:color="auto"/>
            <w:left w:val="none" w:sz="0" w:space="0" w:color="auto"/>
            <w:bottom w:val="none" w:sz="0" w:space="0" w:color="auto"/>
            <w:right w:val="none" w:sz="0" w:space="0" w:color="auto"/>
          </w:divBdr>
        </w:div>
        <w:div w:id="1418669914">
          <w:marLeft w:val="640"/>
          <w:marRight w:val="0"/>
          <w:marTop w:val="0"/>
          <w:marBottom w:val="0"/>
          <w:divBdr>
            <w:top w:val="none" w:sz="0" w:space="0" w:color="auto"/>
            <w:left w:val="none" w:sz="0" w:space="0" w:color="auto"/>
            <w:bottom w:val="none" w:sz="0" w:space="0" w:color="auto"/>
            <w:right w:val="none" w:sz="0" w:space="0" w:color="auto"/>
          </w:divBdr>
        </w:div>
        <w:div w:id="621156799">
          <w:marLeft w:val="640"/>
          <w:marRight w:val="0"/>
          <w:marTop w:val="0"/>
          <w:marBottom w:val="0"/>
          <w:divBdr>
            <w:top w:val="none" w:sz="0" w:space="0" w:color="auto"/>
            <w:left w:val="none" w:sz="0" w:space="0" w:color="auto"/>
            <w:bottom w:val="none" w:sz="0" w:space="0" w:color="auto"/>
            <w:right w:val="none" w:sz="0" w:space="0" w:color="auto"/>
          </w:divBdr>
        </w:div>
        <w:div w:id="1199588984">
          <w:marLeft w:val="640"/>
          <w:marRight w:val="0"/>
          <w:marTop w:val="0"/>
          <w:marBottom w:val="0"/>
          <w:divBdr>
            <w:top w:val="none" w:sz="0" w:space="0" w:color="auto"/>
            <w:left w:val="none" w:sz="0" w:space="0" w:color="auto"/>
            <w:bottom w:val="none" w:sz="0" w:space="0" w:color="auto"/>
            <w:right w:val="none" w:sz="0" w:space="0" w:color="auto"/>
          </w:divBdr>
        </w:div>
        <w:div w:id="2041591654">
          <w:marLeft w:val="640"/>
          <w:marRight w:val="0"/>
          <w:marTop w:val="0"/>
          <w:marBottom w:val="0"/>
          <w:divBdr>
            <w:top w:val="none" w:sz="0" w:space="0" w:color="auto"/>
            <w:left w:val="none" w:sz="0" w:space="0" w:color="auto"/>
            <w:bottom w:val="none" w:sz="0" w:space="0" w:color="auto"/>
            <w:right w:val="none" w:sz="0" w:space="0" w:color="auto"/>
          </w:divBdr>
        </w:div>
        <w:div w:id="1397318027">
          <w:marLeft w:val="640"/>
          <w:marRight w:val="0"/>
          <w:marTop w:val="0"/>
          <w:marBottom w:val="0"/>
          <w:divBdr>
            <w:top w:val="none" w:sz="0" w:space="0" w:color="auto"/>
            <w:left w:val="none" w:sz="0" w:space="0" w:color="auto"/>
            <w:bottom w:val="none" w:sz="0" w:space="0" w:color="auto"/>
            <w:right w:val="none" w:sz="0" w:space="0" w:color="auto"/>
          </w:divBdr>
        </w:div>
        <w:div w:id="658118915">
          <w:marLeft w:val="640"/>
          <w:marRight w:val="0"/>
          <w:marTop w:val="0"/>
          <w:marBottom w:val="0"/>
          <w:divBdr>
            <w:top w:val="none" w:sz="0" w:space="0" w:color="auto"/>
            <w:left w:val="none" w:sz="0" w:space="0" w:color="auto"/>
            <w:bottom w:val="none" w:sz="0" w:space="0" w:color="auto"/>
            <w:right w:val="none" w:sz="0" w:space="0" w:color="auto"/>
          </w:divBdr>
        </w:div>
        <w:div w:id="682048786">
          <w:marLeft w:val="640"/>
          <w:marRight w:val="0"/>
          <w:marTop w:val="0"/>
          <w:marBottom w:val="0"/>
          <w:divBdr>
            <w:top w:val="none" w:sz="0" w:space="0" w:color="auto"/>
            <w:left w:val="none" w:sz="0" w:space="0" w:color="auto"/>
            <w:bottom w:val="none" w:sz="0" w:space="0" w:color="auto"/>
            <w:right w:val="none" w:sz="0" w:space="0" w:color="auto"/>
          </w:divBdr>
        </w:div>
        <w:div w:id="75565943">
          <w:marLeft w:val="640"/>
          <w:marRight w:val="0"/>
          <w:marTop w:val="0"/>
          <w:marBottom w:val="0"/>
          <w:divBdr>
            <w:top w:val="none" w:sz="0" w:space="0" w:color="auto"/>
            <w:left w:val="none" w:sz="0" w:space="0" w:color="auto"/>
            <w:bottom w:val="none" w:sz="0" w:space="0" w:color="auto"/>
            <w:right w:val="none" w:sz="0" w:space="0" w:color="auto"/>
          </w:divBdr>
        </w:div>
        <w:div w:id="1601909490">
          <w:marLeft w:val="640"/>
          <w:marRight w:val="0"/>
          <w:marTop w:val="0"/>
          <w:marBottom w:val="0"/>
          <w:divBdr>
            <w:top w:val="none" w:sz="0" w:space="0" w:color="auto"/>
            <w:left w:val="none" w:sz="0" w:space="0" w:color="auto"/>
            <w:bottom w:val="none" w:sz="0" w:space="0" w:color="auto"/>
            <w:right w:val="none" w:sz="0" w:space="0" w:color="auto"/>
          </w:divBdr>
        </w:div>
        <w:div w:id="179205540">
          <w:marLeft w:val="640"/>
          <w:marRight w:val="0"/>
          <w:marTop w:val="0"/>
          <w:marBottom w:val="0"/>
          <w:divBdr>
            <w:top w:val="none" w:sz="0" w:space="0" w:color="auto"/>
            <w:left w:val="none" w:sz="0" w:space="0" w:color="auto"/>
            <w:bottom w:val="none" w:sz="0" w:space="0" w:color="auto"/>
            <w:right w:val="none" w:sz="0" w:space="0" w:color="auto"/>
          </w:divBdr>
        </w:div>
        <w:div w:id="1101023822">
          <w:marLeft w:val="640"/>
          <w:marRight w:val="0"/>
          <w:marTop w:val="0"/>
          <w:marBottom w:val="0"/>
          <w:divBdr>
            <w:top w:val="none" w:sz="0" w:space="0" w:color="auto"/>
            <w:left w:val="none" w:sz="0" w:space="0" w:color="auto"/>
            <w:bottom w:val="none" w:sz="0" w:space="0" w:color="auto"/>
            <w:right w:val="none" w:sz="0" w:space="0" w:color="auto"/>
          </w:divBdr>
        </w:div>
        <w:div w:id="675961669">
          <w:marLeft w:val="640"/>
          <w:marRight w:val="0"/>
          <w:marTop w:val="0"/>
          <w:marBottom w:val="0"/>
          <w:divBdr>
            <w:top w:val="none" w:sz="0" w:space="0" w:color="auto"/>
            <w:left w:val="none" w:sz="0" w:space="0" w:color="auto"/>
            <w:bottom w:val="none" w:sz="0" w:space="0" w:color="auto"/>
            <w:right w:val="none" w:sz="0" w:space="0" w:color="auto"/>
          </w:divBdr>
        </w:div>
        <w:div w:id="444664631">
          <w:marLeft w:val="640"/>
          <w:marRight w:val="0"/>
          <w:marTop w:val="0"/>
          <w:marBottom w:val="0"/>
          <w:divBdr>
            <w:top w:val="none" w:sz="0" w:space="0" w:color="auto"/>
            <w:left w:val="none" w:sz="0" w:space="0" w:color="auto"/>
            <w:bottom w:val="none" w:sz="0" w:space="0" w:color="auto"/>
            <w:right w:val="none" w:sz="0" w:space="0" w:color="auto"/>
          </w:divBdr>
        </w:div>
        <w:div w:id="1081871325">
          <w:marLeft w:val="640"/>
          <w:marRight w:val="0"/>
          <w:marTop w:val="0"/>
          <w:marBottom w:val="0"/>
          <w:divBdr>
            <w:top w:val="none" w:sz="0" w:space="0" w:color="auto"/>
            <w:left w:val="none" w:sz="0" w:space="0" w:color="auto"/>
            <w:bottom w:val="none" w:sz="0" w:space="0" w:color="auto"/>
            <w:right w:val="none" w:sz="0" w:space="0" w:color="auto"/>
          </w:divBdr>
        </w:div>
        <w:div w:id="487215702">
          <w:marLeft w:val="640"/>
          <w:marRight w:val="0"/>
          <w:marTop w:val="0"/>
          <w:marBottom w:val="0"/>
          <w:divBdr>
            <w:top w:val="none" w:sz="0" w:space="0" w:color="auto"/>
            <w:left w:val="none" w:sz="0" w:space="0" w:color="auto"/>
            <w:bottom w:val="none" w:sz="0" w:space="0" w:color="auto"/>
            <w:right w:val="none" w:sz="0" w:space="0" w:color="auto"/>
          </w:divBdr>
        </w:div>
        <w:div w:id="1305624137">
          <w:marLeft w:val="640"/>
          <w:marRight w:val="0"/>
          <w:marTop w:val="0"/>
          <w:marBottom w:val="0"/>
          <w:divBdr>
            <w:top w:val="none" w:sz="0" w:space="0" w:color="auto"/>
            <w:left w:val="none" w:sz="0" w:space="0" w:color="auto"/>
            <w:bottom w:val="none" w:sz="0" w:space="0" w:color="auto"/>
            <w:right w:val="none" w:sz="0" w:space="0" w:color="auto"/>
          </w:divBdr>
        </w:div>
        <w:div w:id="428238940">
          <w:marLeft w:val="640"/>
          <w:marRight w:val="0"/>
          <w:marTop w:val="0"/>
          <w:marBottom w:val="0"/>
          <w:divBdr>
            <w:top w:val="none" w:sz="0" w:space="0" w:color="auto"/>
            <w:left w:val="none" w:sz="0" w:space="0" w:color="auto"/>
            <w:bottom w:val="none" w:sz="0" w:space="0" w:color="auto"/>
            <w:right w:val="none" w:sz="0" w:space="0" w:color="auto"/>
          </w:divBdr>
        </w:div>
        <w:div w:id="1234126739">
          <w:marLeft w:val="640"/>
          <w:marRight w:val="0"/>
          <w:marTop w:val="0"/>
          <w:marBottom w:val="0"/>
          <w:divBdr>
            <w:top w:val="none" w:sz="0" w:space="0" w:color="auto"/>
            <w:left w:val="none" w:sz="0" w:space="0" w:color="auto"/>
            <w:bottom w:val="none" w:sz="0" w:space="0" w:color="auto"/>
            <w:right w:val="none" w:sz="0" w:space="0" w:color="auto"/>
          </w:divBdr>
        </w:div>
        <w:div w:id="1763181441">
          <w:marLeft w:val="640"/>
          <w:marRight w:val="0"/>
          <w:marTop w:val="0"/>
          <w:marBottom w:val="0"/>
          <w:divBdr>
            <w:top w:val="none" w:sz="0" w:space="0" w:color="auto"/>
            <w:left w:val="none" w:sz="0" w:space="0" w:color="auto"/>
            <w:bottom w:val="none" w:sz="0" w:space="0" w:color="auto"/>
            <w:right w:val="none" w:sz="0" w:space="0" w:color="auto"/>
          </w:divBdr>
        </w:div>
        <w:div w:id="1797522554">
          <w:marLeft w:val="640"/>
          <w:marRight w:val="0"/>
          <w:marTop w:val="0"/>
          <w:marBottom w:val="0"/>
          <w:divBdr>
            <w:top w:val="none" w:sz="0" w:space="0" w:color="auto"/>
            <w:left w:val="none" w:sz="0" w:space="0" w:color="auto"/>
            <w:bottom w:val="none" w:sz="0" w:space="0" w:color="auto"/>
            <w:right w:val="none" w:sz="0" w:space="0" w:color="auto"/>
          </w:divBdr>
        </w:div>
      </w:divsChild>
    </w:div>
    <w:div w:id="1419711394">
      <w:bodyDiv w:val="1"/>
      <w:marLeft w:val="0"/>
      <w:marRight w:val="0"/>
      <w:marTop w:val="0"/>
      <w:marBottom w:val="0"/>
      <w:divBdr>
        <w:top w:val="none" w:sz="0" w:space="0" w:color="auto"/>
        <w:left w:val="none" w:sz="0" w:space="0" w:color="auto"/>
        <w:bottom w:val="none" w:sz="0" w:space="0" w:color="auto"/>
        <w:right w:val="none" w:sz="0" w:space="0" w:color="auto"/>
      </w:divBdr>
      <w:divsChild>
        <w:div w:id="5013362">
          <w:marLeft w:val="640"/>
          <w:marRight w:val="0"/>
          <w:marTop w:val="0"/>
          <w:marBottom w:val="0"/>
          <w:divBdr>
            <w:top w:val="none" w:sz="0" w:space="0" w:color="auto"/>
            <w:left w:val="none" w:sz="0" w:space="0" w:color="auto"/>
            <w:bottom w:val="none" w:sz="0" w:space="0" w:color="auto"/>
            <w:right w:val="none" w:sz="0" w:space="0" w:color="auto"/>
          </w:divBdr>
        </w:div>
        <w:div w:id="1471089746">
          <w:marLeft w:val="640"/>
          <w:marRight w:val="0"/>
          <w:marTop w:val="0"/>
          <w:marBottom w:val="0"/>
          <w:divBdr>
            <w:top w:val="none" w:sz="0" w:space="0" w:color="auto"/>
            <w:left w:val="none" w:sz="0" w:space="0" w:color="auto"/>
            <w:bottom w:val="none" w:sz="0" w:space="0" w:color="auto"/>
            <w:right w:val="none" w:sz="0" w:space="0" w:color="auto"/>
          </w:divBdr>
        </w:div>
        <w:div w:id="558904953">
          <w:marLeft w:val="640"/>
          <w:marRight w:val="0"/>
          <w:marTop w:val="0"/>
          <w:marBottom w:val="0"/>
          <w:divBdr>
            <w:top w:val="none" w:sz="0" w:space="0" w:color="auto"/>
            <w:left w:val="none" w:sz="0" w:space="0" w:color="auto"/>
            <w:bottom w:val="none" w:sz="0" w:space="0" w:color="auto"/>
            <w:right w:val="none" w:sz="0" w:space="0" w:color="auto"/>
          </w:divBdr>
        </w:div>
        <w:div w:id="1684623167">
          <w:marLeft w:val="640"/>
          <w:marRight w:val="0"/>
          <w:marTop w:val="0"/>
          <w:marBottom w:val="0"/>
          <w:divBdr>
            <w:top w:val="none" w:sz="0" w:space="0" w:color="auto"/>
            <w:left w:val="none" w:sz="0" w:space="0" w:color="auto"/>
            <w:bottom w:val="none" w:sz="0" w:space="0" w:color="auto"/>
            <w:right w:val="none" w:sz="0" w:space="0" w:color="auto"/>
          </w:divBdr>
        </w:div>
        <w:div w:id="988440474">
          <w:marLeft w:val="640"/>
          <w:marRight w:val="0"/>
          <w:marTop w:val="0"/>
          <w:marBottom w:val="0"/>
          <w:divBdr>
            <w:top w:val="none" w:sz="0" w:space="0" w:color="auto"/>
            <w:left w:val="none" w:sz="0" w:space="0" w:color="auto"/>
            <w:bottom w:val="none" w:sz="0" w:space="0" w:color="auto"/>
            <w:right w:val="none" w:sz="0" w:space="0" w:color="auto"/>
          </w:divBdr>
        </w:div>
        <w:div w:id="850530323">
          <w:marLeft w:val="640"/>
          <w:marRight w:val="0"/>
          <w:marTop w:val="0"/>
          <w:marBottom w:val="0"/>
          <w:divBdr>
            <w:top w:val="none" w:sz="0" w:space="0" w:color="auto"/>
            <w:left w:val="none" w:sz="0" w:space="0" w:color="auto"/>
            <w:bottom w:val="none" w:sz="0" w:space="0" w:color="auto"/>
            <w:right w:val="none" w:sz="0" w:space="0" w:color="auto"/>
          </w:divBdr>
        </w:div>
        <w:div w:id="917131403">
          <w:marLeft w:val="640"/>
          <w:marRight w:val="0"/>
          <w:marTop w:val="0"/>
          <w:marBottom w:val="0"/>
          <w:divBdr>
            <w:top w:val="none" w:sz="0" w:space="0" w:color="auto"/>
            <w:left w:val="none" w:sz="0" w:space="0" w:color="auto"/>
            <w:bottom w:val="none" w:sz="0" w:space="0" w:color="auto"/>
            <w:right w:val="none" w:sz="0" w:space="0" w:color="auto"/>
          </w:divBdr>
        </w:div>
        <w:div w:id="1970013808">
          <w:marLeft w:val="640"/>
          <w:marRight w:val="0"/>
          <w:marTop w:val="0"/>
          <w:marBottom w:val="0"/>
          <w:divBdr>
            <w:top w:val="none" w:sz="0" w:space="0" w:color="auto"/>
            <w:left w:val="none" w:sz="0" w:space="0" w:color="auto"/>
            <w:bottom w:val="none" w:sz="0" w:space="0" w:color="auto"/>
            <w:right w:val="none" w:sz="0" w:space="0" w:color="auto"/>
          </w:divBdr>
        </w:div>
        <w:div w:id="1870020546">
          <w:marLeft w:val="640"/>
          <w:marRight w:val="0"/>
          <w:marTop w:val="0"/>
          <w:marBottom w:val="0"/>
          <w:divBdr>
            <w:top w:val="none" w:sz="0" w:space="0" w:color="auto"/>
            <w:left w:val="none" w:sz="0" w:space="0" w:color="auto"/>
            <w:bottom w:val="none" w:sz="0" w:space="0" w:color="auto"/>
            <w:right w:val="none" w:sz="0" w:space="0" w:color="auto"/>
          </w:divBdr>
        </w:div>
        <w:div w:id="54820082">
          <w:marLeft w:val="640"/>
          <w:marRight w:val="0"/>
          <w:marTop w:val="0"/>
          <w:marBottom w:val="0"/>
          <w:divBdr>
            <w:top w:val="none" w:sz="0" w:space="0" w:color="auto"/>
            <w:left w:val="none" w:sz="0" w:space="0" w:color="auto"/>
            <w:bottom w:val="none" w:sz="0" w:space="0" w:color="auto"/>
            <w:right w:val="none" w:sz="0" w:space="0" w:color="auto"/>
          </w:divBdr>
        </w:div>
        <w:div w:id="90205116">
          <w:marLeft w:val="640"/>
          <w:marRight w:val="0"/>
          <w:marTop w:val="0"/>
          <w:marBottom w:val="0"/>
          <w:divBdr>
            <w:top w:val="none" w:sz="0" w:space="0" w:color="auto"/>
            <w:left w:val="none" w:sz="0" w:space="0" w:color="auto"/>
            <w:bottom w:val="none" w:sz="0" w:space="0" w:color="auto"/>
            <w:right w:val="none" w:sz="0" w:space="0" w:color="auto"/>
          </w:divBdr>
        </w:div>
        <w:div w:id="773550565">
          <w:marLeft w:val="640"/>
          <w:marRight w:val="0"/>
          <w:marTop w:val="0"/>
          <w:marBottom w:val="0"/>
          <w:divBdr>
            <w:top w:val="none" w:sz="0" w:space="0" w:color="auto"/>
            <w:left w:val="none" w:sz="0" w:space="0" w:color="auto"/>
            <w:bottom w:val="none" w:sz="0" w:space="0" w:color="auto"/>
            <w:right w:val="none" w:sz="0" w:space="0" w:color="auto"/>
          </w:divBdr>
        </w:div>
        <w:div w:id="2011786819">
          <w:marLeft w:val="640"/>
          <w:marRight w:val="0"/>
          <w:marTop w:val="0"/>
          <w:marBottom w:val="0"/>
          <w:divBdr>
            <w:top w:val="none" w:sz="0" w:space="0" w:color="auto"/>
            <w:left w:val="none" w:sz="0" w:space="0" w:color="auto"/>
            <w:bottom w:val="none" w:sz="0" w:space="0" w:color="auto"/>
            <w:right w:val="none" w:sz="0" w:space="0" w:color="auto"/>
          </w:divBdr>
        </w:div>
        <w:div w:id="943924934">
          <w:marLeft w:val="640"/>
          <w:marRight w:val="0"/>
          <w:marTop w:val="0"/>
          <w:marBottom w:val="0"/>
          <w:divBdr>
            <w:top w:val="none" w:sz="0" w:space="0" w:color="auto"/>
            <w:left w:val="none" w:sz="0" w:space="0" w:color="auto"/>
            <w:bottom w:val="none" w:sz="0" w:space="0" w:color="auto"/>
            <w:right w:val="none" w:sz="0" w:space="0" w:color="auto"/>
          </w:divBdr>
        </w:div>
        <w:div w:id="300430558">
          <w:marLeft w:val="640"/>
          <w:marRight w:val="0"/>
          <w:marTop w:val="0"/>
          <w:marBottom w:val="0"/>
          <w:divBdr>
            <w:top w:val="none" w:sz="0" w:space="0" w:color="auto"/>
            <w:left w:val="none" w:sz="0" w:space="0" w:color="auto"/>
            <w:bottom w:val="none" w:sz="0" w:space="0" w:color="auto"/>
            <w:right w:val="none" w:sz="0" w:space="0" w:color="auto"/>
          </w:divBdr>
        </w:div>
        <w:div w:id="1311129399">
          <w:marLeft w:val="640"/>
          <w:marRight w:val="0"/>
          <w:marTop w:val="0"/>
          <w:marBottom w:val="0"/>
          <w:divBdr>
            <w:top w:val="none" w:sz="0" w:space="0" w:color="auto"/>
            <w:left w:val="none" w:sz="0" w:space="0" w:color="auto"/>
            <w:bottom w:val="none" w:sz="0" w:space="0" w:color="auto"/>
            <w:right w:val="none" w:sz="0" w:space="0" w:color="auto"/>
          </w:divBdr>
        </w:div>
        <w:div w:id="1119446202">
          <w:marLeft w:val="640"/>
          <w:marRight w:val="0"/>
          <w:marTop w:val="0"/>
          <w:marBottom w:val="0"/>
          <w:divBdr>
            <w:top w:val="none" w:sz="0" w:space="0" w:color="auto"/>
            <w:left w:val="none" w:sz="0" w:space="0" w:color="auto"/>
            <w:bottom w:val="none" w:sz="0" w:space="0" w:color="auto"/>
            <w:right w:val="none" w:sz="0" w:space="0" w:color="auto"/>
          </w:divBdr>
        </w:div>
        <w:div w:id="1703168512">
          <w:marLeft w:val="640"/>
          <w:marRight w:val="0"/>
          <w:marTop w:val="0"/>
          <w:marBottom w:val="0"/>
          <w:divBdr>
            <w:top w:val="none" w:sz="0" w:space="0" w:color="auto"/>
            <w:left w:val="none" w:sz="0" w:space="0" w:color="auto"/>
            <w:bottom w:val="none" w:sz="0" w:space="0" w:color="auto"/>
            <w:right w:val="none" w:sz="0" w:space="0" w:color="auto"/>
          </w:divBdr>
        </w:div>
        <w:div w:id="272251764">
          <w:marLeft w:val="640"/>
          <w:marRight w:val="0"/>
          <w:marTop w:val="0"/>
          <w:marBottom w:val="0"/>
          <w:divBdr>
            <w:top w:val="none" w:sz="0" w:space="0" w:color="auto"/>
            <w:left w:val="none" w:sz="0" w:space="0" w:color="auto"/>
            <w:bottom w:val="none" w:sz="0" w:space="0" w:color="auto"/>
            <w:right w:val="none" w:sz="0" w:space="0" w:color="auto"/>
          </w:divBdr>
        </w:div>
        <w:div w:id="2083529395">
          <w:marLeft w:val="640"/>
          <w:marRight w:val="0"/>
          <w:marTop w:val="0"/>
          <w:marBottom w:val="0"/>
          <w:divBdr>
            <w:top w:val="none" w:sz="0" w:space="0" w:color="auto"/>
            <w:left w:val="none" w:sz="0" w:space="0" w:color="auto"/>
            <w:bottom w:val="none" w:sz="0" w:space="0" w:color="auto"/>
            <w:right w:val="none" w:sz="0" w:space="0" w:color="auto"/>
          </w:divBdr>
        </w:div>
        <w:div w:id="1336803434">
          <w:marLeft w:val="640"/>
          <w:marRight w:val="0"/>
          <w:marTop w:val="0"/>
          <w:marBottom w:val="0"/>
          <w:divBdr>
            <w:top w:val="none" w:sz="0" w:space="0" w:color="auto"/>
            <w:left w:val="none" w:sz="0" w:space="0" w:color="auto"/>
            <w:bottom w:val="none" w:sz="0" w:space="0" w:color="auto"/>
            <w:right w:val="none" w:sz="0" w:space="0" w:color="auto"/>
          </w:divBdr>
        </w:div>
        <w:div w:id="2057847444">
          <w:marLeft w:val="640"/>
          <w:marRight w:val="0"/>
          <w:marTop w:val="0"/>
          <w:marBottom w:val="0"/>
          <w:divBdr>
            <w:top w:val="none" w:sz="0" w:space="0" w:color="auto"/>
            <w:left w:val="none" w:sz="0" w:space="0" w:color="auto"/>
            <w:bottom w:val="none" w:sz="0" w:space="0" w:color="auto"/>
            <w:right w:val="none" w:sz="0" w:space="0" w:color="auto"/>
          </w:divBdr>
        </w:div>
        <w:div w:id="1414012304">
          <w:marLeft w:val="640"/>
          <w:marRight w:val="0"/>
          <w:marTop w:val="0"/>
          <w:marBottom w:val="0"/>
          <w:divBdr>
            <w:top w:val="none" w:sz="0" w:space="0" w:color="auto"/>
            <w:left w:val="none" w:sz="0" w:space="0" w:color="auto"/>
            <w:bottom w:val="none" w:sz="0" w:space="0" w:color="auto"/>
            <w:right w:val="none" w:sz="0" w:space="0" w:color="auto"/>
          </w:divBdr>
        </w:div>
        <w:div w:id="515926109">
          <w:marLeft w:val="640"/>
          <w:marRight w:val="0"/>
          <w:marTop w:val="0"/>
          <w:marBottom w:val="0"/>
          <w:divBdr>
            <w:top w:val="none" w:sz="0" w:space="0" w:color="auto"/>
            <w:left w:val="none" w:sz="0" w:space="0" w:color="auto"/>
            <w:bottom w:val="none" w:sz="0" w:space="0" w:color="auto"/>
            <w:right w:val="none" w:sz="0" w:space="0" w:color="auto"/>
          </w:divBdr>
        </w:div>
        <w:div w:id="1521117366">
          <w:marLeft w:val="640"/>
          <w:marRight w:val="0"/>
          <w:marTop w:val="0"/>
          <w:marBottom w:val="0"/>
          <w:divBdr>
            <w:top w:val="none" w:sz="0" w:space="0" w:color="auto"/>
            <w:left w:val="none" w:sz="0" w:space="0" w:color="auto"/>
            <w:bottom w:val="none" w:sz="0" w:space="0" w:color="auto"/>
            <w:right w:val="none" w:sz="0" w:space="0" w:color="auto"/>
          </w:divBdr>
        </w:div>
        <w:div w:id="1136601486">
          <w:marLeft w:val="640"/>
          <w:marRight w:val="0"/>
          <w:marTop w:val="0"/>
          <w:marBottom w:val="0"/>
          <w:divBdr>
            <w:top w:val="none" w:sz="0" w:space="0" w:color="auto"/>
            <w:left w:val="none" w:sz="0" w:space="0" w:color="auto"/>
            <w:bottom w:val="none" w:sz="0" w:space="0" w:color="auto"/>
            <w:right w:val="none" w:sz="0" w:space="0" w:color="auto"/>
          </w:divBdr>
        </w:div>
        <w:div w:id="1269850304">
          <w:marLeft w:val="640"/>
          <w:marRight w:val="0"/>
          <w:marTop w:val="0"/>
          <w:marBottom w:val="0"/>
          <w:divBdr>
            <w:top w:val="none" w:sz="0" w:space="0" w:color="auto"/>
            <w:left w:val="none" w:sz="0" w:space="0" w:color="auto"/>
            <w:bottom w:val="none" w:sz="0" w:space="0" w:color="auto"/>
            <w:right w:val="none" w:sz="0" w:space="0" w:color="auto"/>
          </w:divBdr>
        </w:div>
        <w:div w:id="1094745095">
          <w:marLeft w:val="640"/>
          <w:marRight w:val="0"/>
          <w:marTop w:val="0"/>
          <w:marBottom w:val="0"/>
          <w:divBdr>
            <w:top w:val="none" w:sz="0" w:space="0" w:color="auto"/>
            <w:left w:val="none" w:sz="0" w:space="0" w:color="auto"/>
            <w:bottom w:val="none" w:sz="0" w:space="0" w:color="auto"/>
            <w:right w:val="none" w:sz="0" w:space="0" w:color="auto"/>
          </w:divBdr>
        </w:div>
      </w:divsChild>
    </w:div>
    <w:div w:id="1463040076">
      <w:bodyDiv w:val="1"/>
      <w:marLeft w:val="0"/>
      <w:marRight w:val="0"/>
      <w:marTop w:val="0"/>
      <w:marBottom w:val="0"/>
      <w:divBdr>
        <w:top w:val="none" w:sz="0" w:space="0" w:color="auto"/>
        <w:left w:val="none" w:sz="0" w:space="0" w:color="auto"/>
        <w:bottom w:val="none" w:sz="0" w:space="0" w:color="auto"/>
        <w:right w:val="none" w:sz="0" w:space="0" w:color="auto"/>
      </w:divBdr>
    </w:div>
    <w:div w:id="1550529157">
      <w:bodyDiv w:val="1"/>
      <w:marLeft w:val="0"/>
      <w:marRight w:val="0"/>
      <w:marTop w:val="0"/>
      <w:marBottom w:val="0"/>
      <w:divBdr>
        <w:top w:val="none" w:sz="0" w:space="0" w:color="auto"/>
        <w:left w:val="none" w:sz="0" w:space="0" w:color="auto"/>
        <w:bottom w:val="none" w:sz="0" w:space="0" w:color="auto"/>
        <w:right w:val="none" w:sz="0" w:space="0" w:color="auto"/>
      </w:divBdr>
    </w:div>
    <w:div w:id="1624725260">
      <w:bodyDiv w:val="1"/>
      <w:marLeft w:val="0"/>
      <w:marRight w:val="0"/>
      <w:marTop w:val="0"/>
      <w:marBottom w:val="0"/>
      <w:divBdr>
        <w:top w:val="none" w:sz="0" w:space="0" w:color="auto"/>
        <w:left w:val="none" w:sz="0" w:space="0" w:color="auto"/>
        <w:bottom w:val="none" w:sz="0" w:space="0" w:color="auto"/>
        <w:right w:val="none" w:sz="0" w:space="0" w:color="auto"/>
      </w:divBdr>
      <w:divsChild>
        <w:div w:id="394664983">
          <w:marLeft w:val="480"/>
          <w:marRight w:val="0"/>
          <w:marTop w:val="0"/>
          <w:marBottom w:val="0"/>
          <w:divBdr>
            <w:top w:val="none" w:sz="0" w:space="0" w:color="auto"/>
            <w:left w:val="none" w:sz="0" w:space="0" w:color="auto"/>
            <w:bottom w:val="none" w:sz="0" w:space="0" w:color="auto"/>
            <w:right w:val="none" w:sz="0" w:space="0" w:color="auto"/>
          </w:divBdr>
        </w:div>
        <w:div w:id="1096368264">
          <w:marLeft w:val="480"/>
          <w:marRight w:val="0"/>
          <w:marTop w:val="0"/>
          <w:marBottom w:val="0"/>
          <w:divBdr>
            <w:top w:val="none" w:sz="0" w:space="0" w:color="auto"/>
            <w:left w:val="none" w:sz="0" w:space="0" w:color="auto"/>
            <w:bottom w:val="none" w:sz="0" w:space="0" w:color="auto"/>
            <w:right w:val="none" w:sz="0" w:space="0" w:color="auto"/>
          </w:divBdr>
        </w:div>
        <w:div w:id="955210159">
          <w:marLeft w:val="480"/>
          <w:marRight w:val="0"/>
          <w:marTop w:val="0"/>
          <w:marBottom w:val="0"/>
          <w:divBdr>
            <w:top w:val="none" w:sz="0" w:space="0" w:color="auto"/>
            <w:left w:val="none" w:sz="0" w:space="0" w:color="auto"/>
            <w:bottom w:val="none" w:sz="0" w:space="0" w:color="auto"/>
            <w:right w:val="none" w:sz="0" w:space="0" w:color="auto"/>
          </w:divBdr>
        </w:div>
        <w:div w:id="524249771">
          <w:marLeft w:val="480"/>
          <w:marRight w:val="0"/>
          <w:marTop w:val="0"/>
          <w:marBottom w:val="0"/>
          <w:divBdr>
            <w:top w:val="none" w:sz="0" w:space="0" w:color="auto"/>
            <w:left w:val="none" w:sz="0" w:space="0" w:color="auto"/>
            <w:bottom w:val="none" w:sz="0" w:space="0" w:color="auto"/>
            <w:right w:val="none" w:sz="0" w:space="0" w:color="auto"/>
          </w:divBdr>
        </w:div>
        <w:div w:id="1241714579">
          <w:marLeft w:val="480"/>
          <w:marRight w:val="0"/>
          <w:marTop w:val="0"/>
          <w:marBottom w:val="0"/>
          <w:divBdr>
            <w:top w:val="none" w:sz="0" w:space="0" w:color="auto"/>
            <w:left w:val="none" w:sz="0" w:space="0" w:color="auto"/>
            <w:bottom w:val="none" w:sz="0" w:space="0" w:color="auto"/>
            <w:right w:val="none" w:sz="0" w:space="0" w:color="auto"/>
          </w:divBdr>
        </w:div>
        <w:div w:id="103813411">
          <w:marLeft w:val="480"/>
          <w:marRight w:val="0"/>
          <w:marTop w:val="0"/>
          <w:marBottom w:val="0"/>
          <w:divBdr>
            <w:top w:val="none" w:sz="0" w:space="0" w:color="auto"/>
            <w:left w:val="none" w:sz="0" w:space="0" w:color="auto"/>
            <w:bottom w:val="none" w:sz="0" w:space="0" w:color="auto"/>
            <w:right w:val="none" w:sz="0" w:space="0" w:color="auto"/>
          </w:divBdr>
        </w:div>
        <w:div w:id="1799881635">
          <w:marLeft w:val="480"/>
          <w:marRight w:val="0"/>
          <w:marTop w:val="0"/>
          <w:marBottom w:val="0"/>
          <w:divBdr>
            <w:top w:val="none" w:sz="0" w:space="0" w:color="auto"/>
            <w:left w:val="none" w:sz="0" w:space="0" w:color="auto"/>
            <w:bottom w:val="none" w:sz="0" w:space="0" w:color="auto"/>
            <w:right w:val="none" w:sz="0" w:space="0" w:color="auto"/>
          </w:divBdr>
        </w:div>
        <w:div w:id="2100635516">
          <w:marLeft w:val="480"/>
          <w:marRight w:val="0"/>
          <w:marTop w:val="0"/>
          <w:marBottom w:val="0"/>
          <w:divBdr>
            <w:top w:val="none" w:sz="0" w:space="0" w:color="auto"/>
            <w:left w:val="none" w:sz="0" w:space="0" w:color="auto"/>
            <w:bottom w:val="none" w:sz="0" w:space="0" w:color="auto"/>
            <w:right w:val="none" w:sz="0" w:space="0" w:color="auto"/>
          </w:divBdr>
        </w:div>
        <w:div w:id="1726759688">
          <w:marLeft w:val="480"/>
          <w:marRight w:val="0"/>
          <w:marTop w:val="0"/>
          <w:marBottom w:val="0"/>
          <w:divBdr>
            <w:top w:val="none" w:sz="0" w:space="0" w:color="auto"/>
            <w:left w:val="none" w:sz="0" w:space="0" w:color="auto"/>
            <w:bottom w:val="none" w:sz="0" w:space="0" w:color="auto"/>
            <w:right w:val="none" w:sz="0" w:space="0" w:color="auto"/>
          </w:divBdr>
        </w:div>
        <w:div w:id="500630465">
          <w:marLeft w:val="480"/>
          <w:marRight w:val="0"/>
          <w:marTop w:val="0"/>
          <w:marBottom w:val="0"/>
          <w:divBdr>
            <w:top w:val="none" w:sz="0" w:space="0" w:color="auto"/>
            <w:left w:val="none" w:sz="0" w:space="0" w:color="auto"/>
            <w:bottom w:val="none" w:sz="0" w:space="0" w:color="auto"/>
            <w:right w:val="none" w:sz="0" w:space="0" w:color="auto"/>
          </w:divBdr>
        </w:div>
        <w:div w:id="406222785">
          <w:marLeft w:val="480"/>
          <w:marRight w:val="0"/>
          <w:marTop w:val="0"/>
          <w:marBottom w:val="0"/>
          <w:divBdr>
            <w:top w:val="none" w:sz="0" w:space="0" w:color="auto"/>
            <w:left w:val="none" w:sz="0" w:space="0" w:color="auto"/>
            <w:bottom w:val="none" w:sz="0" w:space="0" w:color="auto"/>
            <w:right w:val="none" w:sz="0" w:space="0" w:color="auto"/>
          </w:divBdr>
        </w:div>
        <w:div w:id="1393774688">
          <w:marLeft w:val="480"/>
          <w:marRight w:val="0"/>
          <w:marTop w:val="0"/>
          <w:marBottom w:val="0"/>
          <w:divBdr>
            <w:top w:val="none" w:sz="0" w:space="0" w:color="auto"/>
            <w:left w:val="none" w:sz="0" w:space="0" w:color="auto"/>
            <w:bottom w:val="none" w:sz="0" w:space="0" w:color="auto"/>
            <w:right w:val="none" w:sz="0" w:space="0" w:color="auto"/>
          </w:divBdr>
        </w:div>
        <w:div w:id="314651899">
          <w:marLeft w:val="480"/>
          <w:marRight w:val="0"/>
          <w:marTop w:val="0"/>
          <w:marBottom w:val="0"/>
          <w:divBdr>
            <w:top w:val="none" w:sz="0" w:space="0" w:color="auto"/>
            <w:left w:val="none" w:sz="0" w:space="0" w:color="auto"/>
            <w:bottom w:val="none" w:sz="0" w:space="0" w:color="auto"/>
            <w:right w:val="none" w:sz="0" w:space="0" w:color="auto"/>
          </w:divBdr>
        </w:div>
        <w:div w:id="181673636">
          <w:marLeft w:val="480"/>
          <w:marRight w:val="0"/>
          <w:marTop w:val="0"/>
          <w:marBottom w:val="0"/>
          <w:divBdr>
            <w:top w:val="none" w:sz="0" w:space="0" w:color="auto"/>
            <w:left w:val="none" w:sz="0" w:space="0" w:color="auto"/>
            <w:bottom w:val="none" w:sz="0" w:space="0" w:color="auto"/>
            <w:right w:val="none" w:sz="0" w:space="0" w:color="auto"/>
          </w:divBdr>
        </w:div>
        <w:div w:id="337970804">
          <w:marLeft w:val="480"/>
          <w:marRight w:val="0"/>
          <w:marTop w:val="0"/>
          <w:marBottom w:val="0"/>
          <w:divBdr>
            <w:top w:val="none" w:sz="0" w:space="0" w:color="auto"/>
            <w:left w:val="none" w:sz="0" w:space="0" w:color="auto"/>
            <w:bottom w:val="none" w:sz="0" w:space="0" w:color="auto"/>
            <w:right w:val="none" w:sz="0" w:space="0" w:color="auto"/>
          </w:divBdr>
        </w:div>
        <w:div w:id="565844166">
          <w:marLeft w:val="480"/>
          <w:marRight w:val="0"/>
          <w:marTop w:val="0"/>
          <w:marBottom w:val="0"/>
          <w:divBdr>
            <w:top w:val="none" w:sz="0" w:space="0" w:color="auto"/>
            <w:left w:val="none" w:sz="0" w:space="0" w:color="auto"/>
            <w:bottom w:val="none" w:sz="0" w:space="0" w:color="auto"/>
            <w:right w:val="none" w:sz="0" w:space="0" w:color="auto"/>
          </w:divBdr>
        </w:div>
        <w:div w:id="1701052827">
          <w:marLeft w:val="480"/>
          <w:marRight w:val="0"/>
          <w:marTop w:val="0"/>
          <w:marBottom w:val="0"/>
          <w:divBdr>
            <w:top w:val="none" w:sz="0" w:space="0" w:color="auto"/>
            <w:left w:val="none" w:sz="0" w:space="0" w:color="auto"/>
            <w:bottom w:val="none" w:sz="0" w:space="0" w:color="auto"/>
            <w:right w:val="none" w:sz="0" w:space="0" w:color="auto"/>
          </w:divBdr>
        </w:div>
        <w:div w:id="786004459">
          <w:marLeft w:val="480"/>
          <w:marRight w:val="0"/>
          <w:marTop w:val="0"/>
          <w:marBottom w:val="0"/>
          <w:divBdr>
            <w:top w:val="none" w:sz="0" w:space="0" w:color="auto"/>
            <w:left w:val="none" w:sz="0" w:space="0" w:color="auto"/>
            <w:bottom w:val="none" w:sz="0" w:space="0" w:color="auto"/>
            <w:right w:val="none" w:sz="0" w:space="0" w:color="auto"/>
          </w:divBdr>
        </w:div>
        <w:div w:id="1382486556">
          <w:marLeft w:val="480"/>
          <w:marRight w:val="0"/>
          <w:marTop w:val="0"/>
          <w:marBottom w:val="0"/>
          <w:divBdr>
            <w:top w:val="none" w:sz="0" w:space="0" w:color="auto"/>
            <w:left w:val="none" w:sz="0" w:space="0" w:color="auto"/>
            <w:bottom w:val="none" w:sz="0" w:space="0" w:color="auto"/>
            <w:right w:val="none" w:sz="0" w:space="0" w:color="auto"/>
          </w:divBdr>
        </w:div>
        <w:div w:id="1305308259">
          <w:marLeft w:val="480"/>
          <w:marRight w:val="0"/>
          <w:marTop w:val="0"/>
          <w:marBottom w:val="0"/>
          <w:divBdr>
            <w:top w:val="none" w:sz="0" w:space="0" w:color="auto"/>
            <w:left w:val="none" w:sz="0" w:space="0" w:color="auto"/>
            <w:bottom w:val="none" w:sz="0" w:space="0" w:color="auto"/>
            <w:right w:val="none" w:sz="0" w:space="0" w:color="auto"/>
          </w:divBdr>
        </w:div>
        <w:div w:id="694113005">
          <w:marLeft w:val="480"/>
          <w:marRight w:val="0"/>
          <w:marTop w:val="0"/>
          <w:marBottom w:val="0"/>
          <w:divBdr>
            <w:top w:val="none" w:sz="0" w:space="0" w:color="auto"/>
            <w:left w:val="none" w:sz="0" w:space="0" w:color="auto"/>
            <w:bottom w:val="none" w:sz="0" w:space="0" w:color="auto"/>
            <w:right w:val="none" w:sz="0" w:space="0" w:color="auto"/>
          </w:divBdr>
        </w:div>
        <w:div w:id="1979872315">
          <w:marLeft w:val="480"/>
          <w:marRight w:val="0"/>
          <w:marTop w:val="0"/>
          <w:marBottom w:val="0"/>
          <w:divBdr>
            <w:top w:val="none" w:sz="0" w:space="0" w:color="auto"/>
            <w:left w:val="none" w:sz="0" w:space="0" w:color="auto"/>
            <w:bottom w:val="none" w:sz="0" w:space="0" w:color="auto"/>
            <w:right w:val="none" w:sz="0" w:space="0" w:color="auto"/>
          </w:divBdr>
        </w:div>
        <w:div w:id="809176911">
          <w:marLeft w:val="480"/>
          <w:marRight w:val="0"/>
          <w:marTop w:val="0"/>
          <w:marBottom w:val="0"/>
          <w:divBdr>
            <w:top w:val="none" w:sz="0" w:space="0" w:color="auto"/>
            <w:left w:val="none" w:sz="0" w:space="0" w:color="auto"/>
            <w:bottom w:val="none" w:sz="0" w:space="0" w:color="auto"/>
            <w:right w:val="none" w:sz="0" w:space="0" w:color="auto"/>
          </w:divBdr>
        </w:div>
        <w:div w:id="1247111699">
          <w:marLeft w:val="480"/>
          <w:marRight w:val="0"/>
          <w:marTop w:val="0"/>
          <w:marBottom w:val="0"/>
          <w:divBdr>
            <w:top w:val="none" w:sz="0" w:space="0" w:color="auto"/>
            <w:left w:val="none" w:sz="0" w:space="0" w:color="auto"/>
            <w:bottom w:val="none" w:sz="0" w:space="0" w:color="auto"/>
            <w:right w:val="none" w:sz="0" w:space="0" w:color="auto"/>
          </w:divBdr>
        </w:div>
        <w:div w:id="2125686523">
          <w:marLeft w:val="480"/>
          <w:marRight w:val="0"/>
          <w:marTop w:val="0"/>
          <w:marBottom w:val="0"/>
          <w:divBdr>
            <w:top w:val="none" w:sz="0" w:space="0" w:color="auto"/>
            <w:left w:val="none" w:sz="0" w:space="0" w:color="auto"/>
            <w:bottom w:val="none" w:sz="0" w:space="0" w:color="auto"/>
            <w:right w:val="none" w:sz="0" w:space="0" w:color="auto"/>
          </w:divBdr>
        </w:div>
        <w:div w:id="1464154444">
          <w:marLeft w:val="480"/>
          <w:marRight w:val="0"/>
          <w:marTop w:val="0"/>
          <w:marBottom w:val="0"/>
          <w:divBdr>
            <w:top w:val="none" w:sz="0" w:space="0" w:color="auto"/>
            <w:left w:val="none" w:sz="0" w:space="0" w:color="auto"/>
            <w:bottom w:val="none" w:sz="0" w:space="0" w:color="auto"/>
            <w:right w:val="none" w:sz="0" w:space="0" w:color="auto"/>
          </w:divBdr>
        </w:div>
        <w:div w:id="744184105">
          <w:marLeft w:val="480"/>
          <w:marRight w:val="0"/>
          <w:marTop w:val="0"/>
          <w:marBottom w:val="0"/>
          <w:divBdr>
            <w:top w:val="none" w:sz="0" w:space="0" w:color="auto"/>
            <w:left w:val="none" w:sz="0" w:space="0" w:color="auto"/>
            <w:bottom w:val="none" w:sz="0" w:space="0" w:color="auto"/>
            <w:right w:val="none" w:sz="0" w:space="0" w:color="auto"/>
          </w:divBdr>
        </w:div>
        <w:div w:id="240141596">
          <w:marLeft w:val="480"/>
          <w:marRight w:val="0"/>
          <w:marTop w:val="0"/>
          <w:marBottom w:val="0"/>
          <w:divBdr>
            <w:top w:val="none" w:sz="0" w:space="0" w:color="auto"/>
            <w:left w:val="none" w:sz="0" w:space="0" w:color="auto"/>
            <w:bottom w:val="none" w:sz="0" w:space="0" w:color="auto"/>
            <w:right w:val="none" w:sz="0" w:space="0" w:color="auto"/>
          </w:divBdr>
        </w:div>
      </w:divsChild>
    </w:div>
    <w:div w:id="1626429469">
      <w:bodyDiv w:val="1"/>
      <w:marLeft w:val="0"/>
      <w:marRight w:val="0"/>
      <w:marTop w:val="0"/>
      <w:marBottom w:val="0"/>
      <w:divBdr>
        <w:top w:val="none" w:sz="0" w:space="0" w:color="auto"/>
        <w:left w:val="none" w:sz="0" w:space="0" w:color="auto"/>
        <w:bottom w:val="none" w:sz="0" w:space="0" w:color="auto"/>
        <w:right w:val="none" w:sz="0" w:space="0" w:color="auto"/>
      </w:divBdr>
    </w:div>
    <w:div w:id="1681589914">
      <w:bodyDiv w:val="1"/>
      <w:marLeft w:val="0"/>
      <w:marRight w:val="0"/>
      <w:marTop w:val="0"/>
      <w:marBottom w:val="0"/>
      <w:divBdr>
        <w:top w:val="none" w:sz="0" w:space="0" w:color="auto"/>
        <w:left w:val="none" w:sz="0" w:space="0" w:color="auto"/>
        <w:bottom w:val="none" w:sz="0" w:space="0" w:color="auto"/>
        <w:right w:val="none" w:sz="0" w:space="0" w:color="auto"/>
      </w:divBdr>
    </w:div>
    <w:div w:id="1685208930">
      <w:bodyDiv w:val="1"/>
      <w:marLeft w:val="0"/>
      <w:marRight w:val="0"/>
      <w:marTop w:val="0"/>
      <w:marBottom w:val="0"/>
      <w:divBdr>
        <w:top w:val="none" w:sz="0" w:space="0" w:color="auto"/>
        <w:left w:val="none" w:sz="0" w:space="0" w:color="auto"/>
        <w:bottom w:val="none" w:sz="0" w:space="0" w:color="auto"/>
        <w:right w:val="none" w:sz="0" w:space="0" w:color="auto"/>
      </w:divBdr>
    </w:div>
    <w:div w:id="1948072749">
      <w:bodyDiv w:val="1"/>
      <w:marLeft w:val="0"/>
      <w:marRight w:val="0"/>
      <w:marTop w:val="0"/>
      <w:marBottom w:val="0"/>
      <w:divBdr>
        <w:top w:val="none" w:sz="0" w:space="0" w:color="auto"/>
        <w:left w:val="none" w:sz="0" w:space="0" w:color="auto"/>
        <w:bottom w:val="none" w:sz="0" w:space="0" w:color="auto"/>
        <w:right w:val="none" w:sz="0" w:space="0" w:color="auto"/>
      </w:divBdr>
    </w:div>
    <w:div w:id="2039041518">
      <w:bodyDiv w:val="1"/>
      <w:marLeft w:val="0"/>
      <w:marRight w:val="0"/>
      <w:marTop w:val="0"/>
      <w:marBottom w:val="0"/>
      <w:divBdr>
        <w:top w:val="none" w:sz="0" w:space="0" w:color="auto"/>
        <w:left w:val="none" w:sz="0" w:space="0" w:color="auto"/>
        <w:bottom w:val="none" w:sz="0" w:space="0" w:color="auto"/>
        <w:right w:val="none" w:sz="0" w:space="0" w:color="auto"/>
      </w:divBdr>
    </w:div>
    <w:div w:id="207107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37BD4E-37ED-4573-93E1-2ED82B5C8C54}">
  <we:reference id="f78a3046-9e99-4300-aa2b-5814002b01a2" version="1.46.0.0" store="EXCatalog" storeType="EXCatalog"/>
  <we:alternateReferences>
    <we:reference id="WA104382081" version="1.46.0.0" store="en-US" storeType="OMEX"/>
  </we:alternateReferences>
  <we:properties>
    <we:property name="MENDELEY_CITATIONS" value="[{&quot;citationID&quot;:&quot;MENDELEY_CITATION_108ae9aa-2ee3-43a9-93d8-26b1b4c8b6f9&quot;,&quot;properties&quot;:{&quot;noteIndex&quot;:0},&quot;isEdited&quot;:false,&quot;citationTag&quot;:&quot;MENDELEY_CITATION_v3_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&quot;,&quot;citationItems&quot;:[{&quot;id&quot;:&quot;709a275e-cb75-365e-9e83-97d217cf9fd2&quot;,&quot;isTemporary&quot;:false,&quot;itemData&quot;:{&quot;type&quot;:&quot;article-journal&quot;,&quot;id&quot;:&quot;709a275e-cb75-365e-9e83-97d217cf9fd2&quot;,&quot;title&quot;:&quot;Education and Health: Evaluating Theories and Evidence&quot;,&quot;author&quot;:[{&quot;family&quot;:&quot;Cutler&quot;,&quot;given&quot;:&quot;David M&quot;,&quot;parse-names&quot;:false,&quot;dropping-particle&quot;:&quot;&quot;,&quot;non-dropping-particle&quot;:&quot;&quot;},{&quot;family&quot;:&quot;Lleras-Muney&quot;,&quot;given&quot;:&quot;Adriana&quot;,&quot;parse-names&quot;:false,&quot;dropping-particle&quot;:&quot;&quot;,&quot;non-dropping-particle&quot;:&quot;&quot;}],&quot;container-title&quot;:&quot;National Bureau of Economic Research&quot;,&quot;DOI&quot;:&quot;10.3386/w12352&quot;,&quot;ISBN&quot;:&quot;978-0-87154-747-7&quot;,&quot;ISSN&quot;:&quot;1098-6596&quot;,&quot;URL&quot;:&quot;http://www.nber.org/papers/w12352&quot;,&quot;issued&quot;:{&quot;date-parts&quot;:[[2006]]},&quot;page&quot;:&quot;37&quot;,&quot;abstract&quot;:&quot;There is a large and persistent association between education and health. In this paper, we review what is known about thislink.We first document the facts about the relationship between education and health. The education ‘gradient’ isfound for both health behaviors and health status, though the former does not fully explain the latter. The effect of education increases with increasing years of education, with no evidence of a sheepskin effect. Nor are there differences between blacks and whites, or men and women. Gradients in behavior are biggest at young ages, and decline after age 50 or 60. We then consider differing reasons why education might be related to health. The obvious economic explanations – education isrelated to income or occupational choice – explain only a part of the education effect. We suggest that increasing levels of education lead to different thinking and decision-making patterns.Themonetaryvalue ofthe return to education in terms of health is perhaps half of the return to education on earnings,so policiesthat impact educational attainment could have a large effect on population health.&quot;,&quot;publisher&quot;:&quot;National bureau of economic research Cambridge, Mass., USA&quot;,&quot;container-title-short&quot;:&quot;&quot;}},{&quot;id&quot;:&quot;94a723f8-effb-34fd-ab1e-5b36f1ad7f27&quot;,&quot;isTemporary&quot;:false,&quot;itemData&quot;:{&quot;type&quot;:&quot;article-journal&quot;,&quot;id&quot;:&quot;94a723f8-effb-34fd-ab1e-5b36f1ad7f27&quot;,&quot;title&quot;:&quot;Education improves public health and promotes health equity&quot;,&quot;author&quot;:[{&quot;family&quot;:&quot;Hahn&quot;,&quot;given&quot;:&quot;Robert A&quot;,&quot;parse-names&quot;:false,&quot;dropping-particle&quot;:&quot;&quot;,&quot;non-dropping-particle&quot;:&quot;&quot;},{&quot;family&quot;:&quot;Truman&quot;,&quot;given&quot;:&quot;Benedict I&quot;,&quot;parse-names&quot;:false,&quot;dropping-particle&quot;:&quot;&quot;,&quot;non-dropping-particle&quot;:&quot;&quot;}],&quot;container-title&quot;:&quot;International Journal of Health Services&quot;,&quot;DOI&quot;:&quot;10.1177/0020731415585986&quot;,&quot;ISBN&quot;:&quot;9781119130536&quot;,&quot;ISSN&quot;:&quot;15414469&quot;,&quot;PMID&quot;:&quot;25995305&quot;,&quot;issued&quot;:{&quot;date-parts&quot;:[[2015]]},&quot;page&quot;:&quot;657-678&quot;,&quot;abstract&quot;:&quot;This article describes a framework and empirical evidence to support the argument that educational programs and policies are crucial public health interventions. Concepts of education and health are developed and linked, and we review a wide range of empirical studies to clarify pathways of linkage and explore implications. Basic educational expertise and skills, including fundamental knowledge, reasoning ability, emotional self-regulation, and interactional abilities, are critical components of health. Moreover, education is a fundamental social determinant of health - an upstream cause of health. Programs that close gaps in educational outcomes between low-income or racial and ethnic minority populations and higher-income or majority populations are needed to promote health equity. Public health policy makers, health practitioners and educators, and departments of health and education can collaborate to implement educational programs and policies for which systematic evidence indicates clear public health benefits.&quot;,&quot;issue&quot;:&quot;4&quot;,&quot;volume&quot;:&quot;45&quot;,&quot;container-title-short&quot;:&quot;&quot;}},{&quot;id&quot;:&quot;b5d9f92d-2036-3d11-991f-a5c0397f5354&quot;,&quot;isTemporary&quot;:false,&quot;itemData&quot;:{&quot;type&quot;:&quot;article&quot;,&quot;id&quot;:&quot;b5d9f92d-2036-3d11-991f-a5c0397f5354&quot;,&quot;title&quot;:&quot;Intelligence and socioeconomic success: A meta-analytic review of longitudinal research&quot;,&quot;author&quot;:[{&quot;family&quot;:&quot;Strenze&quot;,&quot;given&quot;:&quot;Tarmo&quot;,&quot;parse-names&quot;:false,&quot;dropping-particle&quot;:&quot;&quot;,&quot;non-dropping-particle&quot;:&quot;&quot;}],&quot;container-title&quot;:&quot;Intelligence&quot;,&quot;container-title-short&quot;:&quot;Intelligence&quot;,&quot;DOI&quot;:&quot;10.1016/j.intell.2006.09.004&quot;,&quot;ISSN&quot;:&quot;01602896&quot;,&quot;issued&quot;:{&quot;date-parts&quot;:[[2007]]},&quot;page&quot;:&quot;401-426&quot;,&quot;abstract&quot;:&quot;The relationship between intelligence and socioeconomic success has been the source of numerous controversies. The present paper conducted a meta-analysis of the longitudinal studies that have investigated intelligence as a predictor of success (as measured by education, occupation, and income). In order to better evaluate the predictive power of intelligence, the paper also includes meta-analyses of parental socioeconomic status (SES) and academic performance (school grades) as predictors of success. The results demonstrate that intelligence is a powerful predictor of success but, on the whole, not an overwhelmingly better predictor than parental SES or grades. Moderator analyses showed that the relationship between intelligence and success is dependent on the age of the sample but there is little evidence of any historical trend in the relationship. © 2006 Elsevier Inc. All rights reserved.&quot;,&quot;publisher&quot;:&quot;Elsevier&quot;,&quot;issue&quot;:&quot;5&quot;,&quot;volume&quot;:&quot;35&quot;}}],&quot;manualOverride&quot;:{&quot;isManuallyOverridden&quot;:false,&quot;manualOverrideText&quot;:&quot;&quot;,&quot;citeprocText&quot;:&quot;(Cutler &amp;#38; Lleras-Muney, 2006; Hahn &amp;#38; Truman, 2015; Strenze, 2007)&quot;}},{&quot;citationID&quot;:&quot;MENDELEY_CITATION_4e3d4295-5068-4045-bad5-8594606e45de&quot;,&quot;properties&quot;:{&quot;noteIndex&quot;:0},&quot;isEdited&quot;:false,&quot;citationTag&quot;:&quot;MENDELEY_CITATION_v3_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&quot;,&quot;citationItems&quot;:[{&quot;id&quot;:&quot;02f7a787-5993-33bb-8900-794e89679747&quot;,&quot;isTemporary&quot;:false,&quot;itemData&quot;:{&quot;type&quot;:&quot;article-journal&quot;,&quot;id&quot;:&quot;02f7a787-5993-33bb-8900-794e89679747&quot;,&quot;title&quot;:&quot;Age at onset of mental disorders worldwide: large-scale meta-analysis of 192 epidemiological studies&quot;,&quot;author&quot;:[{&quot;family&quot;:&quot;Solmi&quot;,&quot;given&quot;:&quot;Marco&quot;,&quot;parse-names&quot;:false,&quot;dropping-particle&quot;:&quot;&quot;,&quot;non-dropping-particle&quot;:&quot;&quot;},{&quot;family&quot;:&quot;Radua&quot;,&quot;given&quot;:&quot;Joaquim&quot;,&quot;parse-names&quot;:false,&quot;dropping-particle&quot;:&quot;&quot;,&quot;non-dropping-particle&quot;:&quot;&quot;},{&quot;family&quot;:&quot;Olivola&quot;,&quot;given&quot;:&quot;Miriam&quot;,&quot;parse-names&quot;:false,&quot;dropping-particle&quot;:&quot;&quot;,&quot;non-dropping-particle&quot;:&quot;&quot;},{&quot;family&quot;:&quot;Croce&quot;,&quot;given&quot;:&quot;Enrico&quot;,&quot;parse-names&quot;:false,&quot;dropping-particle&quot;:&quot;&quot;,&quot;non-dropping-particle&quot;:&quot;&quot;},{&quot;family&quot;:&quot;Soardo&quot;,&quot;given&quot;:&quot;Livia&quot;,&quot;parse-names&quot;:false,&quot;dropping-particle&quot;:&quot;&quot;,&quot;non-dropping-particle&quot;:&quot;&quot;},{&quot;family&quot;:&quot;Pablo&quot;,&quot;given&quot;:&quot;Gonzalo Salazar&quot;,&quot;parse-names&quot;:false,&quot;dropping-particle&quot;:&quot;&quot;,&quot;non-dropping-particle&quot;:&quot;de&quot;},{&quot;family&quot;:&quot;Shin&quot;,&quot;given&quot;:&quot;Jae&quot;,&quot;parse-names&quot;:false,&quot;dropping-particle&quot;:&quot;il&quot;,&quot;non-dropping-particle&quot;:&quot;&quot;},{&quot;family&quot;:&quot;Kirkbride&quot;,&quot;given&quot;:&quot;James B&quot;,&quot;parse-names&quot;:false,&quot;dropping-particle&quot;:&quot;&quot;,&quot;non-dropping-particle&quot;:&quot;&quot;},{&quot;family&quot;:&quot;Jones&quot;,&quot;given&quot;:&quot;Peter&quot;,&quot;parse-names&quot;:false,&quot;dropping-particle&quot;:&quot;&quot;,&quot;non-dropping-particle&quot;:&quot;&quot;},{&quot;family&quot;:&quot;Kim&quot;,&quot;given&quot;:&quot;Jae Han&quot;,&quot;parse-names&quot;:false,&quot;dropping-particle&quot;:&quot;&quot;,&quot;non-dropping-particle&quot;:&quot;&quot;}],&quot;container-title&quot;:&quot;Molecular psychiatry&quot;,&quot;container-title-short&quot;:&quot;Mol Psychiatry&quot;,&quot;ISSN&quot;:&quot;1476-5578&quot;,&quot;issued&quot;:{&quot;date-parts&quot;:[[2021]]},&quot;page&quot;:&quot;1-15&quot;,&quot;publisher&quot;:&quot;Nature Publishing Group&quot;}}],&quot;manualOverride&quot;:{&quot;isManuallyOverridden&quot;:false,&quot;manualOverrideText&quot;:&quot;&quot;,&quot;citeprocText&quot;:&quot;(Solmi et al., 2021)&quot;}},{&quot;citationID&quot;:&quot;MENDELEY_CITATION_04634b6b-9de9-4aa4-b5c3-82d107b50990&quot;,&quot;properties&quot;:{&quot;noteIndex&quot;:0},&quot;isEdited&quot;:false,&quot;citationTag&quot;:&quot;MENDELEY_CITATION_v3_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&quot;,&quot;citationItems&quot;:[{&quot;id&quot;:&quot;89dbfb0d-3138-33ea-a418-0e4a5ce252dd&quot;,&quot;isTemporary&quot;:false,&quot;itemData&quot;:{&quot;type&quot;:&quot;article-journal&quot;,&quot;id&quot;:&quot;89dbfb0d-3138-33ea-a418-0e4a5ce252dd&quot;,&quot;title&quot;:&quot;The joint impact of cognitive performance in adolescence and familial cognitive aptitude on risk for major psychiatric disorders: a delineation of four potential pathways to illness&quot;,&quot;author&quot;:[{&quot;family&quot;:&quot;Kendler&quot;,&quot;given&quot;:&quot;K S&quot;,&quot;parse-names&quot;:false,&quot;dropping-particle&quot;:&quot;&quot;,&quot;non-dropping-particle&quot;:&quot;&quot;},{&quot;family&quot;:&quot;Ohlsson&quot;,&quot;given&quot;:&quot;H&quot;,&quot;parse-names&quot;:false,&quot;dropping-particle&quot;:&quot;&quot;,&quot;non-dropping-particle&quot;:&quot;&quot;},{&quot;family&quot;:&quot;Keefe&quot;,&quot;given&quot;:&quot;R S E&quot;,&quot;parse-names&quot;:false,&quot;dropping-particle&quot;:&quot;&quot;,&quot;non-dropping-particle&quot;:&quot;&quot;},{&quot;family&quot;:&quot;Sundquist&quot;,&quot;given&quot;:&quot;K&quot;,&quot;parse-names&quot;:false,&quot;dropping-particle&quot;:&quot;&quot;,&quot;non-dropping-particle&quot;:&quot;&quot;},{&quot;family&quot;:&quot;Sundquist&quot;,&quot;given&quot;:&quot;J&quot;,&quot;parse-names&quot;:false,&quot;dropping-particle&quot;:&quot;&quot;,&quot;non-dropping-particle&quot;:&quot;&quot;}],&quot;container-title&quot;:&quot;Molecular Psychiatry&quot;,&quot;DOI&quot;:&quot;10.1038/mp.2017.78&quot;,&quot;ISSN&quot;:&quot;14765578&quot;,&quot;PMID&quot;:&quot;28416810&quot;,&quot;issued&quot;:{&quot;date-parts&quot;:[[2018]]},&quot;page&quot;:&quot;1076-1083&quot;,&quot;abstract&quot;:&quot;How do joint measures of premorbid cognitive ability and familial cognitive aptitude (FCA) reflect risk for a diversity of psychiatric and substance use disorders? To address this question, we examined, using Cox models, the predictive effects of school achievement (SA) measured at age 16 and FCA—assessed from SA in siblings and cousins, and educational attainment in parents—on risk for 12 major psychiatric syndromes in 1 140 608 Swedes born 1972–1990. Four developmental patterns emerged. In the first, risk was predicted jointly by low levels of SA and high levels of FCA—that is a level of SA lower than would be predicted from the FCA. This pattern was strongest in autism spectrum disorders and schizophrenia, and weakest in bipolar illness. In these disorders, a pathologic process seems to have caused cognitive functioning to fall substantially short of familial potential. In the second pattern, seen in the internalizing conditions of major depression and anxiety disorders, risk was associated with low SA but was unrelated to FCA. Externalizing disorders—drug abuse and alcohol use disorders—demonstrated the third pattern, in which risk was predicted jointly by low SA and low FCA. The fourth pattern, seen in eating disorders, was directly opposite of that observed in externalizing disorders with risk associated with high SA and high FCA. When measured together, adolescent cognitive ability and FCA identified four developmental patterns leading to diverse psychiatric disorders. The value of cognitive assessments in psychiatric research can be substantially increased by also evaluating familial cognitive potential.&quot;,&quot;publisher&quot;:&quot;Nature Publishing Group&quot;,&quot;issue&quot;:&quot;4&quot;,&quot;volume&quot;:&quot;23&quot;,&quot;container-title-short&quot;:&quot;&quot;}}],&quot;manualOverride&quot;:{&quot;isManuallyOverridden&quot;:false,&quot;manualOverrideText&quot;:&quot;&quot;,&quot;citeprocText&quot;:&quot;(Kendler et al., 2018)&quot;}},{&quot;citationID&quot;:&quot;MENDELEY_CITATION_1f07178c-5e7a-43b1-90dd-4dd8d0339ded&quot;,&quot;properties&quot;:{&quot;noteIndex&quot;:0},&quot;isEdited&quot;:false,&quot;citationTag&quot;:&quot;MENDELEY_CITATION_v3_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&quot;,&quot;citationItems&quot;:[{&quot;id&quot;:&quot;cfc0fa83-0550-3ca1-8a86-f73773b0b618&quot;,&quot;isTemporary&quot;:false,&quot;itemData&quot;:{&quot;type&quot;:&quot;article-journal&quot;,&quot;id&quot;:&quot;cfc0fa83-0550-3ca1-8a86-f73773b0b618&quot;,&quot;title&quot;:&quot;A Swedish National Prospective and Co-relative Study of School Achievement at Age 16, and Risk for Schizophrenia, Other Nonaffective Psychosis, and Bipolar Illness&quot;,&quot;author&quot;:[{&quot;family&quot;:&quot;Kendler&quot;,&quot;given&quot;:&quot;Kenneth S&quot;,&quot;parse-names&quot;:false,&quot;dropping-particle&quot;:&quot;&quot;,&quot;non-dropping-particle&quot;:&quot;&quot;},{&quot;family&quot;:&quot;Ohlsson&quot;,&quot;given&quot;:&quot;Henrik&quot;,&quot;parse-names&quot;:false,&quot;dropping-particle&quot;:&quot;&quot;,&quot;non-dropping-particle&quot;:&quot;&quot;},{&quot;family&quot;:&quot;Mezuk&quot;,&quot;given&quot;:&quot;Briana&quot;,&quot;parse-names&quot;:false,&quot;dropping-particle&quot;:&quot;&quot;,&quot;non-dropping-particle&quot;:&quot;&quot;},{&quot;family&quot;:&quot;Sundquist&quot;,&quot;given&quot;:&quot;Kristina&quot;,&quot;parse-names&quot;:false,&quot;dropping-particle&quot;:&quot;&quot;,&quot;non-dropping-particle&quot;:&quot;&quot;},{&quot;family&quot;:&quot;Sundquist&quot;,&quot;given&quot;:&quot;Jan&quot;,&quot;parse-names&quot;:false,&quot;dropping-particle&quot;:&quot;&quot;,&quot;non-dropping-particle&quot;:&quot;&quot;}],&quot;container-title&quot;:&quot;Schizophrenia Bulletin&quot;,&quot;DOI&quot;:&quot;10.1093/schbul/sbv103&quot;,&quot;ISSN&quot;:&quot;17451701&quot;,&quot;PMID&quot;:&quot;26231719&quot;,&quot;issued&quot;:{&quot;date-parts&quot;:[[2016]]},&quot;page&quot;:&quot;77-86&quot;,&quot;abstract&quot;:&quot;While cognitive ability is inversely associated with risk for schizophrenia (SZ), the association is less clear with other nonaffective psychoses (ONAP) and bipolar illness (BPI). Using national Swedish hospital registry data, we examined the prospective relationship between school achievement (SA) and development of SZ, ONAP, and BPI in 1800643 adolescents born 1972-1990. We used Cox proportional hazard and co-relative control models to predict onset of SZ, ONAP, and BPI from standardized SA scores at age 16. The hazard ratio (HRs; and 95% CIs) for first onset of SZ as a function of SA was 0.66 (0.64-0.68) for both sexes. For ONAP, the HRs equaled 0.66 (0.64-0.68) for males and 0.72 (0.70-0.75) for females. For BPI, parallel HRs were 0.81 (0.78-0.84) and 0.71 (0.70-0.73). The association between SA and risk was stronger in the lower vs the higher ranges of SA. In most analyses, moderate increases in risk were observed at the highest levels of SA, with the strongest evidence for females and risk of ONAP. Co-relative control analyses indicated that common genetic or familial-environmental effects only marginally confounded these associations. Consistent with prior studies, these results have 3 major implications for neurodevelopmental models: (1) adolescent cognitive deficits that increase risk are not the result of prodromal changes, (2) individual specific environmental exposures are largely responsible for the association between low SA and psychosis risk, and (3) neurodevelopmental disturbances (as indicated by low SA) are not unique to SZ but also occur in ONAP and to a lesser degree BPI.&quot;,&quot;publisher&quot;:&quot;Oxford University Press US&quot;,&quot;issue&quot;:&quot;1&quot;,&quot;volume&quot;:&quot;42&quot;,&quot;container-title-short&quot;:&quot;&quot;}}],&quot;manualOverride&quot;:{&quot;isManuallyOverridden&quot;:false,&quot;manualOverrideText&quot;:&quot;&quot;,&quot;citeprocText&quot;:&quot;(Kendler et al., 2016a)&quot;}},{&quot;citationID&quot;:&quot;MENDELEY_CITATION_938b821a-25f4-4da0-b492-92b2571e5c7f&quot;,&quot;properties&quot;:{&quot;noteIndex&quot;:0},&quot;isEdited&quot;:false,&quot;citationTag&quot;:&quot;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&quot;,&quot;citationItems&quot;:[{&quot;id&quot;:&quot;ea33e5ec-fb9f-315d-a4e0-cb63a48cdb79&quot;,&quot;isTemporary&quot;:false,&quot;itemData&quot;:{&quot;type&quot;:&quot;article-journal&quot;,&quot;id&quot;:&quot;ea33e5ec-fb9f-315d-a4e0-cb63a48cdb79&quot;,&quot;title&quot;:&quot;School performance and hospital admission due to unipolar depression: A three-generational study of social causation and social selection&quot;,&quot;author&quot;:[{&quot;family&quot;:&quot;Jonsson&quot;,&quot;given&quot;:&quot;Ulf&quot;,&quot;parse-names&quot;:false,&quot;dropping-particle&quot;:&quot;&quot;,&quot;non-dropping-particle&quot;:&quot;&quot;},{&quot;family&quot;:&quot;Goodman&quot;,&quot;given&quot;:&quot;Anna&quot;,&quot;parse-names&quot;:false,&quot;dropping-particle&quot;:&quot;&quot;,&quot;non-dropping-particle&quot;:&quot;&quot;},{&quot;family&quot;:&quot;Knorring&quot;,&quot;given&quot;:&quot;Anne Liis&quot;,&quot;parse-names&quot;:false,&quot;dropping-particle&quot;:&quot;von&quot;,&quot;non-dropping-particle&quot;:&quot;&quot;},{&quot;family&quot;:&quot;Knorring&quot;,&quot;given&quot;:&quot;Lars&quot;,&quot;parse-names&quot;:false,&quot;dropping-particle&quot;:&quot;von&quot;,&quot;non-dropping-particle&quot;:&quot;&quot;},{&quot;family&quot;:&quot;Koupil&quot;,&quot;given&quot;:&quot;Ilona&quot;,&quot;parse-names&quot;:false,&quot;dropping-particle&quot;:&quot;&quot;,&quot;non-dropping-particle&quot;:&quot;&quot;}],&quot;container-title&quot;:&quot;Social Psychiatry and Psychiatric Epidemiology&quot;,&quot;DOI&quot;:&quot;10.1007/s00127-012-0476-y&quot;,&quot;ISSN&quot;:&quot;09337954&quot;,&quot;PMID&quot;:&quot;22252534&quot;,&quot;issued&quot;:{&quot;date-parts&quot;:[[2012]]},&quot;page&quot;:&quot;1695-1706&quot;,&quot;abstract&quot;:&quot;Purpose: Both \&quot;social causation\&quot; and \&quot;social selection\&quot; offer plausible explanations for an association between education and mental health. We aimed to explore these processes in unipolar depression, with a specific focus on school performance and family tradition of education. Method Grandchildren (N = 28,089, 49% female, aged 13-47 years in 2002) of a cohort born in Uppsala, Sweden, in 1915-1929 were studied in national registers. We obtained data on final grade point average (GPA) in compulsory school, hospitalizations for unipolar depression, grandparental/parental education and other parental social characteristics. Hospitalization in adolescence and adulthood were studied separately, as were hospitalization for depression with or without a lifetime externalizing disorder. Results: Low compulsory school GPA (1-2 SD or&gt;2 SD below average vs. average GPA) was associated with increased rate of adolescent hospitalization for unipolar depression, both with externalizing comorbidity &gt;hazard ratio (HR) point estimates of 66-80] and without (HR point estimates of 4-6). By contrast, low GPA was only associated with first-time hospitalization in adulthood for the subgroup with externalizing comorbidity (HR point estimates of 4-6). These associations were largely independent of family education and social characteristics. Overall, low parental/grandparental education was not related to increased rates of hospitalization. Conclusion: The association between school performance and hospitalization for depression depended on adolescent hospitalization or externalizing comorbidity, suggesting that disorders with an early onset are decisive. Contrary to the social patterning of many health outcomes, low grandparental/parental education did not appear to increase the rate of hospitalization for unipolar depression in the offspring. © Springer-Verlag 2011.&quot;,&quot;publisher&quot;:&quot;Springer&quot;,&quot;issue&quot;:&quot;10&quot;,&quot;volume&quot;:&quot;47&quot;,&quot;container-title-short&quot;:&quot;&quot;}},{&quot;id&quot;:&quot;f411424c-a991-3d41-8362-1b9fd6159118&quot;,&quot;isTemporary&quot;:false,&quot;itemData&quot;:{&quot;type&quot;:&quot;article-journal&quot;,&quot;id&quot;:&quot;f411424c-a991-3d41-8362-1b9fd6159118&quot;,&quot;title&quot;:&quot;School achievement as a predictor of depression and self-harm in adolescence: Linked education and health record study&quot;,&quot;author&quot;:[{&quot;family&quot;:&quot;Rahman&quot;,&quot;given&quot;:&quot;Muhammad A&quot;,&quot;parse-names&quot;:false,&quot;dropping-particle&quot;:&quot;&quot;,&quot;non-dropping-particle&quot;:&quot;&quot;},{&quot;family&quot;:&quot;Todd&quot;,&quot;given&quot;:&quot;Charlotte&quot;,&quot;parse-names&quot;:false,&quot;dropping-particle&quot;:&quot;&quot;,&quot;non-dropping-particle&quot;:&quot;&quot;},{&quot;family&quot;:&quot;John&quot;,&quot;given&quot;:&quot;Ann&quot;,&quot;parse-names&quot;:false,&quot;dropping-particle&quot;:&quot;&quot;,&quot;non-dropping-particle&quot;:&quot;&quot;},{&quot;family&quot;:&quot;Tan&quot;,&quot;given&quot;:&quot;Jacinta&quot;,&quot;parse-names&quot;:false,&quot;dropping-particle&quot;:&quot;&quot;,&quot;non-dropping-particle&quot;:&quot;&quot;},{&quot;family&quot;:&quot;Kerr&quot;,&quot;given&quot;:&quot;Michael&quot;,&quot;parse-names&quot;:false,&quot;dropping-particle&quot;:&quot;&quot;,&quot;non-dropping-particle&quot;:&quot;&quot;},{&quot;family&quot;:&quot;Potter&quot;,&quot;given&quot;:&quot;Robert&quot;,&quot;parse-names&quot;:false,&quot;dropping-particle&quot;:&quot;&quot;,&quot;non-dropping-particle&quot;:&quot;&quot;},{&quot;family&quot;:&quot;Kennedy&quot;,&quot;given&quot;:&quot;Jonathan&quot;,&quot;parse-names&quot;:false,&quot;dropping-particle&quot;:&quot;&quot;,&quot;non-dropping-particle&quot;:&quot;&quot;},{&quot;family&quot;:&quot;Rice&quot;,&quot;given&quot;:&quot;Frances&quot;,&quot;parse-names&quot;:false,&quot;dropping-particle&quot;:&quot;&quot;,&quot;non-dropping-particle&quot;:&quot;&quot;},{&quot;family&quot;:&quot;Brophy&quot;,&quot;given&quot;:&quot;Sinead&quot;,&quot;parse-names&quot;:false,&quot;dropping-particle&quot;:&quot;&quot;,&quot;non-dropping-particle&quot;:&quot;&quot;}],&quot;container-title&quot;:&quot;British Journal of Psychiatry&quot;,&quot;DOI&quot;:&quot;10.1192/bjp.2017.69&quot;,&quot;ISSN&quot;:&quot;14721465&quot;,&quot;PMID&quot;:&quot;29506597&quot;,&quot;issued&quot;:{&quot;date-parts&quot;:[[2018]]},&quot;page&quot;:&quot;215-221&quot;,&quot;abstract&quot;:&quot;Background: Mental disorders in children and adolescents have an impact on educational attainment. Aims: To examine the temporal association between attainment in education and subsequent diagnosis of depression or self-harm in the teenage years. Method: General practitioner, hospital and education records of young people in Wales between 1999 and 2014 were linked and analysed using Cox regression. Results: Linked records were available for 652 903 young people and of these 33 498 (5.1%) developed depression and 15 946 (2.4%) selfharmed after the age of 12 but before the age of 20. Young people who developed depression over the study period were more likely to have achieved key stage 1 (age 7 years) but not key stage 2 (age 11) (hazard ratio (HR) = 0.79, 95% CI 0.74-0.84) milestones, indicating that they were declining in academic attainment during primary school. Conversely, those who selfharmed were achieving as well as those who did not self-harm in primary school, but showed a severe decline in their attainment during secondary school (HR = 0.72, 95% CI 0.68-0.78). Conclusions: Long-term declining educational attainment in primary and secondary school was associated with development of depression in the teenage years. Self-harm was associated with declining educational attainment during secondary school only. Incorporating information on academic decline with other known risk factors for depression/self-harm (for example stressful life events, parental mental health problems) may improve risk profiling methods.&quot;,&quot;publisher&quot;:&quot;Cambridge University Press&quot;,&quot;issue&quot;:&quot;4&quot;,&quot;volume&quot;:&quot;212&quot;,&quot;container-title-short&quot;:&quot;&quot;}},{&quot;id&quot;:&quot;3124c432-adb0-3150-afe6-16fe3518032b&quot;,&quot;isTemporary&quot;:false,&quot;itemData&quot;:{&quot;type&quot;:&quot;article-journal&quot;,&quot;id&quot;:&quot;3124c432-adb0-3150-afe6-16fe3518032b&quot;,&quot;title&quot;:&quot;Academic performance, externalizing disorders and depression: 26,000 adolescents followed into adulthood&quot;,&quot;author&quot;:[{&quot;family&quot;:&quot;Wallin&quot;,&quot;given&quot;:&quot;Alma Sörberg&quot;,&quot;parse-names&quot;:false,&quot;dropping-particle&quot;:&quot;&quot;,&quot;non-dropping-particle&quot;:&quot;&quot;},{&quot;family&quot;:&quot;Koupil&quot;,&quot;given&quot;:&quot;Ilona&quot;,&quot;parse-names&quot;:false,&quot;dropping-particle&quot;:&quot;&quot;,&quot;non-dropping-particle&quot;:&quot;&quot;},{&quot;family&quot;:&quot;Gustafsson&quot;,&quot;given&quot;:&quot;Jan Eric&quot;,&quot;parse-names&quot;:false,&quot;dropping-particle&quot;:&quot;&quot;,&quot;non-dropping-particle&quot;:&quot;&quot;},{&quot;family&quot;:&quot;Zammit&quot;,&quot;given&quot;:&quot;Stanley&quot;,&quot;parse-names&quot;:false,&quot;dropping-particle&quot;:&quot;&quot;,&quot;non-dropping-particle&quot;:&quot;&quot;},{&quot;family&quot;:&quot;Allebeck&quot;,&quot;given&quot;:&quot;Peter&quot;,&quot;parse-names&quot;:false,&quot;dropping-particle&quot;:&quot;&quot;,&quot;non-dropping-particle&quot;:&quot;&quot;},{&quot;family&quot;:&quot;Falkstedt&quot;,&quot;given&quot;:&quot;Daniel&quot;,&quot;parse-names&quot;:false,&quot;dropping-particle&quot;:&quot;&quot;,&quot;non-dropping-particle&quot;:&quot;&quot;}],&quot;container-title&quot;:&quot;Social Psychiatry and Psychiatric Epidemiology&quot;,&quot;DOI&quot;:&quot;10.1007/s00127-019-01668-z&quot;,&quot;ISSN&quot;:&quot;09337954&quot;,&quot;PMID&quot;:&quot;30783692&quot;,&quot;issued&quot;:{&quot;date-parts&quot;:[[2019]]},&quot;page&quot;:&quot;977-986&quot;,&quot;abstract&quot;:&quot;Background: The incidence of major depression among adults has been shown to be socially differentiated, and there are reasons to seek explanations for this before adulthood. In this cohort study, we examined whether academic performance in adolescence predicts depression in adulthood, and the extent to which externalizing disorders explain this association. Methods: We followed 26,766 Swedish women and men born 1967–1982 from the last year of compulsory school, at age about 16, up to 48 years of age. We investigated the association between grade point average (GPA, standardized by gender) and first diagnosis of depression in national registers of in- or out-patient psychiatric care. We used Cox proportional hazards models, adjusting for lifetime externalizing diagnoses and potential confounders including childhood socioeconomic position and IQ. Results: During follow-up, 7.0% of the women and 4.4% of the men were diagnosed with depression. A GPA in the lowest quartile, compared with the highest, was associated with an increased risk in both women (hazard ratio 95% confidence interval 1.7, 1.3–2.1) and men (2.9, 2.2–3.9) in models controlling for potential confounders. Additional control for externalizing disorders attenuated the associations, particularly in women. Conclusions: The findings suggest that poor academic performance is associated with depression in young adulthood and that the association is partly explained by externalizing disorders. Our results indicate the importance of early detection and management of externalizing disorders among children and adolescents.&quot;,&quot;publisher&quot;:&quot;Springer&quot;,&quot;issue&quot;:&quot;8&quot;,&quot;volume&quot;:&quot;54&quot;,&quot;container-title-short&quot;:&quot;&quot;}}],&quot;manualOverride&quot;:{&quot;isManuallyOverridden&quot;:false,&quot;manualOverrideText&quot;:&quot;&quot;,&quot;citeprocText&quot;:&quot;(Jonsson, Goodman, Knorring, et al., 2012; Rahman et al., 2018; Wallin et al., 2019)&quot;}},{&quot;citationID&quot;:&quot;MENDELEY_CITATION_47bd0884-6593-47ee-8b04-eb96763d29f7&quot;,&quot;properties&quot;:{&quot;noteIndex&quot;:0},&quot;isEdited&quot;:false,&quot;citationTag&quot;:&quot;MENDELEY_CITATION_v3_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&quot;,&quot;citationItems&quot;:[{&quot;id&quot;:&quot;89874573-938a-30b3-b234-8f099a42b30c&quot;,&quot;isTemporary&quot;:false,&quot;itemData&quot;:{&quot;type&quot;:&quot;article-journal&quot;,&quot;id&quot;:&quot;89874573-938a-30b3-b234-8f099a42b30c&quot;,&quot;title&quot;:&quot;School achievement, IQ, and risk of alcohol use disorder: A prospective, Co-relative analysis in a Swedish national cohort&quot;,&quot;author&quot;:[{&quot;family&quot;:&quot;Kendler&quot;,&quot;given&quot;:&quot;Kenneth S&quot;,&quot;parse-names&quot;:false,&quot;dropping-particle&quot;:&quot;&quot;,&quot;non-dropping-particle&quot;:&quot;&quot;},{&quot;family&quot;:&quot;Ohlsson&quot;,&quot;given&quot;:&quot;Henrik&quot;,&quot;parse-names&quot;:false,&quot;dropping-particle&quot;:&quot;&quot;,&quot;non-dropping-particle&quot;:&quot;&quot;},{&quot;family&quot;:&quot;Sundquist&quot;,&quot;given&quot;:&quot;Jan&quot;,&quot;parse-names&quot;:false,&quot;dropping-particle&quot;:&quot;&quot;,&quot;non-dropping-particle&quot;:&quot;&quot;},{&quot;family&quot;:&quot;Sundquist&quot;,&quot;given&quot;:&quot;Kristina&quot;,&quot;parse-names&quot;:false,&quot;dropping-particle&quot;:&quot;&quot;,&quot;non-dropping-particle&quot;:&quot;&quot;}],&quot;container-title&quot;:&quot;Journal of Studies on Alcohol and Drugs&quot;,&quot;DOI&quot;:&quot;10.15288/jsad.2017.78.186&quot;,&quot;ISSN&quot;:&quot;19384114&quot;,&quot;PMID&quot;:&quot;28317498&quot;,&quot;issued&quot;:{&quot;date-parts&quot;:[[2017]]},&quot;page&quot;:&quot;186-194&quot;,&quot;abstract&quot;:&quot;Objective: Most studies suggest that poor cognitive functioning in adolescence increases risk of alcohol use disorders (AUDs). We seek to clarify the causes of this association. Method: In Swedish individuals born from 1972 to 1990 in whom cognitive functioning was assessed by school achievement at age 16 years (males and females, N = 1,796,048) and by IQ at ages 18–20 (males, N = 554,644), we examined the hazard ratio (HR) for AUD ascertained from public registries. We examined and modeled risk of AUD in cousins, full siblings, and monozygotic twin pairs discordant for school achievement and IQ scores. Results: In males and females, HRs for AUD per standard deviation of increasing school achievement equaled 0.47 (95% CI [0.46, 0.47]) and 0.52 (95% CI [0.51, 0.53]), respectively. In males, the HR for AUD per standard deviation of increasing IQ was 0.54 (95% CI [0.53, 0.55]). Excluding onsets of AUD within 5 years of the cognitive evaluation did not weaken the association, nor did controlling for alcohol intake and problems at IQ assessment. The HRs for AUD in relative pairs were higher than those observed in the population but significantly less than unity. We predicted the following HRs for AUD in discordant monozygotic twins for school achievement in males and females and for IQ in males: 0.66 (95% CI [0.62, 0.70]), 0.67 (95% CI [0.62, 0.73]), and 0.72 (95% CI [0.65, 0.79]), respectively. Conclusions: Cognitive ability in adolescence, assessed by two different measures, strongly predicts risk of AUD. This association cannot be explained by early symptoms of AUD impairing performance. Co-relative analyses suggest that this association arises partly from familial confounding and partly from a causal impact of low cognitive ability on AUD risk.&quot;,&quot;publisher&quot;:&quot;Rutgers University&quot;,&quot;issue&quot;:&quot;2&quot;,&quot;volume&quot;:&quot;78&quot;,&quot;container-title-short&quot;:&quot;&quot;}}],&quot;manualOverride&quot;:{&quot;isManuallyOverridden&quot;:false,&quot;manualOverrideText&quot;:&quot;&quot;,&quot;citeprocText&quot;:&quot;(Kendler et al., 2017)&quot;}},{&quot;citationID&quot;:&quot;MENDELEY_CITATION_0c18367e-78cb-40c2-a6c7-6a74acb7ac15&quot;,&quot;properties&quot;:{&quot;noteIndex&quot;:0},&quot;isEdited&quot;:false,&quot;citationTag&quot;:&quot;MENDELEY_CITATION_v3_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&quot;,&quot;citationItems&quot;:[{&quot;id&quot;:&quot;34753f5d-11e3-362d-b62d-e7d0f1dc1150&quot;,&quot;isTemporary&quot;:false,&quot;itemData&quot;:{&quot;type&quot;:&quot;article-journal&quot;,&quot;id&quot;:&quot;34753f5d-11e3-362d-b62d-e7d0f1dc1150&quot;,&quot;title&quot;:&quot;School grades, parental education and suicide-A national register-based cohort study&quot;,&quot;author&quot;:[{&quot;family&quot;:&quot;Björkenstam&quot;,&quot;given&quot;:&quot;Charlotte&quot;,&quot;parse-names&quot;:false,&quot;dropping-particle&quot;:&quot;&quot;,&quot;non-dropping-particle&quot;:&quot;&quot;},{&quot;family&quot;:&quot;Weitoft&quot;,&quot;given&quot;:&quot;Gunilla Ringbäck&quot;,&quot;parse-names&quot;:false,&quot;dropping-particle&quot;:&quot;&quot;,&quot;non-dropping-particle&quot;:&quot;&quot;},{&quot;family&quot;:&quot;Hjern&quot;,&quot;given&quot;:&quot;Anders&quot;,&quot;parse-names&quot;:false,&quot;dropping-particle&quot;:&quot;&quot;,&quot;non-dropping-particle&quot;:&quot;&quot;},{&quot;family&quot;:&quot;Nordström&quot;,&quot;given&quot;:&quot;Peter&quot;,&quot;parse-names&quot;:false,&quot;dropping-particle&quot;:&quot;&quot;,&quot;non-dropping-particle&quot;:&quot;&quot;},{&quot;family&quot;:&quot;Hallqvist&quot;,&quot;given&quot;:&quot;Johan&quot;,&quot;parse-names&quot;:false,&quot;dropping-particle&quot;:&quot;&quot;,&quot;non-dropping-particle&quot;:&quot;&quot;},{&quot;family&quot;:&quot;Ljung&quot;,&quot;given&quot;:&quot;Rickard&quot;,&quot;parse-names&quot;:false,&quot;dropping-particle&quot;:&quot;&quot;,&quot;non-dropping-particle&quot;:&quot;&quot;}],&quot;container-title&quot;:&quot;Journal of Epidemiology and Community Health&quot;,&quot;DOI&quot;:&quot;10.1136/jech.2010.117226&quot;,&quot;ISSN&quot;:&quot;0143005X&quot;,&quot;PMID&quot;:&quot;20961868&quot;,&quot;issued&quot;:{&quot;date-parts&quot;:[[2011]]},&quot;page&quot;:&quot;993-998&quot;,&quot;abstract&quot;:&quot;Background: To investigate whether school performance is a risk factor for suicide death later in life and, if so, to what extent this is explained by intergenerational effects of parental education. Methods: This population-based cohort study comprises national birth cohorts between 1972 and 1981 in Sweden. We followed 898 342 students, graduating between 1988 and 1997 from the 9 years of compulsory school, equivalent to junior high school, until 31 December 2006, generating 11 148 758 person-years and 1490 suicides. Final school grades, in six categories, and risk of suicide were analysed with Poisson regression. Results: The incidence rate ratio (RR) for suicide death for students with the lowest grades was 4.57 (95% CI 2.82 to 7.40) for men and 2.67 (1.42 to 5.01) for women compared to those with highest grades after adjustment for a number of sociodemographic and parental morbidity variables, such as year of graduation, parental education, lone parenthood, household receiving social welfare or disability pension, place of schooling, adoption, maternal age and parent's mental illness. Students with grades in the middle categories had RRs in between. These relationships were not modified by parental education. Conclusions: The strong association between low school grades and suicide in youth and young adulthood emphasises the importance of both primary and secondary prevention in schools.&quot;,&quot;publisher&quot;:&quot;BMJ Publishing Group Ltd&quot;,&quot;issue&quot;:&quot;11&quot;,&quot;volume&quot;:&quot;65&quot;,&quot;container-title-short&quot;:&quot;&quot;}},{&quot;id&quot;:&quot;c3a6ff7c-513f-39c6-aaa6-55720e2f2454&quot;,&quot;isTemporary&quot;:false,&quot;itemData&quot;:{&quot;type&quot;:&quot;article-journal&quot;,&quot;id&quot;:&quot;c3a6ff7c-513f-39c6-aaa6-55720e2f2454&quot;,&quot;title&quot;:&quot;School performance and risk of suicide in early adulthood: Follow-up of two national cohorts of Swedish schoolchildren&quot;,&quot;author&quot;:[{&quot;family&quot;:&quot;Gunnell&quot;,&quot;given&quot;:&quot;David&quot;,&quot;parse-names&quot;:false,&quot;dropping-particle&quot;:&quot;&quot;,&quot;non-dropping-particle&quot;:&quot;&quot;},{&quot;family&quot;:&quot;Löfving&quot;,&quot;given&quot;:&quot;S&quot;,&quot;parse-names&quot;:false,&quot;dropping-particle&quot;:&quot;&quot;,&quot;non-dropping-particle&quot;:&quot;&quot;},{&quot;family&quot;:&quot;Gustafsson&quot;,&quot;given&quot;:&quot;J E&quot;,&quot;parse-names&quot;:false,&quot;dropping-particle&quot;:&quot;&quot;,&quot;non-dropping-particle&quot;:&quot;&quot;},{&quot;family&quot;:&quot;Allebeck&quot;,&quot;given&quot;:&quot;P&quot;,&quot;parse-names&quot;:false,&quot;dropping-particle&quot;:&quot;&quot;,&quot;non-dropping-particle&quot;:&quot;&quot;}],&quot;container-title&quot;:&quot;Journal of Affective Disorders&quot;,&quot;DOI&quot;:&quot;10.1016/j.jad.2011.01.002&quot;,&quot;ISSN&quot;:&quot;01650327&quot;,&quot;PMID&quot;:&quot;21296426&quot;,&quot;issued&quot;:{&quot;date-parts&quot;:[[2011]]},&quot;page&quot;:&quot;104-112&quot;,&quot;abstract&quot;:&quot;Background: Poor school performance and low IQ are associated with an increased risk of suicide in males; it is uncertain whether cognitive performance is a risk factor for suicide in females and whether severe mental illness influences these associations. Method: Record linkage study of Swedish education, population and census data with mortality and inpatient registers. Data were available for 95,497 males and 91,311 females born in 1972 and 1977 and followed up until 31 December 2005. Results: 230 males and 90 females died from suicide over the follow-up period. There were strong inverse associations between school performance at age 16 and subsequent suicide risk in males (fully adjusted hazard ratio (HR) per SD increase in school performance score: 0.6 (95% CI 0.6 to 0.7; p &lt; 0.001)) but not females: adjusted HR. 1.1 (CI 0.9 to 1.4 p = 0.50). In males there were almost four fold differences in suicide risk between children in the top and bottom fifths of the range of school grade scores. Similar associations were seen with upper secondary school performance (age 18/19 years). There was no strong evidence that deterioration in school performance between ages 16 and 18 was associated with increased suicide risk. Amongst men who developed severe psychiatric illness school performance was not associated with suicide risk. Limitations: We had limited information on the prevalence of minor psychiatric disorder in cohort members and no data on IQ for the cohort as a whole. Conclusions: Good performance in secondary (age 16) and upper secondary (age 18) school is associated with a reduced risk of suicide in men but not women. This protective effect is not seen amongst those who develop severe psychiatric illness. These differences indicate that the aetiology of suicide differs in males and females and in those with and without severe mental illness. © 2011 Elsevier B.V. All rights reserved.&quot;,&quot;publisher&quot;:&quot;Elsevier&quot;,&quot;issue&quot;:&quot;1-3&quot;,&quot;volume&quot;:&quot;131&quot;,&quot;container-title-short&quot;:&quot;&quot;}}],&quot;manualOverride&quot;:{&quot;isManuallyOverridden&quot;:false,&quot;manualOverrideText&quot;:&quot;&quot;,&quot;citeprocText&quot;:&quot;(Björkenstam et al., 2011a; Gunnell et al., 2011)&quot;}},{&quot;citationID&quot;:&quot;MENDELEY_CITATION_8bb6f3c7-a901-4fe7-9897-618dd4b6ac12&quot;,&quot;properties&quot;:{&quot;noteIndex&quot;:0},&quot;isEdited&quot;:false,&quot;citationTag&quot;:&quot;MENDELEY_CITATION_v3_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&quot;,&quot;citationItems&quot;:[{&quot;id&quot;:&quot;89dbfb0d-3138-33ea-a418-0e4a5ce252dd&quot;,&quot;isTemporary&quot;:false,&quot;itemData&quot;:{&quot;type&quot;:&quot;article-journal&quot;,&quot;id&quot;:&quot;89dbfb0d-3138-33ea-a418-0e4a5ce252dd&quot;,&quot;title&quot;:&quot;The joint impact of cognitive performance in adolescence and familial cognitive aptitude on risk for major psychiatric disorders: a delineation of four potential pathways to illness&quot;,&quot;author&quot;:[{&quot;family&quot;:&quot;Kendler&quot;,&quot;given&quot;:&quot;K S&quot;,&quot;parse-names&quot;:false,&quot;dropping-particle&quot;:&quot;&quot;,&quot;non-dropping-particle&quot;:&quot;&quot;},{&quot;family&quot;:&quot;Ohlsson&quot;,&quot;given&quot;:&quot;H&quot;,&quot;parse-names&quot;:false,&quot;dropping-particle&quot;:&quot;&quot;,&quot;non-dropping-particle&quot;:&quot;&quot;},{&quot;family&quot;:&quot;Keefe&quot;,&quot;given&quot;:&quot;R S E&quot;,&quot;parse-names&quot;:false,&quot;dropping-particle&quot;:&quot;&quot;,&quot;non-dropping-particle&quot;:&quot;&quot;},{&quot;family&quot;:&quot;Sundquist&quot;,&quot;given&quot;:&quot;K&quot;,&quot;parse-names&quot;:false,&quot;dropping-particle&quot;:&quot;&quot;,&quot;non-dropping-particle&quot;:&quot;&quot;},{&quot;family&quot;:&quot;Sundquist&quot;,&quot;given&quot;:&quot;J&quot;,&quot;parse-names&quot;:false,&quot;dropping-particle&quot;:&quot;&quot;,&quot;non-dropping-particle&quot;:&quot;&quot;}],&quot;container-title&quot;:&quot;Molecular Psychiatry&quot;,&quot;DOI&quot;:&quot;10.1038/mp.2017.78&quot;,&quot;ISSN&quot;:&quot;14765578&quot;,&quot;PMID&quot;:&quot;28416810&quot;,&quot;issued&quot;:{&quot;date-parts&quot;:[[2018]]},&quot;page&quot;:&quot;1076-1083&quot;,&quot;abstract&quot;:&quot;How do joint measures of premorbid cognitive ability and familial cognitive aptitude (FCA) reflect risk for a diversity of psychiatric and substance use disorders? To address this question, we examined, using Cox models, the predictive effects of school achievement (SA) measured at age 16 and FCA—assessed from SA in siblings and cousins, and educational attainment in parents—on risk for 12 major psychiatric syndromes in 1 140 608 Swedes born 1972–1990. Four developmental patterns emerged. In the first, risk was predicted jointly by low levels of SA and high levels of FCA—that is a level of SA lower than would be predicted from the FCA. This pattern was strongest in autism spectrum disorders and schizophrenia, and weakest in bipolar illness. In these disorders, a pathologic process seems to have caused cognitive functioning to fall substantially short of familial potential. In the second pattern, seen in the internalizing conditions of major depression and anxiety disorders, risk was associated with low SA but was unrelated to FCA. Externalizing disorders—drug abuse and alcohol use disorders—demonstrated the third pattern, in which risk was predicted jointly by low SA and low FCA. The fourth pattern, seen in eating disorders, was directly opposite of that observed in externalizing disorders with risk associated with high SA and high FCA. When measured together, adolescent cognitive ability and FCA identified four developmental patterns leading to diverse psychiatric disorders. The value of cognitive assessments in psychiatric research can be substantially increased by also evaluating familial cognitive potential.&quot;,&quot;publisher&quot;:&quot;Nature Publishing Group&quot;,&quot;issue&quot;:&quot;4&quot;,&quot;volume&quot;:&quot;23&quot;,&quot;container-title-short&quot;:&quot;&quot;}}],&quot;manualOverride&quot;:{&quot;isManuallyOverridden&quot;:false,&quot;manualOverrideText&quot;:&quot;&quot;,&quot;citeprocText&quot;:&quot;(Kendler et al., 2018)&quot;}},{&quot;citationID&quot;:&quot;MENDELEY_CITATION_6acc8ea7-7482-415b-94bc-681bdad3c0bc&quot;,&quot;properties&quot;:{&quot;noteIndex&quot;:0},&quot;isEdited&quot;:false,&quot;citationTag&quot;:&quot;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&quot;,&quot;citationItems&quot;:[{&quot;id&quot;:&quot;a40bd154-28f1-36c8-a7e3-2572fa79fee5&quot;,&quot;isTemporary&quot;:false,&quot;itemData&quot;:{&quot;type&quot;:&quot;article-journal&quot;,&quot;id&quot;:&quot;a40bd154-28f1-36c8-a7e3-2572fa79fee5&quot;,&quot;title&quot;:&quot;Exploring Comorbidity Within Mental Disorders among a Danish National Population&quot;,&quot;author&quot;:[{&quot;family&quot;:&quot;Plana-Ripoll&quot;,&quot;given&quot;:&quot;Oleguer&quot;,&quot;parse-names&quot;:false,&quot;dropping-particle&quot;:&quot;&quot;,&quot;non-dropping-particle&quot;:&quot;&quot;},{&quot;family&quot;:&quot;Pedersen&quot;,&quot;given&quot;:&quot;Carsten Bøcker&quot;,&quot;parse-names&quot;:false,&quot;dropping-particle&quot;:&quot;&quot;,&quot;non-dropping-particle&quot;:&quot;&quot;},{&quot;family&quot;:&quot;Holtz&quot;,&quot;given&quot;:&quot;Yan&quot;,&quot;parse-names&quot;:false,&quot;dropping-particle&quot;:&quot;&quot;,&quot;non-dropping-particle&quot;:&quot;&quot;},{&quot;family&quot;:&quot;Benros&quot;,&quot;given&quot;:&quot;Michael E&quot;,&quot;parse-names&quot;:false,&quot;dropping-particle&quot;:&quot;&quot;,&quot;non-dropping-particle&quot;:&quot;&quot;},{&quot;family&quot;:&quot;Dalsgaard&quot;,&quot;given&quot;:&quot;Søren&quot;,&quot;parse-names&quot;:false,&quot;dropping-particle&quot;:&quot;&quot;,&quot;non-dropping-particle&quot;:&quot;&quot;},{&quot;family&quot;:&quot;Jonge&quot;,&quot;given&quot;:&quot;Peter&quot;,&quot;parse-names&quot;:false,&quot;dropping-particle&quot;:&quot;de&quot;,&quot;non-dropping-particle&quot;:&quot;&quot;},{&quot;family&quot;:&quot;Fan&quot;,&quot;given&quot;:&quot;Chun Chieh&quot;,&quot;parse-names&quot;:false,&quot;dropping-particle&quot;:&quot;&quot;,&quot;non-dropping-particle&quot;:&quot;&quot;},{&quot;family&quot;:&quot;Degenhardt&quot;,&quot;given&quot;:&quot;Louisa&quot;,&quot;parse-names&quot;:false,&quot;dropping-particle&quot;:&quot;&quot;,&quot;non-dropping-particle&quot;:&quot;&quot;},{&quot;family&quot;:&quot;Ganna&quot;,&quot;given&quot;:&quot;Andrea&quot;,&quot;parse-names&quot;:false,&quot;dropping-particle&quot;:&quot;&quot;,&quot;non-dropping-particle&quot;:&quot;&quot;},{&quot;family&quot;:&quot;Greve&quot;,&quot;given&quot;:&quot;Aja Neergaard&quot;,&quot;parse-names&quot;:false,&quot;dropping-particle&quot;:&quot;&quot;,&quot;non-dropping-particle&quot;:&quot;&quot;},{&quot;family&quot;:&quot;Gunn&quot;,&quot;given&quot;:&quot;Jane&quot;,&quot;parse-names&quot;:false,&quot;dropping-particle&quot;:&quot;&quot;,&quot;non-dropping-particle&quot;:&quot;&quot;},{&quot;family&quot;:&quot;Iburg&quot;,&quot;given&quot;:&quot;Kim Moesgaard&quot;,&quot;parse-names&quot;:false,&quot;dropping-particle&quot;:&quot;&quot;,&quot;non-dropping-particle&quot;:&quot;&quot;},{&quot;family&quot;:&quot;Kessing&quot;,&quot;given&quot;:&quot;Lars Vedel&quot;,&quot;parse-names&quot;:false,&quot;dropping-particle&quot;:&quot;&quot;,&quot;non-dropping-particle&quot;:&quot;&quot;},{&quot;family&quot;:&quot;Lee&quot;,&quot;given&quot;:&quot;Brian K&quot;,&quot;parse-names&quot;:false,&quot;dropping-particle&quot;:&quot;&quot;,&quot;non-dropping-particle&quot;:&quot;&quot;},{&quot;family&quot;:&quot;Lim&quot;,&quot;given&quot;:&quot;Carmen C W&quot;,&quot;parse-names&quot;:false,&quot;dropping-particle&quot;:&quot;&quot;,&quot;non-dropping-particle&quot;:&quot;&quot;},{&quot;family&quot;:&quot;Mors&quot;,&quot;given&quot;:&quot;Ole&quot;,&quot;parse-names&quot;:false,&quot;dropping-particle&quot;:&quot;&quot;,&quot;non-dropping-particle&quot;:&quot;&quot;},{&quot;family&quot;:&quot;Nordentoft&quot;,&quot;given&quot;:&quot;Merete&quot;,&quot;parse-names&quot;:false,&quot;dropping-particle&quot;:&quot;&quot;,&quot;non-dropping-particle&quot;:&quot;&quot;},{&quot;family&quot;:&quot;Prior&quot;,&quot;given&quot;:&quot;Anders&quot;,&quot;parse-names&quot;:false,&quot;dropping-particle&quot;:&quot;&quot;,&quot;non-dropping-particle&quot;:&quot;&quot;},{&quot;family&quot;:&quot;Roest&quot;,&quot;given&quot;:&quot;Annelieke M&quot;,&quot;parse-names&quot;:false,&quot;dropping-particle&quot;:&quot;&quot;,&quot;non-dropping-particle&quot;:&quot;&quot;},{&quot;family&quot;:&quot;Saha&quot;,&quot;given&quot;:&quot;Sukanta&quot;,&quot;parse-names&quot;:false,&quot;dropping-particle&quot;:&quot;&quot;,&quot;non-dropping-particle&quot;:&quot;&quot;},{&quot;family&quot;:&quot;Schork&quot;,&quot;given&quot;:&quot;Andrew&quot;,&quot;parse-names&quot;:false,&quot;dropping-particle&quot;:&quot;&quot;,&quot;non-dropping-particle&quot;:&quot;&quot;},{&quot;family&quot;:&quot;Scott&quot;,&quot;given&quot;:&quot;James G&quot;,&quot;parse-names&quot;:false,&quot;dropping-particle&quot;:&quot;&quot;,&quot;non-dropping-particle&quot;:&quot;&quot;},{&quot;family&quot;:&quot;Scott&quot;,&quot;given&quot;:&quot;Kate M&quot;,&quot;parse-names&quot;:false,&quot;dropping-particle&quot;:&quot;&quot;,&quot;non-dropping-particle&quot;:&quot;&quot;},{&quot;family&quot;:&quot;Stedman&quot;,&quot;given&quot;:&quot;Terry&quot;,&quot;parse-names&quot;:false,&quot;dropping-particle&quot;:&quot;&quot;,&quot;non-dropping-particle&quot;:&quot;&quot;},{&quot;family&quot;:&quot;Sørensen&quot;,&quot;given&quot;:&quot;Holger J&quot;,&quot;parse-names&quot;:false,&quot;dropping-particle&quot;:&quot;&quot;,&quot;non-dropping-particle&quot;:&quot;&quot;},{&quot;family&quot;:&quot;Werge&quot;,&quot;given&quot;:&quot;Thomas&quot;,&quot;parse-names&quot;:false,&quot;dropping-particle&quot;:&quot;&quot;,&quot;non-dropping-particle&quot;:&quot;&quot;},{&quot;family&quot;:&quot;Whiteford&quot;,&quot;given&quot;:&quot;Harvey A&quot;,&quot;parse-names&quot;:false,&quot;dropping-particle&quot;:&quot;&quot;,&quot;non-dropping-particle&quot;:&quot;&quot;},{&quot;family&quot;:&quot;Laursen&quot;,&quot;given&quot;:&quot;Thomas Munk&quot;,&quot;parse-names&quot;:false,&quot;dropping-particle&quot;:&quot;&quot;,&quot;non-dropping-particle&quot;:&quot;&quot;},{&quot;family&quot;:&quot;Agerbo&quot;,&quot;given&quot;:&quot;Esben&quot;,&quot;parse-names&quot;:false,&quot;dropping-particle&quot;:&quot;&quot;,&quot;non-dropping-particle&quot;:&quot;&quot;},{&quot;family&quot;:&quot;Kessler&quot;,&quot;given&quot;:&quot;Ronald C&quot;,&quot;parse-names&quot;:false,&quot;dropping-particle&quot;:&quot;&quot;,&quot;non-dropping-particle&quot;:&quot;&quot;},{&quot;family&quot;:&quot;Mortensen&quot;,&quot;given&quot;:&quot;Preben Bo&quot;,&quot;parse-names&quot;:false,&quot;dropping-particle&quot;:&quot;&quot;,&quot;non-dropping-particle&quot;:&quot;&quot;},{&quot;family&quot;:&quot;McGrath&quot;,&quot;given&quot;:&quot;John J&quot;,&quot;parse-names&quot;:false,&quot;dropping-particle&quot;:&quot;&quot;,&quot;non-dropping-particle&quot;:&quot;&quot;}],&quot;container-title&quot;:&quot;JAMA Psychiatry&quot;,&quot;DOI&quot;:&quot;10.1001/jamapsychiatry.2018.3658&quot;,&quot;ISSN&quot;:&quot;2168622X&quot;,&quot;PMID&quot;:&quot;30649197&quot;,&quot;issued&quot;:{&quot;date-parts&quot;:[[2019]]},&quot;page&quot;:&quot;259-270&quot;,&quot;abstract&quot;:&quot;Importance: Individuals with mental disorders often develop comorbidity over time. Past studies of comorbidity have often restricted analyses to a subset of disorders and few studies have provided absolute risks of later comorbidity. Objectives: To undertake a comprehensive study of comorbidity within mental disorders, by providing temporally ordered age- and sex-specific pairwise estimates between the major groups of mental disorders, and to develop an interactive website to visualize all results and guide future research and clinical practice. Design, Setting, and Participants: This population-based cohort study included all individuals born in Denmark between January 1, 1900, and December 31, 2015, and living in the country between January 1, 2000, and December 31, 2016. The analyses were conducted between June 2017 and May 2018. Main Outcomes and Measures: Danish health registers were used to identify mental disorders, which were examined within the broad 10-level International Statistical Classification of Diseases and Related Health Problems, 10th Revision, subchapter groups (eg, codes F00-F09 and F10-F19). For each temporally ordered pair of disorders, overall and lagged hazard ratios and 95% CIs were calculated using Cox proportional hazards regression models. Absolute risks were estimated using competing risks survival analyses. Estimates for each sex were generated. Results: A total of 5940778 persons were included in this study (2958293 men and 2982485 women; mean [SD] age at beginning of follow-up, 32.1 [25.4] years). They were followed up for 83.9 million person-years. All mental disorders were associated with an increased risk of all other mental disorders when adjusting for sex, age, and calendar time (hazard ratios ranging from 2.0 [95% CI, 1.7-2.4] for prior intellectual disabilities and later eating disorders to 48.6 [95% CI, 46.6-50.7] for prior developmental disorders and later intellectual disabilities). The hazard ratios were temporally patterned, with higher estimates during the first year after the onset of the first disorder, but with persistently elevated rates during the entire observation period. Some disorders were associated with substantial absolute risks of developing specific later disorders (eg, 30.6% [95% CI, 29.3%-32.0%] of men and 38.4% [95% CI, 37.5%-39.4%] of women with a diagnosis of mood disorders before age 20 years developed neurotic disorders within the following 5 years). Conclusions and Relevance: Comorbidity within mental disorders is pervasive, and the risk persists over time. This study provides disorder-, sex-, and age-specific relative and absolute risks of the comorbidity of mental disorders. Web-based interactive data visualization tools are provided for clinical utility..&quot;,&quot;publisher&quot;:&quot;American Medical Association&quot;,&quot;issue&quot;:&quot;3&quot;,&quot;volume&quot;:&quot;76&quot;,&quot;container-title-short&quot;:&quot;&quot;}}],&quot;manualOverride&quot;:{&quot;isManuallyOverridden&quot;:false,&quot;manualOverrideText&quot;:&quot;&quot;,&quot;citeprocText&quot;:&quot;(Plana-Ripoll et al., 2019)&quot;}},{&quot;citationID&quot;:&quot;MENDELEY_CITATION_058d7ddf-6dd3-4d1d-9996-0ab7fd6eb59a&quot;,&quot;properties&quot;:{&quot;noteIndex&quot;:0},&quot;isEdited&quot;:false,&quot;citationTag&quot;:&quot;MENDELEY_CITATION_v3_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&quot;,&quot;citationItems&quot;:[{&quot;id&quot;:&quot;3cf4dd10-bbdb-3029-949e-57a5ef966c00&quot;,&quot;isTemporary&quot;:false,&quot;itemData&quot;:{&quot;type&quot;:&quot;article-journal&quot;,&quot;id&quot;:&quot;3cf4dd10-bbdb-3029-949e-57a5ef966c00&quot;,&quot;title&quot;:&quot;Nature and prevalence of combinations of mental disorders and their association with excess mortality in a population‐based cohort study&quot;,&quot;author&quot;:[{&quot;family&quot;:&quot;Plana‐Ripoll&quot;,&quot;given&quot;:&quot;Oleguer&quot;,&quot;parse-names&quot;:false,&quot;dropping-particle&quot;:&quot;&quot;,&quot;non-dropping-particle&quot;:&quot;&quot;},{&quot;family&quot;:&quot;Musliner&quot;,&quot;given&quot;:&quot;Katherine L&quot;,&quot;parse-names&quot;:false,&quot;dropping-particle&quot;:&quot;&quot;,&quot;non-dropping-particle&quot;:&quot;&quot;},{&quot;family&quot;:&quot;Dalsgaard&quot;,&quot;given&quot;:&quot;Søren&quot;,&quot;parse-names&quot;:false,&quot;dropping-particle&quot;:&quot;&quot;,&quot;non-dropping-particle&quot;:&quot;&quot;},{&quot;family&quot;:&quot;Momen&quot;,&quot;given&quot;:&quot;Natalie C&quot;,&quot;parse-names&quot;:false,&quot;dropping-particle&quot;:&quot;&quot;,&quot;non-dropping-particle&quot;:&quot;&quot;},{&quot;family&quot;:&quot;Weye&quot;,&quot;given&quot;:&quot;Nanna&quot;,&quot;parse-names&quot;:false,&quot;dropping-particle&quot;:&quot;&quot;,&quot;non-dropping-particle&quot;:&quot;&quot;},{&quot;family&quot;:&quot;Christensen&quot;,&quot;given&quot;:&quot;Maria K&quot;,&quot;parse-names&quot;:false,&quot;dropping-particle&quot;:&quot;&quot;,&quot;non-dropping-particle&quot;:&quot;&quot;},{&quot;family&quot;:&quot;Agerbo&quot;,&quot;given&quot;:&quot;Esben&quot;,&quot;parse-names&quot;:false,&quot;dropping-particle&quot;:&quot;&quot;,&quot;non-dropping-particle&quot;:&quot;&quot;},{&quot;family&quot;:&quot;Iburg&quot;,&quot;given&quot;:&quot;Kim Moesgaard&quot;,&quot;parse-names&quot;:false,&quot;dropping-particle&quot;:&quot;&quot;,&quot;non-dropping-particle&quot;:&quot;&quot;},{&quot;family&quot;:&quot;Laursen&quot;,&quot;given&quot;:&quot;Thomas Munk&quot;,&quot;parse-names&quot;:false,&quot;dropping-particle&quot;:&quot;&quot;,&quot;non-dropping-particle&quot;:&quot;&quot;},{&quot;family&quot;:&quot;Mortensen&quot;,&quot;given&quot;:&quot;Preben Bo&quot;,&quot;parse-names&quot;:false,&quot;dropping-particle&quot;:&quot;&quot;,&quot;non-dropping-particle&quot;:&quot;&quot;}],&quot;container-title&quot;:&quot;World Psychiatry&quot;,&quot;ISSN&quot;:&quot;1723-8617&quot;,&quot;issued&quot;:{&quot;date-parts&quot;:[[2020]]},&quot;page&quot;:&quot;339-349&quot;,&quot;publisher&quot;:&quot;Wiley Online Library&quot;,&quot;issue&quot;:&quot;3&quot;,&quot;volume&quot;:&quot;19&quot;,&quot;container-title-short&quot;:&quot;&quot;}}],&quot;manualOverride&quot;:{&quot;isManuallyOverridden&quot;:false,&quot;manualOverrideText&quot;:&quot;&quot;,&quot;citeprocText&quot;:&quot;(Plana‐Ripoll et al., 2020)&quot;}},{&quot;citationID&quot;:&quot;MENDELEY_CITATION_bfc5bf7a-2cb0-48a7-b849-b9bb10277bc1&quot;,&quot;properties&quot;:{&quot;noteIndex&quot;:0},&quot;isEdited&quot;:false,&quot;citationTag&quot;:&quot;MENDELEY_CITATION_v3_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&quot;,&quot;citationItems&quot;:[{&quot;id&quot;:&quot;9f0c6c92-9959-38ad-bab5-8c1f313e6e6f&quot;,&quot;isTemporary&quot;:false,&quot;itemData&quot;:{&quot;type&quot;:&quot;article-journal&quot;,&quot;id&quot;:&quot;9f0c6c92-9959-38ad-bab5-8c1f313e6e6f&quot;,&quot;title&quot;:&quot;Urban–rural differences in incidence rates of psychiatric disorders in Denmark&quot;,&quot;author&quot;:[{&quot;family&quot;:&quot;Vassos E&quot;,&quot;given&quot;:&quot;&quot;,&quot;parse-names&quot;:false,&quot;dropping-particle&quot;:&quot;&quot;,&quot;non-dropping-particle&quot;:&quot;&quot;},{&quot;family&quot;:&quot;Agerbo E&quot;,&quot;given&quot;:&quot;&quot;,&quot;parse-names&quot;:false,&quot;dropping-particle&quot;:&quot;&quot;,&quot;non-dropping-particle&quot;:&quot;&quot;},{&quot;family&quot;:&quot;Mors O&quot;,&quot;given&quot;:&quot;&quot;,&quot;parse-names&quot;:false,&quot;dropping-particle&quot;:&quot;&quot;,&quot;non-dropping-particle&quot;:&quot;&quot;},{&quot;family&quot;:&quot;Pedersen C B&quot;,&quot;given&quot;:&quot;&quot;,&quot;parse-names&quot;:false,&quot;dropping-particle&quot;:&quot;&quot;,&quot;non-dropping-particle&quot;:&quot;&quot;}],&quot;container-title&quot;:&quot;The British Journal of Psychiatry&quot;,&quot;issued&quot;:{&quot;date-parts&quot;:[[2016]]},&quot;page&quot;:&quot;435-440&quot;,&quot;issue&quot;:&quot;5&quot;,&quot;volume&quot;:&quot;208&quot;,&quot;container-title-short&quot;:&quot;&quot;}}],&quot;manualOverride&quot;:{&quot;isManuallyOverridden&quot;:false,&quot;manualOverrideText&quot;:&quot;&quot;,&quot;citeprocText&quot;:&quot;(Vassos E et al., 2016)&quot;}},{&quot;citationID&quot;:&quot;MENDELEY_CITATION_8b880e50-cc58-4c91-8eb2-44f9cd9f4bea&quot;,&quot;properties&quot;:{&quot;noteIndex&quot;:0},&quot;isEdited&quot;:false,&quot;citationTag&quot;:&quot;MENDELEY_CITATION_v3_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&quot;,&quot;citationItems&quot;:[{&quot;id&quot;:&quot;535354b9-dd94-3bf8-9f9d-5626d6879d88&quot;,&quot;isTemporary&quot;:false,&quot;itemData&quot;:{&quot;type&quot;:&quot;article-journal&quot;,&quot;id&quot;:&quot;535354b9-dd94-3bf8-9f9d-5626d6879d88&quot;,&quot;title&quot;:&quot;Parental income as a marker for socioeconomic position during childhood and later risk of developing a secondary care-diagnosed mental disorder examined across the full diagnostic spectrum: a national cohort study&quot;,&quot;author&quot;:[{&quot;family&quot;:&quot;Hakulinen&quot;,&quot;given&quot;:&quot;Christian&quot;,&quot;parse-names&quot;:false,&quot;dropping-particle&quot;:&quot;&quot;,&quot;non-dropping-particle&quot;:&quot;&quot;},{&quot;family&quot;:&quot;Mok&quot;,&quot;given&quot;:&quot;Pearl L H&quot;,&quot;parse-names&quot;:false,&quot;dropping-particle&quot;:&quot;&quot;,&quot;non-dropping-particle&quot;:&quot;&quot;},{&quot;family&quot;:&quot;Horsdal&quot;,&quot;given&quot;:&quot;Henriette Thisted&quot;,&quot;parse-names&quot;:false,&quot;dropping-particle&quot;:&quot;&quot;,&quot;non-dropping-particle&quot;:&quot;&quot;},{&quot;family&quot;:&quot;Pedersen&quot;,&quot;given&quot;:&quot;Carsten B&quot;,&quot;parse-names&quot;:false,&quot;dropping-particle&quot;:&quot;&quot;,&quot;non-dropping-particle&quot;:&quot;&quot;},{&quot;family&quot;:&quot;Mortensen&quot;,&quot;given&quot;:&quot;Preben B&quot;,&quot;parse-names&quot;:false,&quot;dropping-particle&quot;:&quot;&quot;,&quot;non-dropping-particle&quot;:&quot;&quot;},{&quot;family&quot;:&quot;Agerbo&quot;,&quot;given&quot;:&quot;Esben&quot;,&quot;parse-names&quot;:false,&quot;dropping-particle&quot;:&quot;&quot;,&quot;non-dropping-particle&quot;:&quot;&quot;},{&quot;family&quot;:&quot;Webb&quot;,&quot;given&quot;:&quot;Roger T&quot;,&quot;parse-names&quot;:false,&quot;dropping-particle&quot;:&quot;&quot;,&quot;non-dropping-particle&quot;:&quot;&quot;}],&quot;container-title&quot;:&quot;BMC Medicine&quot;,&quot;DOI&quot;:&quot;10.1186/s12916-020-01794-5&quot;,&quot;ISSN&quot;:&quot;17417015&quot;,&quot;PMID&quot;:&quot;33190641&quot;,&quot;issued&quot;:{&quot;date-parts&quot;:[[2020]]},&quot;page&quot;:&quot;1-11&quot;,&quot;abstract&quot;:&quot;Background: Links between parental socioeconomic position during childhood and subsequent risks of developing mental disorders have rarely been examined across the diagnostic spectrum. We conducted a comprehensive analysis of parental income level, including income mobility, during childhood and risks for developing mental disorders diagnosed in secondary care in young adulthood. Methods: National cohort study of persons born in Denmark 1980–2000 (N = 1,051,265). Parental income was measured during birth year and at ages 5, 10 and 15. Follow-up began from 15th birthday until mental disorder diagnosis or 31 December 2016, whichever occurred first. Hazard ratios and cumulative incidence were estimated. Results: A quarter (25.2%; 95% CI 24.8–25.6%) of children born in the lowest income quintile families will have a secondary care-diagnosed mental disorder by age 37, versus 13.5% (13.2–13.9%) of those born in the highest income quintile. Longer time spent living in low-income families was associated with higher risks of developing mental disorders. Associations were strongest for substance misuse and personality disorders and weaker for mood disorders and anxiety/somatoform disorders. An exception was eating disorders, with low parental income being associated with attenuated risk. For all diagnostic categories examined except for eating disorders, downward socioeconomic mobility was linked with higher subsequent risk and upward socioeconomic mobility with lower subsequent risk of developing mental disorders. Conclusions: Except for eating disorders, low parental income during childhood is associated with subsequent increased risk of mental disorders diagnosed in secondary care across the diagnostic spectrum. Early interventions to mitigate the disadvantages linked with low income, and better opportunities for upward socioeconomic mobility could reduce social and mental health inequalities.&quot;,&quot;publisher&quot;:&quot;Springer&quot;,&quot;issue&quot;:&quot;1&quot;,&quot;volume&quot;:&quot;18&quot;,&quot;container-title-short&quot;:&quot;&quot;}}],&quot;manualOverride&quot;:{&quot;isManuallyOverridden&quot;:false,&quot;manualOverrideText&quot;:&quot;&quot;,&quot;citeprocText&quot;:&quot;(Hakulinen et al., 2020)&quot;}},{&quot;citationID&quot;:&quot;MENDELEY_CITATION_55298184-c6fa-4785-a24a-67b33fb3ad5b&quot;,&quot;properties&quot;:{&quot;noteIndex&quot;:0},&quot;isEdited&quot;:false,&quot;citationTag&quot;:&quot;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&quot;,&quot;citationItems&quot;:[{&quot;id&quot;:&quot;ad15894c-52f2-3ecf-b982-784e09901636&quot;,&quot;isTemporary&quot;:false,&quot;itemData&quot;:{&quot;type&quot;:&quot;article-journal&quot;,&quot;id&quot;:&quot;ad15894c-52f2-3ecf-b982-784e09901636&quot;,&quot;title&quot;:&quot;Full spectrum of psychiatric outcomes among offspring with parental history of mental disorder&quot;,&quot;author&quot;:[{&quot;family&quot;:&quot;Dean&quot;,&quot;given&quot;:&quot;Kimberlie&quot;,&quot;parse-names&quot;:false,&quot;dropping-particle&quot;:&quot;&quot;,&quot;non-dropping-particle&quot;:&quot;&quot;},{&quot;family&quot;:&quot;Stevens&quot;,&quot;given&quot;:&quot;Hanne&quot;,&quot;parse-names&quot;:false,&quot;dropping-particle&quot;:&quot;&quot;,&quot;non-dropping-particle&quot;:&quot;&quot;},{&quot;family&quot;:&quot;Mortensen&quot;,&quot;given&quot;:&quot;Preben B&quot;,&quot;parse-names&quot;:false,&quot;dropping-particle&quot;:&quot;&quot;,&quot;non-dropping-particle&quot;:&quot;&quot;},{&quot;family&quot;:&quot;Murray&quot;,&quot;given&quot;:&quot;Robin M&quot;,&quot;parse-names&quot;:false,&quot;dropping-particle&quot;:&quot;&quot;,&quot;non-dropping-particle&quot;:&quot;&quot;},{&quot;family&quot;:&quot;Walsh&quot;,&quot;given&quot;:&quot;Elizabeth&quot;,&quot;parse-names&quot;:false,&quot;dropping-particle&quot;:&quot;&quot;,&quot;non-dropping-particle&quot;:&quot;&quot;},{&quot;family&quot;:&quot;Pedersen&quot;,&quot;given&quot;:&quot;Carsten B&quot;,&quot;parse-names&quot;:false,&quot;dropping-particle&quot;:&quot;&quot;,&quot;non-dropping-particle&quot;:&quot;&quot;}],&quot;container-title&quot;:&quot;Archives of General Psychiatry&quot;,&quot;DOI&quot;:&quot;10.1001/archgenpsychiatry.2010.86&quot;,&quot;ISSN&quot;:&quot;0003990X&quot;,&quot;PMID&quot;:&quot;20679590&quot;,&quot;issued&quot;:{&quot;date-parts&quot;:[[2010]]},&quot;page&quot;:&quot;822-829&quot;,&quot;abstract&quot;:&quot;Context: While concordant parent/offspring risks for specific mental disorders are well established, knowledge of the broader range of psychiatric outcomes among offspring with parental history of mental disorder is lacking. Objective: To examine the full range of mental health outcomes among offspring of parents with serious and other mental disorders compared with those whose parents had no such history. Design: Population-based cohort study. Offspring were followed up from their 14th birthday for the development of mental disorders based on both outpatient and inpatient hospital data. Setting: Danish population. Participants: All offspring born in Denmark between 1980 and 1994 (N=865 078) with follow-up to December 2008. Main Outcome Measures: Incidence rates, incidence rate ratios, and cumulative incidences for offspring psychiatric outcomes. Results: Parental serious mental disorder (SMD) (nonaffective or affective psychosis) was found to be positively associated with virtually all offspring psychiatric outcomes, including those not hitherto regarded as clinically related. Offspring of parents without SMD but with a history of \&quot;other mental disorder\&quot; were also found to be at increased risk of developing a range of mental disorders. The strongest associations were found where both parents had a history of mental disorder (eg, offspring of 2 parents with SMD were 13 times more likely to develop schizophrenia). Elevated risks were not confined to concordant parent/offspring disorders (eg, offspring of 2 parents with SMD were 8 times more likely to develop substance misuse disorders). Conclusions: The impact of parental history of mental disorder was not confined to elevated offspring risk of concordant disorders but rather offspring are at increased risk of a wide range of mental disorders, particularly those with 2 affected parents. Our results imply an important role for etiological factors giving rise to broad, as well as specific, familial vulnerabilities. These findings also have potential implications for diagnostic classification. ©2010 American Medical Association. All rights reserved.&quot;,&quot;publisher&quot;:&quot;American Medical Association&quot;,&quot;issue&quot;:&quot;8&quot;,&quot;volume&quot;:&quot;67&quot;,&quot;container-title-short&quot;:&quot;&quot;}},{&quot;id&quot;:&quot;4bf133f2-835e-375b-8e1c-5a61c513631b&quot;,&quot;isTemporary&quot;:false,&quot;itemData&quot;:{&quot;type&quot;:&quot;article-journal&quot;,&quot;id&quot;:&quot;4bf133f2-835e-375b-8e1c-5a61c513631b&quot;,&quot;title&quot;:&quot;Intergenerational transmission of psychiatric disorders: the 1987 Finnish Birth Cohort study&quot;,&quot;author&quot;:[{&quot;family&quot;:&quot;Paananen&quot;,&quot;given&quot;:&quot;Reija&quot;,&quot;parse-names&quot;:false,&quot;dropping-particle&quot;:&quot;&quot;,&quot;non-dropping-particle&quot;:&quot;&quot;},{&quot;family&quot;:&quot;Tuulio-Henriksson&quot;,&quot;given&quot;:&quot;Annamari&quot;,&quot;parse-names&quot;:false,&quot;dropping-particle&quot;:&quot;&quot;,&quot;non-dropping-particle&quot;:&quot;&quot;},{&quot;family&quot;:&quot;Merikukka&quot;,&quot;given&quot;:&quot;Marko&quot;,&quot;parse-names&quot;:false,&quot;dropping-particle&quot;:&quot;&quot;,&quot;non-dropping-particle&quot;:&quot;&quot;},{&quot;family&quot;:&quot;Gissler&quot;,&quot;given&quot;:&quot;Mika&quot;,&quot;parse-names&quot;:false,&quot;dropping-particle&quot;:&quot;&quot;,&quot;non-dropping-particle&quot;:&quot;&quot;}],&quot;container-title&quot;:&quot;European Child and Adolescent Psychiatry&quot;,&quot;DOI&quot;:&quot;10.1007/s00787-020-01524-5&quot;,&quot;ISSN&quot;:&quot;1435165X&quot;,&quot;PMID&quot;:&quot;32270343&quot;,&quot;issued&quot;:{&quot;date-parts&quot;:[[2021]]},&quot;page&quot;:&quot;381-389&quot;,&quot;abstract&quot;:&quot;The causes of mental disorders are multifactorial including genetic and environmental exposures, parental psychopathology being the greatest risk factor for their offspring. We set out to quantify the risk of parental psychiatric morbidity with the incidence of mental disorders among their offspring before the age of 22 years and study the sex- and age-specific associations. The present study utilises the 1987 Finnish Birth Cohort (FBC) data, which is a register-based follow-up of all 60,069 children born in Finland 1987 and followed-up until 2008. Data on psychiatric morbidity are based on inpatient care episodes of parents and both inpatient and outpatient visits of offspring and were collected from the Finnish Hospital Discharge Register which covers all Finnish citizens accessing specialized care. Altogether 7.6% of the cohort members had a parent or both parents treated at psychiatric inpatient care during the follow-up. Parental psychiatric morbidity increased the offspring’s risk for psychiatric diagnoses two to threefold versus those children without parental psychiatric hospitalization, mother’s morbidity comprising a greater risk than that of father’s. The risk was prominent for both sexes of the offspring throughout childhood and adolescence. Psychiatric disorders possess significant intergenerational continuum. It is essential to target preventive efforts on the high-risk population that comprises families with a parent or both having mental disorders. It also implies developing appropriate social and health care interventions to support the whole family.&quot;,&quot;publisher&quot;:&quot;Springer&quot;,&quot;issue&quot;:&quot;3&quot;,&quot;volume&quot;:&quot;30&quot;,&quot;container-title-short&quot;:&quot;&quot;}}],&quot;manualOverride&quot;:{&quot;isManuallyOverridden&quot;:false,&quot;manualOverrideText&quot;:&quot;&quot;,&quot;citeprocText&quot;:&quot;(Dean et al., 2010; Paananen et al., 2021)&quot;}},{&quot;citationID&quot;:&quot;MENDELEY_CITATION_66d5f072-e396-4ad7-b5e4-fa557fe45937&quot;,&quot;properties&quot;:{&quot;noteIndex&quot;:0},&quot;isEdited&quot;:false,&quot;citationTag&quot;:&quot;MENDELEY_CITATION_v3_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&quot;,&quot;citationItems&quot;:[{&quot;id&quot;:&quot;2232efb6-4e68-3745-9e90-a5eb6197d1ea&quot;,&quot;isTemporary&quot;:false,&quot;itemData&quot;:{&quot;type&quot;:&quot;article-journal&quot;,&quot;id&quot;:&quot;2232efb6-4e68-3745-9e90-a5eb6197d1ea&quot;,&quot;title&quot;:&quot;Competing risks in epidemiology: Possibilities and pitfalls&quot;,&quot;author&quot;:[{&quot;family&quot;:&quot;Andersen&quot;,&quot;given&quot;:&quot;Per Kragh&quot;,&quot;parse-names&quot;:false,&quot;dropping-particle&quot;:&quot;&quot;,&quot;non-dropping-particle&quot;:&quot;&quot;},{&quot;family&quot;:&quot;Geskus&quot;,&quot;given&quot;:&quot;Ronald B&quot;,&quot;parse-names&quot;:false,&quot;dropping-particle&quot;:&quot;&quot;,&quot;non-dropping-particle&quot;:&quot;&quot;},{&quot;family&quot;:&quot;witte&quot;,&quot;given&quot;:&quot;Theo&quot;,&quot;parse-names&quot;:false,&quot;dropping-particle&quot;:&quot;de&quot;,&quot;non-dropping-particle&quot;:&quot;&quot;},{&quot;family&quot;:&quot;Putter&quot;,&quot;given&quot;:&quot;Hein&quot;,&quot;parse-names&quot;:false,&quot;dropping-particle&quot;:&quot;&quot;,&quot;non-dropping-particle&quot;:&quot;&quot;}],&quot;container-title&quot;:&quot;International Journal of Epidemiology&quot;,&quot;DOI&quot;:&quot;10.1093/ije/dyr213&quot;,&quot;ISSN&quot;:&quot;03005771&quot;,&quot;PMID&quot;:&quot;22253319&quot;,&quot;issued&quot;:{&quot;date-parts&quot;:[[2012]]},&quot;page&quot;:&quot;861-870&quot;,&quot;abstract&quot;:&quot;Background In studies of all-cause mortality, the fundamental epidemiological concepts of rate and risk are connected through a well-defined one-to-one relation. An important consequence of this relation is that regression models such as the proportional hazards model that are defined through the hazard (the rate) immediately dictate how the covariates relate to the survival function (the risk).Methods This introductory paper reviews the concepts of rate and risk and their one-to-one relation in all-cause mortality studies and introduces the analogous concepts of rate and risk in the context of competing risks, the cause-specific hazard and the cause-specific cumulative incidence function. Results The key feature of competing risks is that the one-to-one correspondence between cause-specific hazard and cumulative incidence, between rate and risk, is lost. This fact has two important implications. First, the naïve Kaplan-Meier that takes the competing events as censored observations, is biased. Secondly, the way in which covariates are associated with the cause-specific hazards may not coincide with the way these covariates are associated with the cumulative incidence. An example with relapse and non-relapse mortality as competing risks in a stem cell transplantation study is used for illustration. Conclusion The two implications of the loss of one-to-one correspondence between cause-specific hazard and cumulative incidence should be kept in mind when deciding on how to make inference in a competing risks situation. Published by Oxford University Press on behalf of the International Epidemiological Association © The Author 2012.&quot;,&quot;publisher&quot;:&quot;Oxford University Press&quot;,&quot;issue&quot;:&quot;3&quot;,&quot;volume&quot;:&quot;41&quot;,&quot;container-title-short&quot;:&quot;&quot;}}],&quot;manualOverride&quot;:{&quot;isManuallyOverridden&quot;:false,&quot;manualOverrideText&quot;:&quot;&quot;,&quot;citeprocText&quot;:&quot;(Andersen et al., 2012)&quot;}},{&quot;citationID&quot;:&quot;MENDELEY_CITATION_9182c996-70f5-4989-8a7a-db39b650da71&quot;,&quot;properties&quot;:{&quot;noteIndex&quot;:0},&quot;isEdited&quot;:false,&quot;citationTag&quot;:&quot;MENDELEY_CITATION_v3_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&quot;,&quot;citationItems&quot;:[{&quot;id&quot;:&quot;b2b6a3f9-fe8a-3c04-add6-beb142dfc10a&quot;,&quot;isTemporary&quot;:false,&quot;itemData&quot;:{&quot;type&quot;:&quot;article&quot;,&quot;id&quot;:&quot;b2b6a3f9-fe8a-3c04-add6-beb142dfc10a&quot;,&quot;title&quot;:&quot;Stata Statistical Software: Release 16. College Station, TX: StataCorp LLC&quot;,&quot;author&quot;:[{&quot;family&quot;:&quot;StataCorp&quot;,&quot;given&quot;:&quot;&quot;,&quot;parse-names&quot;:false,&quot;dropping-particle&quot;:&quot;&quot;,&quot;non-dropping-particle&quot;:&quot;&quot;}],&quot;container-title&quot;:&quot;StataCorp LLC&quot;,&quot;issued&quot;:{&quot;date-parts&quot;:[[2019]]},&quot;abstract&quot;:&quot;StataCorp. 2019. Stata Statistical Software: Release 16. College Station, TX: StataCorp LLC.&quot;,&quot;container-title-short&quot;:&quot;&quot;}}],&quot;manualOverride&quot;:{&quot;isManuallyOverridden&quot;:false,&quot;manualOverrideText&quot;:&quot;&quot;,&quot;citeprocText&quot;:&quot;(StataCorp, 2019)&quot;}},{&quot;citationID&quot;:&quot;MENDELEY_CITATION_54f4db05-1a9b-4db9-88d7-0a508ea463f0&quot;,&quot;properties&quot;:{&quot;noteIndex&quot;:0},&quot;isEdited&quot;:false,&quot;citationTag&quot;:&quot;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&quot;,&quot;citationItems&quot;:[{&quot;id&quot;:&quot;7d12c4bd-5c8b-3095-8587-c5c06d74283c&quot;,&quot;isTemporary&quot;:false,&quot;itemData&quot;:{&quot;type&quot;:&quot;article-journal&quot;,&quot;id&quot;:&quot;7d12c4bd-5c8b-3095-8587-c5c06d74283c&quot;,&quot;title&quot;:&quot;A Swedish national prospective and co-relative study of school achievement at age 16, and risk for schizophrenia, other nonaffective psychosis, and bipolar illness&quot;,&quot;author&quot;:[{&quot;family&quot;:&quot;Kendler&quot;,&quot;given&quot;:&quot;Kenneth S&quot;,&quot;parse-names&quot;:false,&quot;dropping-particle&quot;:&quot;&quot;,&quot;non-dropping-particle&quot;:&quot;&quot;},{&quot;family&quot;:&quot;Ohlsson&quot;,&quot;given&quot;:&quot;Henrik&quot;,&quot;parse-names&quot;:false,&quot;dropping-particle&quot;:&quot;&quot;,&quot;non-dropping-particle&quot;:&quot;&quot;},{&quot;family&quot;:&quot;Mezuk&quot;,&quot;given&quot;:&quot;Briana&quot;,&quot;parse-names&quot;:false,&quot;dropping-particle&quot;:&quot;&quot;,&quot;non-dropping-particle&quot;:&quot;&quot;},{&quot;family&quot;:&quot;Sundquist&quot;,&quot;given&quot;:&quot;Kristina&quot;,&quot;parse-names&quot;:false,&quot;dropping-particle&quot;:&quot;&quot;,&quot;non-dropping-particle&quot;:&quot;&quot;},{&quot;family&quot;:&quot;Sundquist&quot;,&quot;given&quot;:&quot;Jan&quot;,&quot;parse-names&quot;:false,&quot;dropping-particle&quot;:&quot;&quot;,&quot;non-dropping-particle&quot;:&quot;&quot;}],&quot;container-title&quot;:&quot;Schizophrenia bulletin&quot;,&quot;container-title-short&quot;:&quot;Schizophr Bull&quot;,&quot;ISSN&quot;:&quot;1745-1701&quot;,&quot;issued&quot;:{&quot;date-parts&quot;:[[2016]]},&quot;page&quot;:&quot;77-86&quot;,&quot;publisher&quot;:&quot;Oxford University Press US&quot;,&quot;issue&quot;:&quot;1&quot;,&quot;volume&quot;:&quot;42&quot;}},{&quot;id&quot;:&quot;159f3271-c1ec-3333-9a2c-a46aa9e6dc2a&quot;,&quot;isTemporary&quot;:false,&quot;itemData&quot;:{&quot;type&quot;:&quot;article-journal&quot;,&quot;id&quot;:&quot;159f3271-c1ec-3333-9a2c-a46aa9e6dc2a&quot;,&quot;title&quot;:&quot;School performance and hospital admission due to unipolar depression: a three-generational study of social causation and social selection&quot;,&quot;author&quot;:[{&quot;family&quot;:&quot;Jonsson&quot;,&quot;given&quot;:&quot;Ulf&quot;,&quot;parse-names&quot;:false,&quot;dropping-particle&quot;:&quot;&quot;,&quot;non-dropping-particle&quot;:&quot;&quot;},{&quot;family&quot;:&quot;Goodman&quot;,&quot;given&quot;:&quot;Anna&quot;,&quot;parse-names&quot;:false,&quot;dropping-particle&quot;:&quot;&quot;,&quot;non-dropping-particle&quot;:&quot;&quot;},{&quot;family&quot;:&quot;Knorring&quot;,&quot;given&quot;:&quot;Anne-Liis&quot;,&quot;parse-names&quot;:false,&quot;dropping-particle&quot;:&quot;&quot;,&quot;non-dropping-particle&quot;:&quot;von&quot;},{&quot;family&quot;:&quot;Knorring&quot;,&quot;given&quot;:&quot;Lars&quot;,&quot;parse-names&quot;:false,&quot;dropping-particle&quot;:&quot;&quot;,&quot;non-dropping-particle&quot;:&quot;von&quot;},{&quot;family&quot;:&quot;Koupil&quot;,&quot;given&quot;:&quot;Ilona&quot;,&quot;parse-names&quot;:false,&quot;dropping-particle&quot;:&quot;&quot;,&quot;non-dropping-particle&quot;:&quot;&quot;}],&quot;container-title&quot;:&quot;Social psychiatry and psychiatric epidemiology&quot;,&quot;container-title-short&quot;:&quot;Soc Psychiatry Psychiatr Epidemiol&quot;,&quot;ISSN&quot;:&quot;1433-9285&quot;,&quot;issued&quot;:{&quot;date-parts&quot;:[[2012]]},&quot;page&quot;:&quot;1695-1706&quot;,&quot;publisher&quot;:&quot;Springer&quot;,&quot;issue&quot;:&quot;10&quot;,&quot;volume&quot;:&quot;47&quot;}},{&quot;id&quot;:&quot;f411424c-a991-3d41-8362-1b9fd6159118&quot;,&quot;isTemporary&quot;:false,&quot;itemData&quot;:{&quot;type&quot;:&quot;article-journal&quot;,&quot;id&quot;:&quot;f411424c-a991-3d41-8362-1b9fd6159118&quot;,&quot;title&quot;:&quot;School achievement as a predictor of depression and self-harm in adolescence: Linked education and health record study&quot;,&quot;author&quot;:[{&quot;family&quot;:&quot;Rahman&quot;,&quot;given&quot;:&quot;Muhammad A&quot;,&quot;parse-names&quot;:false,&quot;dropping-particle&quot;:&quot;&quot;,&quot;non-dropping-particle&quot;:&quot;&quot;},{&quot;family&quot;:&quot;Todd&quot;,&quot;given&quot;:&quot;Charlotte&quot;,&quot;parse-names&quot;:false,&quot;dropping-particle&quot;:&quot;&quot;,&quot;non-dropping-particle&quot;:&quot;&quot;},{&quot;family&quot;:&quot;John&quot;,&quot;given&quot;:&quot;Ann&quot;,&quot;parse-names&quot;:false,&quot;dropping-particle&quot;:&quot;&quot;,&quot;non-dropping-particle&quot;:&quot;&quot;},{&quot;family&quot;:&quot;Tan&quot;,&quot;given&quot;:&quot;Jacinta&quot;,&quot;parse-names&quot;:false,&quot;dropping-particle&quot;:&quot;&quot;,&quot;non-dropping-particle&quot;:&quot;&quot;},{&quot;family&quot;:&quot;Kerr&quot;,&quot;given&quot;:&quot;Michael&quot;,&quot;parse-names&quot;:false,&quot;dropping-particle&quot;:&quot;&quot;,&quot;non-dropping-particle&quot;:&quot;&quot;},{&quot;family&quot;:&quot;Potter&quot;,&quot;given&quot;:&quot;Robert&quot;,&quot;parse-names&quot;:false,&quot;dropping-particle&quot;:&quot;&quot;,&quot;non-dropping-particle&quot;:&quot;&quot;},{&quot;family&quot;:&quot;Kennedy&quot;,&quot;given&quot;:&quot;Jonathan&quot;,&quot;parse-names&quot;:false,&quot;dropping-particle&quot;:&quot;&quot;,&quot;non-dropping-particle&quot;:&quot;&quot;},{&quot;family&quot;:&quot;Rice&quot;,&quot;given&quot;:&quot;Frances&quot;,&quot;parse-names&quot;:false,&quot;dropping-particle&quot;:&quot;&quot;,&quot;non-dropping-particle&quot;:&quot;&quot;},{&quot;family&quot;:&quot;Brophy&quot;,&quot;given&quot;:&quot;Sinead&quot;,&quot;parse-names&quot;:false,&quot;dropping-particle&quot;:&quot;&quot;,&quot;non-dropping-particle&quot;:&quot;&quot;}],&quot;container-title&quot;:&quot;British Journal of Psychiatry&quot;,&quot;DOI&quot;:&quot;10.1192/bjp.2017.69&quot;,&quot;ISSN&quot;:&quot;14721465&quot;,&quot;PMID&quot;:&quot;29506597&quot;,&quot;issued&quot;:{&quot;date-parts&quot;:[[2018]]},&quot;page&quot;:&quot;215-221&quot;,&quot;abstract&quot;:&quot;Background: Mental disorders in children and adolescents have an impact on educational attainment. Aims: To examine the temporal association between attainment in education and subsequent diagnosis of depression or self-harm in the teenage years. Method: General practitioner, hospital and education records of young people in Wales between 1999 and 2014 were linked and analysed using Cox regression. Results: Linked records were available for 652 903 young people and of these 33 498 (5.1%) developed depression and 15 946 (2.4%) selfharmed after the age of 12 but before the age of 20. Young people who developed depression over the study period were more likely to have achieved key stage 1 (age 7 years) but not key stage 2 (age 11) (hazard ratio (HR) = 0.79, 95% CI 0.74-0.84) milestones, indicating that they were declining in academic attainment during primary school. Conversely, those who selfharmed were achieving as well as those who did not self-harm in primary school, but showed a severe decline in their attainment during secondary school (HR = 0.72, 95% CI 0.68-0.78). Conclusions: Long-term declining educational attainment in primary and secondary school was associated with development of depression in the teenage years. Self-harm was associated with declining educational attainment during secondary school only. Incorporating information on academic decline with other known risk factors for depression/self-harm (for example stressful life events, parental mental health problems) may improve risk profiling methods.&quot;,&quot;publisher&quot;:&quot;Cambridge University Press&quot;,&quot;issue&quot;:&quot;4&quot;,&quot;volume&quot;:&quot;212&quot;,&quot;container-title-short&quot;:&quot;&quot;}},{&quot;id&quot;:&quot;3124c432-adb0-3150-afe6-16fe3518032b&quot;,&quot;isTemporary&quot;:false,&quot;itemData&quot;:{&quot;type&quot;:&quot;article-journal&quot;,&quot;id&quot;:&quot;3124c432-adb0-3150-afe6-16fe3518032b&quot;,&quot;title&quot;:&quot;Academic performance, externalizing disorders and depression: 26,000 adolescents followed into adulthood&quot;,&quot;author&quot;:[{&quot;family&quot;:&quot;Wallin&quot;,&quot;given&quot;:&quot;Alma Sörberg&quot;,&quot;parse-names&quot;:false,&quot;dropping-particle&quot;:&quot;&quot;,&quot;non-dropping-particle&quot;:&quot;&quot;},{&quot;family&quot;:&quot;Koupil&quot;,&quot;given&quot;:&quot;Ilona&quot;,&quot;parse-names&quot;:false,&quot;dropping-particle&quot;:&quot;&quot;,&quot;non-dropping-particle&quot;:&quot;&quot;},{&quot;family&quot;:&quot;Gustafsson&quot;,&quot;given&quot;:&quot;Jan Eric&quot;,&quot;parse-names&quot;:false,&quot;dropping-particle&quot;:&quot;&quot;,&quot;non-dropping-particle&quot;:&quot;&quot;},{&quot;family&quot;:&quot;Zammit&quot;,&quot;given&quot;:&quot;Stanley&quot;,&quot;parse-names&quot;:false,&quot;dropping-particle&quot;:&quot;&quot;,&quot;non-dropping-particle&quot;:&quot;&quot;},{&quot;family&quot;:&quot;Allebeck&quot;,&quot;given&quot;:&quot;Peter&quot;,&quot;parse-names&quot;:false,&quot;dropping-particle&quot;:&quot;&quot;,&quot;non-dropping-particle&quot;:&quot;&quot;},{&quot;family&quot;:&quot;Falkstedt&quot;,&quot;given&quot;:&quot;Daniel&quot;,&quot;parse-names&quot;:false,&quot;dropping-particle&quot;:&quot;&quot;,&quot;non-dropping-particle&quot;:&quot;&quot;}],&quot;container-title&quot;:&quot;Social Psychiatry and Psychiatric Epidemiology&quot;,&quot;DOI&quot;:&quot;10.1007/s00127-019-01668-z&quot;,&quot;ISSN&quot;:&quot;09337954&quot;,&quot;PMID&quot;:&quot;30783692&quot;,&quot;issued&quot;:{&quot;date-parts&quot;:[[2019]]},&quot;page&quot;:&quot;977-986&quot;,&quot;abstract&quot;:&quot;Background: The incidence of major depression among adults has been shown to be socially differentiated, and there are reasons to seek explanations for this before adulthood. In this cohort study, we examined whether academic performance in adolescence predicts depression in adulthood, and the extent to which externalizing disorders explain this association. Methods: We followed 26,766 Swedish women and men born 1967–1982 from the last year of compulsory school, at age about 16, up to 48 years of age. We investigated the association between grade point average (GPA, standardized by gender) and first diagnosis of depression in national registers of in- or out-patient psychiatric care. We used Cox proportional hazards models, adjusting for lifetime externalizing diagnoses and potential confounders including childhood socioeconomic position and IQ. Results: During follow-up, 7.0% of the women and 4.4% of the men were diagnosed with depression. A GPA in the lowest quartile, compared with the highest, was associated with an increased risk in both women (hazard ratio 95% confidence interval 1.7, 1.3–2.1) and men (2.9, 2.2–3.9) in models controlling for potential confounders. Additional control for externalizing disorders attenuated the associations, particularly in women. Conclusions: The findings suggest that poor academic performance is associated with depression in young adulthood and that the association is partly explained by externalizing disorders. Our results indicate the importance of early detection and management of externalizing disorders among children and adolescents.&quot;,&quot;publisher&quot;:&quot;Springer&quot;,&quot;issue&quot;:&quot;8&quot;,&quot;volume&quot;:&quot;54&quot;,&quot;container-title-short&quot;:&quot;&quot;}},{&quot;id&quot;:&quot;89874573-938a-30b3-b234-8f099a42b30c&quot;,&quot;isTemporary&quot;:false,&quot;itemData&quot;:{&quot;type&quot;:&quot;article-journal&quot;,&quot;id&quot;:&quot;89874573-938a-30b3-b234-8f099a42b30c&quot;,&quot;title&quot;:&quot;School achievement, IQ, and risk of alcohol use disorder: A prospective, Co-relative analysis in a Swedish national cohort&quot;,&quot;author&quot;:[{&quot;family&quot;:&quot;Kendler&quot;,&quot;given&quot;:&quot;Kenneth S&quot;,&quot;parse-names&quot;:false,&quot;dropping-particle&quot;:&quot;&quot;,&quot;non-dropping-particle&quot;:&quot;&quot;},{&quot;family&quot;:&quot;Ohlsson&quot;,&quot;given&quot;:&quot;Henrik&quot;,&quot;parse-names&quot;:false,&quot;dropping-particle&quot;:&quot;&quot;,&quot;non-dropping-particle&quot;:&quot;&quot;},{&quot;family&quot;:&quot;Sundquist&quot;,&quot;given&quot;:&quot;Jan&quot;,&quot;parse-names&quot;:false,&quot;dropping-particle&quot;:&quot;&quot;,&quot;non-dropping-particle&quot;:&quot;&quot;},{&quot;family&quot;:&quot;Sundquist&quot;,&quot;given&quot;:&quot;Kristina&quot;,&quot;parse-names&quot;:false,&quot;dropping-particle&quot;:&quot;&quot;,&quot;non-dropping-particle&quot;:&quot;&quot;}],&quot;container-title&quot;:&quot;Journal of Studies on Alcohol and Drugs&quot;,&quot;DOI&quot;:&quot;10.15288/jsad.2017.78.186&quot;,&quot;ISSN&quot;:&quot;19384114&quot;,&quot;PMID&quot;:&quot;28317498&quot;,&quot;issued&quot;:{&quot;date-parts&quot;:[[2017]]},&quot;page&quot;:&quot;186-194&quot;,&quot;abstract&quot;:&quot;Objective: Most studies suggest that poor cognitive functioning in adolescence increases risk of alcohol use disorders (AUDs). We seek to clarify the causes of this association. Method: In Swedish individuals born from 1972 to 1990 in whom cognitive functioning was assessed by school achievement at age 16 years (males and females, N = 1,796,048) and by IQ at ages 18–20 (males, N = 554,644), we examined the hazard ratio (HR) for AUD ascertained from public registries. We examined and modeled risk of AUD in cousins, full siblings, and monozygotic twin pairs discordant for school achievement and IQ scores. Results: In males and females, HRs for AUD per standard deviation of increasing school achievement equaled 0.47 (95% CI [0.46, 0.47]) and 0.52 (95% CI [0.51, 0.53]), respectively. In males, the HR for AUD per standard deviation of increasing IQ was 0.54 (95% CI [0.53, 0.55]). Excluding onsets of AUD within 5 years of the cognitive evaluation did not weaken the association, nor did controlling for alcohol intake and problems at IQ assessment. The HRs for AUD in relative pairs were higher than those observed in the population but significantly less than unity. We predicted the following HRs for AUD in discordant monozygotic twins for school achievement in males and females and for IQ in males: 0.66 (95% CI [0.62, 0.70]), 0.67 (95% CI [0.62, 0.73]), and 0.72 (95% CI [0.65, 0.79]), respectively. Conclusions: Cognitive ability in adolescence, assessed by two different measures, strongly predicts risk of AUD. This association cannot be explained by early symptoms of AUD impairing performance. Co-relative analyses suggest that this association arises partly from familial confounding and partly from a causal impact of low cognitive ability on AUD risk.&quot;,&quot;publisher&quot;:&quot;Rutgers University&quot;,&quot;issue&quot;:&quot;2&quot;,&quot;volume&quot;:&quot;78&quot;,&quot;container-title-short&quot;:&quot;&quot;}},{&quot;id&quot;:&quot;9b8a549e-5ba9-36f8-9f5c-bb2a3c1df1f2&quot;,&quot;isTemporary&quot;:false,&quot;itemData&quot;:{&quot;type&quot;:&quot;article-journal&quot;,&quot;id&quot;:&quot;9b8a549e-5ba9-36f8-9f5c-bb2a3c1df1f2&quot;,&quot;title&quot;:&quot;School grades, parental education and suicide—a national register-based cohort study&quot;,&quot;author&quot;:[{&quot;family&quot;:&quot;Björkenstam&quot;,&quot;given&quot;:&quot;Charlotte&quot;,&quot;parse-names&quot;:false,&quot;dropping-particle&quot;:&quot;&quot;,&quot;non-dropping-particle&quot;:&quot;&quot;},{&quot;family&quot;:&quot;Weitoft&quot;,&quot;given&quot;:&quot;Gunilla Ringbäck&quot;,&quot;parse-names&quot;:false,&quot;dropping-particle&quot;:&quot;&quot;,&quot;non-dropping-particle&quot;:&quot;&quot;},{&quot;family&quot;:&quot;Hjern&quot;,&quot;given&quot;:&quot;Anders&quot;,&quot;parse-names&quot;:false,&quot;dropping-particle&quot;:&quot;&quot;,&quot;non-dropping-particle&quot;:&quot;&quot;},{&quot;family&quot;:&quot;Nordström&quot;,&quot;given&quot;:&quot;Peter&quot;,&quot;parse-names&quot;:false,&quot;dropping-particle&quot;:&quot;&quot;,&quot;non-dropping-particle&quot;:&quot;&quot;},{&quot;family&quot;:&quot;Hallqvist&quot;,&quot;given&quot;:&quot;Johan&quot;,&quot;parse-names&quot;:false,&quot;dropping-particle&quot;:&quot;&quot;,&quot;non-dropping-particle&quot;:&quot;&quot;},{&quot;family&quot;:&quot;Ljung&quot;,&quot;given&quot;:&quot;Rickard&quot;,&quot;parse-names&quot;:false,&quot;dropping-particle&quot;:&quot;&quot;,&quot;non-dropping-particle&quot;:&quot;&quot;}],&quot;container-title&quot;:&quot;J Epidemiol Community Health&quot;,&quot;ISSN&quot;:&quot;0143-005X&quot;,&quot;issued&quot;:{&quot;date-parts&quot;:[[2011]]},&quot;page&quot;:&quot;993-998&quot;,&quot;publisher&quot;:&quot;BMJ Publishing Group Ltd&quot;,&quot;issue&quot;:&quot;11&quot;,&quot;volume&quot;:&quot;65&quot;,&quot;container-title-short&quot;:&quot;&quot;}},{&quot;id&quot;:&quot;c3a6ff7c-513f-39c6-aaa6-55720e2f2454&quot;,&quot;isTemporary&quot;:false,&quot;itemData&quot;:{&quot;type&quot;:&quot;article-journal&quot;,&quot;id&quot;:&quot;c3a6ff7c-513f-39c6-aaa6-55720e2f2454&quot;,&quot;title&quot;:&quot;School performance and risk of suicide in early adulthood: Follow-up of two national cohorts of Swedish schoolchildren&quot;,&quot;author&quot;:[{&quot;family&quot;:&quot;Gunnell&quot;,&quot;given&quot;:&quot;David&quot;,&quot;parse-names&quot;:false,&quot;dropping-particle&quot;:&quot;&quot;,&quot;non-dropping-particle&quot;:&quot;&quot;},{&quot;family&quot;:&quot;Löfving&quot;,&quot;given&quot;:&quot;S&quot;,&quot;parse-names&quot;:false,&quot;dropping-particle&quot;:&quot;&quot;,&quot;non-dropping-particle&quot;:&quot;&quot;},{&quot;family&quot;:&quot;Gustafsson&quot;,&quot;given&quot;:&quot;J E&quot;,&quot;parse-names&quot;:false,&quot;dropping-particle&quot;:&quot;&quot;,&quot;non-dropping-particle&quot;:&quot;&quot;},{&quot;family&quot;:&quot;Allebeck&quot;,&quot;given&quot;:&quot;P&quot;,&quot;parse-names&quot;:false,&quot;dropping-particle&quot;:&quot;&quot;,&quot;non-dropping-particle&quot;:&quot;&quot;}],&quot;container-title&quot;:&quot;Journal of Affective Disorders&quot;,&quot;DOI&quot;:&quot;10.1016/j.jad.2011.01.002&quot;,&quot;ISSN&quot;:&quot;01650327&quot;,&quot;PMID&quot;:&quot;21296426&quot;,&quot;issued&quot;:{&quot;date-parts&quot;:[[2011]]},&quot;page&quot;:&quot;104-112&quot;,&quot;abstract&quot;:&quot;Background: Poor school performance and low IQ are associated with an increased risk of suicide in males; it is uncertain whether cognitive performance is a risk factor for suicide in females and whether severe mental illness influences these associations. Method: Record linkage study of Swedish education, population and census data with mortality and inpatient registers. Data were available for 95,497 males and 91,311 females born in 1972 and 1977 and followed up until 31 December 2005. Results: 230 males and 90 females died from suicide over the follow-up period. There were strong inverse associations between school performance at age 16 and subsequent suicide risk in males (fully adjusted hazard ratio (HR) per SD increase in school performance score: 0.6 (95% CI 0.6 to 0.7; p &lt; 0.001)) but not females: adjusted HR. 1.1 (CI 0.9 to 1.4 p = 0.50). In males there were almost four fold differences in suicide risk between children in the top and bottom fifths of the range of school grade scores. Similar associations were seen with upper secondary school performance (age 18/19 years). There was no strong evidence that deterioration in school performance between ages 16 and 18 was associated with increased suicide risk. Amongst men who developed severe psychiatric illness school performance was not associated with suicide risk. Limitations: We had limited information on the prevalence of minor psychiatric disorder in cohort members and no data on IQ for the cohort as a whole. Conclusions: Good performance in secondary (age 16) and upper secondary (age 18) school is associated with a reduced risk of suicide in men but not women. This protective effect is not seen amongst those who develop severe psychiatric illness. These differences indicate that the aetiology of suicide differs in males and females and in those with and without severe mental illness. © 2011 Elsevier B.V. All rights reserved.&quot;,&quot;publisher&quot;:&quot;Elsevier&quot;,&quot;issue&quot;:&quot;1-3&quot;,&quot;volume&quot;:&quot;131&quot;,&quot;container-title-short&quot;:&quot;&quot;}}],&quot;manualOverride&quot;:{&quot;isManuallyOverridden&quot;:false,&quot;manualOverrideText&quot;:&quot;&quot;,&quot;citeprocText&quot;:&quot;(Björkenstam et al., 2011b; Gunnell et al., 2011; Jonsson, Goodman, von Knorring, et al., 2012; Kendler et al., 2016b, 2017; Rahman et al., 2018; Wallin et al., 2019)&quot;}},{&quot;citationID&quot;:&quot;MENDELEY_CITATION_29cc8bfd-1d8c-4bf8-9681-505b3fe98136&quot;,&quot;properties&quot;:{&quot;noteIndex&quot;:0},&quot;isEdited&quot;:false,&quot;citationTag&quot;:&quot;MENDELEY_CITATION_v3_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&quot;,&quot;citationItems&quot;:[{&quot;id&quot;:&quot;89dbfb0d-3138-33ea-a418-0e4a5ce252dd&quot;,&quot;isTemporary&quot;:false,&quot;itemData&quot;:{&quot;type&quot;:&quot;article-journal&quot;,&quot;id&quot;:&quot;89dbfb0d-3138-33ea-a418-0e4a5ce252dd&quot;,&quot;title&quot;:&quot;The joint impact of cognitive performance in adolescence and familial cognitive aptitude on risk for major psychiatric disorders: a delineation of four potential pathways to illness&quot;,&quot;author&quot;:[{&quot;family&quot;:&quot;Kendler&quot;,&quot;given&quot;:&quot;K S&quot;,&quot;parse-names&quot;:false,&quot;dropping-particle&quot;:&quot;&quot;,&quot;non-dropping-particle&quot;:&quot;&quot;},{&quot;family&quot;:&quot;Ohlsson&quot;,&quot;given&quot;:&quot;H&quot;,&quot;parse-names&quot;:false,&quot;dropping-particle&quot;:&quot;&quot;,&quot;non-dropping-particle&quot;:&quot;&quot;},{&quot;family&quot;:&quot;Keefe&quot;,&quot;given&quot;:&quot;R S E&quot;,&quot;parse-names&quot;:false,&quot;dropping-particle&quot;:&quot;&quot;,&quot;non-dropping-particle&quot;:&quot;&quot;},{&quot;family&quot;:&quot;Sundquist&quot;,&quot;given&quot;:&quot;K&quot;,&quot;parse-names&quot;:false,&quot;dropping-particle&quot;:&quot;&quot;,&quot;non-dropping-particle&quot;:&quot;&quot;},{&quot;family&quot;:&quot;Sundquist&quot;,&quot;given&quot;:&quot;J&quot;,&quot;parse-names&quot;:false,&quot;dropping-particle&quot;:&quot;&quot;,&quot;non-dropping-particle&quot;:&quot;&quot;}],&quot;container-title&quot;:&quot;Molecular Psychiatry&quot;,&quot;DOI&quot;:&quot;10.1038/mp.2017.78&quot;,&quot;ISSN&quot;:&quot;14765578&quot;,&quot;PMID&quot;:&quot;28416810&quot;,&quot;issued&quot;:{&quot;date-parts&quot;:[[2018]]},&quot;page&quot;:&quot;1076-1083&quot;,&quot;abstract&quot;:&quot;How do joint measures of premorbid cognitive ability and familial cognitive aptitude (FCA) reflect risk for a diversity of psychiatric and substance use disorders? To address this question, we examined, using Cox models, the predictive effects of school achievement (SA) measured at age 16 and FCA—assessed from SA in siblings and cousins, and educational attainment in parents—on risk for 12 major psychiatric syndromes in 1 140 608 Swedes born 1972–1990. Four developmental patterns emerged. In the first, risk was predicted jointly by low levels of SA and high levels of FCA—that is a level of SA lower than would be predicted from the FCA. This pattern was strongest in autism spectrum disorders and schizophrenia, and weakest in bipolar illness. In these disorders, a pathologic process seems to have caused cognitive functioning to fall substantially short of familial potential. In the second pattern, seen in the internalizing conditions of major depression and anxiety disorders, risk was associated with low SA but was unrelated to FCA. Externalizing disorders—drug abuse and alcohol use disorders—demonstrated the third pattern, in which risk was predicted jointly by low SA and low FCA. The fourth pattern, seen in eating disorders, was directly opposite of that observed in externalizing disorders with risk associated with high SA and high FCA. When measured together, adolescent cognitive ability and FCA identified four developmental patterns leading to diverse psychiatric disorders. The value of cognitive assessments in psychiatric research can be substantially increased by also evaluating familial cognitive potential.&quot;,&quot;publisher&quot;:&quot;Nature Publishing Group&quot;,&quot;issue&quot;:&quot;4&quot;,&quot;volume&quot;:&quot;23&quot;,&quot;container-title-short&quot;:&quot;&quot;}}],&quot;manualOverride&quot;:{&quot;isManuallyOverridden&quot;:false,&quot;manualOverrideText&quot;:&quot;&quot;,&quot;citeprocText&quot;:&quot;(Kendler et al., 2018)&quot;}},{&quot;citationID&quot;:&quot;MENDELEY_CITATION_3ce046c9-8f34-4fe9-a4de-c23641b3ffd2&quot;,&quot;properties&quot;:{&quot;noteIndex&quot;:0},&quot;isEdited&quot;:false,&quot;citationTag&quot;:&quot;MENDELEY_CITATION_v3_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&quot;,&quot;citationItems&quot;:[{&quot;id&quot;:&quot;f411424c-a991-3d41-8362-1b9fd6159118&quot;,&quot;isTemporary&quot;:false,&quot;itemData&quot;:{&quot;type&quot;:&quot;article-journal&quot;,&quot;id&quot;:&quot;f411424c-a991-3d41-8362-1b9fd6159118&quot;,&quot;title&quot;:&quot;School achievement as a predictor of depression and self-harm in adolescence: Linked education and health record study&quot;,&quot;author&quot;:[{&quot;family&quot;:&quot;Rahman&quot;,&quot;given&quot;:&quot;Muhammad A&quot;,&quot;parse-names&quot;:false,&quot;dropping-particle&quot;:&quot;&quot;,&quot;non-dropping-particle&quot;:&quot;&quot;},{&quot;family&quot;:&quot;Todd&quot;,&quot;given&quot;:&quot;Charlotte&quot;,&quot;parse-names&quot;:false,&quot;dropping-particle&quot;:&quot;&quot;,&quot;non-dropping-particle&quot;:&quot;&quot;},{&quot;family&quot;:&quot;John&quot;,&quot;given&quot;:&quot;Ann&quot;,&quot;parse-names&quot;:false,&quot;dropping-particle&quot;:&quot;&quot;,&quot;non-dropping-particle&quot;:&quot;&quot;},{&quot;family&quot;:&quot;Tan&quot;,&quot;given&quot;:&quot;Jacinta&quot;,&quot;parse-names&quot;:false,&quot;dropping-particle&quot;:&quot;&quot;,&quot;non-dropping-particle&quot;:&quot;&quot;},{&quot;family&quot;:&quot;Kerr&quot;,&quot;given&quot;:&quot;Michael&quot;,&quot;parse-names&quot;:false,&quot;dropping-particle&quot;:&quot;&quot;,&quot;non-dropping-particle&quot;:&quot;&quot;},{&quot;family&quot;:&quot;Potter&quot;,&quot;given&quot;:&quot;Robert&quot;,&quot;parse-names&quot;:false,&quot;dropping-particle&quot;:&quot;&quot;,&quot;non-dropping-particle&quot;:&quot;&quot;},{&quot;family&quot;:&quot;Kennedy&quot;,&quot;given&quot;:&quot;Jonathan&quot;,&quot;parse-names&quot;:false,&quot;dropping-particle&quot;:&quot;&quot;,&quot;non-dropping-particle&quot;:&quot;&quot;},{&quot;family&quot;:&quot;Rice&quot;,&quot;given&quot;:&quot;Frances&quot;,&quot;parse-names&quot;:false,&quot;dropping-particle&quot;:&quot;&quot;,&quot;non-dropping-particle&quot;:&quot;&quot;},{&quot;family&quot;:&quot;Brophy&quot;,&quot;given&quot;:&quot;Sinead&quot;,&quot;parse-names&quot;:false,&quot;dropping-particle&quot;:&quot;&quot;,&quot;non-dropping-particle&quot;:&quot;&quot;}],&quot;container-title&quot;:&quot;British Journal of Psychiatry&quot;,&quot;DOI&quot;:&quot;10.1192/bjp.2017.69&quot;,&quot;ISSN&quot;:&quot;14721465&quot;,&quot;PMID&quot;:&quot;29506597&quot;,&quot;issued&quot;:{&quot;date-parts&quot;:[[2018]]},&quot;page&quot;:&quot;215-221&quot;,&quot;abstract&quot;:&quot;Background: Mental disorders in children and adolescents have an impact on educational attainment. Aims: To examine the temporal association between attainment in education and subsequent diagnosis of depression or self-harm in the teenage years. Method: General practitioner, hospital and education records of young people in Wales between 1999 and 2014 were linked and analysed using Cox regression. Results: Linked records were available for 652 903 young people and of these 33 498 (5.1%) developed depression and 15 946 (2.4%) selfharmed after the age of 12 but before the age of 20. Young people who developed depression over the study period were more likely to have achieved key stage 1 (age 7 years) but not key stage 2 (age 11) (hazard ratio (HR) = 0.79, 95% CI 0.74-0.84) milestones, indicating that they were declining in academic attainment during primary school. Conversely, those who selfharmed were achieving as well as those who did not self-harm in primary school, but showed a severe decline in their attainment during secondary school (HR = 0.72, 95% CI 0.68-0.78). Conclusions: Long-term declining educational attainment in primary and secondary school was associated with development of depression in the teenage years. Self-harm was associated with declining educational attainment during secondary school only. Incorporating information on academic decline with other known risk factors for depression/self-harm (for example stressful life events, parental mental health problems) may improve risk profiling methods.&quot;,&quot;publisher&quot;:&quot;Cambridge University Press&quot;,&quot;issue&quot;:&quot;4&quot;,&quot;volume&quot;:&quot;212&quot;,&quot;container-title-short&quot;:&quot;&quot;}}],&quot;manualOverride&quot;:{&quot;isManuallyOverridden&quot;:false,&quot;manualOverrideText&quot;:&quot;&quot;,&quot;citeprocText&quot;:&quot;(Rahman et al., 2018)&quot;}},{&quot;citationID&quot;:&quot;MENDELEY_CITATION_571b799a-6583-44d7-a1fb-255e6ab515d3&quot;,&quot;properties&quot;:{&quot;noteIndex&quot;:0},&quot;isEdited&quot;:false,&quot;citationTag&quot;:&quot;MENDELEY_CITATION_v3_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&quot;,&quot;citationItems&quot;:[{&quot;id&quot;:&quot;79df06be-6171-3a0e-ba8b-10b46bf6da5f&quot;,&quot;isTemporary&quot;:false,&quot;itemData&quot;:{&quot;type&quot;:&quot;article-journal&quot;,&quot;id&quot;:&quot;79df06be-6171-3a0e-ba8b-10b46bf6da5f&quot;,&quot;title&quot;:&quot;Nature and prevalence of combinations of mental disorders and their association with excess mortality in a population-based cohort study&quot;,&quot;author&quot;:[{&quot;family&quot;:&quot;Plana-Ripoll&quot;,&quot;given&quot;:&quot;Oleguer&quot;,&quot;parse-names&quot;:false,&quot;dropping-particle&quot;:&quot;&quot;,&quot;non-dropping-particle&quot;:&quot;&quot;},{&quot;family&quot;:&quot;Musliner&quot;,&quot;given&quot;:&quot;Katherine L&quot;,&quot;parse-names&quot;:false,&quot;dropping-particle&quot;:&quot;&quot;,&quot;non-dropping-particle&quot;:&quot;&quot;},{&quot;family&quot;:&quot;Dalsgaard&quot;,&quot;given&quot;:&quot;Søren&quot;,&quot;parse-names&quot;:false,&quot;dropping-particle&quot;:&quot;&quot;,&quot;non-dropping-particle&quot;:&quot;&quot;},{&quot;family&quot;:&quot;Momen&quot;,&quot;given&quot;:&quot;Natalie C&quot;,&quot;parse-names&quot;:false,&quot;dropping-particle&quot;:&quot;&quot;,&quot;non-dropping-particle&quot;:&quot;&quot;},{&quot;family&quot;:&quot;Weye&quot;,&quot;given&quot;:&quot;Nanna&quot;,&quot;parse-names&quot;:false,&quot;dropping-particle&quot;:&quot;&quot;,&quot;non-dropping-particle&quot;:&quot;&quot;},{&quot;family&quot;:&quot;Christensen&quot;,&quot;given&quot;:&quot;Maria K&quot;,&quot;parse-names&quot;:false,&quot;dropping-particle&quot;:&quot;&quot;,&quot;non-dropping-particle&quot;:&quot;&quot;},{&quot;family&quot;:&quot;Agerbo&quot;,&quot;given&quot;:&quot;Esben&quot;,&quot;parse-names&quot;:false,&quot;dropping-particle&quot;:&quot;&quot;,&quot;non-dropping-particle&quot;:&quot;&quot;},{&quot;family&quot;:&quot;Iburg&quot;,&quot;given&quot;:&quot;Kim Moesgaard&quot;,&quot;parse-names&quot;:false,&quot;dropping-particle&quot;:&quot;&quot;,&quot;non-dropping-particle&quot;:&quot;&quot;},{&quot;family&quot;:&quot;Laursen&quot;,&quot;given&quot;:&quot;Thomas Munk&quot;,&quot;parse-names&quot;:false,&quot;dropping-particle&quot;:&quot;&quot;,&quot;non-dropping-particle&quot;:&quot;&quot;},{&quot;family&quot;:&quot;Mortensen&quot;,&quot;given&quot;:&quot;Preben Bo&quot;,&quot;parse-names&quot;:false,&quot;dropping-particle&quot;:&quot;&quot;,&quot;non-dropping-particle&quot;:&quot;&quot;},{&quot;family&quot;:&quot;Pedersen&quot;,&quot;given&quot;:&quot;Carsten Bøcker&quot;,&quot;parse-names&quot;:false,&quot;dropping-particle&quot;:&quot;&quot;,&quot;non-dropping-particle&quot;:&quot;&quot;},{&quot;family&quot;:&quot;Petersen&quot;,&quot;given&quot;:&quot;Liselotte Vogdrup&quot;,&quot;parse-names&quot;:false,&quot;dropping-particle&quot;:&quot;&quot;,&quot;non-dropping-particle&quot;:&quot;&quot;},{&quot;family&quot;:&quot;Santomauro&quot;,&quot;given&quot;:&quot;Damian F&quot;,&quot;parse-names&quot;:false,&quot;dropping-particle&quot;:&quot;&quot;,&quot;non-dropping-particle&quot;:&quot;&quot;},{&quot;family&quot;:&quot;Vilhjálmsson&quot;,&quot;given&quot;:&quot;Bjarni J&quot;,&quot;parse-names&quot;:false,&quot;dropping-particle&quot;:&quot;&quot;,&quot;non-dropping-particle&quot;:&quot;&quot;},{&quot;family&quot;:&quot;Whiteford&quot;,&quot;given&quot;:&quot;Harvey A&quot;,&quot;parse-names&quot;:false,&quot;dropping-particle&quot;:&quot;&quot;,&quot;non-dropping-particle&quot;:&quot;&quot;},{&quot;family&quot;:&quot;McGrath&quot;,&quot;given&quot;:&quot;John J&quot;,&quot;parse-names&quot;:false,&quot;dropping-particle&quot;:&quot;&quot;,&quot;non-dropping-particle&quot;:&quot;&quot;}],&quot;container-title&quot;:&quot;World Psychiatry&quot;,&quot;DOI&quot;:&quot;10.1002/wps.20802&quot;,&quot;ISSN&quot;:&quot;20515545&quot;,&quot;issued&quot;:{&quot;date-parts&quot;:[[2020]]},&quot;page&quot;:&quot;339-349&quot;,&quot;abstract&quot;:&quot;The nature and prevalence of combinations of mental disorders and their associations with premature mortality have never been reported in a comprehensive way. We describe the most common combinations of mental disorders and estimate excess mortality associated with these combinations. We designed a population-based cohort study including all 7,505,576 persons living in Denmark at some point between January 1, 1995 and December 31, 2016. Information on mental disorders and mortality was obtained from national registers. A total of 546,090 individuals (10.5%) living in Denmark on January 1, 1995 were diagnosed with at least one mental disorder during the 22-year follow-up period. The overall crude rate of diagnosis of mental disorders was 9.28 (95% CI: 9.26-9.30) per 1,000 person-years. The rate of diagnosis of additional mental disorders was 70.01 (95% CI: 69.80-70.26) per 1,000 person-years for individuals with one disorder already diagnosed. At the end of follow-up, two out of five individuals with mental disorders were diagnosed with two or more disorder types. The most prevalent were neurotic/stress-related/somatoform disorders (ICD-10 F40-F48) and mood disorders (ICD-10 F30-F39), which – alone or in combination with other disorders – were present in 64.8% of individuals diagnosed with any mental disorder. Mortality rates were higher for people with mental disorders compared to those without mental disorders. The highest mortality rate ratio was 5.97 (95% CI: 5.52-6.45) for the combination of schizophrenia (ICD-10 F20-F29), neurotic/stress-related/somatoform disorders and substance use disorders (ICD-10 F10-F19). Any combination of mental disorders was associated with a shorter life expectancy compared to the general Danish population, with differences in remaining life expectancy ranging from 5.06 years (95% CI: 5.01-5.11) to 17.46 years (95% CI: 16.86-18.03). The largest excess mortality was observed for combinations that included substance use disorders. This study reports novel estimates related to the “force of comorbidity” and provides new insights into the contribution of substance use disorders to premature mortality in those with comorbid mental disorders.&quot;,&quot;publisher&quot;:&quot;Wiley Online Library&quot;,&quot;issue&quot;:&quot;3&quot;,&quot;volume&quot;:&quot;19&quot;,&quot;container-title-short&quot;:&quot;&quot;}}],&quot;manualOverride&quot;:{&quot;isManuallyOverridden&quot;:false,&quot;manualOverrideText&quot;:&quot;&quot;,&quot;citeprocText&quot;:&quot;(Plana-Ripoll et al., 2020)&quot;}},{&quot;citationID&quot;:&quot;MENDELEY_CITATION_2fa3142f-fe78-4a75-a3cd-0245e82c0e7c&quot;,&quot;properties&quot;:{&quot;noteIndex&quot;:0},&quot;isEdited&quot;:false,&quot;citationTag&quot;:&quot;MENDELEY_CITATION_v3_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&quot;,&quot;citationItems&quot;:[{&quot;id&quot;:&quot;c0789b56-a146-33ea-88a4-e937fc77ca84&quot;,&quot;isTemporary&quot;:false,&quot;itemData&quot;:{&quot;type&quot;:&quot;article-journal&quot;,&quot;id&quot;:&quot;c0789b56-a146-33ea-88a4-e937fc77ca84&quot;,&quot;title&quot;:&quot;What genome-wide association studies reveal about the association between intelligence and physical health, illness, and mortality&quot;,&quot;author&quot;:[{&quot;family&quot;:&quot;Deary&quot;,&quot;given&quot;:&quot;Ian&quot;,&quot;parse-names&quot;:false,&quot;dropping-particle&quot;:&quot;&quot;,&quot;non-dropping-particle&quot;:&quot;&quot;},{&quot;family&quot;:&quot;Harris&quot;,&quot;given&quot;:&quot;Sarah&quot;,&quot;parse-names&quot;:false,&quot;dropping-particle&quot;:&quot;&quot;,&quot;non-dropping-particle&quot;:&quot;&quot;},{&quot;family&quot;:&quot;Hill&quot;,&quot;given&quot;:&quot;David&quot;,&quot;parse-names&quot;:false,&quot;dropping-particle&quot;:&quot;&quot;,&quot;non-dropping-particle&quot;:&quot;&quot;}],&quot;container-title&quot;:&quot;Current opinion in psychology&quot;,&quot;container-title-short&quot;:&quot;Curr Opin Psychol&quot;,&quot;issued&quot;:{&quot;date-parts&quot;:[[2019]]},&quot;page&quot;:&quot;6-12&quot;,&quot;volume&quot;:&quot;27&quot;}}],&quot;manualOverride&quot;:{&quot;isManuallyOverridden&quot;:false,&quot;manualOverrideText&quot;:&quot;&quot;,&quot;citeprocText&quot;:&quot;(Deary et al., 2019)&quot;}},{&quot;citationID&quot;:&quot;MENDELEY_CITATION_1a05c580-a9db-4e7a-927b-765e1b7dbf0f&quot;,&quot;properties&quot;:{&quot;noteIndex&quot;:0},&quot;isEdited&quot;:false,&quot;citationTag&quot;:&quot;MENDELEY_CITATION_v3_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&quot;,&quot;citationItems&quot;:[{&quot;id&quot;:&quot;89874573-938a-30b3-b234-8f099a42b30c&quot;,&quot;isTemporary&quot;:false,&quot;itemData&quot;:{&quot;type&quot;:&quot;article-journal&quot;,&quot;id&quot;:&quot;89874573-938a-30b3-b234-8f099a42b30c&quot;,&quot;title&quot;:&quot;School achievement, IQ, and risk of alcohol use disorder: A prospective, Co-relative analysis in a Swedish national cohort&quot;,&quot;author&quot;:[{&quot;family&quot;:&quot;Kendler&quot;,&quot;given&quot;:&quot;Kenneth S&quot;,&quot;parse-names&quot;:false,&quot;dropping-particle&quot;:&quot;&quot;,&quot;non-dropping-particle&quot;:&quot;&quot;},{&quot;family&quot;:&quot;Ohlsson&quot;,&quot;given&quot;:&quot;Henrik&quot;,&quot;parse-names&quot;:false,&quot;dropping-particle&quot;:&quot;&quot;,&quot;non-dropping-particle&quot;:&quot;&quot;},{&quot;family&quot;:&quot;Sundquist&quot;,&quot;given&quot;:&quot;Jan&quot;,&quot;parse-names&quot;:false,&quot;dropping-particle&quot;:&quot;&quot;,&quot;non-dropping-particle&quot;:&quot;&quot;},{&quot;family&quot;:&quot;Sundquist&quot;,&quot;given&quot;:&quot;Kristina&quot;,&quot;parse-names&quot;:false,&quot;dropping-particle&quot;:&quot;&quot;,&quot;non-dropping-particle&quot;:&quot;&quot;}],&quot;container-title&quot;:&quot;Journal of Studies on Alcohol and Drugs&quot;,&quot;DOI&quot;:&quot;10.15288/jsad.2017.78.186&quot;,&quot;ISSN&quot;:&quot;19384114&quot;,&quot;PMID&quot;:&quot;28317498&quot;,&quot;issued&quot;:{&quot;date-parts&quot;:[[2017]]},&quot;page&quot;:&quot;186-194&quot;,&quot;abstract&quot;:&quot;Objective: Most studies suggest that poor cognitive functioning in adolescence increases risk of alcohol use disorders (AUDs). We seek to clarify the causes of this association. Method: In Swedish individuals born from 1972 to 1990 in whom cognitive functioning was assessed by school achievement at age 16 years (males and females, N = 1,796,048) and by IQ at ages 18–20 (males, N = 554,644), we examined the hazard ratio (HR) for AUD ascertained from public registries. We examined and modeled risk of AUD in cousins, full siblings, and monozygotic twin pairs discordant for school achievement and IQ scores. Results: In males and females, HRs for AUD per standard deviation of increasing school achievement equaled 0.47 (95% CI [0.46, 0.47]) and 0.52 (95% CI [0.51, 0.53]), respectively. In males, the HR for AUD per standard deviation of increasing IQ was 0.54 (95% CI [0.53, 0.55]). Excluding onsets of AUD within 5 years of the cognitive evaluation did not weaken the association, nor did controlling for alcohol intake and problems at IQ assessment. The HRs for AUD in relative pairs were higher than those observed in the population but significantly less than unity. We predicted the following HRs for AUD in discordant monozygotic twins for school achievement in males and females and for IQ in males: 0.66 (95% CI [0.62, 0.70]), 0.67 (95% CI [0.62, 0.73]), and 0.72 (95% CI [0.65, 0.79]), respectively. Conclusions: Cognitive ability in adolescence, assessed by two different measures, strongly predicts risk of AUD. This association cannot be explained by early symptoms of AUD impairing performance. Co-relative analyses suggest that this association arises partly from familial confounding and partly from a causal impact of low cognitive ability on AUD risk.&quot;,&quot;publisher&quot;:&quot;Rutgers University&quot;,&quot;issue&quot;:&quot;2&quot;,&quot;volume&quot;:&quot;78&quot;,&quot;container-title-short&quot;:&quot;&quot;}}],&quot;manualOverride&quot;:{&quot;isManuallyOverridden&quot;:false,&quot;manualOverrideText&quot;:&quot;&quot;,&quot;citeprocText&quot;:&quot;(Kendler et al., 2017)&quot;}},{&quot;citationID&quot;:&quot;MENDELEY_CITATION_bd680134-51a9-42ab-8e65-9e0aafdb3bcd&quot;,&quot;properties&quot;:{&quot;noteIndex&quot;:0},&quot;isEdited&quot;:false,&quot;citationTag&quot;:&quot;MENDELEY_CITATION_v3_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&quot;,&quot;citationItems&quot;:[{&quot;id&quot;:&quot;677ddb30-89d0-3f7c-b9b8-dc53e1b56616&quot;,&quot;isTemporary&quot;:false,&quot;itemData&quot;:{&quot;type&quot;:&quot;article-journal&quot;,&quot;id&quot;:&quot;677ddb30-89d0-3f7c-b9b8-dc53e1b56616&quot;,&quot;title&quot;:&quot;School achievement and risk of eating disorders in a Swedish national cohort&quot;,&quot;author&quot;:[{&quot;family&quot;:&quot;Sundquist&quot;,&quot;given&quot;:&quot;Jan&quot;,&quot;parse-names&quot;:false,&quot;dropping-particle&quot;:&quot;&quot;,&quot;non-dropping-particle&quot;:&quot;&quot;},{&quot;family&quot;:&quot;Ohlsson&quot;,&quot;given&quot;:&quot;Henrik&quot;,&quot;parse-names&quot;:false,&quot;dropping-particle&quot;:&quot;&quot;,&quot;non-dropping-particle&quot;:&quot;&quot;},{&quot;family&quot;:&quot;Winkleby&quot;,&quot;given&quot;:&quot;Marilyn A&quot;,&quot;parse-names&quot;:false,&quot;dropping-particle&quot;:&quot;&quot;,&quot;non-dropping-particle&quot;:&quot;&quot;},{&quot;family&quot;:&quot;Sundquist&quot;,&quot;given&quot;:&quot;Kristina&quot;,&quot;parse-names&quot;:false,&quot;dropping-particle&quot;:&quot;&quot;,&quot;non-dropping-particle&quot;:&quot;&quot;},{&quot;family&quot;:&quot;Crump&quot;,&quot;given&quot;:&quot;Casey&quot;,&quot;parse-names&quot;:false,&quot;dropping-particle&quot;:&quot;&quot;,&quot;non-dropping-particle&quot;:&quot;&quot;}],&quot;container-title&quot;:&quot;Journal of the American Academy of Child and Adolescent Psychiatry&quot;,&quot;container-title-short&quot;:&quot;J Am Acad Child Adolesc Psychiatry&quot;,&quot;DOI&quot;:&quot;10.1016/j.jaac.2015.09.021&quot;,&quot;ISSN&quot;:&quot;15275418&quot;,&quot;PMID&quot;:&quot;26703908&quot;,&quot;issued&quot;:{&quot;date-parts&quot;:[[2016]]},&quot;page&quot;:&quot;41-46.e1&quot;,&quot;abstract&quot;:&quot;Objective High achievement in school has been associated with increased risk of eating disorders, including anorexia nervosa (AN) and bulimia nervosa (BN), but causality of these relationships is unclear. We sought to examine the association between school achievement and AN or BN in a national cohort and to determine the possible contribution of familial confounding using a co-relative design. Method This national cohort study involved 1,800,643 persons born in Sweden during 1972 to 1990 who were still living in Sweden at age 16 years and were followed up for AN and BN identified from inpatient and outpatient diagnoses through 2012. We used Cox regression to examine the association between school achievement and subsequent risk of AN or BN, and stratified Cox models to examine the gradient in this association across different strata of co-relative pairs (first cousins, half siblings, full siblings). Results School achievement was positively associated with risk of AN among females and males (hazard ratio [HR] per additional 1 standard deviation, females: HR = 1.29; 95% CI = 1.25-1.33; males: HR = 1.29; 95% CI = 1.10-1.52), and risk of BN among females but not males (females: HR = 1.16; 95% CI = 1.11-1.20; males: HR = 1.05; 95% CI = 0.84-1.31). In co-relative analyses, as the degree of shared genetic and environmental factors increased (e.g., from first-cousin to full-sibling pairs), the association between school achievement and AN or BN substantially decreased. Conclusion In this large national cohort study, high achievement in school was associated with increased risk of AN and BN, but this appeared to be explained by unmeasured familial (genetic and environmental) factors.&quot;,&quot;publisher&quot;:&quot;Elsevier&quot;,&quot;issue&quot;:&quot;1&quot;,&quot;volume&quot;:&quot;55&quot;}}],&quot;manualOverride&quot;:{&quot;isManuallyOverridden&quot;:false,&quot;manualOverrideText&quot;:&quot;&quot;,&quot;citeprocText&quot;:&quot;(Sundquist et al., 2016)&quot;}},{&quot;citationID&quot;:&quot;MENDELEY_CITATION_17844c10-2b21-4d8d-9b19-2ddaa3560fb0&quot;,&quot;properties&quot;:{&quot;noteIndex&quot;:0},&quot;isEdited&quot;:false,&quot;citationTag&quot;:&quot;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&quot;,&quot;citationItems&quot;:[{&quot;id&quot;:&quot;3124c432-adb0-3150-afe6-16fe3518032b&quot;,&quot;isTemporary&quot;:false,&quot;itemData&quot;:{&quot;type&quot;:&quot;article-journal&quot;,&quot;id&quot;:&quot;3124c432-adb0-3150-afe6-16fe3518032b&quot;,&quot;title&quot;:&quot;Academic performance, externalizing disorders and depression: 26,000 adolescents followed into adulthood&quot;,&quot;author&quot;:[{&quot;family&quot;:&quot;Wallin&quot;,&quot;given&quot;:&quot;Alma Sörberg&quot;,&quot;parse-names&quot;:false,&quot;dropping-particle&quot;:&quot;&quot;,&quot;non-dropping-particle&quot;:&quot;&quot;},{&quot;family&quot;:&quot;Koupil&quot;,&quot;given&quot;:&quot;Ilona&quot;,&quot;parse-names&quot;:false,&quot;dropping-particle&quot;:&quot;&quot;,&quot;non-dropping-particle&quot;:&quot;&quot;},{&quot;family&quot;:&quot;Gustafsson&quot;,&quot;given&quot;:&quot;Jan Eric&quot;,&quot;parse-names&quot;:false,&quot;dropping-particle&quot;:&quot;&quot;,&quot;non-dropping-particle&quot;:&quot;&quot;},{&quot;family&quot;:&quot;Zammit&quot;,&quot;given&quot;:&quot;Stanley&quot;,&quot;parse-names&quot;:false,&quot;dropping-particle&quot;:&quot;&quot;,&quot;non-dropping-particle&quot;:&quot;&quot;},{&quot;family&quot;:&quot;Allebeck&quot;,&quot;given&quot;:&quot;Peter&quot;,&quot;parse-names&quot;:false,&quot;dropping-particle&quot;:&quot;&quot;,&quot;non-dropping-particle&quot;:&quot;&quot;},{&quot;family&quot;:&quot;Falkstedt&quot;,&quot;given&quot;:&quot;Daniel&quot;,&quot;parse-names&quot;:false,&quot;dropping-particle&quot;:&quot;&quot;,&quot;non-dropping-particle&quot;:&quot;&quot;}],&quot;container-title&quot;:&quot;Social Psychiatry and Psychiatric Epidemiology&quot;,&quot;DOI&quot;:&quot;10.1007/s00127-019-01668-z&quot;,&quot;ISSN&quot;:&quot;09337954&quot;,&quot;PMID&quot;:&quot;30783692&quot;,&quot;issued&quot;:{&quot;date-parts&quot;:[[2019]]},&quot;page&quot;:&quot;977-986&quot;,&quot;abstract&quot;:&quot;Background: The incidence of major depression among adults has been shown to be socially differentiated, and there are reasons to seek explanations for this before adulthood. In this cohort study, we examined whether academic performance in adolescence predicts depression in adulthood, and the extent to which externalizing disorders explain this association. Methods: We followed 26,766 Swedish women and men born 1967–1982 from the last year of compulsory school, at age about 16, up to 48 years of age. We investigated the association between grade point average (GPA, standardized by gender) and first diagnosis of depression in national registers of in- or out-patient psychiatric care. We used Cox proportional hazards models, adjusting for lifetime externalizing diagnoses and potential confounders including childhood socioeconomic position and IQ. Results: During follow-up, 7.0% of the women and 4.4% of the men were diagnosed with depression. A GPA in the lowest quartile, compared with the highest, was associated with an increased risk in both women (hazard ratio 95% confidence interval 1.7, 1.3–2.1) and men (2.9, 2.2–3.9) in models controlling for potential confounders. Additional control for externalizing disorders attenuated the associations, particularly in women. Conclusions: The findings suggest that poor academic performance is associated with depression in young adulthood and that the association is partly explained by externalizing disorders. Our results indicate the importance of early detection and management of externalizing disorders among children and adolescents.&quot;,&quot;publisher&quot;:&quot;Springer&quot;,&quot;issue&quot;:&quot;8&quot;,&quot;volume&quot;:&quot;54&quot;,&quot;container-title-short&quot;:&quot;&quot;}},{&quot;id&quot;:&quot;1c268acd-0d87-3a62-9ad2-28be61ef85ac&quot;,&quot;isTemporary&quot;:false,&quot;itemData&quot;:{&quot;type&quot;:&quot;article-journal&quot;,&quot;id&quot;:&quot;1c268acd-0d87-3a62-9ad2-28be61ef85ac&quot;,&quot;title&quot;:&quot;The downward spiral of mental disorders and educational attainment: A systematic review on early school leaving&quot;,&quot;author&quot;:[{&quot;family&quot;:&quot;Esch&quot;,&quot;given&quot;:&quot;Pascale&quot;,&quot;parse-names&quot;:false,&quot;dropping-particle&quot;:&quot;&quot;,&quot;non-dropping-particle&quot;:&quot;&quot;},{&quot;family&quot;:&quot;Bocquet&quot;,&quot;given&quot;:&quot;Valéry&quot;,&quot;parse-names&quot;:false,&quot;dropping-particle&quot;:&quot;&quot;,&quot;non-dropping-particle&quot;:&quot;&quot;},{&quot;family&quot;:&quot;Pull&quot;,&quot;given&quot;:&quot;Charles&quot;,&quot;parse-names&quot;:false,&quot;dropping-particle&quot;:&quot;&quot;,&quot;non-dropping-particle&quot;:&quot;&quot;},{&quot;family&quot;:&quot;Couffignal&quot;,&quot;given&quot;:&quot;Sophie&quot;,&quot;parse-names&quot;:false,&quot;dropping-particle&quot;:&quot;&quot;,&quot;non-dropping-particle&quot;:&quot;&quot;},{&quot;family&quot;:&quot;Lehnert&quot;,&quot;given&quot;:&quot;Torsten&quot;,&quot;parse-names&quot;:false,&quot;dropping-particle&quot;:&quot;&quot;,&quot;non-dropping-particle&quot;:&quot;&quot;},{&quot;family&quot;:&quot;Graas&quot;,&quot;given&quot;:&quot;Marc&quot;,&quot;parse-names&quot;:false,&quot;dropping-particle&quot;:&quot;&quot;,&quot;non-dropping-particle&quot;:&quot;&quot;},{&quot;family&quot;:&quot;Fond-Harmant&quot;,&quot;given&quot;:&quot;Laurence&quot;,&quot;parse-names&quot;:false,&quot;dropping-particle&quot;:&quot;&quot;,&quot;non-dropping-particle&quot;:&quot;&quot;},{&quot;family&quot;:&quot;Ansseau&quot;,&quot;given&quot;:&quot;Marc&quot;,&quot;parse-names&quot;:false,&quot;dropping-particle&quot;:&quot;&quot;,&quot;non-dropping-particle&quot;:&quot;&quot;}],&quot;container-title&quot;:&quot;BMC Psychiatry&quot;,&quot;DOI&quot;:&quot;10.1186/s12888-014-0237-4&quot;,&quot;ISSN&quot;:&quot;1471244X&quot;,&quot;issued&quot;:{&quot;date-parts&quot;:[[2014]]},&quot;abstract&quot;:&quot;Background: Most psychiatric disorders present symptom patterns that cause severe impairment on the emotional, cognitive and social level. Thus, adolescents who suffer from a mental disorder risk finding themselves in a downward spiral caused by the reciprocal association of psychological symptoms and negative school experiences that may culminate in early school leaving. In addition to previous collective work that mainly focused on school refusing behaviour among children and was presented as an expert's opinion, the following systematic review fills the knowledge gap by providing a structured overview of the bidirectional association between mental health and secondary school dropout based on a sound methodology and with a particular focus on mediating factors.Methods: Four electronic databases were searched from January 1990 until June 2014. Selected references were assessed for study details, main results, mediating factors and methodological limitations. Standardized risk of bias assessment was conducted. Results: Mood and anxiety disorders seemed to have a less consequential direct effect on early school leaving than substance use and disruptive behaviour disorders. The association between externalizing disorders and educational attainment was even stronger when the disorder occurred early in life. On the other hand, internalizing disorders were reported to develop as a consequence of school dropout. Only few studies had addressed gender differences, with discrepant results. Socio-economic background, academic achievement and family support were identified as significant mediating factors of the association between mental disorders and subsequent educational attainment. Conclusions: Findings suggested a strong association between mental health and education, in both directions. However, most studies focused on mediating factors that could not be targeted by intervention programs.&quot;,&quot;issue&quot;:&quot;1&quot;,&quot;volume&quot;:&quot;14&quot;,&quot;container-title-short&quot;:&quot;&quot;}},{&quot;id&quot;:&quot;d8d90f23-63bc-3f36-ae94-75a8d6619d19&quot;,&quot;isTemporary&quot;:false,&quot;itemData&quot;:{&quot;type&quot;:&quot;article-journal&quot;,&quot;id&quot;:&quot;d8d90f23-63bc-3f36-ae94-75a8d6619d19&quot;,&quot;title&quot;:&quot;The relationship between emotional problems and subsequent school attainment: A meta-analysis&quot;,&quot;author&quot;:[{&quot;family&quot;:&quot;Riglin&quot;,&quot;given&quot;:&quot;Lucy&quot;,&quot;parse-names&quot;:false,&quot;dropping-particle&quot;:&quot;&quot;,&quot;non-dropping-particle&quot;:&quot;&quot;},{&quot;family&quot;:&quot;Petrides&quot;,&quot;given&quot;:&quot;K&quot;,&quot;parse-names&quot;:false,&quot;dropping-particle&quot;:&quot;v&quot;,&quot;non-dropping-particle&quot;:&quot;&quot;},{&quot;family&quot;:&quot;Frederickson&quot;,&quot;given&quot;:&quot;Norah&quot;,&quot;parse-names&quot;:false,&quot;dropping-particle&quot;:&quot;&quot;,&quot;non-dropping-particle&quot;:&quot;&quot;},{&quot;family&quot;:&quot;Rice&quot;,&quot;given&quot;:&quot;Frances&quot;,&quot;parse-names&quot;:false,&quot;dropping-particle&quot;:&quot;&quot;,&quot;non-dropping-particle&quot;:&quot;&quot;}],&quot;container-title&quot;:&quot;Journal of Adolescence&quot;,&quot;DOI&quot;:&quot;10.1016/j.adolescence.2014.02.010&quot;,&quot;ISSN&quot;:&quot;10959254&quot;,&quot;issued&quot;:{&quot;date-parts&quot;:[[2014]]},&quot;abstract&quot;:&quot;Longitudinal studies have provided mixed findings regarding the relationship between emotional problems and subsequent poor school attainment. A meta-analysis of 26 community-based studies of children and adolescents was performed. Results revealed a prospective association between emotional problems and poor school attainment. More consistent associations were found for depression than anxiety. Moderator analyses indicated that some of the heterogeneity between studies may be due to age and gender, with reduced heterogeneity particularly notable for school grades during early adolescence and for anxiety by gender. Findings suggest that early identification and provision of support for young people with emotional problems may be helpful for improving academic outcomes such as school attainment. © 2014.&quot;,&quot;issue&quot;:&quot;4&quot;,&quot;volume&quot;:&quot;37&quot;,&quot;container-title-short&quot;:&quot;&quot;}}],&quot;manualOverride&quot;:{&quot;isManuallyOverridden&quot;:false,&quot;manualOverrideText&quot;:&quot;&quot;,&quot;citeprocText&quot;:&quot;(Esch et al., 2014; Riglin et al., 2014; Wallin et al., 2019)&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1F701-0AB9-454D-A350-929CD804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529</Words>
  <Characters>3017</Characters>
  <Application>Microsoft Office Word</Application>
  <DocSecurity>0</DocSecurity>
  <Lines>25</Lines>
  <Paragraphs>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Weckström, Tarja</dc:creator>
  <cp:keywords/>
  <dc:description/>
  <cp:lastModifiedBy>Hakulinen, Christian A</cp:lastModifiedBy>
  <cp:revision>4</cp:revision>
  <dcterms:created xsi:type="dcterms:W3CDTF">2023-03-15T07:46:00Z</dcterms:created>
  <dcterms:modified xsi:type="dcterms:W3CDTF">2023-04-13T19:34:00Z</dcterms:modified>
</cp:coreProperties>
</file>