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F6B04" w14:textId="302A4EA3" w:rsidR="00D7410E" w:rsidRPr="00B10385" w:rsidRDefault="005C4F88" w:rsidP="00D7410E">
      <w:pPr>
        <w:pStyle w:val="Titre1"/>
        <w:rPr>
          <w:rStyle w:val="lev"/>
          <w:rFonts w:asciiTheme="minorHAnsi" w:hAnsiTheme="minorHAnsi" w:cstheme="minorHAnsi"/>
        </w:rPr>
      </w:pPr>
      <w:r w:rsidRPr="00B10385">
        <w:rPr>
          <w:rFonts w:asciiTheme="minorHAnsi" w:hAnsiTheme="minorHAnsi" w:cstheme="minorHAnsi"/>
        </w:rPr>
        <w:t>Supplementa</w:t>
      </w:r>
      <w:r>
        <w:rPr>
          <w:rFonts w:asciiTheme="minorHAnsi" w:hAnsiTheme="minorHAnsi" w:cstheme="minorHAnsi"/>
        </w:rPr>
        <w:t>ry Material</w:t>
      </w:r>
      <w:r w:rsidR="00D7410E" w:rsidRPr="00B10385">
        <w:rPr>
          <w:rFonts w:asciiTheme="minorHAnsi" w:hAnsiTheme="minorHAnsi" w:cstheme="minorHAnsi"/>
        </w:rPr>
        <w:br/>
        <w:t>for</w:t>
      </w:r>
      <w:r w:rsidR="00D7410E" w:rsidRPr="00B10385">
        <w:rPr>
          <w:rFonts w:asciiTheme="minorHAnsi" w:hAnsiTheme="minorHAnsi" w:cstheme="minorHAnsi"/>
        </w:rPr>
        <w:br/>
      </w:r>
      <w:r w:rsidR="00F9668F" w:rsidRPr="00B10385">
        <w:rPr>
          <w:rStyle w:val="lev"/>
          <w:rFonts w:asciiTheme="minorHAnsi" w:hAnsiTheme="minorHAnsi" w:cstheme="minorHAnsi"/>
          <w:b/>
          <w:bCs w:val="0"/>
        </w:rPr>
        <w:t xml:space="preserve">A neurometabolic mechanism </w:t>
      </w:r>
      <w:r w:rsidR="006B2E80">
        <w:rPr>
          <w:rStyle w:val="lev"/>
          <w:rFonts w:asciiTheme="minorHAnsi" w:hAnsiTheme="minorHAnsi" w:cstheme="minorHAnsi"/>
          <w:b/>
          <w:bCs w:val="0"/>
        </w:rPr>
        <w:t xml:space="preserve">involving dmPFC/dACC lactate in physical </w:t>
      </w:r>
      <w:r w:rsidR="00F9668F" w:rsidRPr="00B10385">
        <w:rPr>
          <w:rStyle w:val="lev"/>
          <w:rFonts w:asciiTheme="minorHAnsi" w:hAnsiTheme="minorHAnsi" w:cstheme="minorHAnsi"/>
          <w:b/>
          <w:bCs w:val="0"/>
        </w:rPr>
        <w:t>effort-based decision-making</w:t>
      </w:r>
    </w:p>
    <w:p w14:paraId="2F637F87" w14:textId="77777777" w:rsidR="00D7410E" w:rsidRPr="00D7410E" w:rsidRDefault="00D7410E" w:rsidP="006770DD"/>
    <w:p w14:paraId="0931C1C9" w14:textId="68F2A469" w:rsidR="00D7410E" w:rsidRPr="00EA139D" w:rsidRDefault="00D7410E" w:rsidP="00D7410E">
      <w:pPr>
        <w:jc w:val="center"/>
        <w:rPr>
          <w:rFonts w:cstheme="minorHAnsi"/>
        </w:rPr>
      </w:pPr>
      <w:r w:rsidRPr="00EA139D">
        <w:rPr>
          <w:rFonts w:cstheme="minorHAnsi"/>
        </w:rPr>
        <w:t>N</w:t>
      </w:r>
      <w:r w:rsidR="00D73F2E">
        <w:rPr>
          <w:rFonts w:cstheme="minorHAnsi"/>
        </w:rPr>
        <w:t>icolas</w:t>
      </w:r>
      <w:r w:rsidRPr="00EA139D">
        <w:rPr>
          <w:rFonts w:cstheme="minorHAnsi"/>
        </w:rPr>
        <w:t xml:space="preserve"> Clairis</w:t>
      </w:r>
      <w:r w:rsidRPr="00EA139D">
        <w:rPr>
          <w:rFonts w:cstheme="minorHAnsi"/>
          <w:vertAlign w:val="superscript"/>
        </w:rPr>
        <w:t>1</w:t>
      </w:r>
      <w:r w:rsidRPr="00EA139D">
        <w:rPr>
          <w:rFonts w:cstheme="minorHAnsi"/>
        </w:rPr>
        <w:t>*</w:t>
      </w:r>
      <w:r w:rsidRPr="00EA139D">
        <w:rPr>
          <w:rFonts w:cstheme="minorHAnsi"/>
          <w:vertAlign w:val="superscript"/>
        </w:rPr>
        <w:t>#</w:t>
      </w:r>
      <w:r w:rsidRPr="00EA139D">
        <w:rPr>
          <w:rFonts w:cstheme="minorHAnsi"/>
        </w:rPr>
        <w:t>, A</w:t>
      </w:r>
      <w:r w:rsidR="00D73F2E">
        <w:rPr>
          <w:rFonts w:cstheme="minorHAnsi"/>
        </w:rPr>
        <w:t>rthur</w:t>
      </w:r>
      <w:r w:rsidRPr="00EA139D">
        <w:rPr>
          <w:rFonts w:cstheme="minorHAnsi"/>
        </w:rPr>
        <w:t xml:space="preserve"> Barakat</w:t>
      </w:r>
      <w:r w:rsidRPr="00EA139D">
        <w:rPr>
          <w:rFonts w:cstheme="minorHAnsi"/>
          <w:vertAlign w:val="superscript"/>
        </w:rPr>
        <w:t>1</w:t>
      </w:r>
      <w:r w:rsidRPr="00EA139D">
        <w:rPr>
          <w:rFonts w:cstheme="minorHAnsi"/>
        </w:rPr>
        <w:t>*, Jules Brochard</w:t>
      </w:r>
      <w:r w:rsidRPr="00EA139D">
        <w:rPr>
          <w:rFonts w:cstheme="minorHAnsi"/>
          <w:vertAlign w:val="superscript"/>
        </w:rPr>
        <w:t>2</w:t>
      </w:r>
      <w:r w:rsidRPr="00EA139D">
        <w:rPr>
          <w:rFonts w:cstheme="minorHAnsi"/>
        </w:rPr>
        <w:t>, Lijing Xin</w:t>
      </w:r>
      <w:r w:rsidRPr="00EA139D">
        <w:rPr>
          <w:rFonts w:cstheme="minorHAnsi"/>
          <w:vertAlign w:val="superscript"/>
        </w:rPr>
        <w:t>3,4</w:t>
      </w:r>
      <w:r w:rsidRPr="00EA139D">
        <w:rPr>
          <w:rFonts w:cstheme="minorHAnsi"/>
        </w:rPr>
        <w:t>, C</w:t>
      </w:r>
      <w:r w:rsidR="00D73F2E">
        <w:rPr>
          <w:rFonts w:cstheme="minorHAnsi"/>
        </w:rPr>
        <w:t>armen</w:t>
      </w:r>
      <w:r w:rsidRPr="00EA139D">
        <w:rPr>
          <w:rFonts w:cstheme="minorHAnsi"/>
        </w:rPr>
        <w:t xml:space="preserve"> Sandi</w:t>
      </w:r>
      <w:r w:rsidRPr="00EA139D">
        <w:rPr>
          <w:rFonts w:cstheme="minorHAnsi"/>
          <w:vertAlign w:val="superscript"/>
        </w:rPr>
        <w:t>1#</w:t>
      </w:r>
    </w:p>
    <w:p w14:paraId="54E3E800" w14:textId="77777777" w:rsidR="00D7410E" w:rsidRPr="00EA139D" w:rsidRDefault="00D7410E" w:rsidP="00D7410E">
      <w:pPr>
        <w:rPr>
          <w:rFonts w:cstheme="minorHAnsi"/>
        </w:rPr>
      </w:pPr>
    </w:p>
    <w:p w14:paraId="464839BE" w14:textId="77777777" w:rsidR="00D7410E" w:rsidRPr="00EA139D" w:rsidRDefault="00D7410E" w:rsidP="00D7410E">
      <w:pPr>
        <w:rPr>
          <w:rFonts w:cstheme="minorHAnsi"/>
        </w:rPr>
      </w:pPr>
    </w:p>
    <w:p w14:paraId="5BDBFD85" w14:textId="77777777" w:rsidR="00D7410E" w:rsidRPr="00B02E55" w:rsidRDefault="00D7410E" w:rsidP="00D7410E">
      <w:pPr>
        <w:rPr>
          <w:rFonts w:cstheme="minorHAnsi"/>
        </w:rPr>
      </w:pPr>
      <w:r w:rsidRPr="00B02E55">
        <w:rPr>
          <w:rFonts w:cstheme="minorHAnsi"/>
          <w:vertAlign w:val="superscript"/>
        </w:rPr>
        <w:t>1</w:t>
      </w:r>
      <w:r w:rsidRPr="00B02E55">
        <w:rPr>
          <w:rFonts w:cstheme="minorHAnsi"/>
        </w:rPr>
        <w:t xml:space="preserve">Laboratory of Behavioral Genetics, Brain Mind Institute, </w:t>
      </w:r>
      <w:bookmarkStart w:id="0" w:name="_Hlk157604557"/>
      <w:r w:rsidRPr="00B02E55">
        <w:rPr>
          <w:rFonts w:cstheme="minorHAnsi"/>
        </w:rPr>
        <w:t>École Polytechnique Fédérale de Lausanne (EPFL), Lausanne, Switzerland</w:t>
      </w:r>
      <w:bookmarkEnd w:id="0"/>
    </w:p>
    <w:p w14:paraId="2199CCCE" w14:textId="77777777" w:rsidR="00D7410E" w:rsidRPr="00B02E55" w:rsidRDefault="00D7410E" w:rsidP="00D7410E">
      <w:pPr>
        <w:rPr>
          <w:rFonts w:cstheme="minorHAnsi"/>
        </w:rPr>
      </w:pPr>
      <w:r w:rsidRPr="00B02E55">
        <w:rPr>
          <w:rFonts w:cstheme="minorHAnsi"/>
          <w:vertAlign w:val="superscript"/>
        </w:rPr>
        <w:t>2</w:t>
      </w:r>
      <w:r w:rsidRPr="00B02E55">
        <w:rPr>
          <w:rFonts w:cstheme="minorHAnsi"/>
        </w:rPr>
        <w:t>Transdisciplinary Research Areas, Life and Health, University of Bonn, Bonn, Germany</w:t>
      </w:r>
    </w:p>
    <w:p w14:paraId="2452CD7C" w14:textId="77777777" w:rsidR="00D7410E" w:rsidRDefault="00D7410E" w:rsidP="00D7410E">
      <w:pPr>
        <w:rPr>
          <w:rFonts w:cstheme="minorHAnsi"/>
          <w:lang w:val="fr-FR"/>
        </w:rPr>
      </w:pPr>
      <w:r w:rsidRPr="00FA1A79">
        <w:rPr>
          <w:rFonts w:cstheme="minorHAnsi"/>
          <w:vertAlign w:val="superscript"/>
          <w:lang w:val="fr-FR"/>
        </w:rPr>
        <w:t>3</w:t>
      </w:r>
      <w:r w:rsidRPr="00FA1A79">
        <w:rPr>
          <w:rFonts w:cstheme="minorHAnsi"/>
          <w:lang w:val="fr-FR"/>
        </w:rPr>
        <w:t>Center for Biomedical Imaging (CIBM), École Polytechnique Fédérale de Lausanne (EPFL), Lausanne, Switzerland</w:t>
      </w:r>
    </w:p>
    <w:p w14:paraId="17A1CEF0" w14:textId="77777777" w:rsidR="00D7410E" w:rsidRPr="00961805" w:rsidRDefault="00D7410E" w:rsidP="00D7410E">
      <w:pPr>
        <w:rPr>
          <w:rFonts w:cstheme="minorHAnsi"/>
          <w:lang w:val="fr-FR"/>
        </w:rPr>
      </w:pPr>
      <w:r>
        <w:rPr>
          <w:rFonts w:cstheme="minorHAnsi"/>
          <w:vertAlign w:val="superscript"/>
          <w:lang w:val="fr-FR"/>
        </w:rPr>
        <w:t>4</w:t>
      </w:r>
      <w:r>
        <w:rPr>
          <w:rFonts w:cstheme="minorHAnsi"/>
          <w:lang w:val="fr-FR"/>
        </w:rPr>
        <w:t xml:space="preserve">Institute of Physics (IPHYS), </w:t>
      </w:r>
      <w:r w:rsidRPr="00FA1A79">
        <w:rPr>
          <w:rFonts w:cstheme="minorHAnsi"/>
          <w:lang w:val="fr-FR"/>
        </w:rPr>
        <w:t>École Polytechnique Fédérale de Lausanne (EPFL), Lausanne, Switzerland</w:t>
      </w:r>
    </w:p>
    <w:p w14:paraId="358C8C34" w14:textId="77777777" w:rsidR="00D7410E" w:rsidRPr="00FA1A79" w:rsidRDefault="00D7410E" w:rsidP="00D7410E">
      <w:pPr>
        <w:rPr>
          <w:rFonts w:cstheme="minorHAnsi"/>
          <w:lang w:val="fr-FR"/>
        </w:rPr>
      </w:pPr>
    </w:p>
    <w:p w14:paraId="6BEB7783" w14:textId="77777777" w:rsidR="00D7410E" w:rsidRPr="00C10DFF" w:rsidRDefault="00D7410E" w:rsidP="00D7410E">
      <w:pPr>
        <w:rPr>
          <w:rFonts w:cstheme="minorHAnsi"/>
          <w:lang w:val="fr-FR"/>
        </w:rPr>
      </w:pPr>
      <w:r w:rsidRPr="00C10DFF">
        <w:rPr>
          <w:rFonts w:cstheme="minorHAnsi"/>
          <w:lang w:val="fr-FR"/>
        </w:rPr>
        <w:t>* Equal contribution</w:t>
      </w:r>
    </w:p>
    <w:p w14:paraId="6964A4C7" w14:textId="4354C783" w:rsidR="00D7410E" w:rsidRPr="00E321C0" w:rsidRDefault="00D7410E" w:rsidP="00D7410E">
      <w:r w:rsidRPr="00E321C0">
        <w:rPr>
          <w:rFonts w:cstheme="minorHAnsi"/>
        </w:rPr>
        <w:t xml:space="preserve"># Correspondence: </w:t>
      </w:r>
      <w:hyperlink r:id="rId8" w:history="1">
        <w:r w:rsidRPr="00E321C0">
          <w:rPr>
            <w:rStyle w:val="Lienhypertexte"/>
            <w:rFonts w:cstheme="minorHAnsi"/>
          </w:rPr>
          <w:t>nicolas.clairis@epfl.ch</w:t>
        </w:r>
      </w:hyperlink>
      <w:r w:rsidRPr="00E321C0">
        <w:rPr>
          <w:rFonts w:cstheme="minorHAnsi"/>
        </w:rPr>
        <w:t xml:space="preserve">; </w:t>
      </w:r>
      <w:hyperlink r:id="rId9" w:history="1">
        <w:r w:rsidRPr="00E321C0">
          <w:rPr>
            <w:rStyle w:val="Lienhypertexte"/>
            <w:rFonts w:cstheme="minorHAnsi"/>
          </w:rPr>
          <w:t>carmen.sandi@epfl.ch</w:t>
        </w:r>
      </w:hyperlink>
    </w:p>
    <w:p w14:paraId="7B5178B1" w14:textId="4D140610" w:rsidR="00D7410E" w:rsidRPr="00E321C0" w:rsidRDefault="00D7410E">
      <w:pPr>
        <w:spacing w:after="160" w:line="259" w:lineRule="auto"/>
        <w:jc w:val="left"/>
      </w:pPr>
      <w:r w:rsidRPr="00E321C0">
        <w:br w:type="page"/>
      </w:r>
    </w:p>
    <w:p w14:paraId="14397526" w14:textId="77777777" w:rsidR="00D7410E" w:rsidRPr="00E321C0" w:rsidRDefault="00D7410E" w:rsidP="006770DD"/>
    <w:p w14:paraId="5135381E" w14:textId="6453C2B5" w:rsidR="00315070" w:rsidRPr="00E321C0" w:rsidRDefault="00144BE7" w:rsidP="00144BE7">
      <w:pPr>
        <w:pStyle w:val="Titre2"/>
        <w:rPr>
          <w:rFonts w:cstheme="minorHAnsi"/>
          <w:sz w:val="22"/>
        </w:rPr>
      </w:pPr>
      <w:bookmarkStart w:id="1" w:name="_Hlk165367633"/>
      <w:r w:rsidRPr="00E321C0">
        <w:rPr>
          <w:rFonts w:cstheme="minorHAnsi"/>
          <w:sz w:val="22"/>
        </w:rPr>
        <w:t>Supplementary Method</w:t>
      </w:r>
      <w:r w:rsidR="005C4F88" w:rsidRPr="00E321C0">
        <w:rPr>
          <w:rFonts w:cstheme="minorHAnsi"/>
          <w:sz w:val="22"/>
        </w:rPr>
        <w:t>s</w:t>
      </w:r>
    </w:p>
    <w:bookmarkEnd w:id="1"/>
    <w:p w14:paraId="2290F679" w14:textId="38099B59" w:rsidR="00564D67" w:rsidRPr="00E321C0" w:rsidRDefault="00564D67" w:rsidP="00144BE7">
      <w:pPr>
        <w:pStyle w:val="Titre3"/>
        <w:rPr>
          <w:rFonts w:cstheme="minorHAnsi"/>
        </w:rPr>
      </w:pPr>
      <w:r w:rsidRPr="00E321C0">
        <w:rPr>
          <w:rFonts w:cstheme="minorHAnsi"/>
        </w:rPr>
        <w:t>Online Questionnaires</w:t>
      </w:r>
    </w:p>
    <w:p w14:paraId="51F3F11B" w14:textId="4B37A486" w:rsidR="00564D67" w:rsidRPr="00564D67" w:rsidRDefault="00564D67" w:rsidP="006770DD">
      <w:r>
        <w:t xml:space="preserve">Before coming to the laboratory for the experiment, participants </w:t>
      </w:r>
      <w:r w:rsidR="00E45B24">
        <w:t>completed</w:t>
      </w:r>
      <w:r>
        <w:t xml:space="preserve"> several </w:t>
      </w:r>
      <w:r w:rsidR="00E45B24">
        <w:t xml:space="preserve">online </w:t>
      </w:r>
      <w:r>
        <w:t xml:space="preserve">questionnaires. These </w:t>
      </w:r>
      <w:r w:rsidR="00E45B24">
        <w:t>surveys</w:t>
      </w:r>
      <w:r>
        <w:t xml:space="preserve"> aimed at establishing a better profile of the participants and also to ensure a wide range of motivational profiles in our study (see </w:t>
      </w:r>
      <w:r w:rsidR="00D81C0E">
        <w:rPr>
          <w:i/>
          <w:iCs/>
        </w:rPr>
        <w:t xml:space="preserve">Materials &amp; </w:t>
      </w:r>
      <w:r w:rsidRPr="006770DD">
        <w:rPr>
          <w:rFonts w:ascii="Segoe UI Symbol" w:hAnsi="Segoe UI Symbol" w:cs="Segoe UI Symbol"/>
          <w:i/>
          <w:iCs/>
        </w:rPr>
        <w:t>Methods</w:t>
      </w:r>
      <w:r>
        <w:t xml:space="preserve">). The questionnaires </w:t>
      </w:r>
      <w:r w:rsidR="00712BBD">
        <w:t>focused</w:t>
      </w:r>
      <w:r>
        <w:t xml:space="preserve"> </w:t>
      </w:r>
      <w:r w:rsidR="00E45B24">
        <w:t>on</w:t>
      </w:r>
      <w:r>
        <w:t xml:space="preserve"> </w:t>
      </w:r>
      <w:r w:rsidR="00E45B24">
        <w:t>assessing</w:t>
      </w:r>
      <w:r>
        <w:t xml:space="preserve"> </w:t>
      </w:r>
      <w:r w:rsidR="00E45B24">
        <w:t xml:space="preserve">different personality dimensions including </w:t>
      </w:r>
      <w:r>
        <w:t xml:space="preserve">motivation, stress and anxiety, early-life stress, dominance and competitiveness, </w:t>
      </w:r>
      <w:r w:rsidR="00E45B24">
        <w:t>as well as</w:t>
      </w:r>
      <w:r w:rsidR="00712BBD">
        <w:t xml:space="preserve"> </w:t>
      </w:r>
      <w:r>
        <w:t>general</w:t>
      </w:r>
      <w:r w:rsidR="00712BBD">
        <w:t xml:space="preserve"> metabolic and psychological </w:t>
      </w:r>
      <w:r w:rsidR="00E45B24">
        <w:t xml:space="preserve">characteristics </w:t>
      </w:r>
      <w:r>
        <w:t>(socio-economic status, weight, height and HEXACO for the general profile).</w:t>
      </w:r>
      <w:r w:rsidR="0006147C">
        <w:t xml:space="preserve"> The questionnaires related to stress and anxiety were the following: French version of the Perceived Stress Scale (PSS-14) </w:t>
      </w:r>
      <w:r w:rsidR="0006147C">
        <w:fldChar w:fldCharType="begin"/>
      </w:r>
      <w:r w:rsidR="0076333B">
        <w:instrText xml:space="preserve"> ADDIN ZOTERO_ITEM CSL_CITATION {"citationID":"tgyFQ0Fp","properties":{"formattedCitation":"[1]","plainCitation":"[1]","noteIndex":0},"citationItems":[{"id":13770,"uris":["http://zotero.org/groups/4965861/items/39CJ5AZ6"],"itemData":{"id":13770,"type":"article-journal","abstract":"OBJECTIVES: This study was conducted to examine the psychometric properties of the French versions of the Perceived Stress Scale (PSS) and to compare the appropriateness of the three versions of this scale (14 items, 10 items, or 4 items) in a sample of workers.\nMATERIALS AND METHODS: Five hundred and one workers were randomly selected in several occupational health care centers of the North of France during 2010. Participants completed a questionnaire including demographic variables and the PSS. The psychometric properties of this scale were analyzed: internal consistency, factorial structure, and discriminative sensibility.\nRESULTS: For the PSS-14 and PSS-10, the Exploratory Factor Analysis (EFA) provided a two-factor structure, corresponding to the positively and negatively worded items. Those two factors were significantly correlated (r = 0.43 and 0.50, respectively). For the PSS-4, the EFA yielded a one-factor structure. The reliability was high for all three versions of the PSS (Cronbach's α values ranged from 0.73 to 0.84). The results concerning the effects of age, gender, marital, parental and occupational statuses showed that the 10-item version had the best discriminative sensibility.\nCONCLUSIONS: The findings confirmed satisfactory psychometric properties of all the three French versions of the PSS. We recommend the use of the PSS-10 in research settings because of its good psychometric properties.","container-title":"International Journal of Occupational Medicine and Environmental Health","DOI":"10.2478/S13382-012-0024-8","ISSN":"1896-494X","issue":"2","journalAbbreviation":"Int J Occup Med Environ Health","language":"eng","note":"PMID: 22528542","page":"178-184","source":"PubMed","title":"Psychometric properties of the French versions of the Perceived Stress Scale","volume":"25","author":[{"family":"Lesage","given":"Francois-Xavier"},{"family":"Berjot","given":"Sophie"},{"family":"Deschamps","given":"Frederic"}],"issued":{"date-parts":[["2012",6]]}}}],"schema":"https://github.com/citation-style-language/schema/raw/master/csl-citation.json"} </w:instrText>
      </w:r>
      <w:r w:rsidR="0006147C">
        <w:fldChar w:fldCharType="separate"/>
      </w:r>
      <w:r w:rsidR="0076333B" w:rsidRPr="0076333B">
        <w:rPr>
          <w:rFonts w:ascii="Calibri" w:hAnsi="Calibri" w:cs="Calibri"/>
        </w:rPr>
        <w:t>[1]</w:t>
      </w:r>
      <w:r w:rsidR="0006147C">
        <w:fldChar w:fldCharType="end"/>
      </w:r>
      <w:r w:rsidR="00C972C8">
        <w:t xml:space="preserve">, the French version of the trait part of the Spielberger State-Trait Anxiety Inventory (STAI-T) </w:t>
      </w:r>
      <w:r w:rsidR="00C972C8">
        <w:fldChar w:fldCharType="begin"/>
      </w:r>
      <w:r w:rsidR="0076333B">
        <w:instrText xml:space="preserve"> ADDIN ZOTERO_ITEM CSL_CITATION {"citationID":"it9e52nV","properties":{"formattedCitation":"[2]","plainCitation":"[2]","noteIndex":0},"citationItems":[{"id":13776,"uris":["http://zotero.org/groups/4965861/items/PPTZB7WN"],"itemData":{"id":13776,"type":"book","abstract":"L'Inventaire d'Anxiété État-Trait, adapté du \"State-Trait Anxiety Inventory\" (STAI), est destiné à évaluer, grâce à deux échelles de 20 items chacune, l'état et le trait d'anxiété. L'Échelle d'Anxiété-État (STAI forme Y-A) évalue les sentiments d'appréhension, la tension, la nervosité et l'inquiétude que le sujet ressent au moment de la consultation. Les scores s'élèvent face à un danger physique ou à un stress psychologique et diminuent en réponse à une séance de relaxation. Elle constitue un indicateur des modifications transitoires de l'anxiété provoquées par des situations aversives ou thérapeutiques. L'Échelle d'Anxiété-Trait (STAI forme Y-B) permet d'apprécier les mêmes sentiments que le sujet ressent \"habituellement\". Elle évalue l'anxiété comme disposition stable et permet d'identifier les sujets anxieux au sein de groupes. Elle constitue le point de départ d'une action thérapeutique. Le STAI-Y peut aussi s'utiliser pour étudier l'effet de l'anxiété sur la mémoire, la performance en apprentissage ou l'ajustement à différentes situations stressantes. Application : adolescents, adultes. Passation individuelle ou collective. Temps de passation : 5 à 10 minutes par échelle. Temps de correction : 5 minutes pour les 2 échelles.","event-place":"Paris, France","ISBN":"978-2-7253-0003-0","language":"français","number-of-pages":"68","publisher":"Éditions du centre de psychologie appliquée, DL 1993","publisher-place":"Paris, France","source":"Library Catalog - www.sudoc.abes.fr","title":"STAI-Y: Inventaire d'anxiété état-trait forme Y","title-short":"STAI-Y","author":[{"family":"Spielberger","given":"Charles Donald"},{"family":"Bruchon-Schweitzer","given":"Marilou"},{"family":"Paulhan","given":"Isabelle"}],"issued":{"date-parts":[["1993"]],"season":"DL  , cop. 1993"}}}],"schema":"https://github.com/citation-style-language/schema/raw/master/csl-citation.json"} </w:instrText>
      </w:r>
      <w:r w:rsidR="00C972C8">
        <w:fldChar w:fldCharType="separate"/>
      </w:r>
      <w:r w:rsidR="0076333B" w:rsidRPr="0076333B">
        <w:rPr>
          <w:rFonts w:ascii="Calibri" w:hAnsi="Calibri" w:cs="Calibri"/>
        </w:rPr>
        <w:t>[2]</w:t>
      </w:r>
      <w:r w:rsidR="00C972C8">
        <w:fldChar w:fldCharType="end"/>
      </w:r>
      <w:r w:rsidR="00C972C8">
        <w:t xml:space="preserve"> and </w:t>
      </w:r>
      <w:r w:rsidR="00F55397">
        <w:t>a</w:t>
      </w:r>
      <w:r w:rsidR="00C972C8">
        <w:t xml:space="preserve"> </w:t>
      </w:r>
      <w:r w:rsidR="00F55397">
        <w:t>f</w:t>
      </w:r>
      <w:r w:rsidR="00C972C8">
        <w:t xml:space="preserve">rench </w:t>
      </w:r>
      <w:r w:rsidR="00F55397">
        <w:t>translation</w:t>
      </w:r>
      <w:r w:rsidR="00C972C8">
        <w:t xml:space="preserve"> of the Social Interaction Anxiety Scale (SIAS)</w:t>
      </w:r>
      <w:r w:rsidR="00F55397">
        <w:t xml:space="preserve"> </w:t>
      </w:r>
      <w:r w:rsidR="00F55397">
        <w:fldChar w:fldCharType="begin"/>
      </w:r>
      <w:r w:rsidR="0076333B">
        <w:instrText xml:space="preserve"> ADDIN ZOTERO_ITEM CSL_CITATION {"citationID":"6Ksd7dJx","properties":{"formattedCitation":"[3]","plainCitation":"[3]","noteIndex":0},"citationItems":[{"id":13781,"uris":["http://zotero.org/groups/4965861/items/37ZGUZTF"],"itemData":{"id":13781,"type":"dataset","DOI":"10.1037/t00532-000","language":"en","note":"Institution: American Psychological Association","source":"DOI.org (Crossref)","title":"Social Interaction Anxiety Scale","URL":"https://doi.apa.org/doi/10.1037/t00532-000","author":[{"family":"Mattick","given":"Richard P."},{"family":"Clarke","given":"J. Christopher"}],"accessed":{"date-parts":[["2024",4,12]]},"issued":{"date-parts":[["2012",2,13]]}}}],"schema":"https://github.com/citation-style-language/schema/raw/master/csl-citation.json"} </w:instrText>
      </w:r>
      <w:r w:rsidR="00F55397">
        <w:fldChar w:fldCharType="separate"/>
      </w:r>
      <w:r w:rsidR="0076333B" w:rsidRPr="0076333B">
        <w:rPr>
          <w:rFonts w:ascii="Calibri" w:hAnsi="Calibri" w:cs="Calibri"/>
        </w:rPr>
        <w:t>[3]</w:t>
      </w:r>
      <w:r w:rsidR="00F55397">
        <w:fldChar w:fldCharType="end"/>
      </w:r>
      <w:r w:rsidR="00C972C8">
        <w:t>.</w:t>
      </w:r>
    </w:p>
    <w:p w14:paraId="42D304D5" w14:textId="000764C3" w:rsidR="00144BE7" w:rsidRPr="001632B6" w:rsidRDefault="00144BE7" w:rsidP="00144BE7">
      <w:pPr>
        <w:pStyle w:val="Titre3"/>
        <w:rPr>
          <w:rFonts w:cstheme="minorHAnsi"/>
        </w:rPr>
      </w:pPr>
      <w:r w:rsidRPr="001632B6">
        <w:rPr>
          <w:rFonts w:cstheme="minorHAnsi"/>
        </w:rPr>
        <w:t xml:space="preserve">Subjective </w:t>
      </w:r>
      <w:r w:rsidR="002F2567">
        <w:rPr>
          <w:rFonts w:cstheme="minorHAnsi"/>
        </w:rPr>
        <w:t>S</w:t>
      </w:r>
      <w:r w:rsidR="002F2567" w:rsidRPr="001632B6">
        <w:rPr>
          <w:rFonts w:cstheme="minorHAnsi"/>
        </w:rPr>
        <w:t xml:space="preserve">tress </w:t>
      </w:r>
      <w:r w:rsidRPr="001632B6">
        <w:rPr>
          <w:rFonts w:cstheme="minorHAnsi"/>
        </w:rPr>
        <w:t xml:space="preserve">and </w:t>
      </w:r>
      <w:r w:rsidR="002F2567">
        <w:rPr>
          <w:rFonts w:cstheme="minorHAnsi"/>
        </w:rPr>
        <w:t>F</w:t>
      </w:r>
      <w:r w:rsidR="002F2567" w:rsidRPr="001632B6">
        <w:rPr>
          <w:rFonts w:cstheme="minorHAnsi"/>
        </w:rPr>
        <w:t xml:space="preserve">atigue </w:t>
      </w:r>
      <w:r w:rsidR="002F2567">
        <w:rPr>
          <w:rFonts w:cstheme="minorHAnsi"/>
        </w:rPr>
        <w:t>R</w:t>
      </w:r>
      <w:r w:rsidR="002F2567" w:rsidRPr="001632B6">
        <w:rPr>
          <w:rFonts w:cstheme="minorHAnsi"/>
        </w:rPr>
        <w:t>atings</w:t>
      </w:r>
    </w:p>
    <w:p w14:paraId="5579F5AE" w14:textId="49A7DE73" w:rsidR="00144BE7" w:rsidRDefault="000A739B" w:rsidP="00144BE7">
      <w:pPr>
        <w:rPr>
          <w:rFonts w:cstheme="minorHAnsi"/>
        </w:rPr>
      </w:pPr>
      <w:r>
        <w:rPr>
          <w:rFonts w:cstheme="minorHAnsi"/>
        </w:rPr>
        <w:t>Right b</w:t>
      </w:r>
      <w:r w:rsidRPr="001632B6">
        <w:rPr>
          <w:rFonts w:cstheme="minorHAnsi"/>
        </w:rPr>
        <w:t xml:space="preserve">efore </w:t>
      </w:r>
      <w:r w:rsidR="00144BE7" w:rsidRPr="001632B6">
        <w:rPr>
          <w:rFonts w:cstheme="minorHAnsi"/>
        </w:rPr>
        <w:t xml:space="preserve">going in the scanner for </w:t>
      </w:r>
      <w:r w:rsidR="00144BE7" w:rsidRPr="001632B6">
        <w:rPr>
          <w:rFonts w:cstheme="minorHAnsi"/>
          <w:vertAlign w:val="superscript"/>
        </w:rPr>
        <w:t>1</w:t>
      </w:r>
      <w:r w:rsidR="00144BE7" w:rsidRPr="001632B6">
        <w:rPr>
          <w:rFonts w:cstheme="minorHAnsi"/>
        </w:rPr>
        <w:t xml:space="preserve">H-MRS or fMRI measurement and just after getting out of the scanner, participants were required to provide a rating of their </w:t>
      </w:r>
      <w:r>
        <w:rPr>
          <w:rFonts w:cstheme="minorHAnsi"/>
        </w:rPr>
        <w:t xml:space="preserve">current </w:t>
      </w:r>
      <w:r w:rsidR="00144BE7" w:rsidRPr="001632B6">
        <w:rPr>
          <w:rFonts w:cstheme="minorHAnsi"/>
        </w:rPr>
        <w:t>subjective level of fatigue and of stress on a visual analogue scale going from 0 to 10 to monitor their levels of stress and fatigue across the duration of the experiment.</w:t>
      </w:r>
    </w:p>
    <w:p w14:paraId="79240E9A" w14:textId="2FC89517" w:rsidR="003B0401" w:rsidRDefault="003B0401" w:rsidP="00DD23B4">
      <w:pPr>
        <w:pStyle w:val="Titre3"/>
      </w:pPr>
      <w:r>
        <w:t xml:space="preserve">Sleep </w:t>
      </w:r>
      <w:r w:rsidR="002F2567">
        <w:t>Questionnaire</w:t>
      </w:r>
    </w:p>
    <w:p w14:paraId="13247AB7" w14:textId="019FD6AD" w:rsidR="003B0401" w:rsidRDefault="003B0401" w:rsidP="003B0401">
      <w:pPr>
        <w:rPr>
          <w:rFonts w:cstheme="minorHAnsi"/>
        </w:rPr>
      </w:pPr>
      <w:r>
        <w:t>At the same moment they filled the stress and fatigue questionnaires</w:t>
      </w:r>
      <w:r>
        <w:rPr>
          <w:rFonts w:cstheme="minorHAnsi"/>
        </w:rPr>
        <w:t>, participants were also required to indicate their average amount of sleep (in hours and minutes) and the</w:t>
      </w:r>
      <w:r w:rsidR="009717D5">
        <w:rPr>
          <w:rFonts w:cstheme="minorHAnsi"/>
        </w:rPr>
        <w:t xml:space="preserve"> approximate</w:t>
      </w:r>
      <w:r>
        <w:rPr>
          <w:rFonts w:cstheme="minorHAnsi"/>
        </w:rPr>
        <w:t xml:space="preserve"> amount of sleep they had the day before the experiment (in hours and minutes).</w:t>
      </w:r>
    </w:p>
    <w:p w14:paraId="1935FBFF" w14:textId="357A6999" w:rsidR="000A739B" w:rsidRDefault="000A739B" w:rsidP="000A739B">
      <w:pPr>
        <w:pStyle w:val="Titre3"/>
      </w:pPr>
      <w:r>
        <w:t>Saliva collection</w:t>
      </w:r>
    </w:p>
    <w:p w14:paraId="45C95B95" w14:textId="6A1CD95F" w:rsidR="000A739B" w:rsidRPr="000A739B" w:rsidRDefault="002F41A8" w:rsidP="000A739B">
      <w:r>
        <w:t>Every time</w:t>
      </w:r>
      <w:r w:rsidR="000A739B">
        <w:t xml:space="preserve"> they filled the stress, fatigue and sleep questionnaires, we </w:t>
      </w:r>
      <w:r w:rsidR="00737435">
        <w:t xml:space="preserve">also </w:t>
      </w:r>
      <w:r w:rsidR="000A739B">
        <w:t xml:space="preserve">collected participants’ saliva </w:t>
      </w:r>
      <w:r w:rsidR="00737435">
        <w:t xml:space="preserve">using </w:t>
      </w:r>
      <w:r>
        <w:t>2.0 mL passive-drool collection tubes</w:t>
      </w:r>
      <w:r w:rsidR="000A739B">
        <w:t xml:space="preserve"> (</w:t>
      </w:r>
      <w:r w:rsidR="00737435">
        <w:t>Salimetrics, USA</w:t>
      </w:r>
      <w:r w:rsidR="000A739B">
        <w:t xml:space="preserve">). The tubes were immediately put in dry ice after saliva collection </w:t>
      </w:r>
      <w:r w:rsidR="00737435">
        <w:t>and then they were</w:t>
      </w:r>
      <w:r w:rsidR="000A739B">
        <w:t xml:space="preserve"> stor</w:t>
      </w:r>
      <w:r w:rsidR="00737435">
        <w:t>ed</w:t>
      </w:r>
      <w:r w:rsidR="000A739B">
        <w:t xml:space="preserve"> in a -80°C freezer.</w:t>
      </w:r>
      <w:r w:rsidR="00737435">
        <w:t xml:space="preserve"> We therefore collected four salivary tubes per participant, one before and one after each </w:t>
      </w:r>
      <w:r>
        <w:t>session</w:t>
      </w:r>
      <w:r w:rsidR="00737435">
        <w:t xml:space="preserve"> in the MRI scanner</w:t>
      </w:r>
      <w:r w:rsidR="00636698">
        <w:t>, aiming at measuring salivary testosterone and cortisol levels</w:t>
      </w:r>
      <w:r w:rsidR="00737435">
        <w:t>.</w:t>
      </w:r>
    </w:p>
    <w:p w14:paraId="67F2E37D" w14:textId="77777777" w:rsidR="00636698" w:rsidRDefault="00636698" w:rsidP="00636698">
      <w:pPr>
        <w:pStyle w:val="Titre3"/>
      </w:pPr>
      <w:r>
        <w:t>Salivary Cortisol Analysis</w:t>
      </w:r>
    </w:p>
    <w:p w14:paraId="0D6D2C6C" w14:textId="6C0E1D41" w:rsidR="00636698" w:rsidRDefault="00636698" w:rsidP="00373C18">
      <w:pPr>
        <w:rPr>
          <w:rFonts w:cstheme="minorHAnsi"/>
        </w:rPr>
      </w:pPr>
      <w:r>
        <w:t>Saliva samples were centrifuged at 3000 rpm for 15 min at 4°C and they were then quantified with the Salimetrics Salivary Cortisol Enzyme linked immunosorbent assay (ELISA) kit according to the manufacturer’s instructions (Salimetrics, USA).</w:t>
      </w:r>
    </w:p>
    <w:p w14:paraId="11CA40FA" w14:textId="018604A7" w:rsidR="00985CFC" w:rsidRPr="001632B6" w:rsidRDefault="00985CFC" w:rsidP="00985CFC">
      <w:pPr>
        <w:pStyle w:val="Titre3"/>
        <w:rPr>
          <w:rFonts w:cstheme="minorHAnsi"/>
        </w:rPr>
      </w:pPr>
      <w:r w:rsidRPr="001632B6">
        <w:rPr>
          <w:rFonts w:cstheme="minorHAnsi"/>
        </w:rPr>
        <w:t xml:space="preserve">Behavioral </w:t>
      </w:r>
      <w:r w:rsidR="002F2567">
        <w:rPr>
          <w:rFonts w:cstheme="minorHAnsi"/>
        </w:rPr>
        <w:t>T</w:t>
      </w:r>
      <w:r w:rsidR="002F2567" w:rsidRPr="001632B6">
        <w:rPr>
          <w:rFonts w:cstheme="minorHAnsi"/>
        </w:rPr>
        <w:t>ask</w:t>
      </w:r>
    </w:p>
    <w:p w14:paraId="579C39E2" w14:textId="7D64A1A6" w:rsidR="00985CFC" w:rsidRPr="001632B6" w:rsidRDefault="00985CFC" w:rsidP="00985CFC">
      <w:pPr>
        <w:rPr>
          <w:rFonts w:cstheme="minorHAnsi"/>
        </w:rPr>
      </w:pPr>
      <w:r w:rsidRPr="001632B6">
        <w:rPr>
          <w:rFonts w:cstheme="minorHAnsi"/>
          <w:i/>
        </w:rPr>
        <w:t>Training and calibration.</w:t>
      </w:r>
      <w:r w:rsidRPr="001632B6">
        <w:rPr>
          <w:rFonts w:cstheme="minorHAnsi"/>
        </w:rPr>
        <w:t xml:space="preserve"> After </w:t>
      </w:r>
      <w:r w:rsidRPr="001632B6">
        <w:rPr>
          <w:rFonts w:cstheme="minorHAnsi"/>
          <w:vertAlign w:val="superscript"/>
        </w:rPr>
        <w:t>1</w:t>
      </w:r>
      <w:r w:rsidRPr="001632B6">
        <w:rPr>
          <w:rFonts w:cstheme="minorHAnsi"/>
        </w:rPr>
        <w:t xml:space="preserve">H-MRS and before performing the actual task in fMRI, participants were trained for a period lasting </w:t>
      </w:r>
      <w:r w:rsidRPr="001632B6">
        <w:rPr>
          <w:rFonts w:cstheme="minorHAnsi"/>
          <w:color w:val="000000" w:themeColor="text1"/>
        </w:rPr>
        <w:t>44±</w:t>
      </w:r>
      <w:r w:rsidR="007A101D">
        <w:rPr>
          <w:rFonts w:cstheme="minorHAnsi"/>
          <w:color w:val="000000" w:themeColor="text1"/>
        </w:rPr>
        <w:t>1</w:t>
      </w:r>
      <w:r w:rsidR="007A101D" w:rsidRPr="001632B6">
        <w:rPr>
          <w:rFonts w:cstheme="minorHAnsi"/>
          <w:color w:val="000000" w:themeColor="text1"/>
        </w:rPr>
        <w:t xml:space="preserve"> </w:t>
      </w:r>
      <w:r w:rsidRPr="001632B6">
        <w:rPr>
          <w:rFonts w:cstheme="minorHAnsi"/>
        </w:rPr>
        <w:t>minutes (mean</w:t>
      </w:r>
      <w:r w:rsidR="008B4CC6">
        <w:rPr>
          <w:rFonts w:cstheme="minorHAnsi"/>
        </w:rPr>
        <w:t xml:space="preserve"> </w:t>
      </w:r>
      <w:r w:rsidRPr="001632B6">
        <w:rPr>
          <w:rFonts w:cstheme="minorHAnsi"/>
        </w:rPr>
        <w:t>±</w:t>
      </w:r>
      <w:r w:rsidR="00B50E77">
        <w:rPr>
          <w:rFonts w:cstheme="minorHAnsi"/>
        </w:rPr>
        <w:t xml:space="preserve"> </w:t>
      </w:r>
      <w:r w:rsidR="007A101D" w:rsidRPr="001632B6">
        <w:rPr>
          <w:rFonts w:cstheme="minorHAnsi"/>
        </w:rPr>
        <w:t>s</w:t>
      </w:r>
      <w:r w:rsidR="007A101D">
        <w:rPr>
          <w:rFonts w:cstheme="minorHAnsi"/>
        </w:rPr>
        <w:t>em</w:t>
      </w:r>
      <w:r w:rsidRPr="001632B6">
        <w:rPr>
          <w:rFonts w:cstheme="minorHAnsi"/>
        </w:rPr>
        <w:t xml:space="preserve">). To ensure proper calibration, participants were instructed that during a measure of their maximal physical and mental capacity, </w:t>
      </w:r>
      <w:r w:rsidRPr="001632B6">
        <w:rPr>
          <w:rFonts w:cstheme="minorHAnsi"/>
        </w:rPr>
        <w:lastRenderedPageBreak/>
        <w:t>they could win up to 4 CHF based on their performance each time. During physical calibration, participants had to squeeze a dynamometer (</w:t>
      </w:r>
      <w:r w:rsidRPr="001632B6">
        <w:rPr>
          <w:rFonts w:cstheme="minorHAnsi"/>
          <w:color w:val="000000" w:themeColor="text1"/>
        </w:rPr>
        <w:t>TSD121B-MRI, BIOPAC</w:t>
      </w:r>
      <w:r w:rsidR="00D920D1">
        <w:rPr>
          <w:rFonts w:cstheme="minorHAnsi"/>
          <w:color w:val="000000" w:themeColor="text1"/>
        </w:rPr>
        <w:t xml:space="preserve"> Inc.</w:t>
      </w:r>
      <w:r w:rsidRPr="001632B6">
        <w:rPr>
          <w:rFonts w:cstheme="minorHAnsi"/>
        </w:rPr>
        <w:t xml:space="preserve">) </w:t>
      </w:r>
      <w:r w:rsidR="008416A5" w:rsidRPr="001632B6">
        <w:rPr>
          <w:rFonts w:cstheme="minorHAnsi"/>
        </w:rPr>
        <w:t xml:space="preserve">as hard as possible </w:t>
      </w:r>
      <w:r w:rsidR="008416A5">
        <w:rPr>
          <w:rFonts w:cstheme="minorHAnsi"/>
        </w:rPr>
        <w:t>using</w:t>
      </w:r>
      <w:r w:rsidR="008416A5" w:rsidRPr="001632B6">
        <w:rPr>
          <w:rFonts w:cstheme="minorHAnsi"/>
        </w:rPr>
        <w:t xml:space="preserve"> </w:t>
      </w:r>
      <w:r w:rsidRPr="001632B6">
        <w:rPr>
          <w:rFonts w:cstheme="minorHAnsi"/>
        </w:rPr>
        <w:t xml:space="preserve">their left hand within </w:t>
      </w:r>
      <w:r w:rsidR="008416A5">
        <w:rPr>
          <w:rFonts w:cstheme="minorHAnsi"/>
        </w:rPr>
        <w:t xml:space="preserve">a </w:t>
      </w:r>
      <w:r w:rsidRPr="001632B6">
        <w:rPr>
          <w:rFonts w:cstheme="minorHAnsi"/>
        </w:rPr>
        <w:t>5 seconds</w:t>
      </w:r>
      <w:r w:rsidR="008416A5">
        <w:rPr>
          <w:rFonts w:cstheme="minorHAnsi"/>
        </w:rPr>
        <w:t xml:space="preserve"> period</w:t>
      </w:r>
      <w:r w:rsidR="00F57970">
        <w:rPr>
          <w:rFonts w:cstheme="minorHAnsi"/>
        </w:rPr>
        <w:t>. Calibration was repeated</w:t>
      </w:r>
      <w:r w:rsidRPr="001632B6">
        <w:rPr>
          <w:rFonts w:cstheme="minorHAnsi"/>
        </w:rPr>
        <w:t xml:space="preserve"> three times. The maximum of these three attempts was defined as their maximal voluntary contraction (MVC). During a physical effort, participants had to exert a force at least higher than 55% of their MVC. During mental calibration, participants were extensively trained to perform a 2-back task as fast as possible until they could achieve 6 correct responses under 10 seconds, at least 80% of the time. Following this learning period, they were instructed to achieve the highest possible score in under 10 seconds, with 6 responses being the minimum requirement which served as a calibration for the difficulty levels. After </w:t>
      </w:r>
      <w:r w:rsidR="000E6436">
        <w:rPr>
          <w:rFonts w:cstheme="minorHAnsi"/>
        </w:rPr>
        <w:t>three</w:t>
      </w:r>
      <w:r w:rsidR="000E6436" w:rsidRPr="001632B6">
        <w:rPr>
          <w:rFonts w:cstheme="minorHAnsi"/>
        </w:rPr>
        <w:t xml:space="preserve"> </w:t>
      </w:r>
      <w:r w:rsidRPr="001632B6">
        <w:rPr>
          <w:rFonts w:cstheme="minorHAnsi"/>
        </w:rPr>
        <w:t xml:space="preserve">attempts, we defined 80% of their averaged best score as the maximum number of correct responses (MNCR), in order to consider the high variability in this measure and to minimize the confusion between risk and effort aversion. In the physical effort task, the difficulty varied in terms of duration that someone had to squeeze the handgrip above 55% of their MVC (0.5/1.5/2.5/4.5s), while in the mental effort task, the difficulty varied in terms of number of correct answers </w:t>
      </w:r>
      <m:oMath>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9</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eastAsiaTheme="minorEastAsia" w:hAnsi="Cambria Math" w:cstheme="minorHAnsi"/>
          </w:rPr>
          <m:t>/</m:t>
        </m:r>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m:t>
            </m:r>
          </m:den>
        </m:f>
        <m:r>
          <w:rPr>
            <w:rFonts w:ascii="Cambria Math" w:eastAsiaTheme="minorEastAsia" w:hAnsi="Cambria Math" w:cstheme="minorHAnsi"/>
          </w:rPr>
          <m:t>/1)*MNCR</m:t>
        </m:r>
      </m:oMath>
      <w:r w:rsidRPr="001632B6">
        <w:rPr>
          <w:rFonts w:cstheme="minorHAnsi"/>
        </w:rPr>
        <w:t xml:space="preserve"> to provide within 10s.</w:t>
      </w:r>
    </w:p>
    <w:p w14:paraId="1F656A8C" w14:textId="48F0757A" w:rsidR="00985CFC" w:rsidRPr="001632B6" w:rsidRDefault="00203B2D" w:rsidP="00985CFC">
      <w:pPr>
        <w:rPr>
          <w:rFonts w:cstheme="minorHAnsi"/>
        </w:rPr>
      </w:pPr>
      <w:r>
        <w:rPr>
          <w:rFonts w:cstheme="minorHAnsi"/>
        </w:rPr>
        <w:t>For each effort type (physical/mental)</w:t>
      </w:r>
      <w:r w:rsidRPr="001632B6">
        <w:rPr>
          <w:rFonts w:cstheme="minorHAnsi"/>
        </w:rPr>
        <w:t xml:space="preserve"> </w:t>
      </w:r>
      <w:r w:rsidR="00985CFC" w:rsidRPr="001632B6">
        <w:rPr>
          <w:rFonts w:cstheme="minorHAnsi"/>
        </w:rPr>
        <w:t>calibration</w:t>
      </w:r>
      <w:r>
        <w:rPr>
          <w:rFonts w:cstheme="minorHAnsi"/>
        </w:rPr>
        <w:t xml:space="preserve"> was followed by a training period</w:t>
      </w:r>
      <w:r w:rsidR="00DA2889">
        <w:rPr>
          <w:rFonts w:cstheme="minorHAnsi"/>
        </w:rPr>
        <w:t xml:space="preserve"> where</w:t>
      </w:r>
      <w:r w:rsidR="00985CFC" w:rsidRPr="001632B6">
        <w:rPr>
          <w:rFonts w:cstheme="minorHAnsi"/>
        </w:rPr>
        <w:t xml:space="preserve"> participants had to perform all four effort levels 5 times each in order to get familiarized with the </w:t>
      </w:r>
      <w:r w:rsidR="00DA2889">
        <w:rPr>
          <w:rFonts w:cstheme="minorHAnsi"/>
        </w:rPr>
        <w:t xml:space="preserve">range </w:t>
      </w:r>
      <w:r w:rsidR="00985CFC" w:rsidRPr="001632B6">
        <w:rPr>
          <w:rFonts w:cstheme="minorHAnsi"/>
        </w:rPr>
        <w:t>of difficulty expected in the main task. After this</w:t>
      </w:r>
      <w:r w:rsidR="00485CC2">
        <w:rPr>
          <w:rFonts w:cstheme="minorHAnsi"/>
        </w:rPr>
        <w:t xml:space="preserve"> </w:t>
      </w:r>
      <w:r w:rsidR="00863088">
        <w:rPr>
          <w:rFonts w:cstheme="minorHAnsi"/>
        </w:rPr>
        <w:t xml:space="preserve">effort </w:t>
      </w:r>
      <w:r w:rsidR="00485CC2">
        <w:rPr>
          <w:rFonts w:cstheme="minorHAnsi"/>
        </w:rPr>
        <w:t>training</w:t>
      </w:r>
      <w:r w:rsidR="00985CFC" w:rsidRPr="001632B6">
        <w:rPr>
          <w:rFonts w:cstheme="minorHAnsi"/>
        </w:rPr>
        <w:t xml:space="preserve">, </w:t>
      </w:r>
      <w:r w:rsidR="00485CC2">
        <w:rPr>
          <w:rFonts w:cstheme="minorHAnsi"/>
        </w:rPr>
        <w:t>participants</w:t>
      </w:r>
      <w:r w:rsidR="00485CC2" w:rsidRPr="001632B6">
        <w:rPr>
          <w:rFonts w:cstheme="minorHAnsi"/>
        </w:rPr>
        <w:t xml:space="preserve"> </w:t>
      </w:r>
      <w:r w:rsidR="00863088">
        <w:rPr>
          <w:rFonts w:cstheme="minorHAnsi"/>
        </w:rPr>
        <w:t>received a short training for the actual task</w:t>
      </w:r>
      <w:r w:rsidR="0073718C">
        <w:rPr>
          <w:rFonts w:cstheme="minorHAnsi"/>
        </w:rPr>
        <w:t xml:space="preserve"> consisting in</w:t>
      </w:r>
      <w:r w:rsidR="00985CFC" w:rsidRPr="001632B6">
        <w:rPr>
          <w:rFonts w:cstheme="minorHAnsi"/>
        </w:rPr>
        <w:t xml:space="preserve"> 4 choice trials</w:t>
      </w:r>
      <w:r w:rsidR="00DE4C0F">
        <w:rPr>
          <w:rFonts w:cstheme="minorHAnsi"/>
        </w:rPr>
        <w:t>, presented as in the main task,</w:t>
      </w:r>
      <w:r w:rsidR="00985CFC" w:rsidRPr="001632B6">
        <w:rPr>
          <w:rFonts w:cstheme="minorHAnsi"/>
        </w:rPr>
        <w:t xml:space="preserve"> followed by effort performance to ensure that they understood the </w:t>
      </w:r>
      <w:r w:rsidR="00367199">
        <w:rPr>
          <w:rFonts w:cstheme="minorHAnsi"/>
        </w:rPr>
        <w:t xml:space="preserve">way the </w:t>
      </w:r>
      <w:r w:rsidR="00985CFC" w:rsidRPr="001632B6">
        <w:rPr>
          <w:rFonts w:cstheme="minorHAnsi"/>
        </w:rPr>
        <w:t>task</w:t>
      </w:r>
      <w:r w:rsidR="00367199">
        <w:rPr>
          <w:rFonts w:cstheme="minorHAnsi"/>
        </w:rPr>
        <w:t xml:space="preserve"> would work</w:t>
      </w:r>
      <w:r w:rsidR="00985CFC" w:rsidRPr="001632B6">
        <w:rPr>
          <w:rFonts w:cstheme="minorHAnsi"/>
        </w:rPr>
        <w:t>.</w:t>
      </w:r>
    </w:p>
    <w:p w14:paraId="4968E168" w14:textId="64189075" w:rsidR="00985CFC" w:rsidRPr="001632B6" w:rsidRDefault="00985CFC" w:rsidP="00144BE7">
      <w:pPr>
        <w:rPr>
          <w:rFonts w:cstheme="minorHAnsi"/>
        </w:rPr>
      </w:pPr>
      <w:r w:rsidRPr="001632B6">
        <w:rPr>
          <w:rFonts w:cstheme="minorHAnsi"/>
          <w:i/>
        </w:rPr>
        <w:t xml:space="preserve">Indifference point measurement. </w:t>
      </w:r>
      <w:bookmarkStart w:id="2" w:name="_Hlk128583380"/>
      <w:r w:rsidR="00C00B6C">
        <w:rPr>
          <w:rFonts w:cstheme="minorHAnsi"/>
        </w:rPr>
        <w:t>A</w:t>
      </w:r>
      <w:r w:rsidR="00C00B6C" w:rsidRPr="001632B6">
        <w:rPr>
          <w:rFonts w:cstheme="minorHAnsi"/>
        </w:rPr>
        <w:t>t the end of the training session</w:t>
      </w:r>
      <w:r w:rsidR="00C00B6C">
        <w:rPr>
          <w:rFonts w:cstheme="minorHAnsi"/>
        </w:rPr>
        <w:t xml:space="preserve"> for each effort type,</w:t>
      </w:r>
      <w:r w:rsidR="00C00B6C" w:rsidRPr="001632B6">
        <w:rPr>
          <w:rFonts w:cstheme="minorHAnsi"/>
        </w:rPr>
        <w:t xml:space="preserve"> </w:t>
      </w:r>
      <w:r w:rsidR="00940E1B">
        <w:rPr>
          <w:rFonts w:cstheme="minorHAnsi"/>
          <w:iCs/>
        </w:rPr>
        <w:t xml:space="preserve">we calibrated </w:t>
      </w:r>
      <w:r w:rsidR="00C00B6C">
        <w:rPr>
          <w:rFonts w:cstheme="minorHAnsi"/>
          <w:iCs/>
        </w:rPr>
        <w:t>t</w:t>
      </w:r>
      <w:r w:rsidRPr="001632B6">
        <w:rPr>
          <w:rFonts w:cstheme="minorHAnsi"/>
        </w:rPr>
        <w:t xml:space="preserve">he incentive levels by computing an indifference point (IP) </w:t>
      </w:r>
      <w:r w:rsidR="00CD7497" w:rsidRPr="001632B6">
        <w:rPr>
          <w:rFonts w:cstheme="minorHAnsi"/>
        </w:rPr>
        <w:t>independently for each effort type</w:t>
      </w:r>
      <w:r w:rsidR="00CD7497" w:rsidRPr="001632B6" w:rsidDel="00C00B6C">
        <w:rPr>
          <w:rFonts w:cstheme="minorHAnsi"/>
        </w:rPr>
        <w:t xml:space="preserve"> </w:t>
      </w:r>
      <w:r w:rsidR="0003712C">
        <w:rPr>
          <w:rFonts w:cstheme="minorHAnsi"/>
        </w:rPr>
        <w:t xml:space="preserve">following a short IP measurement procedure </w:t>
      </w:r>
      <w:r w:rsidRPr="001632B6">
        <w:rPr>
          <w:rFonts w:cstheme="minorHAnsi"/>
        </w:rPr>
        <w:t xml:space="preserve">adapted from Westbrook and colleagues </w:t>
      </w:r>
      <w:r w:rsidRPr="001632B6">
        <w:rPr>
          <w:rFonts w:cstheme="minorHAnsi"/>
        </w:rPr>
        <w:fldChar w:fldCharType="begin"/>
      </w:r>
      <w:r w:rsidR="0076333B">
        <w:rPr>
          <w:rFonts w:cstheme="minorHAnsi"/>
        </w:rPr>
        <w:instrText xml:space="preserve"> ADDIN ZOTERO_ITEM CSL_CITATION {"citationID":"OuERwscf","properties":{"formattedCitation":"[4, 5]","plainCitation":"[4, 5]","noteIndex":0},"citationItems":[{"id":1238,"uris":["http://zotero.org/users/1203856/items/C9SXZBA3"],"itemData":{"id":1238,"type":"article-journal","container-title":"The Journal of Neuroscience","DOI":"10.1523/JNEUROSCI.3071-18.2019","ISSN":"0270-6474, 1529-2401","language":"en","page":"3071-18","source":"Crossref","title":"The Subjective Value of Cognitive Effort is Encoded by a Domain-General Valuation Network","author":[{"family":"Westbrook","given":"Andrew"},{"family":"Lamichhane","given":"Bidhan"},{"family":"Braver","given":"Todd"}],"issued":{"date-parts":[["2019",3,8]]}}},{"id":1876,"uris":["http://zotero.org/users/1203856/items/3H594C7E"],"itemData":{"id":1876,"type":"article-journal","abstract":"It has long been assumed that people treat cognitive effort as costly, but also that such effort costs may vary greatly across individuals. Individual differences in subjective effort could present a major and pervasive confound in behavioral and neuroscience assessments, by conflating cognitive ability with cognitive motivation. Self-report cognitive effort scales have been developed, but objective measures are lacking. In this study, we use the behavioral economic approach of revealed preferences to quantify subjective effort. Specifically, we adapted a well-established discounting paradigm to measure the extent to which cognitive effort causes participants to discount monetary rewards. The resulting metrics are sensitive to both within-individual factors, including objective load and reward amount, and between-individual factors, including age and trait cognitive engagement. We further validate cognitive effort discounting by benchmarking it against wellestablished measures of delay discounting. The results highlight the promise and utility of behavioral economic tools for assessing trait and state influences on cognitive motivation.","container-title":"PLoS ONE","DOI":"10.1371/journal.pone.0068210","ISSN":"1932-6203","issue":"7","journalAbbreviation":"PLoS ONE","language":"en","page":"e68210","source":"DOI.org (Crossref)","title":"What Is the Subjective Cost of Cognitive Effort? Load, Trait, and Aging Effects Revealed by Economic Preference","title-short":"What Is the Subjective Cost of Cognitive Effort?","volume":"8","author":[{"family":"Westbrook","given":"Andrew"},{"family":"Kester","given":"Daria"},{"family":"Braver","given":"Todd S."}],"editor":[{"family":"Pessiglione","given":"Mathias"}],"issued":{"date-parts":[["2013",7,22]]}}}],"schema":"https://github.com/citation-style-language/schema/raw/master/csl-citation.json"} </w:instrText>
      </w:r>
      <w:r w:rsidRPr="001632B6">
        <w:rPr>
          <w:rFonts w:cstheme="minorHAnsi"/>
        </w:rPr>
        <w:fldChar w:fldCharType="separate"/>
      </w:r>
      <w:r w:rsidR="0076333B" w:rsidRPr="0076333B">
        <w:rPr>
          <w:rFonts w:ascii="Calibri" w:hAnsi="Calibri" w:cs="Calibri"/>
        </w:rPr>
        <w:t>[4, 5]</w:t>
      </w:r>
      <w:r w:rsidRPr="001632B6">
        <w:rPr>
          <w:rFonts w:cstheme="minorHAnsi"/>
        </w:rPr>
        <w:fldChar w:fldCharType="end"/>
      </w:r>
      <w:r w:rsidRPr="001632B6">
        <w:rPr>
          <w:rFonts w:cstheme="minorHAnsi"/>
        </w:rPr>
        <w:t xml:space="preserve">. </w:t>
      </w:r>
      <w:r w:rsidR="00C06920">
        <w:rPr>
          <w:rFonts w:cstheme="minorHAnsi"/>
        </w:rPr>
        <w:t>This procedure consisted in presenting 5 subsequent choice trials and asking to the participant their subjective preference on each trial. After their choice was selected, they always had to perform the associated effort subsequently</w:t>
      </w:r>
      <w:r w:rsidR="007F3960">
        <w:rPr>
          <w:rFonts w:cstheme="minorHAnsi"/>
        </w:rPr>
        <w:t xml:space="preserve"> and their earnings </w:t>
      </w:r>
      <w:r w:rsidR="000B3CD1">
        <w:rPr>
          <w:rFonts w:cstheme="minorHAnsi"/>
        </w:rPr>
        <w:t xml:space="preserve">in this period </w:t>
      </w:r>
      <w:r w:rsidR="007F3960">
        <w:rPr>
          <w:rFonts w:cstheme="minorHAnsi"/>
        </w:rPr>
        <w:t xml:space="preserve">would be added to their final </w:t>
      </w:r>
      <w:r w:rsidR="00B015D9">
        <w:rPr>
          <w:rFonts w:cstheme="minorHAnsi"/>
        </w:rPr>
        <w:t xml:space="preserve">monetary </w:t>
      </w:r>
      <w:r w:rsidR="007F3960">
        <w:rPr>
          <w:rFonts w:cstheme="minorHAnsi"/>
        </w:rPr>
        <w:t>outcome,</w:t>
      </w:r>
      <w:r w:rsidR="00C06920">
        <w:rPr>
          <w:rFonts w:cstheme="minorHAnsi"/>
        </w:rPr>
        <w:t xml:space="preserve"> so that their choices were consequential. </w:t>
      </w:r>
      <w:r w:rsidRPr="001632B6">
        <w:rPr>
          <w:rFonts w:cstheme="minorHAnsi"/>
        </w:rPr>
        <w:t>Choices were always between a small</w:t>
      </w:r>
      <w:r w:rsidR="006F0CE7">
        <w:rPr>
          <w:rFonts w:cstheme="minorHAnsi"/>
        </w:rPr>
        <w:t xml:space="preserve"> and</w:t>
      </w:r>
      <w:r w:rsidRPr="001632B6">
        <w:rPr>
          <w:rFonts w:cstheme="minorHAnsi"/>
        </w:rPr>
        <w:t xml:space="preserve"> fixed reward (0.5 CHF) for the easiest </w:t>
      </w:r>
      <w:r w:rsidR="005A4455">
        <w:rPr>
          <w:rFonts w:cstheme="minorHAnsi"/>
        </w:rPr>
        <w:t xml:space="preserve">effort </w:t>
      </w:r>
      <w:r w:rsidRPr="001632B6">
        <w:rPr>
          <w:rFonts w:cstheme="minorHAnsi"/>
        </w:rPr>
        <w:t>level (effort level 0) and a larger, varying reward for the medium level of effort (effort level 2).</w:t>
      </w:r>
      <w:r w:rsidR="003C18C2">
        <w:rPr>
          <w:rFonts w:cstheme="minorHAnsi"/>
        </w:rPr>
        <w:t xml:space="preserve"> The large reward was of 1.00 CHF on the first trial and,</w:t>
      </w:r>
      <w:r w:rsidRPr="001632B6">
        <w:rPr>
          <w:rFonts w:cstheme="minorHAnsi"/>
        </w:rPr>
        <w:t xml:space="preserve"> </w:t>
      </w:r>
      <w:r w:rsidR="003C18C2">
        <w:rPr>
          <w:rFonts w:cstheme="minorHAnsi"/>
        </w:rPr>
        <w:t>a</w:t>
      </w:r>
      <w:r w:rsidRPr="001632B6">
        <w:rPr>
          <w:rFonts w:cstheme="minorHAnsi"/>
        </w:rPr>
        <w:t xml:space="preserve">fter each choice, </w:t>
      </w:r>
      <w:r w:rsidR="00B226D7">
        <w:rPr>
          <w:rFonts w:cstheme="minorHAnsi"/>
        </w:rPr>
        <w:t>it</w:t>
      </w:r>
      <w:r w:rsidRPr="001632B6">
        <w:rPr>
          <w:rFonts w:cstheme="minorHAnsi"/>
        </w:rPr>
        <w:t xml:space="preserve"> </w:t>
      </w:r>
      <w:r w:rsidR="004E1D2E">
        <w:rPr>
          <w:rFonts w:cstheme="minorHAnsi"/>
        </w:rPr>
        <w:t>either increased or decreased depending on whether the subject picked the low or the high effort option, respectively. The change in value for the high reward varied</w:t>
      </w:r>
      <w:r w:rsidR="004E1D2E" w:rsidRPr="001632B6">
        <w:rPr>
          <w:rFonts w:cstheme="minorHAnsi"/>
        </w:rPr>
        <w:t xml:space="preserve"> </w:t>
      </w:r>
      <w:r w:rsidR="00783BE0">
        <w:rPr>
          <w:rFonts w:cstheme="minorHAnsi"/>
        </w:rPr>
        <w:t xml:space="preserve">following </w:t>
      </w:r>
      <m:oMath>
        <m:f>
          <m:fPr>
            <m:ctrlPr>
              <w:rPr>
                <w:rFonts w:ascii="Cambria Math" w:hAnsi="Cambria Math" w:cstheme="minorHAnsi"/>
                <w:i/>
              </w:rPr>
            </m:ctrlPr>
          </m:fPr>
          <m:num>
            <m:r>
              <w:rPr>
                <w:rFonts w:ascii="Cambria Math" w:hAnsi="Cambria Math" w:cstheme="minorHAnsi"/>
              </w:rPr>
              <m:t>hR-0.5</m:t>
            </m:r>
          </m:num>
          <m:den>
            <m:r>
              <w:rPr>
                <w:rFonts w:ascii="Cambria Math" w:hAnsi="Cambria Math" w:cstheme="minorHAnsi"/>
              </w:rPr>
              <m:t>2</m:t>
            </m:r>
          </m:den>
        </m:f>
      </m:oMath>
      <w:r w:rsidR="00783BE0">
        <w:rPr>
          <w:rFonts w:cstheme="minorHAnsi"/>
        </w:rPr>
        <w:t xml:space="preserve"> with </w:t>
      </w:r>
      <m:oMath>
        <m:r>
          <w:rPr>
            <w:rFonts w:ascii="Cambria Math" w:hAnsi="Cambria Math" w:cstheme="minorHAnsi"/>
          </w:rPr>
          <m:t>hR</m:t>
        </m:r>
      </m:oMath>
      <w:r w:rsidR="00783BE0">
        <w:rPr>
          <w:rFonts w:cstheme="minorHAnsi"/>
        </w:rPr>
        <w:t xml:space="preserve"> representing the </w:t>
      </w:r>
      <w:r w:rsidR="00F30E42">
        <w:rPr>
          <w:rFonts w:cstheme="minorHAnsi"/>
        </w:rPr>
        <w:t xml:space="preserve">momentary </w:t>
      </w:r>
      <w:r w:rsidR="00783BE0">
        <w:rPr>
          <w:rFonts w:cstheme="minorHAnsi"/>
        </w:rPr>
        <w:t>monetary amount of the high effort option on each trial</w:t>
      </w:r>
      <w:r w:rsidRPr="001632B6">
        <w:rPr>
          <w:rFonts w:cstheme="minorHAnsi"/>
        </w:rPr>
        <w:t xml:space="preserve">, such that the incentive value converged to the participant’s indifference point (IP) over 5 trials. For the loss condition and for the sake of time, the indifference point was defined by symmetry as -0.5-Δ. For each condition (gain/loss) and each effort type (physical/mental), the three incentive levels proposed were computed as </w:t>
      </w:r>
      <m:oMath>
        <m:r>
          <w:rPr>
            <w:rFonts w:ascii="Cambria Math" w:hAnsi="Cambria Math" w:cstheme="minorHAnsi"/>
          </w:rPr>
          <m:t>IP-</m:t>
        </m:r>
        <m:f>
          <m:fPr>
            <m:ctrlPr>
              <w:rPr>
                <w:rFonts w:ascii="Cambria Math" w:hAnsi="Cambria Math" w:cstheme="minorHAnsi"/>
                <w:i/>
              </w:rPr>
            </m:ctrlPr>
          </m:fPr>
          <m:num>
            <m:r>
              <w:rPr>
                <w:rFonts w:ascii="Cambria Math" w:hAnsi="Cambria Math" w:cstheme="minorHAnsi"/>
              </w:rPr>
              <m:t>ΔR</m:t>
            </m:r>
          </m:num>
          <m:den>
            <m:r>
              <w:rPr>
                <w:rFonts w:ascii="Cambria Math" w:hAnsi="Cambria Math" w:cstheme="minorHAnsi"/>
              </w:rPr>
              <m:t>2</m:t>
            </m:r>
          </m:den>
        </m:f>
      </m:oMath>
      <w:r w:rsidRPr="001632B6">
        <w:rPr>
          <w:rFonts w:cstheme="minorHAnsi"/>
        </w:rPr>
        <w:t xml:space="preserve">, </w:t>
      </w:r>
      <m:oMath>
        <m:r>
          <w:rPr>
            <w:rFonts w:ascii="Cambria Math" w:hAnsi="Cambria Math" w:cstheme="minorHAnsi"/>
          </w:rPr>
          <m:t>IP</m:t>
        </m:r>
      </m:oMath>
      <w:r w:rsidRPr="001632B6">
        <w:rPr>
          <w:rFonts w:cstheme="minorHAnsi"/>
        </w:rPr>
        <w:t xml:space="preserve">, and </w:t>
      </w:r>
      <m:oMath>
        <m:r>
          <w:rPr>
            <w:rFonts w:ascii="Cambria Math" w:hAnsi="Cambria Math" w:cstheme="minorHAnsi"/>
          </w:rPr>
          <m:t>IP+</m:t>
        </m:r>
        <m:f>
          <m:fPr>
            <m:ctrlPr>
              <w:rPr>
                <w:rFonts w:ascii="Cambria Math" w:hAnsi="Cambria Math" w:cstheme="minorHAnsi"/>
                <w:i/>
              </w:rPr>
            </m:ctrlPr>
          </m:fPr>
          <m:num>
            <m:r>
              <w:rPr>
                <w:rFonts w:ascii="Cambria Math" w:hAnsi="Cambria Math" w:cstheme="minorHAnsi"/>
              </w:rPr>
              <m:t>ΔR</m:t>
            </m:r>
          </m:num>
          <m:den>
            <m:r>
              <w:rPr>
                <w:rFonts w:ascii="Cambria Math" w:hAnsi="Cambria Math" w:cstheme="minorHAnsi"/>
              </w:rPr>
              <m:t>2</m:t>
            </m:r>
          </m:den>
        </m:f>
      </m:oMath>
      <w:r w:rsidRPr="001632B6">
        <w:rPr>
          <w:rFonts w:cstheme="minorHAnsi"/>
        </w:rPr>
        <w:t xml:space="preserve"> where </w:t>
      </w:r>
      <m:oMath>
        <m:r>
          <w:rPr>
            <w:rFonts w:ascii="Cambria Math" w:hAnsi="Cambria Math" w:cstheme="minorHAnsi"/>
          </w:rPr>
          <m:t>ΔR=IP-0.5</m:t>
        </m:r>
      </m:oMath>
      <w:r w:rsidRPr="001632B6">
        <w:rPr>
          <w:rFonts w:cstheme="minorHAnsi"/>
        </w:rPr>
        <w:t xml:space="preserve">. At the end of the IP </w:t>
      </w:r>
      <w:r w:rsidR="008E4696">
        <w:rPr>
          <w:rFonts w:cstheme="minorHAnsi"/>
        </w:rPr>
        <w:t>measurement</w:t>
      </w:r>
      <w:r w:rsidRPr="001632B6">
        <w:rPr>
          <w:rFonts w:cstheme="minorHAnsi"/>
        </w:rPr>
        <w:t xml:space="preserve">, participants </w:t>
      </w:r>
      <w:r w:rsidR="00322080">
        <w:rPr>
          <w:rFonts w:cstheme="minorHAnsi"/>
        </w:rPr>
        <w:t xml:space="preserve">went back in the MRI scanner to </w:t>
      </w:r>
      <w:r w:rsidRPr="001632B6">
        <w:rPr>
          <w:rFonts w:cstheme="minorHAnsi"/>
        </w:rPr>
        <w:t xml:space="preserve">perform the behavioral task </w:t>
      </w:r>
      <w:r w:rsidR="00E908BF">
        <w:rPr>
          <w:rFonts w:cstheme="minorHAnsi"/>
        </w:rPr>
        <w:t>during</w:t>
      </w:r>
      <w:r w:rsidR="00E908BF" w:rsidRPr="001632B6">
        <w:rPr>
          <w:rFonts w:cstheme="minorHAnsi"/>
        </w:rPr>
        <w:t xml:space="preserve"> </w:t>
      </w:r>
      <w:r w:rsidRPr="001632B6">
        <w:rPr>
          <w:rFonts w:cstheme="minorHAnsi"/>
        </w:rPr>
        <w:t>fMRI.</w:t>
      </w:r>
      <w:bookmarkEnd w:id="2"/>
    </w:p>
    <w:p w14:paraId="0ABC1D4B" w14:textId="3AD4759C" w:rsidR="00144BE7" w:rsidRPr="000A739B" w:rsidRDefault="00144BE7" w:rsidP="000A739B">
      <w:pPr>
        <w:pStyle w:val="Titre3"/>
      </w:pPr>
      <w:r w:rsidRPr="001632B6">
        <w:t xml:space="preserve">Behavioral </w:t>
      </w:r>
      <w:r w:rsidR="002F2567">
        <w:t>A</w:t>
      </w:r>
      <w:r w:rsidR="002F2567" w:rsidRPr="001632B6">
        <w:t>nalysis</w:t>
      </w:r>
    </w:p>
    <w:p w14:paraId="6EDD8A41" w14:textId="6FAD14AC" w:rsidR="00DC46D0" w:rsidRPr="001632B6" w:rsidRDefault="00DC46D0" w:rsidP="00DC46D0">
      <w:pPr>
        <w:rPr>
          <w:rFonts w:cstheme="minorHAnsi"/>
        </w:rPr>
      </w:pPr>
      <w:r w:rsidRPr="001632B6">
        <w:rPr>
          <w:rFonts w:cstheme="minorHAnsi"/>
        </w:rPr>
        <w:t>All data were analyzed using MATLAB 2021a (The MathWorks</w:t>
      </w:r>
      <w:r w:rsidR="00D0322E">
        <w:rPr>
          <w:rFonts w:cstheme="minorHAnsi"/>
        </w:rPr>
        <w:t xml:space="preserve"> Inc.</w:t>
      </w:r>
      <w:r w:rsidRPr="001632B6">
        <w:rPr>
          <w:rFonts w:cstheme="minorHAnsi"/>
        </w:rPr>
        <w:t>).</w:t>
      </w:r>
    </w:p>
    <w:p w14:paraId="0854F557" w14:textId="451F1221" w:rsidR="00DC46D0" w:rsidRPr="001632B6" w:rsidRDefault="00DC46D0" w:rsidP="00DC46D0">
      <w:pPr>
        <w:rPr>
          <w:rFonts w:cstheme="minorHAnsi"/>
        </w:rPr>
      </w:pPr>
      <w:r w:rsidRPr="001632B6">
        <w:rPr>
          <w:rFonts w:cstheme="minorHAnsi"/>
        </w:rPr>
        <w:lastRenderedPageBreak/>
        <w:t>To extract motivational parameters from participants’ behavior, choices were fitted using Matlab VBA toolbox (</w:t>
      </w:r>
      <w:hyperlink r:id="rId10" w:history="1">
        <w:r w:rsidRPr="001632B6">
          <w:rPr>
            <w:rStyle w:val="Lienhypertexte"/>
            <w:rFonts w:cstheme="minorHAnsi"/>
          </w:rPr>
          <w:t>https://mbb-team.github.io/VBA-toolbox/</w:t>
        </w:r>
      </w:hyperlink>
      <w:r w:rsidRPr="001632B6">
        <w:rPr>
          <w:rFonts w:cstheme="minorHAnsi"/>
        </w:rPr>
        <w:t xml:space="preserve">) which implements Variational Bayesian analysis under the Laplace approximation </w:t>
      </w:r>
      <w:r w:rsidRPr="001632B6">
        <w:rPr>
          <w:rFonts w:cstheme="minorHAnsi"/>
        </w:rPr>
        <w:fldChar w:fldCharType="begin"/>
      </w:r>
      <w:r w:rsidR="0076333B">
        <w:rPr>
          <w:rFonts w:cstheme="minorHAnsi"/>
        </w:rPr>
        <w:instrText xml:space="preserve"> ADDIN ZOTERO_ITEM CSL_CITATION {"citationID":"tUHyrCpc","properties":{"formattedCitation":"[6]","plainCitation":"[6]","noteIndex":0},"citationItems":[{"id":1464,"uris":["http://zotero.org/users/1203856/items/G7UFIQDT"],"itemData":{"id":1464,"type":"article-journal","abstract":"This work is in line with an on-going effort tending toward a computational (quantitative and refutable) understanding of human neuro-cognitive processes. Many sophisticated models for behavioural and neurobiological data have flourished during the past decade. Most of these models are partly unspecified (i.e. they have unknown parameters) and nonlinear. This makes them difficult to peer with a formal statistical data analysis framework. In turn, this compromises the reproducibility of model-based empirical studies. This work exposes a software toolbox that provides generic, efficient and robust probabilistic solutions to the three problems of model-based analysis of empirical data: (i) data simulation, (ii) parameter estimation/model selection, and (iii) experimental design optimization.","container-title":"PLoS Computational Biology","DOI":"10.1371/journal.pcbi.1003441","ISSN":"1553-7358","issue":"1","journalAbbreviation":"PLoS Comput Biol","language":"en","page":"e1003441","source":"DOI.org (Crossref)","title":"VBA: A Probabilistic Treatment of Nonlinear Models for Neurobiological and Behavioural Data","title-short":"VBA","volume":"10","author":[{"family":"Daunizeau","given":"Jean"},{"family":"Adam","given":"Vincent"},{"family":"Rigoux","given":"Lionel"}],"editor":[{"family":"Prlic","given":"Andreas"}],"issued":{"date-parts":[["2014",1,23]]}}}],"schema":"https://github.com/citation-style-language/schema/raw/master/csl-citation.json"} </w:instrText>
      </w:r>
      <w:r w:rsidRPr="001632B6">
        <w:rPr>
          <w:rFonts w:cstheme="minorHAnsi"/>
        </w:rPr>
        <w:fldChar w:fldCharType="separate"/>
      </w:r>
      <w:r w:rsidR="0076333B" w:rsidRPr="0076333B">
        <w:rPr>
          <w:rFonts w:ascii="Calibri" w:hAnsi="Calibri" w:cs="Calibri"/>
        </w:rPr>
        <w:t>[6]</w:t>
      </w:r>
      <w:r w:rsidRPr="001632B6">
        <w:rPr>
          <w:rFonts w:cstheme="minorHAnsi"/>
        </w:rPr>
        <w:fldChar w:fldCharType="end"/>
      </w:r>
      <w:r w:rsidRPr="001632B6">
        <w:rPr>
          <w:rFonts w:cstheme="minorHAnsi"/>
        </w:rPr>
        <w:t xml:space="preserve">. The algorithm provides an estimate of the posterior density over the model-free parameters, starting with Gaussian priors. Uninformed priors </w:t>
      </w:r>
      <w:r w:rsidR="00304261">
        <w:rPr>
          <w:rFonts w:cstheme="minorHAnsi"/>
        </w:rPr>
        <w:t xml:space="preserve">(N(0, 100)) </w:t>
      </w:r>
      <w:r w:rsidRPr="001632B6">
        <w:rPr>
          <w:rFonts w:cstheme="minorHAnsi"/>
        </w:rPr>
        <w:t xml:space="preserve">were used to fit </w:t>
      </w:r>
      <w:r w:rsidR="00764BD4">
        <w:rPr>
          <w:rFonts w:cstheme="minorHAnsi"/>
        </w:rPr>
        <w:t xml:space="preserve">the </w:t>
      </w:r>
      <w:r w:rsidRPr="001632B6">
        <w:rPr>
          <w:rFonts w:cstheme="minorHAnsi"/>
        </w:rPr>
        <w:t>model on participants’ behavior.</w:t>
      </w:r>
    </w:p>
    <w:p w14:paraId="3E54BCCF" w14:textId="1695616D" w:rsidR="00DC46D0" w:rsidRPr="001632B6" w:rsidRDefault="00D0322E" w:rsidP="00DC46D0">
      <w:pPr>
        <w:rPr>
          <w:rFonts w:cstheme="minorHAnsi"/>
        </w:rPr>
      </w:pPr>
      <w:r>
        <w:rPr>
          <w:rFonts w:ascii="Calibri" w:hAnsi="Calibri" w:cs="Calibri"/>
          <w:color w:val="000000"/>
        </w:rPr>
        <w:t xml:space="preserve">Our </w:t>
      </w:r>
      <w:r w:rsidRPr="009141C3">
        <w:rPr>
          <w:rFonts w:ascii="Calibri" w:hAnsi="Calibri" w:cs="Calibri"/>
          <w:color w:val="000000"/>
        </w:rPr>
        <w:t>model aimed at characterizing the probability of choosing the high effort option</w:t>
      </w:r>
      <w:r w:rsidR="00DC46D0" w:rsidRPr="009141C3">
        <w:rPr>
          <w:rFonts w:cstheme="minorHAnsi"/>
        </w:rPr>
        <w:t>.</w:t>
      </w:r>
      <w:r w:rsidR="00EA139D" w:rsidRPr="009141C3">
        <w:rPr>
          <w:rFonts w:cstheme="minorHAnsi"/>
        </w:rPr>
        <w:t xml:space="preserve"> Sessions where participants systematically picked up either the high or the low effort option in 100% of the trials were ignored from the analysis.</w:t>
      </w:r>
      <w:r w:rsidR="00DC46D0" w:rsidRPr="009141C3">
        <w:rPr>
          <w:rFonts w:cstheme="minorHAnsi"/>
        </w:rPr>
        <w:t xml:space="preserve"> To </w:t>
      </w:r>
      <w:r w:rsidRPr="009141C3">
        <w:rPr>
          <w:rFonts w:cstheme="minorHAnsi"/>
        </w:rPr>
        <w:t>further inform</w:t>
      </w:r>
      <w:r w:rsidR="00DC46D0" w:rsidRPr="009141C3">
        <w:rPr>
          <w:rFonts w:cstheme="minorHAnsi"/>
        </w:rPr>
        <w:t xml:space="preserve"> our models, we included confidence </w:t>
      </w:r>
      <w:r w:rsidRPr="009141C3">
        <w:rPr>
          <w:rFonts w:cstheme="minorHAnsi"/>
        </w:rPr>
        <w:t>levels for each</w:t>
      </w:r>
      <w:r w:rsidR="00DC46D0" w:rsidRPr="009141C3">
        <w:rPr>
          <w:rFonts w:cstheme="minorHAnsi"/>
        </w:rPr>
        <w:t xml:space="preserve"> choice</w:t>
      </w:r>
      <w:r w:rsidRPr="009141C3">
        <w:rPr>
          <w:rFonts w:cstheme="minorHAnsi"/>
        </w:rPr>
        <w:t xml:space="preserve"> so that there were four possible choices on each trial</w:t>
      </w:r>
      <w:r w:rsidR="00DC46D0" w:rsidRPr="009141C3">
        <w:rPr>
          <w:rFonts w:cstheme="minorHAnsi"/>
        </w:rPr>
        <w:t xml:space="preserve">: low effort with high confidence (0), low effort with low confidence (0.25), </w:t>
      </w:r>
      <w:r w:rsidRPr="009141C3">
        <w:rPr>
          <w:rFonts w:cstheme="minorHAnsi"/>
        </w:rPr>
        <w:t>high</w:t>
      </w:r>
      <w:r>
        <w:rPr>
          <w:rFonts w:cstheme="minorHAnsi"/>
        </w:rPr>
        <w:t xml:space="preserve"> effort</w:t>
      </w:r>
      <w:r w:rsidRPr="001632B6">
        <w:rPr>
          <w:rFonts w:cstheme="minorHAnsi"/>
        </w:rPr>
        <w:t xml:space="preserve"> </w:t>
      </w:r>
      <w:r w:rsidR="00DC46D0" w:rsidRPr="001632B6">
        <w:rPr>
          <w:rFonts w:cstheme="minorHAnsi"/>
        </w:rPr>
        <w:t xml:space="preserve">with low confidence (0.75), or </w:t>
      </w:r>
      <w:r>
        <w:rPr>
          <w:rFonts w:cstheme="minorHAnsi"/>
        </w:rPr>
        <w:t>high effort</w:t>
      </w:r>
      <w:r w:rsidRPr="001632B6">
        <w:rPr>
          <w:rFonts w:cstheme="minorHAnsi"/>
        </w:rPr>
        <w:t xml:space="preserve"> </w:t>
      </w:r>
      <w:r w:rsidR="00DC46D0" w:rsidRPr="001632B6">
        <w:rPr>
          <w:rFonts w:cstheme="minorHAnsi"/>
        </w:rPr>
        <w:t xml:space="preserve">with high confidence (1.00). In each trial </w:t>
      </w:r>
      <w:r w:rsidR="00DC46D0" w:rsidRPr="001632B6">
        <w:rPr>
          <w:rFonts w:cstheme="minorHAnsi"/>
          <w:i/>
          <w:iCs/>
        </w:rPr>
        <w:t>t</w:t>
      </w:r>
      <w:r w:rsidR="00DC46D0" w:rsidRPr="001632B6">
        <w:rPr>
          <w:rFonts w:cstheme="minorHAnsi"/>
        </w:rPr>
        <w:t xml:space="preserve">, our model </w:t>
      </w:r>
      <w:r>
        <w:rPr>
          <w:rFonts w:cstheme="minorHAnsi"/>
        </w:rPr>
        <w:t>assumes</w:t>
      </w:r>
      <w:r w:rsidRPr="001632B6">
        <w:rPr>
          <w:rFonts w:cstheme="minorHAnsi"/>
        </w:rPr>
        <w:t xml:space="preserve"> </w:t>
      </w:r>
      <w:r w:rsidR="00DC46D0" w:rsidRPr="001632B6">
        <w:rPr>
          <w:rFonts w:cstheme="minorHAnsi"/>
        </w:rPr>
        <w:t>that individuals compare the subjective value</w:t>
      </w:r>
      <w:r>
        <w:rPr>
          <w:rFonts w:cstheme="minorHAnsi"/>
        </w:rPr>
        <w:t>s</w:t>
      </w:r>
      <w:r w:rsidR="00DC46D0" w:rsidRPr="001632B6">
        <w:rPr>
          <w:rFonts w:cstheme="minorHAnsi"/>
        </w:rPr>
        <w:t xml:space="preserve"> (SV) of the two options</w:t>
      </w:r>
      <w:r>
        <w:rPr>
          <w:rFonts w:cstheme="minorHAnsi"/>
        </w:rPr>
        <w:t xml:space="preserve"> and select the best option accordingly</w:t>
      </w:r>
      <w:r w:rsidR="00DC46D0" w:rsidRPr="001632B6">
        <w:rPr>
          <w:rFonts w:cstheme="minorHAnsi"/>
        </w:rPr>
        <w:t>:</w:t>
      </w:r>
    </w:p>
    <w:p w14:paraId="53DC1F80" w14:textId="5E52F5B2" w:rsidR="00DC46D0" w:rsidRPr="001632B6" w:rsidRDefault="00DC46D0" w:rsidP="00DC46D0">
      <w:pPr>
        <w:jc w:val="center"/>
        <w:rPr>
          <w:rFonts w:eastAsiaTheme="minorEastAsia" w:cstheme="minorHAnsi"/>
        </w:rPr>
      </w:pPr>
      <m:oMath>
        <m:r>
          <m:rPr>
            <m:sty m:val="p"/>
          </m:rPr>
          <w:rPr>
            <w:rFonts w:ascii="Cambria Math" w:hAnsi="Cambria Math" w:cstheme="minorHAnsi"/>
          </w:rPr>
          <m:t>∆SV</m:t>
        </m:r>
        <m:d>
          <m:dPr>
            <m:ctrlPr>
              <w:rPr>
                <w:rFonts w:ascii="Cambria Math" w:hAnsi="Cambria Math" w:cstheme="minorHAnsi"/>
              </w:rPr>
            </m:ctrlPr>
          </m:dPr>
          <m:e>
            <m:r>
              <m:rPr>
                <m:sty m:val="p"/>
              </m:rPr>
              <w:rPr>
                <w:rFonts w:ascii="Cambria Math" w:hAnsi="Cambria Math" w:cstheme="minorHAnsi"/>
              </w:rPr>
              <m:t>t</m:t>
            </m:r>
          </m:e>
        </m:d>
        <m:r>
          <m:rPr>
            <m:sty m:val="p"/>
          </m:rPr>
          <w:rPr>
            <w:rFonts w:ascii="Cambria Math" w:hAnsi="Cambria Math" w:cstheme="minorHAnsi"/>
          </w:rPr>
          <m:t>= kR·∆R</m:t>
        </m:r>
        <m:d>
          <m:dPr>
            <m:ctrlPr>
              <w:rPr>
                <w:rFonts w:ascii="Cambria Math" w:hAnsi="Cambria Math" w:cstheme="minorHAnsi"/>
              </w:rPr>
            </m:ctrlPr>
          </m:dPr>
          <m:e>
            <m:r>
              <m:rPr>
                <m:sty m:val="p"/>
              </m:rPr>
              <w:rPr>
                <w:rFonts w:ascii="Cambria Math" w:hAnsi="Cambria Math" w:cstheme="minorHAnsi"/>
              </w:rPr>
              <m:t>t</m:t>
            </m:r>
          </m:e>
        </m:d>
        <m:r>
          <m:rPr>
            <m:sty m:val="p"/>
          </m:rPr>
          <w:rPr>
            <w:rFonts w:ascii="Cambria Math" w:hAnsi="Cambria Math" w:cstheme="minorHAnsi"/>
          </w:rPr>
          <m:t>+kP·∆P(t)-∆</m:t>
        </m:r>
        <m:sSub>
          <m:sSubPr>
            <m:ctrlPr>
              <w:rPr>
                <w:rFonts w:ascii="Cambria Math" w:hAnsi="Cambria Math" w:cstheme="minorHAnsi"/>
              </w:rPr>
            </m:ctrlPr>
          </m:sSubPr>
          <m:e>
            <m:r>
              <m:rPr>
                <m:sty m:val="p"/>
              </m:rPr>
              <w:rPr>
                <w:rFonts w:ascii="Cambria Math" w:hAnsi="Cambria Math" w:cstheme="minorHAnsi"/>
              </w:rPr>
              <m:t>E</m:t>
            </m:r>
          </m:e>
          <m:sub>
            <m:r>
              <w:rPr>
                <w:rFonts w:ascii="Cambria Math" w:hAnsi="Cambria Math" w:cstheme="minorHAnsi"/>
              </w:rPr>
              <m:t>p</m:t>
            </m:r>
          </m:sub>
        </m:sSub>
        <m:r>
          <m:rPr>
            <m:sty m:val="p"/>
          </m:rPr>
          <w:rPr>
            <w:rFonts w:ascii="Cambria Math" w:hAnsi="Cambria Math" w:cstheme="minorHAnsi"/>
          </w:rPr>
          <m:t>(t)*</m:t>
        </m:r>
        <m:d>
          <m:dPr>
            <m:ctrlPr>
              <w:rPr>
                <w:rFonts w:ascii="Cambria Math" w:hAnsi="Cambria Math" w:cstheme="minorHAnsi"/>
              </w:rPr>
            </m:ctrlPr>
          </m:dPr>
          <m:e>
            <m:r>
              <m:rPr>
                <m:sty m:val="p"/>
              </m:rPr>
              <w:rPr>
                <w:rFonts w:ascii="Cambria Math" w:hAnsi="Cambria Math" w:cstheme="minorHAnsi"/>
              </w:rPr>
              <m:t>k</m:t>
            </m:r>
            <m:sSub>
              <m:sSubPr>
                <m:ctrlPr>
                  <w:rPr>
                    <w:rFonts w:ascii="Cambria Math" w:hAnsi="Cambria Math" w:cstheme="minorHAnsi"/>
                  </w:rPr>
                </m:ctrlPr>
              </m:sSubPr>
              <m:e>
                <m:r>
                  <m:rPr>
                    <m:sty m:val="p"/>
                  </m:rPr>
                  <w:rPr>
                    <w:rFonts w:ascii="Cambria Math" w:hAnsi="Cambria Math" w:cstheme="minorHAnsi"/>
                  </w:rPr>
                  <m:t>E</m:t>
                </m:r>
              </m:e>
              <m:sub>
                <m:r>
                  <w:rPr>
                    <w:rFonts w:ascii="Cambria Math" w:hAnsi="Cambria Math" w:cstheme="minorHAnsi"/>
                  </w:rPr>
                  <m:t>p</m:t>
                </m:r>
              </m:sub>
            </m:sSub>
            <m:r>
              <m:rPr>
                <m:sty m:val="p"/>
              </m:rPr>
              <w:rPr>
                <w:rFonts w:ascii="Cambria Math" w:hAnsi="Cambria Math" w:cstheme="minorHAnsi"/>
              </w:rPr>
              <m:t>+k</m:t>
            </m:r>
            <m:sSub>
              <m:sSubPr>
                <m:ctrlPr>
                  <w:rPr>
                    <w:rFonts w:ascii="Cambria Math" w:hAnsi="Cambria Math" w:cstheme="minorHAnsi"/>
                  </w:rPr>
                </m:ctrlPr>
              </m:sSubPr>
              <m:e>
                <m:r>
                  <m:rPr>
                    <m:sty m:val="p"/>
                  </m:rPr>
                  <w:rPr>
                    <w:rFonts w:ascii="Cambria Math" w:hAnsi="Cambria Math" w:cstheme="minorHAnsi"/>
                  </w:rPr>
                  <m:t>F</m:t>
                </m:r>
              </m:e>
              <m:sub>
                <m:r>
                  <w:rPr>
                    <w:rFonts w:ascii="Cambria Math" w:hAnsi="Cambria Math" w:cstheme="minorHAnsi"/>
                  </w:rPr>
                  <m:t>p</m:t>
                </m:r>
              </m:sub>
            </m:sSub>
            <m:r>
              <m:rPr>
                <m:sty m:val="p"/>
              </m:rPr>
              <w:rPr>
                <w:rFonts w:ascii="Cambria Math" w:hAnsi="Cambria Math" w:cstheme="minorHAnsi"/>
              </w:rPr>
              <m:t>·Fp(t)</m:t>
            </m:r>
          </m:e>
        </m:d>
        <m:r>
          <m:rPr>
            <m:sty m:val="p"/>
          </m:rPr>
          <w:rPr>
            <w:rFonts w:ascii="Cambria Math" w:hAnsi="Cambria Math" w:cstheme="minorHAnsi"/>
          </w:rPr>
          <m:t>)-∆</m:t>
        </m:r>
        <m:sSub>
          <m:sSubPr>
            <m:ctrlPr>
              <w:rPr>
                <w:rFonts w:ascii="Cambria Math" w:hAnsi="Cambria Math" w:cstheme="minorHAnsi"/>
              </w:rPr>
            </m:ctrlPr>
          </m:sSubPr>
          <m:e>
            <m:r>
              <m:rPr>
                <m:sty m:val="p"/>
              </m:rPr>
              <w:rPr>
                <w:rFonts w:ascii="Cambria Math" w:hAnsi="Cambria Math" w:cstheme="minorHAnsi"/>
              </w:rPr>
              <m:t>E</m:t>
            </m:r>
          </m:e>
          <m:sub>
            <m:r>
              <w:rPr>
                <w:rFonts w:ascii="Cambria Math" w:hAnsi="Cambria Math" w:cstheme="minorHAnsi"/>
              </w:rPr>
              <m:t>m</m:t>
            </m:r>
          </m:sub>
        </m:sSub>
        <m:r>
          <m:rPr>
            <m:sty m:val="p"/>
          </m:rPr>
          <w:rPr>
            <w:rFonts w:ascii="Cambria Math" w:hAnsi="Cambria Math" w:cstheme="minorHAnsi"/>
          </w:rPr>
          <m:t>(t)*</m:t>
        </m:r>
        <m:d>
          <m:dPr>
            <m:ctrlPr>
              <w:rPr>
                <w:rFonts w:ascii="Cambria Math" w:hAnsi="Cambria Math" w:cstheme="minorHAnsi"/>
              </w:rPr>
            </m:ctrlPr>
          </m:dPr>
          <m:e>
            <m:r>
              <m:rPr>
                <m:sty m:val="p"/>
              </m:rPr>
              <w:rPr>
                <w:rFonts w:ascii="Cambria Math" w:hAnsi="Cambria Math" w:cstheme="minorHAnsi"/>
              </w:rPr>
              <m:t>k</m:t>
            </m:r>
            <m:sSub>
              <m:sSubPr>
                <m:ctrlPr>
                  <w:rPr>
                    <w:rFonts w:ascii="Cambria Math" w:hAnsi="Cambria Math" w:cstheme="minorHAnsi"/>
                  </w:rPr>
                </m:ctrlPr>
              </m:sSubPr>
              <m:e>
                <m:r>
                  <m:rPr>
                    <m:sty m:val="p"/>
                  </m:rPr>
                  <w:rPr>
                    <w:rFonts w:ascii="Cambria Math" w:hAnsi="Cambria Math" w:cstheme="minorHAnsi"/>
                  </w:rPr>
                  <m:t>E</m:t>
                </m:r>
              </m:e>
              <m:sub>
                <m:r>
                  <w:rPr>
                    <w:rFonts w:ascii="Cambria Math" w:hAnsi="Cambria Math" w:cstheme="minorHAnsi"/>
                  </w:rPr>
                  <m:t>m</m:t>
                </m:r>
              </m:sub>
            </m:sSub>
            <m:r>
              <m:rPr>
                <m:sty m:val="p"/>
              </m:rPr>
              <w:rPr>
                <w:rFonts w:ascii="Cambria Math" w:hAnsi="Cambria Math" w:cstheme="minorHAnsi"/>
              </w:rPr>
              <m:t>-k</m:t>
            </m:r>
            <m:sSub>
              <m:sSubPr>
                <m:ctrlPr>
                  <w:rPr>
                    <w:rFonts w:ascii="Cambria Math" w:hAnsi="Cambria Math" w:cstheme="minorHAnsi"/>
                  </w:rPr>
                </m:ctrlPr>
              </m:sSubPr>
              <m:e>
                <m:r>
                  <m:rPr>
                    <m:sty m:val="p"/>
                  </m:rPr>
                  <w:rPr>
                    <w:rFonts w:ascii="Cambria Math" w:hAnsi="Cambria Math" w:cstheme="minorHAnsi"/>
                  </w:rPr>
                  <m:t>L</m:t>
                </m:r>
              </m:e>
              <m:sub>
                <m:r>
                  <w:rPr>
                    <w:rFonts w:ascii="Cambria Math" w:hAnsi="Cambria Math" w:cstheme="minorHAnsi"/>
                  </w:rPr>
                  <m:t>m</m:t>
                </m:r>
              </m:sub>
            </m:sSub>
            <m:r>
              <m:rPr>
                <m:sty m:val="p"/>
              </m:rPr>
              <w:rPr>
                <w:rFonts w:ascii="Cambria Math" w:hAnsi="Cambria Math" w:cstheme="minorHAnsi"/>
              </w:rPr>
              <m:t>·ME(t)</m:t>
            </m:r>
          </m:e>
        </m:d>
      </m:oMath>
      <w:r w:rsidRPr="001632B6">
        <w:rPr>
          <w:rFonts w:eastAsiaTheme="minorEastAsia" w:cstheme="minorHAnsi"/>
        </w:rPr>
        <w:t xml:space="preserve"> (</w:t>
      </w:r>
      <w:r w:rsidRPr="001632B6">
        <w:rPr>
          <w:rStyle w:val="FigurerefCar"/>
          <w:rFonts w:cstheme="minorHAnsi"/>
        </w:rPr>
        <w:t>Eq. 1</w:t>
      </w:r>
      <w:r w:rsidRPr="001632B6">
        <w:rPr>
          <w:rFonts w:eastAsiaTheme="minorEastAsia" w:cstheme="minorHAnsi"/>
        </w:rPr>
        <w:t>)</w:t>
      </w:r>
    </w:p>
    <w:p w14:paraId="3EB14439" w14:textId="4AE87D57" w:rsidR="00DC46D0" w:rsidRPr="001632B6" w:rsidRDefault="00DC46D0" w:rsidP="00DC46D0">
      <w:pPr>
        <w:rPr>
          <w:rFonts w:eastAsiaTheme="minorEastAsia" w:cstheme="minorHAnsi"/>
        </w:rPr>
      </w:pPr>
      <w:r w:rsidRPr="001632B6">
        <w:rPr>
          <w:rFonts w:cstheme="minorHAnsi"/>
        </w:rPr>
        <w:t xml:space="preserve">Where </w:t>
      </w:r>
      <m:oMath>
        <m:r>
          <w:rPr>
            <w:rFonts w:ascii="Cambria Math" w:hAnsi="Cambria Math" w:cstheme="minorHAnsi"/>
          </w:rPr>
          <m:t>t</m:t>
        </m:r>
      </m:oMath>
      <w:r w:rsidR="005C4F88">
        <w:rPr>
          <w:rFonts w:cstheme="minorHAnsi"/>
        </w:rPr>
        <w:t xml:space="preserve"> is </w:t>
      </w:r>
      <w:r w:rsidR="00D279AE">
        <w:rPr>
          <w:rFonts w:cstheme="minorHAnsi"/>
        </w:rPr>
        <w:t xml:space="preserve">the </w:t>
      </w:r>
      <w:r w:rsidR="005C4F88">
        <w:rPr>
          <w:rFonts w:cstheme="minorHAnsi"/>
        </w:rPr>
        <w:t xml:space="preserve">trial number, </w:t>
      </w:r>
      <w:r w:rsidRPr="001632B6">
        <w:rPr>
          <w:rFonts w:eastAsiaTheme="minorEastAsia" w:cstheme="minorHAnsi"/>
        </w:rPr>
        <w:t xml:space="preserve">∆SV is the difference </w:t>
      </w:r>
      <w:r w:rsidR="00D0322E">
        <w:rPr>
          <w:rFonts w:eastAsiaTheme="minorEastAsia" w:cstheme="minorHAnsi"/>
        </w:rPr>
        <w:t xml:space="preserve">in subjective value (SV) </w:t>
      </w:r>
      <w:r w:rsidRPr="001632B6">
        <w:rPr>
          <w:rFonts w:eastAsiaTheme="minorEastAsia" w:cstheme="minorHAnsi"/>
        </w:rPr>
        <w:t xml:space="preserve">between the </w:t>
      </w:r>
      <w:r w:rsidR="00D0322E">
        <w:rPr>
          <w:rFonts w:eastAsiaTheme="minorEastAsia" w:cstheme="minorHAnsi"/>
        </w:rPr>
        <w:t>low and the high effort</w:t>
      </w:r>
      <w:r w:rsidRPr="001632B6">
        <w:rPr>
          <w:rFonts w:eastAsiaTheme="minorEastAsia" w:cstheme="minorHAnsi"/>
        </w:rPr>
        <w:t xml:space="preserve"> option</w:t>
      </w:r>
      <w:r w:rsidR="00D0322E">
        <w:rPr>
          <w:rFonts w:eastAsiaTheme="minorEastAsia" w:cstheme="minorHAnsi"/>
        </w:rPr>
        <w:t>s</w:t>
      </w:r>
      <w:r w:rsidRPr="001632B6">
        <w:rPr>
          <w:rFonts w:eastAsiaTheme="minorEastAsia" w:cstheme="minorHAnsi"/>
        </w:rPr>
        <w:t>,</w:t>
      </w:r>
      <w:r w:rsidR="00E86F76">
        <w:rPr>
          <w:rFonts w:eastAsiaTheme="minorEastAsia" w:cstheme="minorHAnsi"/>
        </w:rPr>
        <w:t xml:space="preserve"> </w:t>
      </w:r>
      <w:r w:rsidR="00E86F76">
        <w:rPr>
          <w:rFonts w:eastAsiaTheme="minorEastAsia" w:cstheme="minorHAnsi"/>
          <w:lang w:val="el-GR"/>
        </w:rPr>
        <w:t>Δ</w:t>
      </w:r>
      <w:r w:rsidR="00E86F76" w:rsidRPr="00373C18">
        <w:rPr>
          <w:rFonts w:eastAsiaTheme="minorEastAsia" w:cstheme="minorHAnsi"/>
        </w:rPr>
        <w:t xml:space="preserve">R </w:t>
      </w:r>
      <w:r w:rsidR="00E86F76">
        <w:rPr>
          <w:rFonts w:eastAsiaTheme="minorEastAsia" w:cstheme="minorHAnsi"/>
        </w:rPr>
        <w:t xml:space="preserve">is the difference in reward amounts between the high and the low effort options (equal to 0 in punishment trials), </w:t>
      </w:r>
      <w:r w:rsidR="00E86F76">
        <w:rPr>
          <w:rFonts w:eastAsiaTheme="minorEastAsia" w:cstheme="minorHAnsi"/>
          <w:lang w:val="el-GR"/>
        </w:rPr>
        <w:t>Δ</w:t>
      </w:r>
      <w:r w:rsidR="00E86F76" w:rsidRPr="00373C18">
        <w:rPr>
          <w:rFonts w:eastAsiaTheme="minorEastAsia" w:cstheme="minorHAnsi"/>
        </w:rPr>
        <w:t>P i</w:t>
      </w:r>
      <w:r w:rsidR="00E86F76">
        <w:rPr>
          <w:rFonts w:eastAsiaTheme="minorEastAsia" w:cstheme="minorHAnsi"/>
        </w:rPr>
        <w:t xml:space="preserve">s the difference in punishment amounts between the high and the low effort options (equal to 0 in reward trials), </w:t>
      </w:r>
      <w:r w:rsidR="00E86F76">
        <w:rPr>
          <w:rFonts w:eastAsiaTheme="minorEastAsia" w:cstheme="minorHAnsi"/>
          <w:lang w:val="el-GR"/>
        </w:rPr>
        <w:t>Δ</w:t>
      </w:r>
      <w:r w:rsidR="00E86F76" w:rsidRPr="00373C18">
        <w:rPr>
          <w:rFonts w:eastAsiaTheme="minorEastAsia" w:cstheme="minorHAnsi"/>
        </w:rPr>
        <w:t>Ep</w:t>
      </w:r>
      <w:r w:rsidR="00E86F76">
        <w:rPr>
          <w:rFonts w:eastAsiaTheme="minorEastAsia" w:cstheme="minorHAnsi"/>
        </w:rPr>
        <w:t xml:space="preserve"> is the difference in physical effort levels between the high and the low effort options (equal to 0 in mental effort blocks), </w:t>
      </w:r>
      <w:r w:rsidR="00E86F76">
        <w:rPr>
          <w:rFonts w:eastAsiaTheme="minorEastAsia" w:cstheme="minorHAnsi"/>
          <w:lang w:val="el-GR"/>
        </w:rPr>
        <w:t>Δ</w:t>
      </w:r>
      <w:r w:rsidR="00E86F76" w:rsidRPr="00373C18">
        <w:rPr>
          <w:rFonts w:eastAsiaTheme="minorEastAsia" w:cstheme="minorHAnsi"/>
        </w:rPr>
        <w:t>E</w:t>
      </w:r>
      <w:r w:rsidR="00E86F76">
        <w:rPr>
          <w:rFonts w:eastAsiaTheme="minorEastAsia" w:cstheme="minorHAnsi"/>
        </w:rPr>
        <w:t>m is the difference in mental effort levels between the high and the low effort options (equal to 0 in physical effort blocks), Fp represents the accumulated force exerted in the physical task and ME the momentary efficiency in performing the mental effort task</w:t>
      </w:r>
      <w:r w:rsidR="00D7380B">
        <w:rPr>
          <w:rFonts w:eastAsiaTheme="minorEastAsia" w:cstheme="minorHAnsi"/>
        </w:rPr>
        <w:t>. The model allows to estimate 7 behavioral parameters which consist in</w:t>
      </w:r>
      <w:r w:rsidRPr="001632B6">
        <w:rPr>
          <w:rFonts w:eastAsiaTheme="minorEastAsia" w:cstheme="minorHAnsi"/>
        </w:rPr>
        <w:t xml:space="preserve"> the sensitivity to reward</w:t>
      </w:r>
      <w:r w:rsidR="0050145D">
        <w:rPr>
          <w:rFonts w:eastAsiaTheme="minorEastAsia" w:cstheme="minorHAnsi"/>
        </w:rPr>
        <w:t xml:space="preserve"> kR</w:t>
      </w:r>
      <w:r w:rsidRPr="001632B6">
        <w:rPr>
          <w:rFonts w:eastAsiaTheme="minorEastAsia" w:cstheme="minorHAnsi"/>
        </w:rPr>
        <w:t>, the sensitivity to punishments</w:t>
      </w:r>
      <w:r w:rsidR="0050145D">
        <w:rPr>
          <w:rFonts w:eastAsiaTheme="minorEastAsia" w:cstheme="minorHAnsi"/>
        </w:rPr>
        <w:t xml:space="preserve"> kP</w:t>
      </w:r>
      <w:r w:rsidRPr="001632B6">
        <w:rPr>
          <w:rFonts w:eastAsiaTheme="minorEastAsia" w:cstheme="minorHAnsi"/>
        </w:rPr>
        <w:t>, the sensitivity to physical effort</w:t>
      </w:r>
      <w:r w:rsidR="0050145D">
        <w:rPr>
          <w:rFonts w:eastAsiaTheme="minorEastAsia" w:cstheme="minorHAnsi"/>
        </w:rPr>
        <w:t xml:space="preserve"> kEp</w:t>
      </w:r>
      <w:r w:rsidRPr="001632B6">
        <w:rPr>
          <w:rFonts w:eastAsiaTheme="minorEastAsia" w:cstheme="minorHAnsi"/>
        </w:rPr>
        <w:t>, the sensitivity to mental effort</w:t>
      </w:r>
      <w:r w:rsidR="0050145D">
        <w:rPr>
          <w:rFonts w:eastAsiaTheme="minorEastAsia" w:cstheme="minorHAnsi"/>
        </w:rPr>
        <w:t xml:space="preserve"> kEm</w:t>
      </w:r>
      <w:r w:rsidRPr="001632B6">
        <w:rPr>
          <w:rFonts w:eastAsiaTheme="minorEastAsia" w:cstheme="minorHAnsi"/>
        </w:rPr>
        <w:t xml:space="preserve">, the sensitivity to physical fatigue </w:t>
      </w:r>
      <w:r w:rsidR="0050145D">
        <w:rPr>
          <w:rFonts w:eastAsiaTheme="minorEastAsia" w:cstheme="minorHAnsi"/>
        </w:rPr>
        <w:t xml:space="preserve">kFp </w:t>
      </w:r>
      <w:r w:rsidRPr="001632B6">
        <w:rPr>
          <w:rFonts w:eastAsiaTheme="minorEastAsia" w:cstheme="minorHAnsi"/>
        </w:rPr>
        <w:t xml:space="preserve">and the sensitivity to mental </w:t>
      </w:r>
      <w:r w:rsidR="00304261">
        <w:rPr>
          <w:rFonts w:eastAsiaTheme="minorEastAsia" w:cstheme="minorHAnsi"/>
        </w:rPr>
        <w:t>learning</w:t>
      </w:r>
      <w:r w:rsidR="0050145D">
        <w:rPr>
          <w:rFonts w:eastAsiaTheme="minorEastAsia" w:cstheme="minorHAnsi"/>
        </w:rPr>
        <w:t xml:space="preserve"> kLm</w:t>
      </w:r>
      <w:r w:rsidRPr="001632B6">
        <w:rPr>
          <w:rFonts w:eastAsiaTheme="minorEastAsia" w:cstheme="minorHAnsi"/>
        </w:rPr>
        <w:t xml:space="preserve">. The </w:t>
      </w:r>
      <w:r w:rsidR="00304261">
        <w:rPr>
          <w:rFonts w:eastAsiaTheme="minorEastAsia" w:cstheme="minorHAnsi"/>
        </w:rPr>
        <w:t>fatigue</w:t>
      </w:r>
      <w:r w:rsidR="00304261" w:rsidRPr="001632B6">
        <w:rPr>
          <w:rFonts w:eastAsiaTheme="minorEastAsia" w:cstheme="minorHAnsi"/>
        </w:rPr>
        <w:t xml:space="preserve"> </w:t>
      </w:r>
      <w:r w:rsidRPr="001632B6">
        <w:rPr>
          <w:rFonts w:eastAsiaTheme="minorEastAsia" w:cstheme="minorHAnsi"/>
        </w:rPr>
        <w:t xml:space="preserve">component </w:t>
      </w:r>
      <w:r w:rsidR="00304261">
        <w:rPr>
          <w:rFonts w:eastAsiaTheme="minorEastAsia" w:cstheme="minorHAnsi"/>
        </w:rPr>
        <w:t xml:space="preserve">in the physical task </w:t>
      </w:r>
      <w:r w:rsidR="00304261" w:rsidRPr="001632B6">
        <w:rPr>
          <w:rFonts w:eastAsiaTheme="minorEastAsia" w:cstheme="minorHAnsi"/>
        </w:rPr>
        <w:t xml:space="preserve">represents the </w:t>
      </w:r>
      <w:r w:rsidR="00304261">
        <w:rPr>
          <w:rFonts w:eastAsiaTheme="minorEastAsia" w:cstheme="minorHAnsi"/>
        </w:rPr>
        <w:t xml:space="preserve">sum of exerted </w:t>
      </w:r>
      <w:r w:rsidR="00304261" w:rsidRPr="001632B6">
        <w:rPr>
          <w:rFonts w:eastAsiaTheme="minorEastAsia" w:cstheme="minorHAnsi"/>
        </w:rPr>
        <w:t xml:space="preserve">force until trial </w:t>
      </w:r>
      <m:oMath>
        <m:r>
          <w:rPr>
            <w:rFonts w:ascii="Cambria Math" w:eastAsiaTheme="minorEastAsia" w:hAnsi="Cambria Math" w:cstheme="minorHAnsi"/>
          </w:rPr>
          <m:t>t</m:t>
        </m:r>
      </m:oMath>
      <w:r w:rsidRPr="001632B6">
        <w:rPr>
          <w:rFonts w:eastAsiaTheme="minorEastAsia" w:cstheme="minorHAnsi"/>
        </w:rPr>
        <w:t xml:space="preserve"> </w:t>
      </w:r>
      <w:r w:rsidR="00304261">
        <w:rPr>
          <w:rFonts w:eastAsiaTheme="minorEastAsia" w:cstheme="minorHAnsi"/>
        </w:rPr>
        <w:t xml:space="preserve">and </w:t>
      </w:r>
      <w:r w:rsidRPr="001632B6">
        <w:rPr>
          <w:rFonts w:eastAsiaTheme="minorEastAsia" w:cstheme="minorHAnsi"/>
        </w:rPr>
        <w:t xml:space="preserve">is defined </w:t>
      </w:r>
      <w:r w:rsidR="00304261">
        <w:rPr>
          <w:rFonts w:eastAsiaTheme="minorEastAsia" w:cstheme="minorHAnsi"/>
        </w:rPr>
        <w:t>according to the formula</w:t>
      </w:r>
      <w:r w:rsidR="00304261" w:rsidRPr="001632B6">
        <w:rPr>
          <w:rFonts w:eastAsiaTheme="minorEastAsia" w:cstheme="minorHAnsi"/>
        </w:rPr>
        <w:t xml:space="preserve"> </w:t>
      </w:r>
      <m:oMath>
        <m:sSub>
          <m:sSubPr>
            <m:ctrlPr>
              <w:rPr>
                <w:rFonts w:ascii="Cambria Math" w:hAnsi="Cambria Math" w:cstheme="minorHAnsi"/>
              </w:rPr>
            </m:ctrlPr>
          </m:sSubPr>
          <m:e>
            <m:r>
              <m:rPr>
                <m:sty m:val="p"/>
              </m:rPr>
              <w:rPr>
                <w:rFonts w:ascii="Cambria Math" w:hAnsi="Cambria Math" w:cstheme="minorHAnsi"/>
              </w:rPr>
              <m:t>F</m:t>
            </m:r>
          </m:e>
          <m:sub>
            <m:r>
              <w:rPr>
                <w:rFonts w:ascii="Cambria Math" w:hAnsi="Cambria Math" w:cstheme="minorHAnsi"/>
              </w:rPr>
              <m:t>p</m:t>
            </m:r>
          </m:sub>
        </m:sSub>
        <m:r>
          <m:rPr>
            <m:sty m:val="p"/>
          </m:rPr>
          <w:rPr>
            <w:rFonts w:ascii="Cambria Math" w:hAnsi="Cambria Math" w:cstheme="minorHAnsi"/>
          </w:rPr>
          <m:t xml:space="preserve">(t)= </m:t>
        </m:r>
        <m:nary>
          <m:naryPr>
            <m:chr m:val="∑"/>
            <m:limLoc m:val="undOvr"/>
            <m:ctrlPr>
              <w:rPr>
                <w:rFonts w:ascii="Cambria Math" w:hAnsi="Cambria Math" w:cstheme="minorHAnsi"/>
              </w:rPr>
            </m:ctrlPr>
          </m:naryPr>
          <m:sub>
            <m:r>
              <m:rPr>
                <m:sty m:val="p"/>
              </m:rPr>
              <w:rPr>
                <w:rFonts w:ascii="Cambria Math" w:hAnsi="Cambria Math" w:cstheme="minorHAnsi"/>
              </w:rPr>
              <m:t>i=0</m:t>
            </m:r>
          </m:sub>
          <m:sup>
            <m:r>
              <m:rPr>
                <m:sty m:val="p"/>
              </m:rPr>
              <w:rPr>
                <w:rFonts w:ascii="Cambria Math" w:hAnsi="Cambria Math" w:cstheme="minorHAnsi"/>
              </w:rPr>
              <m:t>t-1</m:t>
            </m:r>
          </m:sup>
          <m:e>
            <m:r>
              <w:rPr>
                <w:rFonts w:ascii="Cambria Math" w:hAnsi="Cambria Math" w:cstheme="minorHAnsi"/>
              </w:rPr>
              <m:t>AUC(i)</m:t>
            </m:r>
          </m:e>
        </m:nary>
      </m:oMath>
      <w:r w:rsidR="00FA5A6F">
        <w:rPr>
          <w:rFonts w:eastAsiaTheme="minorEastAsia" w:cstheme="minorHAnsi"/>
        </w:rPr>
        <w:t xml:space="preserve"> with AUC corresponding to the area under the curve of the force exerted in trial </w:t>
      </w:r>
      <m:oMath>
        <m:r>
          <w:rPr>
            <w:rFonts w:ascii="Cambria Math" w:eastAsiaTheme="minorEastAsia" w:hAnsi="Cambria Math" w:cstheme="minorHAnsi"/>
          </w:rPr>
          <m:t>i</m:t>
        </m:r>
      </m:oMath>
      <w:r w:rsidR="00304261">
        <w:rPr>
          <w:rFonts w:eastAsiaTheme="minorEastAsia" w:cstheme="minorHAnsi"/>
        </w:rPr>
        <w:t xml:space="preserve">. In the mental task, we included </w:t>
      </w:r>
      <w:r w:rsidR="000A7903">
        <w:rPr>
          <w:rFonts w:eastAsiaTheme="minorEastAsia" w:cstheme="minorHAnsi"/>
        </w:rPr>
        <w:t>a momentary efficiency component</w:t>
      </w:r>
      <w:r w:rsidR="00304261">
        <w:rPr>
          <w:rFonts w:eastAsiaTheme="minorEastAsia" w:cstheme="minorHAnsi"/>
        </w:rPr>
        <w:t xml:space="preserve"> </w:t>
      </w:r>
      <m:oMath>
        <m:r>
          <w:rPr>
            <w:rFonts w:ascii="Cambria Math" w:hAnsi="Cambria Math" w:cstheme="minorHAnsi"/>
          </w:rPr>
          <m:t>ME(t)</m:t>
        </m:r>
        <m:r>
          <m:rPr>
            <m:sty m:val="p"/>
          </m:rPr>
          <w:rPr>
            <w:rFonts w:ascii="Cambria Math" w:hAnsi="Cambria Math" w:cstheme="minorHAnsi"/>
          </w:rPr>
          <m:t>=</m:t>
        </m:r>
        <m:f>
          <m:fPr>
            <m:ctrlPr>
              <w:rPr>
                <w:rFonts w:ascii="Cambria Math" w:hAnsi="Cambria Math" w:cstheme="minorHAnsi"/>
              </w:rPr>
            </m:ctrlPr>
          </m:fPr>
          <m:num>
            <m:r>
              <m:rPr>
                <m:sty m:val="p"/>
              </m:rPr>
              <w:rPr>
                <w:rFonts w:ascii="Cambria Math" w:hAnsi="Cambria Math" w:cstheme="minorHAnsi"/>
              </w:rPr>
              <m:t>N</m:t>
            </m:r>
            <m:r>
              <w:rPr>
                <w:rFonts w:ascii="Cambria Math" w:hAnsi="Cambria Math" w:cstheme="minorHAnsi"/>
              </w:rPr>
              <m:t>b correct answers(t-1)</m:t>
            </m:r>
          </m:num>
          <m:den>
            <m:r>
              <m:rPr>
                <m:sty m:val="p"/>
              </m:rPr>
              <w:rPr>
                <w:rFonts w:ascii="Cambria Math" w:hAnsi="Cambria Math" w:cstheme="minorHAnsi"/>
              </w:rPr>
              <m:t>Total trial time(t-1)</m:t>
            </m:r>
          </m:den>
        </m:f>
      </m:oMath>
      <w:r w:rsidRPr="001632B6">
        <w:rPr>
          <w:rFonts w:eastAsiaTheme="minorEastAsia" w:cstheme="minorHAnsi"/>
        </w:rPr>
        <w:t xml:space="preserve"> </w:t>
      </w:r>
      <w:r w:rsidR="00304261">
        <w:rPr>
          <w:rFonts w:eastAsiaTheme="minorEastAsia" w:cstheme="minorHAnsi"/>
        </w:rPr>
        <w:t>which</w:t>
      </w:r>
      <w:r w:rsidRPr="001632B6">
        <w:rPr>
          <w:rFonts w:eastAsiaTheme="minorEastAsia" w:cstheme="minorHAnsi"/>
        </w:rPr>
        <w:t xml:space="preserve"> represents the </w:t>
      </w:r>
      <w:r w:rsidR="00304261">
        <w:rPr>
          <w:rFonts w:eastAsiaTheme="minorEastAsia" w:cstheme="minorHAnsi"/>
        </w:rPr>
        <w:t>momentary</w:t>
      </w:r>
      <w:r w:rsidRPr="001632B6">
        <w:rPr>
          <w:rFonts w:eastAsiaTheme="minorEastAsia" w:cstheme="minorHAnsi"/>
        </w:rPr>
        <w:t xml:space="preserve"> task performance</w:t>
      </w:r>
      <w:r w:rsidR="00304261">
        <w:rPr>
          <w:rFonts w:eastAsiaTheme="minorEastAsia" w:cstheme="minorHAnsi"/>
        </w:rPr>
        <w:t xml:space="preserve"> which seemed to improve over time, possibly due to learning. </w:t>
      </w:r>
      <w:r w:rsidRPr="001632B6">
        <w:rPr>
          <w:rFonts w:eastAsiaTheme="minorEastAsia" w:cstheme="minorHAnsi"/>
        </w:rPr>
        <w:t xml:space="preserve">Finally, the choice </w:t>
      </w:r>
      <w:r w:rsidR="00304261">
        <w:rPr>
          <w:rFonts w:eastAsiaTheme="minorEastAsia" w:cstheme="minorHAnsi"/>
        </w:rPr>
        <w:t xml:space="preserve">probability </w:t>
      </w:r>
      <w:r w:rsidRPr="001632B6">
        <w:rPr>
          <w:rFonts w:eastAsiaTheme="minorEastAsia" w:cstheme="minorHAnsi"/>
        </w:rPr>
        <w:t xml:space="preserve">is modeled by a </w:t>
      </w:r>
      <w:r w:rsidRPr="001632B6">
        <w:rPr>
          <w:rFonts w:eastAsiaTheme="minorEastAsia" w:cstheme="minorHAnsi"/>
          <w:i/>
        </w:rPr>
        <w:t>softmax</w:t>
      </w:r>
      <w:r w:rsidRPr="001632B6">
        <w:rPr>
          <w:rFonts w:eastAsiaTheme="minorEastAsia" w:cstheme="minorHAnsi"/>
        </w:rPr>
        <w:t xml:space="preserve"> function including a bias </w:t>
      </w:r>
      <w:r w:rsidR="00304261">
        <w:rPr>
          <w:rFonts w:eastAsiaTheme="minorEastAsia" w:cstheme="minorHAnsi"/>
        </w:rPr>
        <w:t>constant</w:t>
      </w:r>
      <w:r w:rsidR="001B204D">
        <w:rPr>
          <w:rFonts w:eastAsiaTheme="minorEastAsia" w:cstheme="minorHAnsi"/>
        </w:rPr>
        <w:t xml:space="preserve"> (kBias)</w:t>
      </w:r>
      <w:r w:rsidRPr="001632B6">
        <w:rPr>
          <w:rFonts w:eastAsiaTheme="minorEastAsia" w:cstheme="minorHAnsi"/>
        </w:rPr>
        <w:t>:</w:t>
      </w:r>
    </w:p>
    <w:p w14:paraId="31930691" w14:textId="72C71942" w:rsidR="00DC46D0" w:rsidRPr="001632B6" w:rsidRDefault="00704696" w:rsidP="00DC46D0">
      <w:pPr>
        <w:jc w:val="center"/>
        <w:rPr>
          <w:rFonts w:eastAsiaTheme="minorEastAsia" w:cstheme="minorHAnsi"/>
        </w:rPr>
      </w:pPr>
      <m:oMath>
        <m:func>
          <m:funcPr>
            <m:ctrlPr>
              <w:rPr>
                <w:rFonts w:ascii="Cambria Math" w:eastAsiaTheme="minorEastAsia" w:hAnsi="Cambria Math" w:cstheme="minorHAnsi"/>
              </w:rPr>
            </m:ctrlPr>
          </m:funcPr>
          <m:fName>
            <m:sSub>
              <m:sSubPr>
                <m:ctrlPr>
                  <w:rPr>
                    <w:rFonts w:ascii="Cambria Math" w:eastAsiaTheme="minorEastAsia" w:hAnsi="Cambria Math" w:cstheme="minorHAnsi"/>
                  </w:rPr>
                </m:ctrlPr>
              </m:sSubPr>
              <m:e>
                <m:r>
                  <m:rPr>
                    <m:sty m:val="p"/>
                  </m:rPr>
                  <w:rPr>
                    <w:rFonts w:ascii="Cambria Math" w:eastAsiaTheme="minorEastAsia" w:hAnsi="Cambria Math" w:cstheme="minorHAnsi"/>
                  </w:rPr>
                  <m:t>P</m:t>
                </m:r>
              </m:e>
              <m:sub>
                <m:r>
                  <w:rPr>
                    <w:rFonts w:ascii="Cambria Math" w:eastAsiaTheme="minorEastAsia" w:hAnsi="Cambria Math" w:cstheme="minorHAnsi"/>
                  </w:rPr>
                  <m:t>HE</m:t>
                </m:r>
              </m:sub>
            </m:sSub>
          </m:fName>
          <m:e>
            <m:d>
              <m:dPr>
                <m:ctrlPr>
                  <w:rPr>
                    <w:rFonts w:ascii="Cambria Math" w:eastAsiaTheme="minorEastAsia" w:hAnsi="Cambria Math" w:cstheme="minorHAnsi"/>
                  </w:rPr>
                </m:ctrlPr>
              </m:dPr>
              <m:e>
                <m:r>
                  <m:rPr>
                    <m:sty m:val="p"/>
                  </m:rPr>
                  <w:rPr>
                    <w:rFonts w:ascii="Cambria Math" w:eastAsiaTheme="minorEastAsia" w:hAnsi="Cambria Math" w:cstheme="minorHAnsi"/>
                  </w:rPr>
                  <m:t>t</m:t>
                </m:r>
              </m:e>
            </m:d>
          </m:e>
        </m:func>
        <m:r>
          <m:rPr>
            <m:sty m:val="p"/>
          </m:rPr>
          <w:rPr>
            <w:rFonts w:ascii="Cambria Math" w:eastAsiaTheme="minorEastAsia" w:hAnsi="Cambria Math" w:cstheme="minorHAnsi"/>
          </w:rPr>
          <m:t>=</m:t>
        </m:r>
        <m:f>
          <m:fPr>
            <m:ctrlPr>
              <w:rPr>
                <w:rFonts w:ascii="Cambria Math" w:eastAsiaTheme="minorEastAsia" w:hAnsi="Cambria Math" w:cstheme="minorHAnsi"/>
              </w:rPr>
            </m:ctrlPr>
          </m:fPr>
          <m:num>
            <m:r>
              <m:rPr>
                <m:sty m:val="p"/>
              </m:rPr>
              <w:rPr>
                <w:rFonts w:ascii="Cambria Math" w:eastAsiaTheme="minorEastAsia" w:hAnsi="Cambria Math" w:cstheme="minorHAnsi"/>
              </w:rPr>
              <m:t>1</m:t>
            </m:r>
          </m:num>
          <m:den>
            <m:r>
              <m:rPr>
                <m:sty m:val="p"/>
              </m:rPr>
              <w:rPr>
                <w:rFonts w:ascii="Cambria Math" w:eastAsiaTheme="minorEastAsia" w:hAnsi="Cambria Math" w:cstheme="minorHAnsi"/>
              </w:rPr>
              <m:t>1+</m:t>
            </m:r>
            <m:sSup>
              <m:sSupPr>
                <m:ctrlPr>
                  <w:rPr>
                    <w:rFonts w:ascii="Cambria Math" w:eastAsiaTheme="minorEastAsia" w:hAnsi="Cambria Math" w:cstheme="minorHAnsi"/>
                  </w:rPr>
                </m:ctrlPr>
              </m:sSupPr>
              <m:e>
                <m:r>
                  <m:rPr>
                    <m:sty m:val="p"/>
                  </m:rPr>
                  <w:rPr>
                    <w:rFonts w:ascii="Cambria Math" w:eastAsiaTheme="minorEastAsia" w:hAnsi="Cambria Math" w:cstheme="minorHAnsi"/>
                  </w:rPr>
                  <m:t>e</m:t>
                </m:r>
              </m:e>
              <m:sup>
                <m:r>
                  <m:rPr>
                    <m:sty m:val="p"/>
                  </m:rPr>
                  <w:rPr>
                    <w:rFonts w:ascii="Cambria Math" w:eastAsiaTheme="minorEastAsia" w:hAnsi="Cambria Math" w:cstheme="minorHAnsi"/>
                  </w:rPr>
                  <m:t>-∆SV(t)+kBias</m:t>
                </m:r>
              </m:sup>
            </m:sSup>
          </m:den>
        </m:f>
      </m:oMath>
      <w:r w:rsidR="00DC46D0" w:rsidRPr="001632B6">
        <w:rPr>
          <w:rFonts w:eastAsiaTheme="minorEastAsia" w:cstheme="minorHAnsi"/>
        </w:rPr>
        <w:t xml:space="preserve"> (</w:t>
      </w:r>
      <w:r w:rsidR="00DC46D0" w:rsidRPr="001632B6">
        <w:rPr>
          <w:rStyle w:val="FigurerefCar"/>
          <w:rFonts w:cstheme="minorHAnsi"/>
        </w:rPr>
        <w:t>Eq. 2</w:t>
      </w:r>
      <w:r w:rsidR="00DC46D0" w:rsidRPr="001632B6">
        <w:rPr>
          <w:rFonts w:eastAsiaTheme="minorEastAsia" w:cstheme="minorHAnsi"/>
        </w:rPr>
        <w:t>)</w:t>
      </w:r>
    </w:p>
    <w:p w14:paraId="46EC7A68" w14:textId="4266199A" w:rsidR="00DC46D0" w:rsidRDefault="00DC46D0" w:rsidP="00144BE7">
      <w:pPr>
        <w:rPr>
          <w:rFonts w:cstheme="minorHAnsi"/>
        </w:rPr>
      </w:pPr>
      <w:r w:rsidRPr="001632B6">
        <w:rPr>
          <w:rFonts w:cstheme="minorHAnsi"/>
        </w:rPr>
        <w:t xml:space="preserve">Where </w:t>
      </w:r>
      <m:oMath>
        <m:sSub>
          <m:sSubPr>
            <m:ctrlPr>
              <w:rPr>
                <w:rFonts w:ascii="Cambria Math" w:eastAsiaTheme="minorEastAsia" w:hAnsi="Cambria Math" w:cstheme="minorHAnsi"/>
              </w:rPr>
            </m:ctrlPr>
          </m:sSubPr>
          <m:e>
            <m:r>
              <m:rPr>
                <m:sty m:val="p"/>
              </m:rPr>
              <w:rPr>
                <w:rFonts w:ascii="Cambria Math" w:eastAsiaTheme="minorEastAsia" w:hAnsi="Cambria Math" w:cstheme="minorHAnsi"/>
              </w:rPr>
              <m:t>P</m:t>
            </m:r>
          </m:e>
          <m:sub>
            <m:r>
              <w:rPr>
                <w:rFonts w:ascii="Cambria Math" w:eastAsiaTheme="minorEastAsia" w:hAnsi="Cambria Math" w:cstheme="minorHAnsi"/>
              </w:rPr>
              <m:t>HE</m:t>
            </m:r>
          </m:sub>
        </m:sSub>
        <m:d>
          <m:dPr>
            <m:ctrlPr>
              <w:rPr>
                <w:rFonts w:ascii="Cambria Math" w:eastAsiaTheme="minorEastAsia" w:hAnsi="Cambria Math" w:cstheme="minorHAnsi"/>
                <w:i/>
              </w:rPr>
            </m:ctrlPr>
          </m:dPr>
          <m:e>
            <m:r>
              <w:rPr>
                <w:rFonts w:ascii="Cambria Math" w:eastAsiaTheme="minorEastAsia" w:hAnsi="Cambria Math" w:cstheme="minorHAnsi"/>
              </w:rPr>
              <m:t>t</m:t>
            </m:r>
          </m:e>
        </m:d>
        <m:r>
          <w:rPr>
            <w:rFonts w:ascii="Cambria Math" w:eastAsiaTheme="minorEastAsia" w:hAnsi="Cambria Math" w:cstheme="minorHAnsi"/>
          </w:rPr>
          <m:t xml:space="preserve"> </m:t>
        </m:r>
      </m:oMath>
      <w:r w:rsidRPr="001632B6">
        <w:rPr>
          <w:rFonts w:eastAsiaTheme="minorEastAsia" w:cstheme="minorHAnsi"/>
        </w:rPr>
        <w:t>represents the probability of choosing the high</w:t>
      </w:r>
      <w:r w:rsidR="0085797A">
        <w:rPr>
          <w:rFonts w:eastAsiaTheme="minorEastAsia" w:cstheme="minorHAnsi"/>
        </w:rPr>
        <w:t xml:space="preserve"> </w:t>
      </w:r>
      <w:r w:rsidRPr="001632B6">
        <w:rPr>
          <w:rFonts w:eastAsiaTheme="minorEastAsia" w:cstheme="minorHAnsi"/>
        </w:rPr>
        <w:t>effort</w:t>
      </w:r>
      <w:r w:rsidR="0085797A">
        <w:rPr>
          <w:rFonts w:eastAsiaTheme="minorEastAsia" w:cstheme="minorHAnsi"/>
        </w:rPr>
        <w:t xml:space="preserve"> (HE)</w:t>
      </w:r>
      <w:r w:rsidRPr="001632B6">
        <w:rPr>
          <w:rFonts w:eastAsiaTheme="minorEastAsia" w:cstheme="minorHAnsi"/>
        </w:rPr>
        <w:t xml:space="preserve"> option. </w:t>
      </w:r>
      <w:r w:rsidRPr="001632B6">
        <w:rPr>
          <w:rFonts w:cstheme="minorHAnsi"/>
        </w:rPr>
        <w:t>Apart from the bias parameter (</w:t>
      </w:r>
      <w:r w:rsidR="00BB1621">
        <w:rPr>
          <w:rFonts w:cstheme="minorHAnsi"/>
          <w:i/>
        </w:rPr>
        <w:t>kB</w:t>
      </w:r>
      <w:r w:rsidR="00BB1621" w:rsidRPr="001632B6">
        <w:rPr>
          <w:rFonts w:cstheme="minorHAnsi"/>
          <w:i/>
        </w:rPr>
        <w:t>ias</w:t>
      </w:r>
      <w:r w:rsidRPr="001632B6">
        <w:rPr>
          <w:rFonts w:cstheme="minorHAnsi"/>
        </w:rPr>
        <w:t>), all parameters were positively constrained</w:t>
      </w:r>
      <w:r w:rsidR="009849F1">
        <w:rPr>
          <w:rFonts w:cstheme="minorHAnsi"/>
        </w:rPr>
        <w:t xml:space="preserve"> with a </w:t>
      </w:r>
      <m:oMath>
        <m:sSup>
          <m:sSupPr>
            <m:ctrlPr>
              <w:rPr>
                <w:rFonts w:ascii="Cambria Math" w:hAnsi="Cambria Math" w:cstheme="minorHAnsi"/>
                <w:i/>
              </w:rPr>
            </m:ctrlPr>
          </m:sSupPr>
          <m:e>
            <m:r>
              <w:rPr>
                <w:rFonts w:ascii="Cambria Math" w:hAnsi="Cambria Math" w:cstheme="minorHAnsi"/>
              </w:rPr>
              <m:t>log</m:t>
            </m:r>
          </m:e>
          <m:sup>
            <m:r>
              <w:rPr>
                <w:rFonts w:ascii="Cambria Math" w:hAnsi="Cambria Math" w:cstheme="minorHAnsi"/>
              </w:rPr>
              <m:t>1+</m:t>
            </m:r>
            <m:r>
              <m:rPr>
                <m:sty m:val="p"/>
              </m:rPr>
              <w:rPr>
                <w:rFonts w:ascii="Cambria Math" w:hAnsi="Cambria Math" w:cstheme="minorHAnsi"/>
              </w:rPr>
              <m:t>e⁡</m:t>
            </m:r>
            <m:r>
              <w:rPr>
                <w:rFonts w:ascii="Cambria Math" w:hAnsi="Cambria Math" w:cstheme="minorHAnsi"/>
              </w:rPr>
              <m:t>(x)</m:t>
            </m:r>
          </m:sup>
        </m:sSup>
      </m:oMath>
      <w:r w:rsidR="009849F1">
        <w:rPr>
          <w:rFonts w:eastAsiaTheme="minorEastAsia" w:cstheme="minorHAnsi"/>
        </w:rPr>
        <w:t xml:space="preserve"> transformation</w:t>
      </w:r>
      <w:r w:rsidRPr="001632B6">
        <w:rPr>
          <w:rFonts w:cstheme="minorHAnsi"/>
        </w:rPr>
        <w:t xml:space="preserve">. Priors were </w:t>
      </w:r>
      <w:r w:rsidR="009C4696">
        <w:rPr>
          <w:rFonts w:cstheme="minorHAnsi"/>
        </w:rPr>
        <w:t>quasi-uniform as defined by a centered gaussian with large standard deviation (100)</w:t>
      </w:r>
      <w:r w:rsidRPr="001632B6">
        <w:rPr>
          <w:rFonts w:cstheme="minorHAnsi"/>
        </w:rPr>
        <w:t xml:space="preserve">, accounting for high fluctuations in </w:t>
      </w:r>
      <w:r w:rsidRPr="001632B6">
        <w:rPr>
          <w:rFonts w:eastAsiaTheme="minorEastAsia" w:cstheme="minorHAnsi"/>
        </w:rPr>
        <w:t>∆R and ∆P across participants</w:t>
      </w:r>
      <w:r w:rsidRPr="001632B6">
        <w:rPr>
          <w:rFonts w:cstheme="minorHAnsi"/>
        </w:rPr>
        <w:t>.</w:t>
      </w:r>
    </w:p>
    <w:p w14:paraId="0EDE9481" w14:textId="1E7EFB38" w:rsidR="0017298A" w:rsidRPr="007550BB" w:rsidRDefault="0017298A" w:rsidP="00144BE7">
      <w:pPr>
        <w:rPr>
          <w:rFonts w:eastAsiaTheme="minorEastAsia" w:cstheme="minorHAnsi"/>
        </w:rPr>
      </w:pPr>
      <w:r>
        <w:rPr>
          <w:rFonts w:eastAsiaTheme="minorEastAsia" w:cstheme="minorHAnsi"/>
        </w:rPr>
        <w:t xml:space="preserve">To assess the model’s validity, we performed simulations in order to verify parameters identifiability and recoverability </w:t>
      </w:r>
      <w:r>
        <w:rPr>
          <w:rFonts w:eastAsiaTheme="minorEastAsia" w:cstheme="minorHAnsi"/>
        </w:rPr>
        <w:fldChar w:fldCharType="begin"/>
      </w:r>
      <w:r>
        <w:rPr>
          <w:rFonts w:eastAsiaTheme="minorEastAsia" w:cstheme="minorHAnsi"/>
        </w:rPr>
        <w:instrText xml:space="preserve"> ADDIN ZOTERO_ITEM CSL_CITATION {"citationID":"KpBorCLd","properties":{"formattedCitation":"[7]","plainCitation":"[7]","noteIndex":0},"citationItems":[{"id":10162,"uris":["http://zotero.org/groups/5058944/items/CZFXAPEJ"],"itemData":{"id":10162,"type":"article-journal","abstract":"Computational modeling of behavior has revolutionized psychology and neuroscience. By fitting models to experimental data we can probe the algorithms underlying behavior, find neural correlates of computational variables and better understand the effects of drugs, illness and interventions. But with great power comes great responsibility. Here, we offer ten simple rules to ensure that computational modeling is used with care and yields meaningful insights. In particular, we present a beginner-friendly, pragmatic and details-oriented introduction on how to relate models to data. What, exactly, can a model tell us about the mind? To answer this, we apply our rules to the simplest modeling techniques most accessible to beginning modelers and illustrate them with examples and code available online. However, most rules apply to more advanced techniques. Our hope is that by following our guidelines, researchers will avoid many pitfalls and unleash the power of computational modeling on their own data.","container-title":"eLife","DOI":"10.7554/eLife.49547","ISSN":"2050-084X","language":"en","page":"e49547","source":"DOI.org (Crossref)","title":"Ten simple rules for the computational modeling of behavioral data","volume":"8","author":[{"family":"Wilson","given":"Robert C"},{"family":"Collins","given":"Anne GE"}],"issued":{"date-parts":[["2019",11,26]]}}}],"schema":"https://github.com/citation-style-language/schema/raw/master/csl-citation.json"} </w:instrText>
      </w:r>
      <w:r>
        <w:rPr>
          <w:rFonts w:eastAsiaTheme="minorEastAsia" w:cstheme="minorHAnsi"/>
        </w:rPr>
        <w:fldChar w:fldCharType="separate"/>
      </w:r>
      <w:r w:rsidRPr="0017298A">
        <w:rPr>
          <w:rFonts w:ascii="Calibri" w:hAnsi="Calibri" w:cs="Calibri"/>
        </w:rPr>
        <w:t>[7]</w:t>
      </w:r>
      <w:r>
        <w:rPr>
          <w:rFonts w:eastAsiaTheme="minorEastAsia" w:cstheme="minorHAnsi"/>
        </w:rPr>
        <w:fldChar w:fldCharType="end"/>
      </w:r>
      <w:r>
        <w:rPr>
          <w:rFonts w:eastAsiaTheme="minorEastAsia" w:cstheme="minorHAnsi"/>
        </w:rPr>
        <w:t xml:space="preserve">. We launched 10 000 simulations based on the average </w:t>
      </w:r>
      <w:r>
        <w:rPr>
          <w:rFonts w:eastAsiaTheme="minorEastAsia" w:cstheme="minorHAnsi"/>
          <w:lang w:val="el-GR"/>
        </w:rPr>
        <w:t>Δ</w:t>
      </w:r>
      <w:r w:rsidRPr="007550BB">
        <w:rPr>
          <w:rFonts w:eastAsiaTheme="minorEastAsia" w:cstheme="minorHAnsi"/>
        </w:rPr>
        <w:t xml:space="preserve">R, </w:t>
      </w:r>
      <w:r>
        <w:rPr>
          <w:rFonts w:eastAsiaTheme="minorEastAsia" w:cstheme="minorHAnsi"/>
          <w:lang w:val="el-GR"/>
        </w:rPr>
        <w:t>Δ</w:t>
      </w:r>
      <w:r w:rsidRPr="007550BB">
        <w:rPr>
          <w:rFonts w:eastAsiaTheme="minorEastAsia" w:cstheme="minorHAnsi"/>
        </w:rPr>
        <w:t xml:space="preserve">P, </w:t>
      </w:r>
      <w:r>
        <w:rPr>
          <w:rFonts w:eastAsiaTheme="minorEastAsia" w:cstheme="minorHAnsi"/>
          <w:lang w:val="el-GR"/>
        </w:rPr>
        <w:t>Δ</w:t>
      </w:r>
      <w:r w:rsidRPr="007550BB">
        <w:rPr>
          <w:rFonts w:eastAsiaTheme="minorEastAsia" w:cstheme="minorHAnsi"/>
        </w:rPr>
        <w:t>E</w:t>
      </w:r>
      <w:r>
        <w:rPr>
          <w:rFonts w:eastAsiaTheme="minorEastAsia" w:cstheme="minorHAnsi"/>
        </w:rPr>
        <w:t xml:space="preserve">p, and </w:t>
      </w:r>
      <w:r>
        <w:rPr>
          <w:rFonts w:eastAsiaTheme="minorEastAsia" w:cstheme="minorHAnsi"/>
          <w:lang w:val="el-GR"/>
        </w:rPr>
        <w:t>Δ</w:t>
      </w:r>
      <w:r w:rsidRPr="007550BB">
        <w:rPr>
          <w:rFonts w:eastAsiaTheme="minorEastAsia" w:cstheme="minorHAnsi"/>
        </w:rPr>
        <w:t>E</w:t>
      </w:r>
      <w:r>
        <w:rPr>
          <w:rFonts w:eastAsiaTheme="minorEastAsia" w:cstheme="minorHAnsi"/>
        </w:rPr>
        <w:t>m</w:t>
      </w:r>
      <w:r w:rsidR="000D6731">
        <w:rPr>
          <w:rFonts w:eastAsiaTheme="minorEastAsia" w:cstheme="minorHAnsi"/>
        </w:rPr>
        <w:t xml:space="preserve"> across subjects</w:t>
      </w:r>
      <w:r>
        <w:rPr>
          <w:rFonts w:eastAsiaTheme="minorEastAsia" w:cstheme="minorHAnsi"/>
        </w:rPr>
        <w:t xml:space="preserve"> and by using the average AUC and ME for each effort level across subjects.</w:t>
      </w:r>
      <w:r w:rsidR="000D6731">
        <w:rPr>
          <w:rFonts w:eastAsiaTheme="minorEastAsia" w:cstheme="minorHAnsi"/>
        </w:rPr>
        <w:t xml:space="preserve"> Fp and ME were updated on </w:t>
      </w:r>
      <w:r w:rsidR="007A2964">
        <w:rPr>
          <w:rFonts w:eastAsiaTheme="minorEastAsia" w:cstheme="minorHAnsi"/>
        </w:rPr>
        <w:t>each trial</w:t>
      </w:r>
      <w:r w:rsidR="000D6731">
        <w:rPr>
          <w:rFonts w:eastAsiaTheme="minorEastAsia" w:cstheme="minorHAnsi"/>
        </w:rPr>
        <w:t xml:space="preserve"> based on the choice probability output from the model.</w:t>
      </w:r>
      <w:r>
        <w:rPr>
          <w:rFonts w:eastAsiaTheme="minorEastAsia" w:cstheme="minorHAnsi"/>
        </w:rPr>
        <w:t xml:space="preserve"> </w:t>
      </w:r>
      <w:r w:rsidR="00D438E0">
        <w:rPr>
          <w:rFonts w:eastAsiaTheme="minorEastAsia" w:cstheme="minorHAnsi"/>
        </w:rPr>
        <w:t xml:space="preserve">We simulated 10 </w:t>
      </w:r>
      <w:r w:rsidR="00D438E0">
        <w:rPr>
          <w:rFonts w:eastAsiaTheme="minorEastAsia" w:cstheme="minorHAnsi"/>
        </w:rPr>
        <w:lastRenderedPageBreak/>
        <w:t>000</w:t>
      </w:r>
      <w:r>
        <w:rPr>
          <w:rFonts w:cstheme="minorHAnsi"/>
        </w:rPr>
        <w:t xml:space="preserve"> </w:t>
      </w:r>
      <w:r w:rsidR="00D438E0">
        <w:rPr>
          <w:rFonts w:cstheme="minorHAnsi"/>
        </w:rPr>
        <w:t xml:space="preserve">sets of normally distributed parameters centered on 0 and then tested the recoverability and identifiability of these parameters using our behavioral model. </w:t>
      </w:r>
    </w:p>
    <w:p w14:paraId="5DED789F" w14:textId="1E88EC00" w:rsidR="00144BE7" w:rsidRPr="001632B6" w:rsidRDefault="00144BE7" w:rsidP="00144BE7">
      <w:pPr>
        <w:rPr>
          <w:rFonts w:cstheme="minorHAnsi"/>
        </w:rPr>
      </w:pPr>
      <w:r w:rsidRPr="001632B6">
        <w:rPr>
          <w:rFonts w:cstheme="minorHAnsi"/>
        </w:rPr>
        <w:t xml:space="preserve">To </w:t>
      </w:r>
      <w:r w:rsidR="00D72BA9">
        <w:rPr>
          <w:rFonts w:cstheme="minorHAnsi"/>
        </w:rPr>
        <w:t xml:space="preserve">further </w:t>
      </w:r>
      <w:r w:rsidR="009C4696">
        <w:t>challenge our model’s assumptions</w:t>
      </w:r>
      <w:r w:rsidR="006770DD">
        <w:t>,</w:t>
      </w:r>
      <w:r w:rsidR="009C4696">
        <w:t xml:space="preserve"> we ran a simplified frequentist version of it, i.e. without gaussian priors or positivity constraints</w:t>
      </w:r>
      <w:r w:rsidR="00A61408">
        <w:t xml:space="preserve"> and replacing the physical fatigue and mental learning by trial number to verify that time had an impact on HE choices and, if so, whether the direction was the same as the one imposed in our model</w:t>
      </w:r>
      <w:r w:rsidR="009C4696">
        <w:t xml:space="preserve">. </w:t>
      </w:r>
      <w:r w:rsidR="000D6B74">
        <w:rPr>
          <w:rFonts w:cstheme="minorHAnsi"/>
        </w:rPr>
        <w:t>Choices were modeled separately with a logistic regression in each task</w:t>
      </w:r>
      <w:r w:rsidRPr="001632B6">
        <w:rPr>
          <w:rFonts w:cstheme="minorHAnsi"/>
        </w:rPr>
        <w:t xml:space="preserve"> following </w:t>
      </w:r>
      <w:r w:rsidR="009C4696">
        <w:rPr>
          <w:rFonts w:cstheme="minorHAnsi"/>
        </w:rPr>
        <w:t xml:space="preserve">the </w:t>
      </w:r>
      <w:r w:rsidRPr="001632B6">
        <w:rPr>
          <w:rFonts w:cstheme="minorHAnsi"/>
        </w:rPr>
        <w:t>formula:</w:t>
      </w:r>
    </w:p>
    <w:p w14:paraId="7A395F5F" w14:textId="001D07C5" w:rsidR="00144BE7" w:rsidRPr="001632B6" w:rsidRDefault="00704696" w:rsidP="00144BE7">
      <w:pPr>
        <w:jc w:val="center"/>
        <w:rPr>
          <w:rFonts w:eastAsiaTheme="minorEastAsia" w:cstheme="minorHAnsi"/>
        </w:rPr>
      </w:pPr>
      <m:oMath>
        <m:func>
          <m:funcPr>
            <m:ctrlPr>
              <w:rPr>
                <w:rFonts w:ascii="Cambria Math" w:eastAsiaTheme="minorEastAsia" w:hAnsi="Cambria Math" w:cstheme="minorHAnsi"/>
              </w:rPr>
            </m:ctrlPr>
          </m:funcPr>
          <m:fName>
            <m:sSub>
              <m:sSubPr>
                <m:ctrlPr>
                  <w:rPr>
                    <w:rFonts w:ascii="Cambria Math" w:eastAsiaTheme="minorEastAsia" w:hAnsi="Cambria Math" w:cstheme="minorHAnsi"/>
                  </w:rPr>
                </m:ctrlPr>
              </m:sSubPr>
              <m:e>
                <m:r>
                  <m:rPr>
                    <m:sty m:val="p"/>
                  </m:rPr>
                  <w:rPr>
                    <w:rFonts w:ascii="Cambria Math" w:eastAsiaTheme="minorEastAsia" w:hAnsi="Cambria Math" w:cstheme="minorHAnsi"/>
                  </w:rPr>
                  <m:t>P</m:t>
                </m:r>
              </m:e>
              <m:sub>
                <m:r>
                  <w:rPr>
                    <w:rFonts w:ascii="Cambria Math" w:eastAsiaTheme="minorEastAsia" w:hAnsi="Cambria Math" w:cstheme="minorHAnsi"/>
                  </w:rPr>
                  <m:t>HE</m:t>
                </m:r>
              </m:sub>
            </m:sSub>
          </m:fName>
          <m:e>
            <m:d>
              <m:dPr>
                <m:ctrlPr>
                  <w:rPr>
                    <w:rFonts w:ascii="Cambria Math" w:eastAsiaTheme="minorEastAsia" w:hAnsi="Cambria Math" w:cstheme="minorHAnsi"/>
                  </w:rPr>
                </m:ctrlPr>
              </m:dPr>
              <m:e>
                <m:r>
                  <m:rPr>
                    <m:sty m:val="p"/>
                  </m:rPr>
                  <w:rPr>
                    <w:rFonts w:ascii="Cambria Math" w:eastAsiaTheme="minorEastAsia" w:hAnsi="Cambria Math" w:cstheme="minorHAnsi"/>
                  </w:rPr>
                  <m:t>t</m:t>
                </m:r>
              </m:e>
            </m:d>
          </m:e>
        </m:func>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1+</m:t>
            </m:r>
            <m:sSup>
              <m:sSupPr>
                <m:ctrlPr>
                  <w:rPr>
                    <w:rFonts w:ascii="Cambria Math" w:hAnsi="Cambria Math" w:cstheme="minorHAnsi"/>
                    <w:i/>
                  </w:rPr>
                </m:ctrlPr>
              </m:sSupPr>
              <m:e>
                <m:r>
                  <w:rPr>
                    <w:rFonts w:ascii="Cambria Math" w:hAnsi="Cambria Math" w:cstheme="minorHAnsi"/>
                  </w:rPr>
                  <m:t>e</m:t>
                </m:r>
              </m:e>
              <m:sup>
                <m:r>
                  <w:rPr>
                    <w:rFonts w:ascii="Cambria Math" w:hAnsi="Cambria Math" w:cstheme="minorHAnsi"/>
                  </w:rPr>
                  <m:t>-(βR∙ΔR(t)+βP∙ΔP(t) -(βE+ βT∙t)∙ΔE(t)+</m:t>
                </m:r>
                <m:r>
                  <w:rPr>
                    <w:rFonts w:ascii="Cambria Math" w:hAnsi="Cambria Math" w:cstheme="minorHAnsi"/>
                    <w:lang w:val="el-GR"/>
                  </w:rPr>
                  <m:t>βΒ</m:t>
                </m:r>
                <m:r>
                  <w:rPr>
                    <w:rFonts w:ascii="Cambria Math" w:hAnsi="Cambria Math" w:cstheme="minorHAnsi"/>
                  </w:rPr>
                  <m:t>ias)+</m:t>
                </m:r>
                <m:r>
                  <w:rPr>
                    <w:rFonts w:ascii="Cambria Math" w:hAnsi="Cambria Math" w:cstheme="minorHAnsi"/>
                    <w:lang w:val="el-GR"/>
                  </w:rPr>
                  <m:t>ε</m:t>
                </m:r>
                <m:r>
                  <w:rPr>
                    <w:rFonts w:ascii="Cambria Math" w:eastAsiaTheme="minorEastAsia" w:hAnsi="Cambria Math" w:cstheme="minorHAnsi"/>
                  </w:rPr>
                  <m:t xml:space="preserve"> </m:t>
                </m:r>
              </m:sup>
            </m:sSup>
          </m:den>
        </m:f>
      </m:oMath>
      <w:r w:rsidR="00144BE7" w:rsidRPr="001632B6">
        <w:rPr>
          <w:rFonts w:eastAsiaTheme="minorEastAsia" w:cstheme="minorHAnsi"/>
        </w:rPr>
        <w:t xml:space="preserve"> (</w:t>
      </w:r>
      <w:r w:rsidR="00144BE7" w:rsidRPr="001632B6">
        <w:rPr>
          <w:rStyle w:val="FigurerefCar"/>
          <w:rFonts w:cstheme="minorHAnsi"/>
        </w:rPr>
        <w:t xml:space="preserve">Eq. </w:t>
      </w:r>
      <w:r w:rsidR="006248B4">
        <w:rPr>
          <w:rStyle w:val="FigurerefCar"/>
          <w:rFonts w:cstheme="minorHAnsi"/>
        </w:rPr>
        <w:t>3</w:t>
      </w:r>
      <w:r w:rsidR="00144BE7" w:rsidRPr="001632B6">
        <w:rPr>
          <w:rFonts w:eastAsiaTheme="minorEastAsia" w:cstheme="minorHAnsi"/>
        </w:rPr>
        <w:t>)</w:t>
      </w:r>
    </w:p>
    <w:p w14:paraId="5DBE05B2" w14:textId="060A812D" w:rsidR="00144BE7" w:rsidRDefault="00144BE7" w:rsidP="00144BE7">
      <w:pPr>
        <w:rPr>
          <w:rFonts w:eastAsiaTheme="minorEastAsia" w:cstheme="minorHAnsi"/>
        </w:rPr>
      </w:pPr>
      <w:r w:rsidRPr="001632B6">
        <w:rPr>
          <w:rFonts w:cstheme="minorHAnsi"/>
        </w:rPr>
        <w:t xml:space="preserve">In this equation, </w:t>
      </w:r>
      <m:oMath>
        <m:r>
          <w:rPr>
            <w:rFonts w:ascii="Cambria Math" w:hAnsi="Cambria Math" w:cstheme="minorHAnsi"/>
          </w:rPr>
          <m:t>βR</m:t>
        </m:r>
      </m:oMath>
      <w:r w:rsidRPr="001632B6">
        <w:rPr>
          <w:rFonts w:cstheme="minorHAnsi"/>
        </w:rPr>
        <w:t xml:space="preserve"> and </w:t>
      </w:r>
      <m:oMath>
        <m:r>
          <w:rPr>
            <w:rFonts w:ascii="Cambria Math" w:hAnsi="Cambria Math" w:cstheme="minorHAnsi"/>
          </w:rPr>
          <m:t>βP</m:t>
        </m:r>
      </m:oMath>
      <w:r w:rsidRPr="001632B6">
        <w:rPr>
          <w:rFonts w:cstheme="minorHAnsi"/>
        </w:rPr>
        <w:t xml:space="preserve"> represent the sensitivity to monetary incentives (reward and punishment, respectively), </w:t>
      </w:r>
      <m:oMath>
        <m:r>
          <w:rPr>
            <w:rFonts w:ascii="Cambria Math" w:hAnsi="Cambria Math" w:cstheme="minorHAnsi"/>
          </w:rPr>
          <m:t>βΕ</m:t>
        </m:r>
      </m:oMath>
      <w:r w:rsidRPr="001632B6">
        <w:rPr>
          <w:rFonts w:cstheme="minorHAnsi"/>
        </w:rPr>
        <w:t xml:space="preserve"> represent</w:t>
      </w:r>
      <w:r w:rsidR="00DD016A">
        <w:rPr>
          <w:rFonts w:cstheme="minorHAnsi"/>
        </w:rPr>
        <w:t>s</w:t>
      </w:r>
      <w:r w:rsidRPr="001632B6">
        <w:rPr>
          <w:rFonts w:cstheme="minorHAnsi"/>
        </w:rPr>
        <w:t xml:space="preserve"> the aversion to effort,</w:t>
      </w:r>
      <w:r w:rsidR="00576ADB">
        <w:rPr>
          <w:rFonts w:cstheme="minorHAnsi"/>
        </w:rPr>
        <w:t xml:space="preserve"> </w:t>
      </w:r>
      <m:oMath>
        <m:r>
          <w:rPr>
            <w:rFonts w:ascii="Cambria Math" w:hAnsi="Cambria Math" w:cstheme="minorHAnsi"/>
          </w:rPr>
          <m:t>βT</m:t>
        </m:r>
      </m:oMath>
      <w:r w:rsidRPr="001632B6">
        <w:rPr>
          <w:rFonts w:eastAsiaTheme="minorEastAsia" w:cstheme="minorHAnsi"/>
        </w:rPr>
        <w:t xml:space="preserve"> represents the influence of time on the decision</w:t>
      </w:r>
      <w:r w:rsidR="00576ADB">
        <w:rPr>
          <w:rFonts w:eastAsiaTheme="minorEastAsia" w:cstheme="minorHAnsi"/>
        </w:rPr>
        <w:t xml:space="preserve"> and </w:t>
      </w:r>
      <m:oMath>
        <m:r>
          <w:rPr>
            <w:rFonts w:ascii="Cambria Math" w:eastAsiaTheme="minorEastAsia" w:hAnsi="Cambria Math" w:cstheme="minorHAnsi"/>
            <w:lang w:val="el-GR"/>
          </w:rPr>
          <m:t>β</m:t>
        </m:r>
        <m:r>
          <w:rPr>
            <w:rFonts w:ascii="Cambria Math" w:eastAsiaTheme="minorEastAsia" w:hAnsi="Cambria Math" w:cstheme="minorHAnsi"/>
          </w:rPr>
          <m:t>Bias</m:t>
        </m:r>
      </m:oMath>
      <w:r w:rsidR="00576ADB">
        <w:rPr>
          <w:rFonts w:eastAsiaTheme="minorEastAsia" w:cstheme="minorHAnsi"/>
        </w:rPr>
        <w:t xml:space="preserve"> is a constant corresponding to a general bias for the high or the low effort option, independent of the other variables</w:t>
      </w:r>
      <w:r w:rsidRPr="001632B6">
        <w:rPr>
          <w:rFonts w:eastAsiaTheme="minorEastAsia" w:cstheme="minorHAnsi"/>
        </w:rPr>
        <w:t xml:space="preserve">. </w:t>
      </w:r>
      <m:oMath>
        <m:r>
          <w:rPr>
            <w:rFonts w:ascii="Cambria Math" w:eastAsiaTheme="minorEastAsia" w:hAnsi="Cambria Math" w:cstheme="minorHAnsi"/>
          </w:rPr>
          <m:t>ΔR</m:t>
        </m:r>
      </m:oMath>
      <w:r w:rsidRPr="001632B6">
        <w:rPr>
          <w:rFonts w:eastAsiaTheme="minorEastAsia" w:cstheme="minorHAnsi"/>
        </w:rPr>
        <w:t xml:space="preserve"> and </w:t>
      </w:r>
      <m:oMath>
        <m:r>
          <w:rPr>
            <w:rFonts w:ascii="Cambria Math" w:eastAsiaTheme="minorEastAsia" w:hAnsi="Cambria Math" w:cstheme="minorHAnsi"/>
          </w:rPr>
          <m:t>ΔP</m:t>
        </m:r>
      </m:oMath>
      <w:r w:rsidRPr="001632B6">
        <w:rPr>
          <w:rFonts w:eastAsiaTheme="minorEastAsia" w:cstheme="minorHAnsi"/>
        </w:rPr>
        <w:t xml:space="preserve"> corresponded to the difference between the reward (or punishment respectively) amount associated to the </w:t>
      </w:r>
      <w:bookmarkStart w:id="3" w:name="_Hlk164265713"/>
      <w:r w:rsidR="009C4696">
        <w:rPr>
          <w:rFonts w:eastAsiaTheme="minorEastAsia" w:cstheme="minorHAnsi"/>
        </w:rPr>
        <w:t xml:space="preserve">high </w:t>
      </w:r>
      <w:r w:rsidR="009C4696">
        <w:rPr>
          <w:rFonts w:eastAsiaTheme="minorEastAsia" w:cstheme="minorHAnsi"/>
          <w:i/>
          <w:iCs/>
        </w:rPr>
        <w:t xml:space="preserve">versus </w:t>
      </w:r>
      <w:r w:rsidR="009C4696">
        <w:rPr>
          <w:rFonts w:eastAsiaTheme="minorEastAsia" w:cstheme="minorHAnsi"/>
        </w:rPr>
        <w:t>low effort</w:t>
      </w:r>
      <w:r w:rsidR="009C4696" w:rsidRPr="001632B6">
        <w:rPr>
          <w:rFonts w:eastAsiaTheme="minorEastAsia" w:cstheme="minorHAnsi"/>
        </w:rPr>
        <w:t xml:space="preserve"> </w:t>
      </w:r>
      <w:r w:rsidRPr="001632B6">
        <w:rPr>
          <w:rFonts w:eastAsiaTheme="minorEastAsia" w:cstheme="minorHAnsi"/>
        </w:rPr>
        <w:t>option</w:t>
      </w:r>
      <w:r w:rsidR="009C4696">
        <w:rPr>
          <w:rFonts w:eastAsiaTheme="minorEastAsia" w:cstheme="minorHAnsi"/>
        </w:rPr>
        <w:t>s</w:t>
      </w:r>
      <w:r w:rsidR="0060790C">
        <w:rPr>
          <w:rFonts w:eastAsiaTheme="minorEastAsia" w:cstheme="minorHAnsi"/>
        </w:rPr>
        <w:t>, which were established individually based on the indifference point calibration</w:t>
      </w:r>
      <w:bookmarkEnd w:id="3"/>
      <w:r w:rsidRPr="001632B6">
        <w:rPr>
          <w:rFonts w:eastAsiaTheme="minorEastAsia" w:cstheme="minorHAnsi"/>
        </w:rPr>
        <w:t xml:space="preserve">. </w:t>
      </w:r>
      <m:oMath>
        <m:r>
          <w:rPr>
            <w:rFonts w:ascii="Cambria Math" w:eastAsiaTheme="minorEastAsia" w:hAnsi="Cambria Math" w:cstheme="minorHAnsi"/>
          </w:rPr>
          <m:t>ΔE</m:t>
        </m:r>
      </m:oMath>
      <w:r w:rsidRPr="001632B6">
        <w:rPr>
          <w:rFonts w:eastAsiaTheme="minorEastAsia" w:cstheme="minorHAnsi"/>
        </w:rPr>
        <w:t xml:space="preserve"> corresponded to the difference between the effort level associated to the </w:t>
      </w:r>
      <w:r w:rsidR="009C4696">
        <w:rPr>
          <w:rFonts w:eastAsiaTheme="minorEastAsia" w:cstheme="minorHAnsi"/>
        </w:rPr>
        <w:t>high effort</w:t>
      </w:r>
      <w:r w:rsidR="009C4696" w:rsidRPr="001632B6">
        <w:rPr>
          <w:rFonts w:eastAsiaTheme="minorEastAsia" w:cstheme="minorHAnsi"/>
        </w:rPr>
        <w:t xml:space="preserve"> </w:t>
      </w:r>
      <w:r w:rsidRPr="001632B6">
        <w:rPr>
          <w:rFonts w:eastAsiaTheme="minorEastAsia" w:cstheme="minorHAnsi"/>
        </w:rPr>
        <w:t xml:space="preserve">option (1/2/3) and the effort associated to the </w:t>
      </w:r>
      <w:r w:rsidR="009C4696">
        <w:rPr>
          <w:rFonts w:eastAsiaTheme="minorEastAsia" w:cstheme="minorHAnsi"/>
        </w:rPr>
        <w:t>low effort</w:t>
      </w:r>
      <w:r w:rsidRPr="001632B6">
        <w:rPr>
          <w:rFonts w:eastAsiaTheme="minorEastAsia" w:cstheme="minorHAnsi"/>
        </w:rPr>
        <w:t xml:space="preserve"> options (0). </w:t>
      </w:r>
      <m:oMath>
        <m:r>
          <w:rPr>
            <w:rFonts w:ascii="Cambria Math" w:eastAsiaTheme="minorEastAsia" w:hAnsi="Cambria Math" w:cstheme="minorHAnsi"/>
          </w:rPr>
          <m:t>t</m:t>
        </m:r>
      </m:oMath>
      <w:r w:rsidRPr="001632B6">
        <w:rPr>
          <w:rFonts w:eastAsiaTheme="minorEastAsia" w:cstheme="minorHAnsi"/>
        </w:rPr>
        <w:t xml:space="preserve"> corresponds to the trial number within the session (1 to 54) and was present in order to take the effect of time on choices into consideration</w:t>
      </w:r>
      <w:r w:rsidR="00E45B24">
        <w:rPr>
          <w:rFonts w:eastAsiaTheme="minorEastAsia" w:cstheme="minorHAnsi"/>
        </w:rPr>
        <w:t xml:space="preserve">, and </w:t>
      </w:r>
      <w:r w:rsidR="00E45B24">
        <w:rPr>
          <w:rFonts w:eastAsiaTheme="minorEastAsia" w:cstheme="minorHAnsi"/>
          <w:lang w:val="el-GR"/>
        </w:rPr>
        <w:t>ε</w:t>
      </w:r>
      <w:r w:rsidR="00E45B24" w:rsidRPr="006770DD">
        <w:rPr>
          <w:rFonts w:eastAsiaTheme="minorEastAsia" w:cstheme="minorHAnsi"/>
        </w:rPr>
        <w:t xml:space="preserve"> </w:t>
      </w:r>
      <w:r w:rsidR="00E45B24">
        <w:rPr>
          <w:rFonts w:eastAsiaTheme="minorEastAsia" w:cstheme="minorHAnsi"/>
        </w:rPr>
        <w:t>is the error term</w:t>
      </w:r>
      <w:r w:rsidRPr="001632B6">
        <w:rPr>
          <w:rFonts w:eastAsiaTheme="minorEastAsia" w:cstheme="minorHAnsi"/>
        </w:rPr>
        <w:t>. The choices were fitted independently for the physical (p) and the mental (m) effort task and for each subject with this model. Then, the betas were tested at the group-level with a t.test against zero.</w:t>
      </w:r>
    </w:p>
    <w:p w14:paraId="1F50CED4" w14:textId="4049BE8B" w:rsidR="004F31F2" w:rsidRPr="001632B6" w:rsidRDefault="0060790C" w:rsidP="004F31F2">
      <w:pPr>
        <w:rPr>
          <w:rFonts w:cstheme="minorHAnsi"/>
        </w:rPr>
      </w:pPr>
      <w:r>
        <w:rPr>
          <w:rFonts w:cstheme="minorHAnsi"/>
        </w:rPr>
        <w:t xml:space="preserve">To explore </w:t>
      </w:r>
      <w:r w:rsidR="00532583">
        <w:rPr>
          <w:rFonts w:cstheme="minorHAnsi"/>
        </w:rPr>
        <w:t>the potential link between</w:t>
      </w:r>
      <w:r w:rsidR="00B94EF0">
        <w:rPr>
          <w:rFonts w:cstheme="minorHAnsi"/>
        </w:rPr>
        <w:t xml:space="preserve"> choice deliberation times (DT) and </w:t>
      </w:r>
      <w:r w:rsidR="006248B4">
        <w:rPr>
          <w:rFonts w:cstheme="minorHAnsi"/>
        </w:rPr>
        <w:t>the task variables</w:t>
      </w:r>
      <w:r>
        <w:rPr>
          <w:rFonts w:cstheme="minorHAnsi"/>
        </w:rPr>
        <w:t xml:space="preserve">, we decided to model </w:t>
      </w:r>
      <w:r w:rsidR="00B94EF0">
        <w:rPr>
          <w:rFonts w:cstheme="minorHAnsi"/>
        </w:rPr>
        <w:t xml:space="preserve">DT according to monetary incentives, effort levels, trial valence and confidence given that DT are known to vary with reward, effort and confidence </w:t>
      </w:r>
      <w:r w:rsidR="00B94EF0">
        <w:rPr>
          <w:rFonts w:cstheme="minorHAnsi"/>
        </w:rPr>
        <w:fldChar w:fldCharType="begin"/>
      </w:r>
      <w:r w:rsidR="0017298A">
        <w:rPr>
          <w:rFonts w:cstheme="minorHAnsi"/>
        </w:rPr>
        <w:instrText xml:space="preserve"> ADDIN ZOTERO_ITEM CSL_CITATION {"citationID":"89MLwXgF","properties":{"formattedCitation":"[8, 9]","plainCitation":"[8, 9]","noteIndex":0},"citationItems":[{"id":1309,"uris":["http://zotero.org/users/1203856/items/RSF2UTP5"],"itemData":{"id":1309,"type":"article-journal","container-title":"Trends in Neurosciences","DOI":"10.1016/j.tins.2019.02.003","ISSN":"01662236","issue":"5","language":"en","page":"323-336","source":"Crossref","title":"Movement Vigor as a Reflection of Subjective Economic Utility","volume":"42","author":[{"family":"Shadmehr","given":"Reza"},{"family":"Reppert","given":"Thomas R."},{"family":"Summerside","given":"Erik M."},{"family":"Yoon","given":"Tehrim"},{"family":"Ahmed","given":"Alaa A."}],"issued":{"date-parts":[["2019",5]]}}},{"id":328,"uris":["http://zotero.org/users/1203856/items/E97GRJ8A"],"itemData":{"id":328,"type":"article-journal","container-title":"Nature Neuroscience","DOI":"10.1038/nn.4064","ISSN":"1097-6256, 1546-1726","issue":"8","journalAbbreviation":"Nat Neurosci","language":"en","page":"1159-1167","source":"DOI.org (Crossref)","title":"Automatic integration of confidence in the brain valuation signal","volume":"18","author":[{"family":"Lebreton","given":"Maël"},{"family":"Abitbol","given":"Raphaëlle"},{"family":"Daunizeau","given":"Jean"},{"family":"Pessiglione","given":"Mathias"}],"issued":{"date-parts":[["2015",8]]}}}],"schema":"https://github.com/citation-style-language/schema/raw/master/csl-citation.json"} </w:instrText>
      </w:r>
      <w:r w:rsidR="00B94EF0">
        <w:rPr>
          <w:rFonts w:cstheme="minorHAnsi"/>
        </w:rPr>
        <w:fldChar w:fldCharType="separate"/>
      </w:r>
      <w:r w:rsidR="0017298A" w:rsidRPr="0017298A">
        <w:rPr>
          <w:rFonts w:ascii="Calibri" w:hAnsi="Calibri" w:cs="Calibri"/>
        </w:rPr>
        <w:t>[8, 9]</w:t>
      </w:r>
      <w:r w:rsidR="00B94EF0">
        <w:rPr>
          <w:rFonts w:cstheme="minorHAnsi"/>
        </w:rPr>
        <w:fldChar w:fldCharType="end"/>
      </w:r>
      <w:r>
        <w:rPr>
          <w:rFonts w:cstheme="minorHAnsi"/>
        </w:rPr>
        <w:t>. DT</w:t>
      </w:r>
      <w:r w:rsidR="004F31F2" w:rsidRPr="001632B6">
        <w:rPr>
          <w:rFonts w:cstheme="minorHAnsi"/>
        </w:rPr>
        <w:t xml:space="preserve"> were defined as the time between stimulus onset and the first button press </w:t>
      </w:r>
      <w:r w:rsidR="004F31F2" w:rsidRPr="001632B6">
        <w:rPr>
          <w:rFonts w:cstheme="minorHAnsi"/>
        </w:rPr>
        <w:fldChar w:fldCharType="begin"/>
      </w:r>
      <w:r w:rsidR="0017298A">
        <w:rPr>
          <w:rFonts w:cstheme="minorHAnsi"/>
        </w:rPr>
        <w:instrText xml:space="preserve"> ADDIN ZOTERO_ITEM CSL_CITATION {"citationID":"ZoCxqaBO","properties":{"formattedCitation":"[10]","plainCitation":"[10]","noteIndex":0},"citationItems":[{"id":12849,"uris":["http://zotero.org/groups/4965861/items/23I5CMST"],"itemData":{"id":12849,"type":"article-journal","abstract":"Deciding about courses of action involves minimizing costs and maximizing benefits. Decision neuroscience studies have implicated both the ventral and dorsal medial prefrontal cortex (vmPFC and dmPFC) in signaling goal value and action cost, but the precise functional role of these regions is still a matter of debate. Here, we suggest a more general functional partition that applies not only to decisions but also to judgments about goal value (expected reward) and action cost (expected effort). In this conceptual framework, cognitive representations related to options (reward value and effort cost) are dissociated from metacognitive representations (confidence and deliberation) related to solving the task (providing a judgment or making a choice). We used an original approach aiming at identifying consistencies across several preference tasks, from likeability ratings to binary decisions involving both attribute integration and option comparison. fMRI results in human male and female participants confirmed the vmPFC as a generic valuation system, its activity increasing with reward value and decreasing with effort cost. In contrast, more dorsal regions were not concerned with the valuation of options but with metacognitive variables, confidence being reflected in mPFC activity and deliberation time in dmPFC activity. Thus, there was a dissociation between the effort attached to choice options (represented in the vmPFC) and the effort invested in deliberation (represented in the dmPFC), the latter being expressed in pupil dilation. More generally, assessing commonalities across preference tasks might help reaching a unified view of the neural mechanisms underlying the cost/benefit tradeoffs that drive human behavior.Significance statementDecision neuroscience studies have implicated the medial prefrontal cortex (mPFC) in forming the cognitive representations that drive human choice behavior. However, different studies using different tasks have suggested somewhat inconsistent links between precise computational variables and specific brain regions. Here, we use fMRI to demonstrate a robust functional partition of the mPFC that generalizes across tasks involving an estimation of goal value and/or action cost to provide a judgement or make a choice. This general functional partition makes a critical dissociation between neural representations of decisional factors (the expected costs and benefits attached to a given option) and metacognitive estimates (confidence in the judgment or choice, and effort invested in the deliberation process).","container-title":"The Journal of Neuroscience: The Official Journal of the Society for Neuroscience","DOI":"10.1523/JNEUROSCI.1795-21.2022","ISSN":"1529-2401","issue":"28","journalAbbreviation":"J Neurosci","language":"eng","note":"PMID: 35654606\nPMCID: PMC9295841","page":"5580-5592","source":"PubMed","title":"Value, confidence, deliberation: a functional partition of the medial prefrontal cortex demonstrated across rating and choice tasks","title-short":"Value, confidence, deliberation","volume":"42","author":[{"family":"Clairis","given":"Nicolas"},{"family":"Pessiglione","given":"Mathias"}],"issued":{"date-parts":[["2022",6,1]]}}}],"schema":"https://github.com/citation-style-language/schema/raw/master/csl-citation.json"} </w:instrText>
      </w:r>
      <w:r w:rsidR="004F31F2" w:rsidRPr="001632B6">
        <w:rPr>
          <w:rFonts w:cstheme="minorHAnsi"/>
        </w:rPr>
        <w:fldChar w:fldCharType="separate"/>
      </w:r>
      <w:r w:rsidR="0017298A" w:rsidRPr="0017298A">
        <w:rPr>
          <w:rFonts w:ascii="Calibri" w:hAnsi="Calibri" w:cs="Calibri"/>
        </w:rPr>
        <w:t>[10]</w:t>
      </w:r>
      <w:r w:rsidR="004F31F2" w:rsidRPr="001632B6">
        <w:rPr>
          <w:rFonts w:cstheme="minorHAnsi"/>
        </w:rPr>
        <w:fldChar w:fldCharType="end"/>
      </w:r>
      <w:r w:rsidR="004F31F2" w:rsidRPr="001632B6">
        <w:rPr>
          <w:rFonts w:cstheme="minorHAnsi"/>
        </w:rPr>
        <w:t>. Trial-wise variations in DT were fitted with a linear regression model. This model, including a session-specific intercept (β</w:t>
      </w:r>
      <w:r w:rsidR="004F31F2" w:rsidRPr="001632B6">
        <w:rPr>
          <w:rFonts w:cstheme="minorHAnsi"/>
          <w:vertAlign w:val="subscript"/>
        </w:rPr>
        <w:t>s1</w:t>
      </w:r>
      <w:r w:rsidR="004F31F2" w:rsidRPr="001632B6">
        <w:rPr>
          <w:rFonts w:cstheme="minorHAnsi"/>
        </w:rPr>
        <w:t>/β</w:t>
      </w:r>
      <w:r w:rsidR="004F31F2" w:rsidRPr="001632B6">
        <w:rPr>
          <w:rFonts w:cstheme="minorHAnsi"/>
          <w:vertAlign w:val="subscript"/>
        </w:rPr>
        <w:t>s2</w:t>
      </w:r>
      <w:r w:rsidR="004F31F2" w:rsidRPr="001632B6">
        <w:rPr>
          <w:rFonts w:cstheme="minorHAnsi"/>
        </w:rPr>
        <w:t>/β</w:t>
      </w:r>
      <w:r w:rsidR="004F31F2" w:rsidRPr="001632B6">
        <w:rPr>
          <w:rFonts w:cstheme="minorHAnsi"/>
          <w:vertAlign w:val="subscript"/>
        </w:rPr>
        <w:t>s3</w:t>
      </w:r>
      <w:r w:rsidR="004F31F2" w:rsidRPr="001632B6">
        <w:rPr>
          <w:rFonts w:cstheme="minorHAnsi"/>
        </w:rPr>
        <w:t>/β</w:t>
      </w:r>
      <w:r w:rsidR="004F31F2" w:rsidRPr="001632B6">
        <w:rPr>
          <w:rFonts w:cstheme="minorHAnsi"/>
          <w:vertAlign w:val="subscript"/>
        </w:rPr>
        <w:t>s4</w:t>
      </w:r>
      <w:r w:rsidR="004F31F2" w:rsidRPr="001632B6">
        <w:rPr>
          <w:rFonts w:cstheme="minorHAnsi"/>
        </w:rPr>
        <w:t>)</w:t>
      </w:r>
      <w:r w:rsidR="00E45B24">
        <w:rPr>
          <w:rFonts w:cstheme="minorHAnsi"/>
        </w:rPr>
        <w:t xml:space="preserve"> and a noise term </w:t>
      </w:r>
      <w:r w:rsidR="00E45B24">
        <w:rPr>
          <w:rFonts w:eastAsiaTheme="minorEastAsia" w:cstheme="minorHAnsi"/>
          <w:lang w:val="el-GR"/>
        </w:rPr>
        <w:t>ε</w:t>
      </w:r>
      <w:r w:rsidR="004F31F2" w:rsidRPr="001632B6">
        <w:rPr>
          <w:rFonts w:cstheme="minorHAnsi"/>
        </w:rPr>
        <w:t>, was designed as follows:</w:t>
      </w:r>
    </w:p>
    <w:p w14:paraId="7A1B4F9D" w14:textId="64020A11" w:rsidR="004F31F2" w:rsidRPr="001632B6" w:rsidRDefault="004F31F2" w:rsidP="004F31F2">
      <w:pPr>
        <w:jc w:val="center"/>
        <w:rPr>
          <w:rFonts w:eastAsiaTheme="minorEastAsia" w:cstheme="minorHAnsi"/>
          <w:i/>
        </w:rPr>
      </w:pPr>
      <m:oMath>
        <m:r>
          <w:rPr>
            <w:rFonts w:ascii="Cambria Math" w:hAnsi="Cambria Math" w:cstheme="minorHAnsi"/>
          </w:rPr>
          <m:t xml:space="preserve">DT = </m:t>
        </m:r>
        <m:sSub>
          <m:sSubPr>
            <m:ctrlPr>
              <w:rPr>
                <w:rFonts w:ascii="Cambria Math" w:hAnsi="Cambria Math" w:cstheme="minorHAnsi"/>
                <w:i/>
              </w:rPr>
            </m:ctrlPr>
          </m:sSubPr>
          <m:e>
            <m:r>
              <w:rPr>
                <w:rFonts w:ascii="Cambria Math" w:hAnsi="Cambria Math" w:cstheme="minorHAnsi"/>
                <w:lang w:val="el-GR"/>
              </w:rPr>
              <m:t>ε</m:t>
            </m:r>
            <m:r>
              <w:rPr>
                <w:rFonts w:ascii="Cambria Math" w:hAnsi="Cambria Math" w:cstheme="minorHAnsi"/>
              </w:rPr>
              <m:t>+β</m:t>
            </m:r>
          </m:e>
          <m:sub>
            <m:r>
              <w:rPr>
                <w:rFonts w:ascii="Cambria Math" w:hAnsi="Cambria Math" w:cstheme="minorHAnsi"/>
              </w:rPr>
              <m:t>s1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s2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s3</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s4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R</m:t>
            </m:r>
          </m:sub>
        </m:sSub>
        <m:r>
          <w:rPr>
            <w:rFonts w:ascii="Cambria Math" w:hAnsi="Cambria Math" w:cstheme="minorHAnsi"/>
          </w:rPr>
          <m:t>∙ΔR+</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P</m:t>
            </m:r>
          </m:sub>
        </m:sSub>
        <m:r>
          <w:rPr>
            <w:rFonts w:ascii="Cambria Math" w:hAnsi="Cambria Math" w:cstheme="minorHAnsi"/>
          </w:rPr>
          <m:t>∙ΔP+</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RP</m:t>
            </m:r>
          </m:sub>
        </m:sSub>
        <m:r>
          <w:rPr>
            <w:rFonts w:ascii="Cambria Math" w:hAnsi="Cambria Math" w:cstheme="minorHAnsi"/>
          </w:rPr>
          <m:t>∙RP+</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Ep</m:t>
            </m:r>
          </m:sub>
        </m:sSub>
        <m:r>
          <w:rPr>
            <w:rFonts w:ascii="Cambria Math" w:hAnsi="Cambria Math" w:cstheme="minorHAnsi"/>
          </w:rPr>
          <m:t>∙ΔEp+</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Em</m:t>
            </m:r>
          </m:sub>
        </m:sSub>
        <m:r>
          <w:rPr>
            <w:rFonts w:ascii="Cambria Math" w:hAnsi="Cambria Math" w:cstheme="minorHAnsi"/>
          </w:rPr>
          <m:t>∙ΔEm+</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Conf</m:t>
            </m:r>
          </m:sub>
        </m:sSub>
        <m:r>
          <w:rPr>
            <w:rFonts w:ascii="Cambria Math" w:hAnsi="Cambria Math" w:cstheme="minorHAnsi"/>
          </w:rPr>
          <m:t>∙Conf+</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t</m:t>
            </m:r>
          </m:sub>
        </m:sSub>
        <m:r>
          <w:rPr>
            <w:rFonts w:ascii="Cambria Math" w:hAnsi="Cambria Math" w:cstheme="minorHAnsi"/>
          </w:rPr>
          <m:t>∙t</m:t>
        </m:r>
      </m:oMath>
      <w:r w:rsidRPr="001632B6">
        <w:rPr>
          <w:rFonts w:eastAsiaTheme="minorEastAsia" w:cstheme="minorHAnsi"/>
          <w:i/>
        </w:rPr>
        <w:t xml:space="preserve"> </w:t>
      </w:r>
      <w:r w:rsidRPr="001632B6">
        <w:rPr>
          <w:rFonts w:eastAsiaTheme="minorEastAsia" w:cstheme="minorHAnsi"/>
          <w:iCs/>
        </w:rPr>
        <w:t>(</w:t>
      </w:r>
      <w:r w:rsidRPr="001632B6">
        <w:rPr>
          <w:rStyle w:val="FigurerefCar"/>
          <w:rFonts w:cstheme="minorHAnsi"/>
        </w:rPr>
        <w:t xml:space="preserve">Eq. </w:t>
      </w:r>
      <w:r w:rsidR="006248B4">
        <w:rPr>
          <w:rStyle w:val="FigurerefCar"/>
          <w:rFonts w:cstheme="minorHAnsi"/>
        </w:rPr>
        <w:t>4</w:t>
      </w:r>
      <w:r w:rsidRPr="001632B6">
        <w:rPr>
          <w:rFonts w:eastAsiaTheme="minorEastAsia" w:cstheme="minorHAnsi"/>
          <w:iCs/>
        </w:rPr>
        <w:t>)</w:t>
      </w:r>
    </w:p>
    <w:p w14:paraId="0E1D2544" w14:textId="0CE4A5A2" w:rsidR="0060790C" w:rsidRDefault="004F31F2">
      <w:r w:rsidRPr="001632B6">
        <w:rPr>
          <w:iCs/>
        </w:rPr>
        <w:t xml:space="preserve">In this equation, </w:t>
      </w:r>
      <m:oMath>
        <m:r>
          <w:rPr>
            <w:rFonts w:ascii="Cambria Math" w:hAnsi="Cambria Math"/>
          </w:rPr>
          <m:t>Conf</m:t>
        </m:r>
      </m:oMath>
      <w:r w:rsidRPr="001632B6">
        <w:rPr>
          <w:iCs/>
        </w:rPr>
        <w:t xml:space="preserve"> was defined as </w:t>
      </w:r>
      <m:oMath>
        <m:r>
          <m:rPr>
            <m:sty m:val="bi"/>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HE</m:t>
            </m:r>
          </m:sub>
        </m:sSub>
        <m:r>
          <w:rPr>
            <w:rFonts w:ascii="Cambria Math" w:hAnsi="Cambria Math"/>
          </w:rPr>
          <m:t>-0.5</m:t>
        </m:r>
        <m:r>
          <m:rPr>
            <m:sty m:val="bi"/>
          </m:rPr>
          <w:rPr>
            <w:rFonts w:ascii="Cambria Math" w:hAnsi="Cambria Math"/>
          </w:rPr>
          <m:t>)²</m:t>
        </m:r>
      </m:oMath>
      <w:r w:rsidRPr="001632B6">
        <w:t xml:space="preserve"> based on previous research which shows that </w:t>
      </w:r>
      <w:r w:rsidR="007D626B">
        <w:t xml:space="preserve">this is a good proxy for </w:t>
      </w:r>
      <w:r w:rsidRPr="001632B6">
        <w:t xml:space="preserve">subjective confidence </w:t>
      </w:r>
      <w:r w:rsidRPr="001632B6">
        <w:fldChar w:fldCharType="begin"/>
      </w:r>
      <w:r w:rsidR="0017298A">
        <w:instrText xml:space="preserve"> ADDIN ZOTERO_ITEM CSL_CITATION {"citationID":"u8m7Vxhx","properties":{"formattedCitation":"[10]","plainCitation":"[10]","noteIndex":0},"citationItems":[{"id":12849,"uris":["http://zotero.org/groups/4965861/items/23I5CMST"],"itemData":{"id":12849,"type":"article-journal","abstract":"Deciding about courses of action involves minimizing costs and maximizing benefits. Decision neuroscience studies have implicated both the ventral and dorsal medial prefrontal cortex (vmPFC and dmPFC) in signaling goal value and action cost, but the precise functional role of these regions is still a matter of debate. Here, we suggest a more general functional partition that applies not only to decisions but also to judgments about goal value (expected reward) and action cost (expected effort). In this conceptual framework, cognitive representations related to options (reward value and effort cost) are dissociated from metacognitive representations (confidence and deliberation) related to solving the task (providing a judgment or making a choice). We used an original approach aiming at identifying consistencies across several preference tasks, from likeability ratings to binary decisions involving both attribute integration and option comparison. fMRI results in human male and female participants confirmed the vmPFC as a generic valuation system, its activity increasing with reward value and decreasing with effort cost. In contrast, more dorsal regions were not concerned with the valuation of options but with metacognitive variables, confidence being reflected in mPFC activity and deliberation time in dmPFC activity. Thus, there was a dissociation between the effort attached to choice options (represented in the vmPFC) and the effort invested in deliberation (represented in the dmPFC), the latter being expressed in pupil dilation. More generally, assessing commonalities across preference tasks might help reaching a unified view of the neural mechanisms underlying the cost/benefit tradeoffs that drive human behavior.Significance statementDecision neuroscience studies have implicated the medial prefrontal cortex (mPFC) in forming the cognitive representations that drive human choice behavior. However, different studies using different tasks have suggested somewhat inconsistent links between precise computational variables and specific brain regions. Here, we use fMRI to demonstrate a robust functional partition of the mPFC that generalizes across tasks involving an estimation of goal value and/or action cost to provide a judgement or make a choice. This general functional partition makes a critical dissociation between neural representations of decisional factors (the expected costs and benefits attached to a given option) and metacognitive estimates (confidence in the judgment or choice, and effort invested in the deliberation process).","container-title":"The Journal of Neuroscience: The Official Journal of the Society for Neuroscience","DOI":"10.1523/JNEUROSCI.1795-21.2022","ISSN":"1529-2401","issue":"28","journalAbbreviation":"J Neurosci","language":"eng","note":"PMID: 35654606\nPMCID: PMC9295841","page":"5580-5592","source":"PubMed","title":"Value, confidence, deliberation: a functional partition of the medial prefrontal cortex demonstrated across rating and choice tasks","title-short":"Value, confidence, deliberation","volume":"42","author":[{"family":"Clairis","given":"Nicolas"},{"family":"Pessiglione","given":"Mathias"}],"issued":{"date-parts":[["2022",6,1]]}}}],"schema":"https://github.com/citation-style-language/schema/raw/master/csl-citation.json"} </w:instrText>
      </w:r>
      <w:r w:rsidRPr="001632B6">
        <w:fldChar w:fldCharType="separate"/>
      </w:r>
      <w:r w:rsidR="0017298A" w:rsidRPr="0017298A">
        <w:rPr>
          <w:rFonts w:ascii="Calibri" w:hAnsi="Calibri" w:cs="Calibri"/>
        </w:rPr>
        <w:t>[10]</w:t>
      </w:r>
      <w:r w:rsidRPr="001632B6">
        <w:fldChar w:fldCharType="end"/>
      </w:r>
      <w:r w:rsidRPr="001632B6">
        <w:t xml:space="preserve"> which is more </w:t>
      </w:r>
      <w:r w:rsidR="0060790C">
        <w:t>gradual</w:t>
      </w:r>
      <w:r w:rsidR="0060790C" w:rsidRPr="001632B6">
        <w:t xml:space="preserve"> </w:t>
      </w:r>
      <w:r w:rsidRPr="001632B6">
        <w:t xml:space="preserve">than the binary confidence judgments provided by the participants. The other variables were similar to the </w:t>
      </w:r>
      <w:r w:rsidR="0060790C">
        <w:t>model above (</w:t>
      </w:r>
      <w:r w:rsidR="0060790C" w:rsidRPr="006770DD">
        <w:rPr>
          <w:b/>
          <w:bCs/>
        </w:rPr>
        <w:t xml:space="preserve">Eq. </w:t>
      </w:r>
      <w:r w:rsidR="0060790C">
        <w:rPr>
          <w:b/>
          <w:bCs/>
        </w:rPr>
        <w:t>3</w:t>
      </w:r>
      <w:r w:rsidR="0060790C">
        <w:t>)</w:t>
      </w:r>
      <w:r w:rsidRPr="001632B6">
        <w:t xml:space="preserve">, </w:t>
      </w:r>
      <w:r w:rsidR="00F80FAF">
        <w:rPr>
          <w:rFonts w:eastAsiaTheme="minorEastAsia"/>
        </w:rPr>
        <w:t xml:space="preserve">with </w:t>
      </w:r>
      <m:oMath>
        <m:r>
          <w:rPr>
            <w:rFonts w:ascii="Cambria Math" w:hAnsi="Cambria Math"/>
          </w:rPr>
          <m:t>t</m:t>
        </m:r>
      </m:oMath>
      <w:r w:rsidRPr="001632B6">
        <w:t xml:space="preserve"> </w:t>
      </w:r>
      <w:r w:rsidR="001B7941" w:rsidRPr="001632B6">
        <w:t>represent</w:t>
      </w:r>
      <w:r w:rsidR="001B7941">
        <w:t>ing</w:t>
      </w:r>
      <w:r w:rsidR="001B7941" w:rsidRPr="001632B6">
        <w:t xml:space="preserve"> </w:t>
      </w:r>
      <w:r w:rsidRPr="001632B6">
        <w:t xml:space="preserve">trial number to account for the effect of time on choice DT and RP </w:t>
      </w:r>
      <w:r w:rsidR="00EA4E81">
        <w:t>being</w:t>
      </w:r>
      <w:r w:rsidR="00EA4E81" w:rsidRPr="001632B6">
        <w:t xml:space="preserve"> </w:t>
      </w:r>
      <w:r w:rsidRPr="001632B6">
        <w:t xml:space="preserve">a </w:t>
      </w:r>
      <w:r w:rsidR="0060790C">
        <w:t>trial-type variable encoding reward trials (as ones) and punishment trials (as zeros)</w:t>
      </w:r>
      <w:r w:rsidR="00A517D9">
        <w:t xml:space="preserve"> which</w:t>
      </w:r>
      <w:r w:rsidR="0060790C">
        <w:t xml:space="preserve"> effectively captures </w:t>
      </w:r>
      <w:r w:rsidR="00113A9D">
        <w:t xml:space="preserve">a general </w:t>
      </w:r>
      <w:r w:rsidR="007975A0">
        <w:t xml:space="preserve">DT </w:t>
      </w:r>
      <w:r w:rsidR="0060790C">
        <w:t xml:space="preserve">bias </w:t>
      </w:r>
      <w:r w:rsidR="00100352">
        <w:t xml:space="preserve">depending on </w:t>
      </w:r>
      <w:r w:rsidR="0060790C">
        <w:t xml:space="preserve">trial valence </w:t>
      </w:r>
      <w:r w:rsidR="00E16238">
        <w:t xml:space="preserve">with </w:t>
      </w:r>
      <w:r w:rsidR="0060790C">
        <w:t xml:space="preserve">appetitive </w:t>
      </w:r>
      <w:r w:rsidR="00690200">
        <w:t xml:space="preserve">choice </w:t>
      </w:r>
      <w:r w:rsidR="007C1038">
        <w:t xml:space="preserve">trials </w:t>
      </w:r>
      <w:r w:rsidR="00E16238">
        <w:t>being generally faster than more</w:t>
      </w:r>
      <w:r w:rsidR="0060790C">
        <w:t xml:space="preserve"> aversive</w:t>
      </w:r>
      <w:r w:rsidR="00E16238">
        <w:t xml:space="preserve"> trials</w:t>
      </w:r>
      <w:r w:rsidRPr="001632B6">
        <w:t>.</w:t>
      </w:r>
    </w:p>
    <w:p w14:paraId="247F7C1E" w14:textId="682D6F5A" w:rsidR="006F24A8" w:rsidRDefault="006F24A8">
      <w:pPr>
        <w:rPr>
          <w:color w:val="000000"/>
        </w:rPr>
      </w:pPr>
      <w:r>
        <w:t>We also controlled for the correlation between our main variables of interest (Ech, SVch, DT) by performing 2-by-2 correlations at the individual level to extract individual correlation coefficients r and R² parameters</w:t>
      </w:r>
      <w:r w:rsidR="00B26893">
        <w:t>, after zscoring each variable within each block, as was done for the fMRI regressors</w:t>
      </w:r>
      <w:r>
        <w:t xml:space="preserve">. We then tested whether the correlation coefficients r were significantly different from zero at the </w:t>
      </w:r>
      <w:r>
        <w:lastRenderedPageBreak/>
        <w:t>group-level by using a Student’s t.test against zero.</w:t>
      </w:r>
      <w:r w:rsidR="00B26893">
        <w:t xml:space="preserve"> We first performed these correlation tests across all tasks and then we extracted the variables within each task to see if the results were similar or not.</w:t>
      </w:r>
    </w:p>
    <w:p w14:paraId="338976BF" w14:textId="214DBE82" w:rsidR="004F31F2" w:rsidRDefault="00F92448" w:rsidP="0060790C">
      <w:pPr>
        <w:pStyle w:val="Titre3"/>
      </w:pPr>
      <w:r>
        <w:t>fMRI data analysis</w:t>
      </w:r>
    </w:p>
    <w:p w14:paraId="76082227" w14:textId="1D834CC3" w:rsidR="00317188" w:rsidRDefault="00317188" w:rsidP="00F92448">
      <w:pPr>
        <w:rPr>
          <w:rFonts w:cstheme="minorHAnsi"/>
        </w:rPr>
      </w:pPr>
      <w:r>
        <w:rPr>
          <w:rFonts w:cstheme="minorHAnsi"/>
        </w:rPr>
        <w:t>Given that the subjective value of the chosen option (SVch), the effort chosen (Ech) and choice deliberation times (DT) might not be completely orthogonal to each other, we decided to build two further GLMs, GLM2 and GLM3, to further assess whether the results observed in GLM1 were holding independent of the way the regressors were orthogonalized to each other. GLM2 and GLM3 were completely equivalent to GLM1, but</w:t>
      </w:r>
      <w:r w:rsidR="00DD0F52">
        <w:rPr>
          <w:rFonts w:cstheme="minorHAnsi"/>
        </w:rPr>
        <w:t>,</w:t>
      </w:r>
      <w:r>
        <w:rPr>
          <w:rFonts w:cstheme="minorHAnsi"/>
        </w:rPr>
        <w:t xml:space="preserve"> in GLM2</w:t>
      </w:r>
      <w:r w:rsidR="00DD0F52">
        <w:rPr>
          <w:rFonts w:cstheme="minorHAnsi"/>
        </w:rPr>
        <w:t>,</w:t>
      </w:r>
      <w:r>
        <w:rPr>
          <w:rFonts w:cstheme="minorHAnsi"/>
        </w:rPr>
        <w:t xml:space="preserve"> the regressors were orthogonalized in the DT/SVch/Ech order to account for </w:t>
      </w:r>
      <w:r w:rsidR="00DD0F52">
        <w:rPr>
          <w:rFonts w:cstheme="minorHAnsi"/>
        </w:rPr>
        <w:t>DT and SVch influence on Ech, while, in GLM3, the regressors were orthogonalized in the Ech/SVch/DT order to account for the influence of Ech on SVch and DT.</w:t>
      </w:r>
    </w:p>
    <w:p w14:paraId="1D9A3CEA" w14:textId="409ADEEF" w:rsidR="00F92448" w:rsidRDefault="00DD0F52" w:rsidP="00F92448">
      <w:pPr>
        <w:rPr>
          <w:rFonts w:cstheme="minorHAnsi"/>
        </w:rPr>
      </w:pPr>
      <w:r>
        <w:rPr>
          <w:rFonts w:cstheme="minorHAnsi"/>
        </w:rPr>
        <w:t>Moreover, we wanted to control that the correlation</w:t>
      </w:r>
      <w:r w:rsidR="00C12D59">
        <w:rPr>
          <w:rFonts w:cstheme="minorHAnsi"/>
        </w:rPr>
        <w:t>s</w:t>
      </w:r>
      <w:r>
        <w:rPr>
          <w:rFonts w:cstheme="minorHAnsi"/>
        </w:rPr>
        <w:t xml:space="preserve"> we observed between dmPFC/dACC activity, aIns activity and Ech </w:t>
      </w:r>
      <w:r w:rsidR="0078663A">
        <w:rPr>
          <w:rFonts w:cstheme="minorHAnsi"/>
        </w:rPr>
        <w:t xml:space="preserve">were </w:t>
      </w:r>
      <w:r>
        <w:rPr>
          <w:rFonts w:cstheme="minorHAnsi"/>
        </w:rPr>
        <w:t>not due to the dmPFC/dACC and/or aIns activity correlating with the effort costs of the HE option, which could mean that dmPFC/dACC and/or aIns are not promoting HE selection, but are instead encoding the costs of the HE option</w:t>
      </w:r>
      <w:r w:rsidR="009A16EA">
        <w:rPr>
          <w:rFonts w:cstheme="minorHAnsi"/>
        </w:rPr>
        <w:t>, therefore potentially</w:t>
      </w:r>
      <w:r>
        <w:rPr>
          <w:rFonts w:cstheme="minorHAnsi"/>
        </w:rPr>
        <w:t xml:space="preserve"> inform</w:t>
      </w:r>
      <w:r w:rsidR="009A16EA">
        <w:rPr>
          <w:rFonts w:cstheme="minorHAnsi"/>
        </w:rPr>
        <w:t>ing</w:t>
      </w:r>
      <w:r>
        <w:rPr>
          <w:rFonts w:cstheme="minorHAnsi"/>
        </w:rPr>
        <w:t xml:space="preserve"> other areas performing the decision. </w:t>
      </w:r>
      <w:r w:rsidR="000F626A">
        <w:rPr>
          <w:rFonts w:cstheme="minorHAnsi"/>
        </w:rPr>
        <w:t>For this purpose, w</w:t>
      </w:r>
      <w:r w:rsidR="00F92448" w:rsidRPr="001632B6">
        <w:rPr>
          <w:rFonts w:cstheme="minorHAnsi"/>
        </w:rPr>
        <w:t>e designed GLM</w:t>
      </w:r>
      <w:r w:rsidR="00A55659">
        <w:rPr>
          <w:rFonts w:cstheme="minorHAnsi"/>
        </w:rPr>
        <w:t>4</w:t>
      </w:r>
      <w:r w:rsidR="00F92448" w:rsidRPr="001632B6">
        <w:rPr>
          <w:rFonts w:cstheme="minorHAnsi"/>
        </w:rPr>
        <w:t xml:space="preserve"> </w:t>
      </w:r>
      <w:r w:rsidR="003F6936">
        <w:rPr>
          <w:rFonts w:cstheme="minorHAnsi"/>
        </w:rPr>
        <w:t>which included the same categorical regressors as GLM1, except for the choice period regressor</w:t>
      </w:r>
      <w:r w:rsidR="000F626A">
        <w:rPr>
          <w:rFonts w:cstheme="minorHAnsi"/>
        </w:rPr>
        <w:t>. The choice period</w:t>
      </w:r>
      <w:r w:rsidR="003F6936">
        <w:rPr>
          <w:rFonts w:cstheme="minorHAnsi"/>
        </w:rPr>
        <w:t xml:space="preserve"> was modeled as two categorical regressors depending on the choice made: one </w:t>
      </w:r>
      <w:r w:rsidR="000F626A">
        <w:rPr>
          <w:rFonts w:cstheme="minorHAnsi"/>
        </w:rPr>
        <w:t xml:space="preserve">for </w:t>
      </w:r>
      <w:r w:rsidR="003F6936">
        <w:rPr>
          <w:rFonts w:cstheme="minorHAnsi"/>
        </w:rPr>
        <w:t>the</w:t>
      </w:r>
      <w:r w:rsidR="000F626A">
        <w:rPr>
          <w:rFonts w:cstheme="minorHAnsi"/>
        </w:rPr>
        <w:t xml:space="preserve"> trials where the</w:t>
      </w:r>
      <w:r w:rsidR="003F6936">
        <w:rPr>
          <w:rFonts w:cstheme="minorHAnsi"/>
        </w:rPr>
        <w:t xml:space="preserve"> low effort was chosen (lEch) and another </w:t>
      </w:r>
      <w:r w:rsidR="000F626A">
        <w:rPr>
          <w:rFonts w:cstheme="minorHAnsi"/>
        </w:rPr>
        <w:t>for</w:t>
      </w:r>
      <w:r w:rsidR="003F6936">
        <w:rPr>
          <w:rFonts w:cstheme="minorHAnsi"/>
        </w:rPr>
        <w:t xml:space="preserve"> the trials where the high effort was chosen (hEch). Both regressors were parametrically modulated by the level of the high effort (HE) option, the subjective value of the high effort option (hSV) and the deliberation time (DT). Because of the low variability in participants’ choices in some blocks (for example, some subject would pick the low effort option only when the HE level was 3, meaning no variability for the HE parametric modulator of the lEch regressor), we had to remove a few more blocks and/or subjects from this analysis leading to a final N = 60 subjects included.</w:t>
      </w:r>
    </w:p>
    <w:p w14:paraId="4ACDB62D" w14:textId="62B3CBBA" w:rsidR="00737435" w:rsidRPr="00F92448" w:rsidRDefault="003A7D26" w:rsidP="00500BF8">
      <w:r>
        <w:t>F</w:t>
      </w:r>
      <w:r w:rsidRPr="003A7D26">
        <w:t xml:space="preserve">or GLM4, we removed </w:t>
      </w:r>
      <w:r>
        <w:t xml:space="preserve">from the analysis </w:t>
      </w:r>
      <w:r w:rsidRPr="003A7D26">
        <w:t>any fMRI block where high effort or low effort choices were always associated to a single high effort level, since SPM could not compute a regression otherwise.</w:t>
      </w:r>
    </w:p>
    <w:p w14:paraId="2E5CB59C" w14:textId="1D03F4A6" w:rsidR="00985CFC" w:rsidRPr="001632B6" w:rsidRDefault="00985CFC" w:rsidP="00985CFC">
      <w:pPr>
        <w:pStyle w:val="Titre2"/>
        <w:rPr>
          <w:rFonts w:cstheme="minorHAnsi"/>
          <w:sz w:val="22"/>
        </w:rPr>
      </w:pPr>
      <w:r w:rsidRPr="001632B6">
        <w:rPr>
          <w:rFonts w:cstheme="minorHAnsi"/>
          <w:sz w:val="22"/>
        </w:rPr>
        <w:t>Supplementary Results</w:t>
      </w:r>
    </w:p>
    <w:p w14:paraId="7978E16F" w14:textId="5F4F5FDF" w:rsidR="00F92448" w:rsidRDefault="00F92448" w:rsidP="00DD23B4">
      <w:pPr>
        <w:pStyle w:val="Titre3"/>
      </w:pPr>
      <w:r>
        <w:t xml:space="preserve">Validating </w:t>
      </w:r>
      <w:r w:rsidR="002F2567">
        <w:t>The Task Parameters</w:t>
      </w:r>
    </w:p>
    <w:p w14:paraId="059EB2AD" w14:textId="122E06DE" w:rsidR="0019022B" w:rsidRDefault="0019022B" w:rsidP="00985CFC">
      <w:pPr>
        <w:rPr>
          <w:rFonts w:cstheme="minorHAnsi"/>
        </w:rPr>
      </w:pPr>
      <w:r>
        <w:t>Model r</w:t>
      </w:r>
      <w:r w:rsidRPr="00B02E55">
        <w:t xml:space="preserve">ecoverability was evidenced by high correlations between true and estimated parameters (r ≥ </w:t>
      </w:r>
      <w:r w:rsidR="006E4551">
        <w:t>0.79</w:t>
      </w:r>
      <w:r w:rsidRPr="00B02E55">
        <w:t>). Identifiability was supported by low inter-parameter correlations for the estimated parameters (|r| &lt; 0.</w:t>
      </w:r>
      <w:r w:rsidR="00B858B6">
        <w:t>10</w:t>
      </w:r>
      <w:r w:rsidRPr="00B02E55">
        <w:t xml:space="preserve">). Moreover, the model accurately mirrored participants’ choices (median absolute error (MAE) of </w:t>
      </w:r>
      <w:r w:rsidR="00B858B6">
        <w:t>20.5</w:t>
      </w:r>
      <w:r w:rsidRPr="00B02E55">
        <w:t xml:space="preserve"> ± </w:t>
      </w:r>
      <w:r w:rsidR="00B858B6">
        <w:t>0.8</w:t>
      </w:r>
      <w:r w:rsidRPr="00B02E55">
        <w:t>%, goodness of fit R² = 0.</w:t>
      </w:r>
      <w:r w:rsidR="00B858B6">
        <w:t>46</w:t>
      </w:r>
      <w:r w:rsidRPr="00B02E55">
        <w:t>).</w:t>
      </w:r>
    </w:p>
    <w:p w14:paraId="5848B578" w14:textId="77777777" w:rsidR="007C603F" w:rsidRPr="009141C3" w:rsidRDefault="0019022B" w:rsidP="00985CFC">
      <w:pPr>
        <w:rPr>
          <w:rFonts w:cstheme="minorHAnsi"/>
          <w:color w:val="000000" w:themeColor="text1"/>
        </w:rPr>
      </w:pPr>
      <w:r>
        <w:rPr>
          <w:rFonts w:cstheme="minorHAnsi"/>
        </w:rPr>
        <w:t xml:space="preserve">To further validate the results of our computational model, we used a conventional generalized linear model (GLM) with no constraint on the parameters. </w:t>
      </w:r>
      <w:r w:rsidR="00985CFC" w:rsidRPr="001632B6">
        <w:rPr>
          <w:rFonts w:cstheme="minorHAnsi"/>
        </w:rPr>
        <w:t>Based on a basic logistic regression (</w:t>
      </w:r>
      <w:r w:rsidR="00985CFC" w:rsidRPr="001632B6">
        <w:rPr>
          <w:rStyle w:val="FigurerefCar"/>
          <w:rFonts w:cstheme="minorHAnsi"/>
        </w:rPr>
        <w:t>Eq. 4</w:t>
      </w:r>
      <w:r w:rsidR="00985CFC" w:rsidRPr="001632B6">
        <w:rPr>
          <w:rFonts w:cstheme="minorHAnsi"/>
        </w:rPr>
        <w:t>), we observed that high effort (HE) options were</w:t>
      </w:r>
      <w:r>
        <w:rPr>
          <w:rFonts w:cstheme="minorHAnsi"/>
        </w:rPr>
        <w:t xml:space="preserve"> indeed</w:t>
      </w:r>
      <w:r w:rsidR="00985CFC" w:rsidRPr="001632B6">
        <w:rPr>
          <w:rFonts w:cstheme="minorHAnsi"/>
        </w:rPr>
        <w:t xml:space="preserve"> selected significantly more often when participants were offered </w:t>
      </w:r>
      <w:r w:rsidR="00985CFC" w:rsidRPr="001632B6">
        <w:rPr>
          <w:rFonts w:cstheme="minorHAnsi"/>
          <w:color w:val="000000" w:themeColor="text1"/>
        </w:rPr>
        <w:t>higher rewards (</w:t>
      </w:r>
      <m:oMath>
        <m:r>
          <w:rPr>
            <w:rFonts w:ascii="Cambria Math" w:hAnsi="Cambria Math" w:cstheme="minorHAnsi"/>
            <w:color w:val="000000" w:themeColor="text1"/>
          </w:rPr>
          <m:t>β</m:t>
        </m:r>
        <m:sSub>
          <m:sSubPr>
            <m:ctrlPr>
              <w:rPr>
                <w:rFonts w:ascii="Cambria Math" w:hAnsi="Cambria Math" w:cstheme="minorHAnsi"/>
                <w:i/>
                <w:color w:val="000000" w:themeColor="text1"/>
              </w:rPr>
            </m:ctrlPr>
          </m:sSubPr>
          <m:e>
            <m:r>
              <w:rPr>
                <w:rFonts w:ascii="Cambria Math" w:hAnsi="Cambria Math" w:cstheme="minorHAnsi"/>
                <w:color w:val="000000" w:themeColor="text1"/>
              </w:rPr>
              <m:t>R</m:t>
            </m:r>
          </m:e>
          <m:sub>
            <m:r>
              <w:rPr>
                <w:rFonts w:ascii="Cambria Math" w:hAnsi="Cambria Math" w:cstheme="minorHAnsi"/>
                <w:color w:val="000000" w:themeColor="text1"/>
              </w:rPr>
              <m:t>m</m:t>
            </m:r>
          </m:sub>
        </m:sSub>
      </m:oMath>
      <w:r w:rsidR="00985CFC" w:rsidRPr="001632B6">
        <w:rPr>
          <w:rFonts w:eastAsiaTheme="minorEastAsia" w:cstheme="minorHAnsi"/>
          <w:color w:val="000000" w:themeColor="text1"/>
        </w:rPr>
        <w:t xml:space="preserve"> = 50.13</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7.09, mean</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 xml:space="preserve">sem; </w:t>
      </w:r>
      <w:r w:rsidR="00985CFC" w:rsidRPr="0057237F">
        <w:rPr>
          <w:rFonts w:eastAsiaTheme="minorEastAsia" w:cstheme="minorHAnsi"/>
          <w:i/>
          <w:iCs/>
          <w:color w:val="000000" w:themeColor="text1"/>
        </w:rPr>
        <w:t>p</w:t>
      </w:r>
      <w:r w:rsidR="00985CFC" w:rsidRPr="001632B6">
        <w:rPr>
          <w:rFonts w:eastAsiaTheme="minorEastAsia" w:cstheme="minorHAnsi"/>
          <w:color w:val="000000" w:themeColor="text1"/>
        </w:rPr>
        <w:t xml:space="preserve"> &lt; 0.001</w:t>
      </w:r>
      <w:r w:rsidR="00985CFC" w:rsidRPr="001632B6">
        <w:rPr>
          <w:rFonts w:cstheme="minorHAnsi"/>
          <w:color w:val="000000" w:themeColor="text1"/>
        </w:rPr>
        <w:t>), lower punishments (</w:t>
      </w:r>
      <m:oMath>
        <m:r>
          <w:rPr>
            <w:rFonts w:ascii="Cambria Math" w:hAnsi="Cambria Math" w:cstheme="minorHAnsi"/>
            <w:color w:val="000000" w:themeColor="text1"/>
          </w:rPr>
          <m:t>β</m:t>
        </m:r>
        <m:sSub>
          <m:sSubPr>
            <m:ctrlPr>
              <w:rPr>
                <w:rFonts w:ascii="Cambria Math" w:hAnsi="Cambria Math" w:cstheme="minorHAnsi"/>
                <w:i/>
                <w:color w:val="000000" w:themeColor="text1"/>
              </w:rPr>
            </m:ctrlPr>
          </m:sSubPr>
          <m:e>
            <m:r>
              <w:rPr>
                <w:rFonts w:ascii="Cambria Math" w:hAnsi="Cambria Math" w:cstheme="minorHAnsi"/>
                <w:color w:val="000000" w:themeColor="text1"/>
              </w:rPr>
              <m:t>P</m:t>
            </m:r>
          </m:e>
          <m:sub>
            <m:r>
              <w:rPr>
                <w:rFonts w:ascii="Cambria Math" w:hAnsi="Cambria Math" w:cstheme="minorHAnsi"/>
                <w:color w:val="000000" w:themeColor="text1"/>
              </w:rPr>
              <m:t>m</m:t>
            </m:r>
          </m:sub>
        </m:sSub>
      </m:oMath>
      <w:r w:rsidR="00985CFC" w:rsidRPr="001632B6">
        <w:rPr>
          <w:rFonts w:eastAsiaTheme="minorEastAsia" w:cstheme="minorHAnsi"/>
          <w:color w:val="000000" w:themeColor="text1"/>
        </w:rPr>
        <w:t xml:space="preserve"> = 30.95</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 xml:space="preserve">4.04; </w:t>
      </w:r>
      <w:r w:rsidR="00985CFC" w:rsidRPr="0057237F">
        <w:rPr>
          <w:rFonts w:eastAsiaTheme="minorEastAsia" w:cstheme="minorHAnsi"/>
          <w:i/>
          <w:iCs/>
          <w:color w:val="000000" w:themeColor="text1"/>
        </w:rPr>
        <w:t>p</w:t>
      </w:r>
      <w:r w:rsidR="00985CFC" w:rsidRPr="001632B6">
        <w:rPr>
          <w:rFonts w:eastAsiaTheme="minorEastAsia" w:cstheme="minorHAnsi"/>
          <w:color w:val="000000" w:themeColor="text1"/>
        </w:rPr>
        <w:t xml:space="preserve"> &lt; 0.001</w:t>
      </w:r>
      <w:r w:rsidR="00985CFC" w:rsidRPr="001632B6">
        <w:rPr>
          <w:rFonts w:cstheme="minorHAnsi"/>
          <w:color w:val="000000" w:themeColor="text1"/>
        </w:rPr>
        <w:t>) and lower physical (</w:t>
      </w:r>
      <m:oMath>
        <m:r>
          <w:rPr>
            <w:rFonts w:ascii="Cambria Math" w:hAnsi="Cambria Math" w:cstheme="minorHAnsi"/>
            <w:color w:val="000000" w:themeColor="text1"/>
          </w:rPr>
          <m:t>β</m:t>
        </m:r>
        <m:sSub>
          <m:sSubPr>
            <m:ctrlPr>
              <w:rPr>
                <w:rFonts w:ascii="Cambria Math" w:hAnsi="Cambria Math" w:cstheme="minorHAnsi"/>
                <w:i/>
                <w:color w:val="000000" w:themeColor="text1"/>
              </w:rPr>
            </m:ctrlPr>
          </m:sSubPr>
          <m:e>
            <m:r>
              <w:rPr>
                <w:rFonts w:ascii="Cambria Math" w:hAnsi="Cambria Math" w:cstheme="minorHAnsi"/>
                <w:color w:val="000000" w:themeColor="text1"/>
              </w:rPr>
              <m:t>E</m:t>
            </m:r>
          </m:e>
          <m:sub>
            <m:r>
              <w:rPr>
                <w:rFonts w:ascii="Cambria Math" w:hAnsi="Cambria Math" w:cstheme="minorHAnsi"/>
                <w:color w:val="000000" w:themeColor="text1"/>
              </w:rPr>
              <m:t>p</m:t>
            </m:r>
          </m:sub>
        </m:sSub>
        <m:r>
          <w:rPr>
            <w:rFonts w:ascii="Cambria Math" w:hAnsi="Cambria Math" w:cstheme="minorHAnsi"/>
            <w:color w:val="000000" w:themeColor="text1"/>
          </w:rPr>
          <m:t xml:space="preserve"> </m:t>
        </m:r>
      </m:oMath>
      <w:r w:rsidR="00985CFC" w:rsidRPr="001632B6">
        <w:rPr>
          <w:rFonts w:eastAsiaTheme="minorEastAsia" w:cstheme="minorHAnsi"/>
          <w:color w:val="000000" w:themeColor="text1"/>
        </w:rPr>
        <w:t>= 1.65</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 xml:space="preserve">0.14; </w:t>
      </w:r>
      <w:r w:rsidR="00985CFC" w:rsidRPr="0057237F">
        <w:rPr>
          <w:rFonts w:eastAsiaTheme="minorEastAsia" w:cstheme="minorHAnsi"/>
          <w:i/>
          <w:iCs/>
          <w:color w:val="000000" w:themeColor="text1"/>
        </w:rPr>
        <w:t>p</w:t>
      </w:r>
      <w:r w:rsidR="00985CFC" w:rsidRPr="001632B6">
        <w:rPr>
          <w:rFonts w:eastAsiaTheme="minorEastAsia" w:cstheme="minorHAnsi"/>
          <w:color w:val="000000" w:themeColor="text1"/>
        </w:rPr>
        <w:t xml:space="preserve"> &lt; 0.001</w:t>
      </w:r>
      <w:r w:rsidR="00985CFC" w:rsidRPr="001632B6">
        <w:rPr>
          <w:rFonts w:cstheme="minorHAnsi"/>
          <w:color w:val="000000" w:themeColor="text1"/>
        </w:rPr>
        <w:t>) or mental (</w:t>
      </w:r>
      <m:oMath>
        <m:r>
          <w:rPr>
            <w:rFonts w:ascii="Cambria Math" w:hAnsi="Cambria Math" w:cstheme="minorHAnsi"/>
            <w:color w:val="000000" w:themeColor="text1"/>
          </w:rPr>
          <m:t>β</m:t>
        </m:r>
        <m:sSub>
          <m:sSubPr>
            <m:ctrlPr>
              <w:rPr>
                <w:rFonts w:ascii="Cambria Math" w:hAnsi="Cambria Math" w:cstheme="minorHAnsi"/>
                <w:i/>
                <w:color w:val="000000" w:themeColor="text1"/>
              </w:rPr>
            </m:ctrlPr>
          </m:sSubPr>
          <m:e>
            <m:r>
              <w:rPr>
                <w:rFonts w:ascii="Cambria Math" w:hAnsi="Cambria Math" w:cstheme="minorHAnsi"/>
                <w:color w:val="000000" w:themeColor="text1"/>
              </w:rPr>
              <m:t>E</m:t>
            </m:r>
          </m:e>
          <m:sub>
            <m:r>
              <w:rPr>
                <w:rFonts w:ascii="Cambria Math" w:hAnsi="Cambria Math" w:cstheme="minorHAnsi"/>
                <w:color w:val="000000" w:themeColor="text1"/>
              </w:rPr>
              <m:t>m</m:t>
            </m:r>
          </m:sub>
        </m:sSub>
        <m:r>
          <w:rPr>
            <w:rFonts w:ascii="Cambria Math" w:hAnsi="Cambria Math" w:cstheme="minorHAnsi"/>
            <w:color w:val="000000" w:themeColor="text1"/>
          </w:rPr>
          <m:t xml:space="preserve"> </m:t>
        </m:r>
      </m:oMath>
      <w:r w:rsidR="00985CFC" w:rsidRPr="001632B6">
        <w:rPr>
          <w:rFonts w:eastAsiaTheme="minorEastAsia" w:cstheme="minorHAnsi"/>
          <w:color w:val="000000" w:themeColor="text1"/>
        </w:rPr>
        <w:t>= 1.94</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 xml:space="preserve">0.14; </w:t>
      </w:r>
      <w:r w:rsidR="00985CFC" w:rsidRPr="0057237F">
        <w:rPr>
          <w:rFonts w:eastAsiaTheme="minorEastAsia" w:cstheme="minorHAnsi"/>
          <w:i/>
          <w:iCs/>
          <w:color w:val="000000" w:themeColor="text1"/>
        </w:rPr>
        <w:t>p</w:t>
      </w:r>
      <w:r w:rsidR="00985CFC" w:rsidRPr="001632B6">
        <w:rPr>
          <w:rFonts w:eastAsiaTheme="minorEastAsia" w:cstheme="minorHAnsi"/>
          <w:color w:val="000000" w:themeColor="text1"/>
        </w:rPr>
        <w:t xml:space="preserve"> &lt; 0.001</w:t>
      </w:r>
      <w:r w:rsidR="00985CFC" w:rsidRPr="001632B6">
        <w:rPr>
          <w:rFonts w:cstheme="minorHAnsi"/>
          <w:color w:val="000000" w:themeColor="text1"/>
        </w:rPr>
        <w:t>) effort amounts</w:t>
      </w:r>
      <w:r>
        <w:rPr>
          <w:rFonts w:cstheme="minorHAnsi"/>
          <w:color w:val="000000" w:themeColor="text1"/>
        </w:rPr>
        <w:t>, confirming the validity of the parameters used in our model and of the positivity constraint we forced upon them to increase model’s reliability</w:t>
      </w:r>
      <w:r w:rsidR="00985CFC" w:rsidRPr="001632B6">
        <w:rPr>
          <w:rFonts w:cstheme="minorHAnsi"/>
          <w:color w:val="000000" w:themeColor="text1"/>
        </w:rPr>
        <w:t xml:space="preserve">. Moreover, high physical </w:t>
      </w:r>
      <w:r w:rsidR="00985CFC" w:rsidRPr="001632B6">
        <w:rPr>
          <w:rFonts w:cstheme="minorHAnsi"/>
          <w:color w:val="000000" w:themeColor="text1"/>
        </w:rPr>
        <w:lastRenderedPageBreak/>
        <w:t>effort (HPE) options were selected significantly less often across trials (</w:t>
      </w:r>
      <m:oMath>
        <m:r>
          <w:rPr>
            <w:rFonts w:ascii="Cambria Math" w:hAnsi="Cambria Math" w:cstheme="minorHAnsi"/>
            <w:color w:val="000000" w:themeColor="text1"/>
          </w:rPr>
          <m:t>β</m:t>
        </m:r>
        <m:sSub>
          <m:sSubPr>
            <m:ctrlPr>
              <w:rPr>
                <w:rFonts w:ascii="Cambria Math" w:hAnsi="Cambria Math" w:cstheme="minorHAnsi"/>
                <w:i/>
                <w:color w:val="000000" w:themeColor="text1"/>
              </w:rPr>
            </m:ctrlPr>
          </m:sSubPr>
          <m:e>
            <m:r>
              <w:rPr>
                <w:rFonts w:ascii="Cambria Math" w:hAnsi="Cambria Math" w:cstheme="minorHAnsi"/>
                <w:color w:val="000000" w:themeColor="text1"/>
              </w:rPr>
              <m:t>T</m:t>
            </m:r>
          </m:e>
          <m:sub>
            <m:r>
              <w:rPr>
                <w:rFonts w:ascii="Cambria Math" w:hAnsi="Cambria Math" w:cstheme="minorHAnsi"/>
                <w:color w:val="000000" w:themeColor="text1"/>
              </w:rPr>
              <m:t>p</m:t>
            </m:r>
          </m:sub>
        </m:sSub>
      </m:oMath>
      <w:r w:rsidR="00985CFC" w:rsidRPr="001632B6">
        <w:rPr>
          <w:rFonts w:eastAsiaTheme="minorEastAsia" w:cstheme="minorHAnsi"/>
          <w:color w:val="000000" w:themeColor="text1"/>
        </w:rPr>
        <w:t>= 1.6·10</w:t>
      </w:r>
      <w:r w:rsidR="00985CFC" w:rsidRPr="001632B6">
        <w:rPr>
          <w:rFonts w:eastAsiaTheme="minorEastAsia" w:cstheme="minorHAnsi"/>
          <w:color w:val="000000" w:themeColor="text1"/>
          <w:vertAlign w:val="superscript"/>
        </w:rPr>
        <w:t>-4</w:t>
      </w:r>
      <w:r w:rsidR="007B4137">
        <w:rPr>
          <w:rFonts w:eastAsiaTheme="minorEastAsia" w:cstheme="minorHAnsi"/>
          <w:color w:val="000000" w:themeColor="text1"/>
          <w:vertAlign w:val="superscript"/>
        </w:rPr>
        <w:t xml:space="preserve"> </w:t>
      </w:r>
      <w:r w:rsidR="00985CFC" w:rsidRPr="001632B6">
        <w:rPr>
          <w:rFonts w:eastAsiaTheme="minorEastAsia" w:cstheme="minorHAnsi"/>
          <w:color w:val="000000" w:themeColor="text1"/>
        </w:rPr>
        <w:t>±</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2.2·10</w:t>
      </w:r>
      <w:r w:rsidR="00985CFC" w:rsidRPr="001632B6">
        <w:rPr>
          <w:rFonts w:eastAsiaTheme="minorEastAsia" w:cstheme="minorHAnsi"/>
          <w:color w:val="000000" w:themeColor="text1"/>
          <w:vertAlign w:val="superscript"/>
        </w:rPr>
        <w:t>-5</w:t>
      </w:r>
      <w:r w:rsidR="00985CFC" w:rsidRPr="001632B6">
        <w:rPr>
          <w:rFonts w:eastAsiaTheme="minorEastAsia" w:cstheme="minorHAnsi"/>
          <w:color w:val="000000" w:themeColor="text1"/>
        </w:rPr>
        <w:t xml:space="preserve">; </w:t>
      </w:r>
      <w:r w:rsidR="00985CFC" w:rsidRPr="0057237F">
        <w:rPr>
          <w:rFonts w:eastAsiaTheme="minorEastAsia" w:cstheme="minorHAnsi"/>
          <w:i/>
          <w:iCs/>
          <w:color w:val="000000" w:themeColor="text1"/>
        </w:rPr>
        <w:t>p</w:t>
      </w:r>
      <w:r w:rsidR="00985CFC" w:rsidRPr="001632B6">
        <w:rPr>
          <w:rFonts w:eastAsiaTheme="minorEastAsia" w:cstheme="minorHAnsi"/>
          <w:color w:val="000000" w:themeColor="text1"/>
        </w:rPr>
        <w:t xml:space="preserve"> &lt; 0.001</w:t>
      </w:r>
      <w:r w:rsidR="00985CFC" w:rsidRPr="001632B6">
        <w:rPr>
          <w:rFonts w:cstheme="minorHAnsi"/>
          <w:color w:val="000000" w:themeColor="text1"/>
        </w:rPr>
        <w:t xml:space="preserve">) </w:t>
      </w:r>
      <w:r w:rsidR="00FE3C8B">
        <w:rPr>
          <w:rFonts w:cstheme="minorHAnsi"/>
          <w:color w:val="000000" w:themeColor="text1"/>
        </w:rPr>
        <w:t>validating</w:t>
      </w:r>
      <w:r w:rsidR="00FE3C8B" w:rsidRPr="001632B6">
        <w:rPr>
          <w:rFonts w:cstheme="minorHAnsi"/>
          <w:color w:val="000000" w:themeColor="text1"/>
        </w:rPr>
        <w:t xml:space="preserve"> </w:t>
      </w:r>
      <w:r w:rsidR="00985CFC" w:rsidRPr="001632B6">
        <w:rPr>
          <w:rFonts w:cstheme="minorHAnsi"/>
          <w:color w:val="000000" w:themeColor="text1"/>
        </w:rPr>
        <w:t>that participants were subject to physical fatigue</w:t>
      </w:r>
      <w:r w:rsidR="00273E9B">
        <w:rPr>
          <w:rFonts w:cstheme="minorHAnsi"/>
          <w:color w:val="000000" w:themeColor="text1"/>
        </w:rPr>
        <w:t xml:space="preserve"> </w:t>
      </w:r>
      <w:r w:rsidR="00273E9B" w:rsidRPr="001632B6">
        <w:rPr>
          <w:rFonts w:cstheme="minorHAnsi"/>
          <w:color w:val="000000" w:themeColor="text1"/>
        </w:rPr>
        <w:t xml:space="preserve">(or </w:t>
      </w:r>
      <w:r w:rsidR="007B4137">
        <w:rPr>
          <w:rFonts w:cstheme="minorHAnsi"/>
          <w:color w:val="000000" w:themeColor="text1"/>
        </w:rPr>
        <w:t xml:space="preserve">at least that they </w:t>
      </w:r>
      <w:r w:rsidR="00273E9B">
        <w:rPr>
          <w:rFonts w:cstheme="minorHAnsi"/>
          <w:color w:val="000000" w:themeColor="text1"/>
        </w:rPr>
        <w:t>actively tried</w:t>
      </w:r>
      <w:r w:rsidR="00273E9B" w:rsidRPr="001632B6">
        <w:rPr>
          <w:rFonts w:cstheme="minorHAnsi"/>
          <w:color w:val="000000" w:themeColor="text1"/>
        </w:rPr>
        <w:t xml:space="preserve"> to prevent</w:t>
      </w:r>
      <w:r w:rsidR="00273E9B">
        <w:rPr>
          <w:rFonts w:cstheme="minorHAnsi"/>
          <w:color w:val="000000" w:themeColor="text1"/>
        </w:rPr>
        <w:t xml:space="preserve"> its emergence</w:t>
      </w:r>
      <w:r w:rsidR="00273E9B" w:rsidRPr="001632B6">
        <w:rPr>
          <w:rFonts w:cstheme="minorHAnsi"/>
          <w:color w:val="000000" w:themeColor="text1"/>
        </w:rPr>
        <w:t>)</w:t>
      </w:r>
      <w:r w:rsidR="00985CFC" w:rsidRPr="001632B6">
        <w:rPr>
          <w:rFonts w:cstheme="minorHAnsi"/>
          <w:color w:val="000000" w:themeColor="text1"/>
        </w:rPr>
        <w:t>. On the contrary, in the mental effort task, they chose more often the high mental effort (HME) option across trials (</w:t>
      </w:r>
      <m:oMath>
        <m:r>
          <w:rPr>
            <w:rFonts w:ascii="Cambria Math" w:hAnsi="Cambria Math" w:cstheme="minorHAnsi"/>
            <w:color w:val="000000" w:themeColor="text1"/>
          </w:rPr>
          <m:t>β</m:t>
        </m:r>
        <m:sSub>
          <m:sSubPr>
            <m:ctrlPr>
              <w:rPr>
                <w:rFonts w:ascii="Cambria Math" w:hAnsi="Cambria Math" w:cstheme="minorHAnsi"/>
                <w:i/>
                <w:color w:val="000000" w:themeColor="text1"/>
              </w:rPr>
            </m:ctrlPr>
          </m:sSubPr>
          <m:e>
            <m:r>
              <w:rPr>
                <w:rFonts w:ascii="Cambria Math" w:hAnsi="Cambria Math" w:cstheme="minorHAnsi"/>
                <w:color w:val="000000" w:themeColor="text1"/>
              </w:rPr>
              <m:t>T</m:t>
            </m:r>
          </m:e>
          <m:sub>
            <m:r>
              <w:rPr>
                <w:rFonts w:ascii="Cambria Math" w:hAnsi="Cambria Math" w:cstheme="minorHAnsi"/>
                <w:color w:val="000000" w:themeColor="text1"/>
              </w:rPr>
              <m:t>m</m:t>
            </m:r>
          </m:sub>
        </m:sSub>
      </m:oMath>
      <w:r w:rsidR="00985CFC" w:rsidRPr="001632B6">
        <w:rPr>
          <w:rFonts w:eastAsiaTheme="minorEastAsia" w:cstheme="minorHAnsi"/>
          <w:color w:val="000000" w:themeColor="text1"/>
        </w:rPr>
        <w:t xml:space="preserve"> = </w:t>
      </w:r>
      <w:r w:rsidR="00EE7F5D">
        <w:rPr>
          <w:rFonts w:eastAsiaTheme="minorEastAsia" w:cstheme="minorHAnsi"/>
          <w:color w:val="000000" w:themeColor="text1"/>
        </w:rPr>
        <w:t>-</w:t>
      </w:r>
      <w:r w:rsidR="00985CFC" w:rsidRPr="001632B6">
        <w:rPr>
          <w:rFonts w:eastAsiaTheme="minorEastAsia" w:cstheme="minorHAnsi"/>
          <w:color w:val="000000" w:themeColor="text1"/>
        </w:rPr>
        <w:t>0.21</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w:t>
      </w:r>
      <w:r w:rsidR="007B4137">
        <w:rPr>
          <w:rFonts w:eastAsiaTheme="minorEastAsia" w:cstheme="minorHAnsi"/>
          <w:color w:val="000000" w:themeColor="text1"/>
        </w:rPr>
        <w:t xml:space="preserve"> </w:t>
      </w:r>
      <w:r w:rsidR="00985CFC" w:rsidRPr="001632B6">
        <w:rPr>
          <w:rFonts w:eastAsiaTheme="minorEastAsia" w:cstheme="minorHAnsi"/>
          <w:color w:val="000000" w:themeColor="text1"/>
        </w:rPr>
        <w:t xml:space="preserve">0.04; </w:t>
      </w:r>
      <w:r w:rsidR="00985CFC" w:rsidRPr="0057237F">
        <w:rPr>
          <w:rFonts w:eastAsiaTheme="minorEastAsia" w:cstheme="minorHAnsi"/>
          <w:i/>
          <w:iCs/>
          <w:color w:val="000000" w:themeColor="text1"/>
        </w:rPr>
        <w:t>p</w:t>
      </w:r>
      <w:r w:rsidR="00985CFC" w:rsidRPr="001632B6">
        <w:rPr>
          <w:rFonts w:eastAsiaTheme="minorEastAsia" w:cstheme="minorHAnsi"/>
          <w:color w:val="000000" w:themeColor="text1"/>
        </w:rPr>
        <w:t xml:space="preserve"> &lt; 0.001</w:t>
      </w:r>
      <w:r w:rsidR="00985CFC" w:rsidRPr="001632B6">
        <w:rPr>
          <w:rFonts w:cstheme="minorHAnsi"/>
          <w:color w:val="000000" w:themeColor="text1"/>
        </w:rPr>
        <w:t xml:space="preserve">) possibly because, despite the </w:t>
      </w:r>
      <w:r w:rsidR="007B4137">
        <w:rPr>
          <w:rFonts w:cstheme="minorHAnsi"/>
          <w:color w:val="000000" w:themeColor="text1"/>
        </w:rPr>
        <w:t>extensive</w:t>
      </w:r>
      <w:r w:rsidR="007B4137" w:rsidRPr="001632B6">
        <w:rPr>
          <w:rFonts w:cstheme="minorHAnsi"/>
          <w:color w:val="000000" w:themeColor="text1"/>
        </w:rPr>
        <w:t xml:space="preserve"> </w:t>
      </w:r>
      <w:r w:rsidR="00985CFC" w:rsidRPr="001632B6">
        <w:rPr>
          <w:rFonts w:cstheme="minorHAnsi"/>
          <w:color w:val="000000" w:themeColor="text1"/>
        </w:rPr>
        <w:t>preceding training, their efficiency in doing the mental efforts improved over time (β = 0.010</w:t>
      </w:r>
      <w:r w:rsidR="007B4137">
        <w:rPr>
          <w:rFonts w:cstheme="minorHAnsi"/>
          <w:color w:val="000000" w:themeColor="text1"/>
        </w:rPr>
        <w:t xml:space="preserve"> </w:t>
      </w:r>
      <w:r w:rsidR="00985CFC" w:rsidRPr="001632B6">
        <w:rPr>
          <w:rFonts w:cstheme="minorHAnsi"/>
          <w:color w:val="000000" w:themeColor="text1"/>
        </w:rPr>
        <w:t>±</w:t>
      </w:r>
      <w:r w:rsidR="007B4137">
        <w:rPr>
          <w:rFonts w:cstheme="minorHAnsi"/>
          <w:color w:val="000000" w:themeColor="text1"/>
        </w:rPr>
        <w:t xml:space="preserve"> </w:t>
      </w:r>
      <w:r w:rsidR="00985CFC" w:rsidRPr="001632B6">
        <w:rPr>
          <w:rFonts w:cstheme="minorHAnsi"/>
          <w:color w:val="000000" w:themeColor="text1"/>
        </w:rPr>
        <w:t>0.</w:t>
      </w:r>
      <w:r w:rsidR="00985CFC" w:rsidRPr="009141C3">
        <w:rPr>
          <w:rFonts w:cstheme="minorHAnsi"/>
          <w:color w:val="000000" w:themeColor="text1"/>
        </w:rPr>
        <w:t xml:space="preserve">003; </w:t>
      </w:r>
      <w:r w:rsidR="00985CFC" w:rsidRPr="0057237F">
        <w:rPr>
          <w:rFonts w:cstheme="minorHAnsi"/>
          <w:i/>
          <w:iCs/>
          <w:color w:val="000000" w:themeColor="text1"/>
        </w:rPr>
        <w:t>p</w:t>
      </w:r>
      <w:r w:rsidR="00985CFC" w:rsidRPr="009141C3">
        <w:rPr>
          <w:rFonts w:cstheme="minorHAnsi"/>
          <w:color w:val="000000" w:themeColor="text1"/>
        </w:rPr>
        <w:t xml:space="preserve"> = 0.003). Interestingly, participants also displayed a significant bias towards selecting the HE option independent of the varying variables of the task (</w:t>
      </w:r>
      <w:r w:rsidR="00AE0D2B" w:rsidRPr="009141C3">
        <w:rPr>
          <w:rFonts w:cstheme="minorHAnsi"/>
          <w:color w:val="000000" w:themeColor="text1"/>
          <w:lang w:val="el-GR"/>
        </w:rPr>
        <w:t>β</w:t>
      </w:r>
      <w:r w:rsidR="00AE0D2B" w:rsidRPr="009141C3">
        <w:rPr>
          <w:rFonts w:cstheme="minorHAnsi"/>
          <w:color w:val="000000" w:themeColor="text1"/>
        </w:rPr>
        <w:t>B</w:t>
      </w:r>
      <w:r w:rsidR="00985CFC" w:rsidRPr="009141C3">
        <w:rPr>
          <w:rFonts w:cstheme="minorHAnsi"/>
          <w:color w:val="000000" w:themeColor="text1"/>
        </w:rPr>
        <w:t>ias = 2.58</w:t>
      </w:r>
      <w:r w:rsidR="007B4137" w:rsidRPr="009141C3">
        <w:rPr>
          <w:rFonts w:cstheme="minorHAnsi"/>
          <w:color w:val="000000" w:themeColor="text1"/>
        </w:rPr>
        <w:t xml:space="preserve"> </w:t>
      </w:r>
      <w:r w:rsidR="00985CFC" w:rsidRPr="009141C3">
        <w:rPr>
          <w:rFonts w:cstheme="minorHAnsi"/>
          <w:color w:val="000000" w:themeColor="text1"/>
        </w:rPr>
        <w:t>±</w:t>
      </w:r>
      <w:r w:rsidR="007B4137" w:rsidRPr="009141C3">
        <w:rPr>
          <w:rFonts w:cstheme="minorHAnsi"/>
          <w:color w:val="000000" w:themeColor="text1"/>
        </w:rPr>
        <w:t xml:space="preserve"> </w:t>
      </w:r>
      <w:r w:rsidR="00985CFC" w:rsidRPr="009141C3">
        <w:rPr>
          <w:rFonts w:cstheme="minorHAnsi"/>
          <w:color w:val="000000" w:themeColor="text1"/>
        </w:rPr>
        <w:t xml:space="preserve">0.23; </w:t>
      </w:r>
      <w:r w:rsidR="00985CFC" w:rsidRPr="0057237F">
        <w:rPr>
          <w:rFonts w:cstheme="minorHAnsi"/>
          <w:i/>
          <w:iCs/>
          <w:color w:val="000000" w:themeColor="text1"/>
        </w:rPr>
        <w:t>p</w:t>
      </w:r>
      <w:r w:rsidR="00985CFC" w:rsidRPr="009141C3">
        <w:rPr>
          <w:rFonts w:cstheme="minorHAnsi"/>
          <w:color w:val="000000" w:themeColor="text1"/>
        </w:rPr>
        <w:t xml:space="preserve"> &lt; 0.001)</w:t>
      </w:r>
      <w:r w:rsidR="00C973F0" w:rsidRPr="009141C3">
        <w:rPr>
          <w:rFonts w:cstheme="minorHAnsi"/>
          <w:color w:val="000000" w:themeColor="text1"/>
        </w:rPr>
        <w:t>, further confirming the</w:t>
      </w:r>
      <w:r w:rsidR="00B74360" w:rsidRPr="009141C3">
        <w:rPr>
          <w:rFonts w:cstheme="minorHAnsi"/>
          <w:color w:val="000000" w:themeColor="text1"/>
        </w:rPr>
        <w:t xml:space="preserve"> validity of the</w:t>
      </w:r>
      <w:r w:rsidR="00C973F0" w:rsidRPr="009141C3">
        <w:rPr>
          <w:rFonts w:cstheme="minorHAnsi"/>
          <w:color w:val="000000" w:themeColor="text1"/>
        </w:rPr>
        <w:t xml:space="preserve"> parameters included in our main computational model</w:t>
      </w:r>
      <w:r w:rsidR="00985CFC" w:rsidRPr="009141C3">
        <w:rPr>
          <w:rFonts w:cstheme="minorHAnsi"/>
          <w:color w:val="000000" w:themeColor="text1"/>
        </w:rPr>
        <w:t>.</w:t>
      </w:r>
    </w:p>
    <w:p w14:paraId="5362F95B" w14:textId="7BC88F22" w:rsidR="00F92448" w:rsidRDefault="007C603F" w:rsidP="00985CFC">
      <w:pPr>
        <w:rPr>
          <w:rFonts w:cstheme="minorHAnsi"/>
          <w:color w:val="000000" w:themeColor="text1"/>
        </w:rPr>
      </w:pPr>
      <w:r w:rsidRPr="009141C3">
        <w:rPr>
          <w:rFonts w:cstheme="minorHAnsi"/>
          <w:color w:val="000000" w:themeColor="text1"/>
        </w:rPr>
        <w:t>We initially expected that participants might be more motivated to choose high efforts in the loss domain than in the gain domain due to loss aversion.</w:t>
      </w:r>
      <w:r w:rsidR="006B2284" w:rsidRPr="009141C3">
        <w:rPr>
          <w:rFonts w:cstheme="minorHAnsi"/>
          <w:color w:val="000000" w:themeColor="text1"/>
        </w:rPr>
        <w:t xml:space="preserve"> Quite expectedly, we observed that the proportion of HE choices in reward trials was highly correlated with the proportion of HE choices in the loss trials (r = 0.47, </w:t>
      </w:r>
      <w:r w:rsidR="006B2284" w:rsidRPr="0057237F">
        <w:rPr>
          <w:rFonts w:cstheme="minorHAnsi"/>
          <w:i/>
          <w:iCs/>
          <w:color w:val="000000" w:themeColor="text1"/>
        </w:rPr>
        <w:t>p</w:t>
      </w:r>
      <w:r w:rsidR="006B2284" w:rsidRPr="009141C3">
        <w:rPr>
          <w:rFonts w:cstheme="minorHAnsi"/>
          <w:color w:val="000000" w:themeColor="text1"/>
        </w:rPr>
        <w:t xml:space="preserve"> &lt; 0.001) which was also reflected in the correlation between the gain and loss parameters from our computational model (r = 0.45, </w:t>
      </w:r>
      <w:r w:rsidR="006B2284" w:rsidRPr="0057237F">
        <w:rPr>
          <w:rFonts w:cstheme="minorHAnsi"/>
          <w:i/>
          <w:iCs/>
          <w:color w:val="000000" w:themeColor="text1"/>
        </w:rPr>
        <w:t>p</w:t>
      </w:r>
      <w:r w:rsidR="006B2284" w:rsidRPr="009141C3">
        <w:rPr>
          <w:rFonts w:cstheme="minorHAnsi"/>
          <w:color w:val="000000" w:themeColor="text1"/>
        </w:rPr>
        <w:t xml:space="preserve"> &lt; 0.001).</w:t>
      </w:r>
      <w:r w:rsidRPr="009141C3">
        <w:rPr>
          <w:rFonts w:cstheme="minorHAnsi"/>
          <w:color w:val="000000" w:themeColor="text1"/>
        </w:rPr>
        <w:t xml:space="preserve"> However, </w:t>
      </w:r>
      <w:r w:rsidR="00421DCB" w:rsidRPr="009141C3">
        <w:rPr>
          <w:rFonts w:cstheme="minorHAnsi"/>
          <w:color w:val="000000" w:themeColor="text1"/>
        </w:rPr>
        <w:t xml:space="preserve">instead of loss aversion, </w:t>
      </w:r>
      <w:r w:rsidR="00FA6709" w:rsidRPr="009141C3">
        <w:rPr>
          <w:rFonts w:cstheme="minorHAnsi"/>
          <w:color w:val="000000" w:themeColor="text1"/>
        </w:rPr>
        <w:t xml:space="preserve">we </w:t>
      </w:r>
      <w:r w:rsidR="00421DCB" w:rsidRPr="009141C3">
        <w:rPr>
          <w:rFonts w:cstheme="minorHAnsi"/>
          <w:color w:val="000000" w:themeColor="text1"/>
        </w:rPr>
        <w:t>actually</w:t>
      </w:r>
      <w:r w:rsidR="000B4FDC" w:rsidRPr="009141C3">
        <w:rPr>
          <w:rFonts w:cstheme="minorHAnsi"/>
          <w:color w:val="000000" w:themeColor="text1"/>
        </w:rPr>
        <w:t xml:space="preserve"> </w:t>
      </w:r>
      <w:r w:rsidR="00FA6709" w:rsidRPr="009141C3">
        <w:rPr>
          <w:rFonts w:cstheme="minorHAnsi"/>
          <w:color w:val="000000" w:themeColor="text1"/>
        </w:rPr>
        <w:t xml:space="preserve">observed that the proportion of HE choices </w:t>
      </w:r>
      <w:r w:rsidR="000B4FDC" w:rsidRPr="009141C3">
        <w:rPr>
          <w:rFonts w:cstheme="minorHAnsi"/>
          <w:color w:val="000000" w:themeColor="text1"/>
        </w:rPr>
        <w:t>was higher in the gain than in the loss condition</w:t>
      </w:r>
      <w:r w:rsidR="00FA6709" w:rsidRPr="009141C3">
        <w:rPr>
          <w:rFonts w:cstheme="minorHAnsi"/>
          <w:color w:val="000000" w:themeColor="text1"/>
        </w:rPr>
        <w:t xml:space="preserve"> (</w:t>
      </w:r>
      <w:r w:rsidR="000B4FDC" w:rsidRPr="009141C3">
        <w:rPr>
          <w:rFonts w:cstheme="minorHAnsi"/>
          <w:color w:val="000000" w:themeColor="text1"/>
        </w:rPr>
        <w:t xml:space="preserve">gains: 69.21 ± 1.84% &gt; losses: 61.98 ± 1.97%; </w:t>
      </w:r>
      <w:r w:rsidR="000B4FDC" w:rsidRPr="0057237F">
        <w:rPr>
          <w:rFonts w:cstheme="minorHAnsi"/>
          <w:i/>
          <w:iCs/>
          <w:color w:val="000000" w:themeColor="text1"/>
        </w:rPr>
        <w:t>p</w:t>
      </w:r>
      <w:r w:rsidR="000B4FDC" w:rsidRPr="009141C3">
        <w:rPr>
          <w:rFonts w:cstheme="minorHAnsi"/>
          <w:color w:val="000000" w:themeColor="text1"/>
        </w:rPr>
        <w:t xml:space="preserve"> &lt; 0.001</w:t>
      </w:r>
      <w:r w:rsidR="00FA6709" w:rsidRPr="009141C3">
        <w:rPr>
          <w:rFonts w:cstheme="minorHAnsi"/>
          <w:color w:val="000000" w:themeColor="text1"/>
        </w:rPr>
        <w:t>)</w:t>
      </w:r>
      <w:r w:rsidR="000B4FDC" w:rsidRPr="009141C3">
        <w:rPr>
          <w:rFonts w:cstheme="minorHAnsi"/>
          <w:color w:val="000000" w:themeColor="text1"/>
        </w:rPr>
        <w:t>. The same was true when</w:t>
      </w:r>
      <w:r w:rsidR="00FA6709" w:rsidRPr="009141C3">
        <w:rPr>
          <w:rFonts w:cstheme="minorHAnsi"/>
          <w:color w:val="000000" w:themeColor="text1"/>
        </w:rPr>
        <w:t xml:space="preserve"> looking separately at physical </w:t>
      </w:r>
      <w:r w:rsidR="000B4FDC" w:rsidRPr="009141C3">
        <w:rPr>
          <w:rFonts w:cstheme="minorHAnsi"/>
          <w:color w:val="000000" w:themeColor="text1"/>
        </w:rPr>
        <w:t xml:space="preserve">efforts </w:t>
      </w:r>
      <w:r w:rsidR="00FA6709" w:rsidRPr="009141C3">
        <w:rPr>
          <w:rFonts w:cstheme="minorHAnsi"/>
          <w:color w:val="000000" w:themeColor="text1"/>
        </w:rPr>
        <w:t>(</w:t>
      </w:r>
      <w:r w:rsidR="000B4FDC" w:rsidRPr="009141C3">
        <w:rPr>
          <w:rFonts w:cstheme="minorHAnsi"/>
          <w:color w:val="000000" w:themeColor="text1"/>
        </w:rPr>
        <w:t xml:space="preserve">gains: 63.26 ± 2.55% &gt; losses: 53.24 ± 2.76%; </w:t>
      </w:r>
      <w:r w:rsidR="000B4FDC" w:rsidRPr="0057237F">
        <w:rPr>
          <w:rFonts w:cstheme="minorHAnsi"/>
          <w:i/>
          <w:iCs/>
          <w:color w:val="000000" w:themeColor="text1"/>
        </w:rPr>
        <w:t>p</w:t>
      </w:r>
      <w:r w:rsidR="000B4FDC" w:rsidRPr="009141C3">
        <w:rPr>
          <w:rFonts w:cstheme="minorHAnsi"/>
          <w:color w:val="000000" w:themeColor="text1"/>
        </w:rPr>
        <w:t xml:space="preserve"> &lt; 0.001</w:t>
      </w:r>
      <w:r w:rsidR="00FA6709" w:rsidRPr="009141C3">
        <w:rPr>
          <w:rFonts w:cstheme="minorHAnsi"/>
          <w:color w:val="000000" w:themeColor="text1"/>
        </w:rPr>
        <w:t xml:space="preserve">) </w:t>
      </w:r>
      <w:r w:rsidR="000B4FDC" w:rsidRPr="009141C3">
        <w:rPr>
          <w:rFonts w:cstheme="minorHAnsi"/>
          <w:color w:val="000000" w:themeColor="text1"/>
        </w:rPr>
        <w:t>and the same tendency appeared f</w:t>
      </w:r>
      <w:r w:rsidR="00FA6709" w:rsidRPr="009141C3">
        <w:rPr>
          <w:rFonts w:cstheme="minorHAnsi"/>
          <w:color w:val="000000" w:themeColor="text1"/>
        </w:rPr>
        <w:t>or mental</w:t>
      </w:r>
      <w:r w:rsidR="000B4FDC" w:rsidRPr="009141C3">
        <w:rPr>
          <w:rFonts w:cstheme="minorHAnsi"/>
          <w:color w:val="000000" w:themeColor="text1"/>
        </w:rPr>
        <w:t xml:space="preserve"> efforts</w:t>
      </w:r>
      <w:r w:rsidR="006F0208" w:rsidRPr="009141C3">
        <w:rPr>
          <w:rFonts w:cstheme="minorHAnsi"/>
          <w:color w:val="000000" w:themeColor="text1"/>
        </w:rPr>
        <w:t xml:space="preserve"> albeit not significant</w:t>
      </w:r>
      <w:r w:rsidR="00FA6709" w:rsidRPr="009141C3">
        <w:rPr>
          <w:rFonts w:cstheme="minorHAnsi"/>
          <w:color w:val="000000" w:themeColor="text1"/>
        </w:rPr>
        <w:t xml:space="preserve"> (</w:t>
      </w:r>
      <w:r w:rsidR="000B4FDC" w:rsidRPr="009141C3">
        <w:rPr>
          <w:rFonts w:cstheme="minorHAnsi"/>
          <w:color w:val="000000" w:themeColor="text1"/>
        </w:rPr>
        <w:t xml:space="preserve">gains: 76.73 ± 2.18% &gt; losses: 73.25 ± 2.28%; </w:t>
      </w:r>
      <w:r w:rsidR="000B4FDC" w:rsidRPr="0057237F">
        <w:rPr>
          <w:rFonts w:cstheme="minorHAnsi"/>
          <w:i/>
          <w:iCs/>
          <w:color w:val="000000" w:themeColor="text1"/>
        </w:rPr>
        <w:t>p</w:t>
      </w:r>
      <w:r w:rsidR="000B4FDC" w:rsidRPr="009141C3">
        <w:rPr>
          <w:rFonts w:cstheme="minorHAnsi"/>
          <w:color w:val="000000" w:themeColor="text1"/>
        </w:rPr>
        <w:t xml:space="preserve"> = 0.059</w:t>
      </w:r>
      <w:r w:rsidR="00FA6709" w:rsidRPr="009141C3">
        <w:rPr>
          <w:rFonts w:cstheme="minorHAnsi"/>
          <w:color w:val="000000" w:themeColor="text1"/>
        </w:rPr>
        <w:t xml:space="preserve">). Accordingly, </w:t>
      </w:r>
      <w:r w:rsidRPr="009141C3">
        <w:rPr>
          <w:rFonts w:cstheme="minorHAnsi"/>
          <w:color w:val="000000" w:themeColor="text1"/>
        </w:rPr>
        <w:t xml:space="preserve">we observed that the gain </w:t>
      </w:r>
      <w:r w:rsidR="000B4FDC" w:rsidRPr="009141C3">
        <w:rPr>
          <w:rFonts w:cstheme="minorHAnsi"/>
          <w:color w:val="000000" w:themeColor="text1"/>
        </w:rPr>
        <w:t xml:space="preserve">parameter </w:t>
      </w:r>
      <w:r w:rsidR="00FA6709" w:rsidRPr="009141C3">
        <w:rPr>
          <w:rFonts w:cstheme="minorHAnsi"/>
          <w:color w:val="000000" w:themeColor="text1"/>
        </w:rPr>
        <w:t xml:space="preserve">from our computational model </w:t>
      </w:r>
      <w:r w:rsidR="00806C56" w:rsidRPr="009141C3">
        <w:rPr>
          <w:rFonts w:cstheme="minorHAnsi"/>
          <w:color w:val="000000" w:themeColor="text1"/>
        </w:rPr>
        <w:t>also tended to be higher than the loss parameter, although not significantly</w:t>
      </w:r>
      <w:r w:rsidRPr="009141C3">
        <w:rPr>
          <w:rFonts w:cstheme="minorHAnsi"/>
          <w:color w:val="000000" w:themeColor="text1"/>
        </w:rPr>
        <w:t xml:space="preserve"> (</w:t>
      </w:r>
      <w:bookmarkStart w:id="4" w:name="_Hlk172897046"/>
      <w:r w:rsidR="00806C56" w:rsidRPr="009141C3">
        <w:rPr>
          <w:rFonts w:cstheme="minorHAnsi"/>
          <w:color w:val="000000" w:themeColor="text1"/>
        </w:rPr>
        <w:t xml:space="preserve">paired t.test: </w:t>
      </w:r>
      <w:r w:rsidRPr="009141C3">
        <w:rPr>
          <w:rFonts w:cstheme="minorHAnsi"/>
          <w:color w:val="000000" w:themeColor="text1"/>
        </w:rPr>
        <w:t xml:space="preserve">kR = </w:t>
      </w:r>
      <w:r w:rsidR="00806C56" w:rsidRPr="009141C3">
        <w:rPr>
          <w:rFonts w:cstheme="minorHAnsi"/>
          <w:color w:val="000000" w:themeColor="text1"/>
        </w:rPr>
        <w:t>0.53 ± 0.12 &gt;</w:t>
      </w:r>
      <w:r w:rsidRPr="009141C3">
        <w:rPr>
          <w:rFonts w:cstheme="minorHAnsi"/>
          <w:color w:val="000000" w:themeColor="text1"/>
        </w:rPr>
        <w:t xml:space="preserve"> kP = </w:t>
      </w:r>
      <w:r w:rsidR="00806C56" w:rsidRPr="009141C3">
        <w:rPr>
          <w:rFonts w:cstheme="minorHAnsi"/>
          <w:color w:val="000000" w:themeColor="text1"/>
        </w:rPr>
        <w:t>0.32 ± 0.06;</w:t>
      </w:r>
      <w:r w:rsidRPr="009141C3">
        <w:rPr>
          <w:rFonts w:cstheme="minorHAnsi"/>
          <w:color w:val="000000" w:themeColor="text1"/>
        </w:rPr>
        <w:t xml:space="preserve"> </w:t>
      </w:r>
      <w:r w:rsidRPr="0057237F">
        <w:rPr>
          <w:rFonts w:cstheme="minorHAnsi"/>
          <w:i/>
          <w:iCs/>
          <w:color w:val="000000" w:themeColor="text1"/>
        </w:rPr>
        <w:t>p</w:t>
      </w:r>
      <w:r w:rsidRPr="009141C3">
        <w:rPr>
          <w:rFonts w:cstheme="minorHAnsi"/>
          <w:color w:val="000000" w:themeColor="text1"/>
        </w:rPr>
        <w:t xml:space="preserve"> =</w:t>
      </w:r>
      <w:r w:rsidR="00806C56" w:rsidRPr="009141C3">
        <w:rPr>
          <w:rFonts w:cstheme="minorHAnsi"/>
          <w:color w:val="000000" w:themeColor="text1"/>
        </w:rPr>
        <w:t xml:space="preserve"> 0.056</w:t>
      </w:r>
      <w:bookmarkEnd w:id="4"/>
      <w:r w:rsidRPr="009141C3">
        <w:rPr>
          <w:rFonts w:cstheme="minorHAnsi"/>
          <w:color w:val="000000" w:themeColor="text1"/>
        </w:rPr>
        <w:t>).</w:t>
      </w:r>
      <w:r w:rsidR="00FA6709" w:rsidRPr="009141C3">
        <w:rPr>
          <w:rFonts w:cstheme="minorHAnsi"/>
          <w:color w:val="000000" w:themeColor="text1"/>
        </w:rPr>
        <w:t xml:space="preserve"> </w:t>
      </w:r>
      <w:r w:rsidR="00143E5F" w:rsidRPr="009141C3">
        <w:rPr>
          <w:rFonts w:cstheme="minorHAnsi"/>
          <w:color w:val="000000" w:themeColor="text1"/>
        </w:rPr>
        <w:t xml:space="preserve">Our results therefore suggest that, in our tasks, individuals do not display loss aversion, but instead a slight boost towards </w:t>
      </w:r>
      <w:r w:rsidR="00F323A0" w:rsidRPr="009141C3">
        <w:rPr>
          <w:rFonts w:cstheme="minorHAnsi"/>
          <w:color w:val="000000" w:themeColor="text1"/>
        </w:rPr>
        <w:t xml:space="preserve">exerting more effort for </w:t>
      </w:r>
      <w:r w:rsidR="00143E5F" w:rsidRPr="009141C3">
        <w:rPr>
          <w:rFonts w:cstheme="minorHAnsi"/>
          <w:color w:val="000000" w:themeColor="text1"/>
        </w:rPr>
        <w:t xml:space="preserve">gains </w:t>
      </w:r>
      <w:r w:rsidR="00F323A0" w:rsidRPr="009141C3">
        <w:rPr>
          <w:rFonts w:cstheme="minorHAnsi"/>
          <w:color w:val="000000" w:themeColor="text1"/>
        </w:rPr>
        <w:t>in comparison with</w:t>
      </w:r>
      <w:r w:rsidR="00143E5F" w:rsidRPr="009141C3">
        <w:rPr>
          <w:rFonts w:cstheme="minorHAnsi"/>
          <w:color w:val="000000" w:themeColor="text1"/>
        </w:rPr>
        <w:t xml:space="preserve"> losses.</w:t>
      </w:r>
    </w:p>
    <w:p w14:paraId="6ABF9A43" w14:textId="77777777" w:rsidR="0019022B" w:rsidRPr="00B02E55" w:rsidRDefault="0019022B" w:rsidP="00B67DC0">
      <w:pPr>
        <w:pStyle w:val="Titre3"/>
        <w:rPr>
          <w:rStyle w:val="lev"/>
          <w:bCs w:val="0"/>
        </w:rPr>
      </w:pPr>
      <w:r w:rsidRPr="00B02E55">
        <w:rPr>
          <w:rStyle w:val="lev"/>
          <w:b/>
          <w:bCs w:val="0"/>
        </w:rPr>
        <w:t xml:space="preserve">Deliberation </w:t>
      </w:r>
      <w:r w:rsidRPr="00B67DC0">
        <w:rPr>
          <w:rStyle w:val="lev"/>
          <w:b/>
          <w:bCs w:val="0"/>
        </w:rPr>
        <w:t>Times</w:t>
      </w:r>
      <w:r w:rsidRPr="00B02E55">
        <w:rPr>
          <w:rStyle w:val="lev"/>
          <w:b/>
          <w:bCs w:val="0"/>
        </w:rPr>
        <w:t xml:space="preserve"> Analysis</w:t>
      </w:r>
    </w:p>
    <w:p w14:paraId="589CBFC8" w14:textId="1DE3838F" w:rsidR="002F47B7" w:rsidRDefault="0019022B" w:rsidP="002F47B7">
      <w:pPr>
        <w:rPr>
          <w:rFonts w:cstheme="minorHAnsi"/>
        </w:rPr>
      </w:pPr>
      <w:r w:rsidRPr="00B02E55">
        <w:t xml:space="preserve">Next, a GLM was employed to analyze deliberation times (DT) during choices, incorporating variables such as incentive levels, effort difficulty, a bias towards reward versus punishment, and confidence levels. </w:t>
      </w:r>
      <w:r w:rsidR="0023478B">
        <w:t>Participants took faster decisions (i.e.,</w:t>
      </w:r>
      <w:r w:rsidRPr="00B02E55">
        <w:t xml:space="preserve"> faster DTs</w:t>
      </w:r>
      <w:r w:rsidR="0023478B">
        <w:t>)</w:t>
      </w:r>
      <w:r w:rsidRPr="00B02E55">
        <w:t xml:space="preserve"> for rewards compared to punishments (β</w:t>
      </w:r>
      <w:r w:rsidRPr="00B02E55">
        <w:rPr>
          <w:vertAlign w:val="subscript"/>
        </w:rPr>
        <w:t>RP</w:t>
      </w:r>
      <w:r w:rsidRPr="00B02E55">
        <w:t xml:space="preserve"> = -</w:t>
      </w:r>
      <w:r w:rsidR="00AF0857">
        <w:t>0.189</w:t>
      </w:r>
      <w:r w:rsidRPr="00B02E55">
        <w:t xml:space="preserve"> ±</w:t>
      </w:r>
      <w:r w:rsidR="00AF0857">
        <w:t xml:space="preserve"> 0.037</w:t>
      </w:r>
      <w:r w:rsidRPr="00B02E55">
        <w:t xml:space="preserve">; </w:t>
      </w:r>
      <w:r w:rsidRPr="0057237F">
        <w:rPr>
          <w:i/>
          <w:iCs/>
        </w:rPr>
        <w:t>p</w:t>
      </w:r>
      <w:r w:rsidRPr="00B02E55">
        <w:t xml:space="preserve"> &lt; 0.001)</w:t>
      </w:r>
      <w:r w:rsidR="002015AB">
        <w:t>,</w:t>
      </w:r>
      <w:r w:rsidRPr="00B02E55">
        <w:t xml:space="preserve"> </w:t>
      </w:r>
      <w:r w:rsidR="002015AB">
        <w:t>but different</w:t>
      </w:r>
      <w:r w:rsidRPr="00B02E55">
        <w:t xml:space="preserve"> reward levels (β</w:t>
      </w:r>
      <w:r w:rsidRPr="00B02E55">
        <w:rPr>
          <w:vertAlign w:val="subscript"/>
        </w:rPr>
        <w:t>R</w:t>
      </w:r>
      <w:r w:rsidRPr="00B02E55">
        <w:t xml:space="preserve"> = -</w:t>
      </w:r>
      <w:r w:rsidR="00A0594B">
        <w:t>0.917</w:t>
      </w:r>
      <w:r w:rsidR="0017096C">
        <w:t xml:space="preserve"> </w:t>
      </w:r>
      <w:r w:rsidRPr="00B02E55">
        <w:t>±</w:t>
      </w:r>
      <w:r w:rsidR="0017096C">
        <w:t xml:space="preserve"> 0.641</w:t>
      </w:r>
      <w:r w:rsidRPr="00B02E55">
        <w:t xml:space="preserve">; </w:t>
      </w:r>
      <w:r w:rsidRPr="0057237F">
        <w:rPr>
          <w:i/>
          <w:iCs/>
        </w:rPr>
        <w:t>p</w:t>
      </w:r>
      <w:r w:rsidRPr="00B02E55">
        <w:t xml:space="preserve"> =</w:t>
      </w:r>
      <w:r w:rsidR="00830561">
        <w:t xml:space="preserve"> 0.158</w:t>
      </w:r>
      <w:r w:rsidRPr="00B02E55">
        <w:t xml:space="preserve">) </w:t>
      </w:r>
      <w:r w:rsidR="002015AB">
        <w:t>or</w:t>
      </w:r>
      <w:r w:rsidR="002015AB" w:rsidRPr="00B02E55">
        <w:t xml:space="preserve"> </w:t>
      </w:r>
      <w:r w:rsidRPr="00B02E55">
        <w:t>punishment levels did not significantly affect DTs (β</w:t>
      </w:r>
      <w:r w:rsidRPr="00B02E55">
        <w:rPr>
          <w:vertAlign w:val="subscript"/>
        </w:rPr>
        <w:t>P</w:t>
      </w:r>
      <w:r w:rsidRPr="00B02E55">
        <w:t xml:space="preserve"> = </w:t>
      </w:r>
      <w:r w:rsidR="00B44E0A">
        <w:t xml:space="preserve">1.134 </w:t>
      </w:r>
      <w:r w:rsidRPr="00B02E55">
        <w:t>±</w:t>
      </w:r>
      <w:r w:rsidR="002812B3">
        <w:t xml:space="preserve"> 0.595</w:t>
      </w:r>
      <w:r w:rsidRPr="00B02E55">
        <w:t xml:space="preserve">; </w:t>
      </w:r>
      <w:r w:rsidRPr="0057237F">
        <w:rPr>
          <w:i/>
          <w:iCs/>
        </w:rPr>
        <w:t>p</w:t>
      </w:r>
      <w:r w:rsidRPr="00B02E55">
        <w:t xml:space="preserve"> =</w:t>
      </w:r>
      <w:r w:rsidR="00590784">
        <w:t xml:space="preserve"> 0.061</w:t>
      </w:r>
      <w:r w:rsidRPr="00B02E55">
        <w:t>). Increased effort difficulty led to longer DTs in both the physical (</w:t>
      </w:r>
      <w:r w:rsidR="00AA193D" w:rsidRPr="00AA193D">
        <w:rPr>
          <w:rStyle w:val="FigurerefCar"/>
        </w:rPr>
        <w:t xml:space="preserve">Supplementary </w:t>
      </w:r>
      <w:r w:rsidRPr="00B02E55">
        <w:rPr>
          <w:rStyle w:val="FigurerefCar"/>
          <w:rFonts w:cstheme="minorHAnsi"/>
        </w:rPr>
        <w:t>Fig. S1-</w:t>
      </w:r>
      <w:r w:rsidR="00871BDA">
        <w:rPr>
          <w:rStyle w:val="FigurerefCar"/>
          <w:rFonts w:cstheme="minorHAnsi"/>
        </w:rPr>
        <w:t>1</w:t>
      </w:r>
      <w:r w:rsidRPr="00B02E55">
        <w:rPr>
          <w:rStyle w:val="FigurerefCar"/>
          <w:rFonts w:cstheme="minorHAnsi"/>
        </w:rPr>
        <w:t>B</w:t>
      </w:r>
      <w:r w:rsidRPr="00B02E55">
        <w:t>; β</w:t>
      </w:r>
      <w:r w:rsidRPr="00B02E55">
        <w:rPr>
          <w:vertAlign w:val="subscript"/>
        </w:rPr>
        <w:t>Ep</w:t>
      </w:r>
      <w:r w:rsidRPr="00B02E55">
        <w:t xml:space="preserve"> = </w:t>
      </w:r>
      <w:r w:rsidR="00590784">
        <w:t xml:space="preserve">0.043 </w:t>
      </w:r>
      <w:r w:rsidRPr="00B02E55">
        <w:t>±</w:t>
      </w:r>
      <w:r w:rsidR="00BE0D22">
        <w:t xml:space="preserve"> 0.015</w:t>
      </w:r>
      <w:r w:rsidRPr="00B02E55">
        <w:t xml:space="preserve">; </w:t>
      </w:r>
      <w:r w:rsidRPr="0057237F">
        <w:rPr>
          <w:i/>
          <w:iCs/>
        </w:rPr>
        <w:t>p</w:t>
      </w:r>
      <w:r w:rsidRPr="00B02E55">
        <w:t xml:space="preserve"> =</w:t>
      </w:r>
      <w:r w:rsidR="00AE23FB">
        <w:t xml:space="preserve"> 0.005</w:t>
      </w:r>
      <w:r w:rsidRPr="00B02E55">
        <w:t>) and the mental (</w:t>
      </w:r>
      <w:r w:rsidR="00AA193D" w:rsidRPr="00AA193D">
        <w:rPr>
          <w:rStyle w:val="FigurerefCar"/>
        </w:rPr>
        <w:t xml:space="preserve">Supplementary </w:t>
      </w:r>
      <w:r w:rsidRPr="00B02E55">
        <w:rPr>
          <w:rStyle w:val="FigurerefCar"/>
          <w:rFonts w:cstheme="minorHAnsi"/>
        </w:rPr>
        <w:t>Fig. S1-</w:t>
      </w:r>
      <w:r w:rsidR="00871BDA">
        <w:rPr>
          <w:rStyle w:val="FigurerefCar"/>
          <w:rFonts w:cstheme="minorHAnsi"/>
        </w:rPr>
        <w:t>1</w:t>
      </w:r>
      <w:r w:rsidRPr="00B02E55">
        <w:rPr>
          <w:rStyle w:val="FigurerefCar"/>
          <w:rFonts w:cstheme="minorHAnsi"/>
        </w:rPr>
        <w:t>B</w:t>
      </w:r>
      <w:r w:rsidRPr="00B02E55">
        <w:t>; β</w:t>
      </w:r>
      <w:r w:rsidRPr="00B02E55">
        <w:rPr>
          <w:vertAlign w:val="subscript"/>
        </w:rPr>
        <w:t>Em</w:t>
      </w:r>
      <w:r w:rsidRPr="00B02E55">
        <w:t xml:space="preserve"> = </w:t>
      </w:r>
      <w:r w:rsidR="00C03D96">
        <w:t xml:space="preserve">0.078 </w:t>
      </w:r>
      <w:r w:rsidRPr="00B02E55">
        <w:t>±</w:t>
      </w:r>
      <w:r w:rsidR="00BE0D22">
        <w:t xml:space="preserve"> 0.021</w:t>
      </w:r>
      <w:r w:rsidRPr="00B02E55">
        <w:t xml:space="preserve">; </w:t>
      </w:r>
      <w:r w:rsidRPr="0057237F">
        <w:rPr>
          <w:i/>
          <w:iCs/>
        </w:rPr>
        <w:t>p</w:t>
      </w:r>
      <w:r w:rsidRPr="00B02E55">
        <w:t xml:space="preserve"> &lt; 0.001) tasks. Higher confidence levels corresponded to faster DTs (β</w:t>
      </w:r>
      <w:r w:rsidRPr="00B02E55">
        <w:rPr>
          <w:vertAlign w:val="subscript"/>
        </w:rPr>
        <w:t>Conf</w:t>
      </w:r>
      <w:r w:rsidRPr="00B02E55">
        <w:t xml:space="preserve"> = -</w:t>
      </w:r>
      <w:r w:rsidR="002D7966">
        <w:t xml:space="preserve">0.464 </w:t>
      </w:r>
      <w:r w:rsidRPr="00B02E55">
        <w:t>±</w:t>
      </w:r>
      <w:r w:rsidR="005D1BE3">
        <w:t xml:space="preserve"> 0.050</w:t>
      </w:r>
      <w:r w:rsidRPr="00B02E55">
        <w:t xml:space="preserve">; </w:t>
      </w:r>
      <w:r w:rsidRPr="0057237F">
        <w:rPr>
          <w:i/>
          <w:iCs/>
        </w:rPr>
        <w:t>p</w:t>
      </w:r>
      <w:r w:rsidRPr="00B02E55">
        <w:t xml:space="preserve"> &lt; 0.001) as usually observed in decision-making tasks </w:t>
      </w:r>
      <w:r w:rsidRPr="00B02E55">
        <w:fldChar w:fldCharType="begin"/>
      </w:r>
      <w:r w:rsidR="0017298A">
        <w:instrText xml:space="preserve"> ADDIN ZOTERO_ITEM CSL_CITATION {"citationID":"poOxIjg3","properties":{"formattedCitation":"[10, 11]","plainCitation":"[10, 11]","noteIndex":0},"citationItems":[{"id":13309,"uris":["http://zotero.org/groups/4965861/items/VCQ5W5E4"],"itemData":{"id":13309,"type":"article-journal","abstract":"Decisions are never perfect, with confidence in one's choices fluctuating over time. How subjective confidence and valuation of choice options interact at the level of brain and behavior is unknown. Using a dynamic model of the decision process, we show that confidence reflects the evolution of a decision variable over time, explaining the observed relation between confidence, value, accuracy and reaction time. As predicted by our dynamic model, we show that a functional magnetic resonance imaging signal in human ventromedial prefrontal cortex (vmPFC) reflects both value comparison and confidence in the value comparison process. Crucially, individuals varied in how they related confidence to accuracy, allowing us to show that this introspective ability is predicted by a measure of functional connectivity between vmPFC and rostrolateral prefrontal cortex. Our findings provide a mechanistic link between noise in value comparison and metacognitive awareness of choice, enabling us both to want and to express knowledge of what we want.","container-title":"Nature Neuroscience","DOI":"10.1038/nn.3279","ISSN":"1546-1726","issue":"1","journalAbbreviation":"Nat Neurosci","language":"eng","note":"PMID: 23222911\nPMCID: PMC3786394","page":"105-110","source":"PubMed","title":"Confidence in value-based choice","volume":"16","author":[{"family":"De Martino","given":"Benedetto"},{"family":"Fleming","given":"Stephen M."},{"family":"Garrett","given":"Neil"},{"family":"Dolan","given":"Raymond J."}],"issued":{"date-parts":[["2013",1]]}}},{"id":12849,"uris":["http://zotero.org/groups/4965861/items/23I5CMST"],"itemData":{"id":12849,"type":"article-journal","abstract":"Deciding about courses of action involves minimizing costs and maximizing benefits. Decision neuroscience studies have implicated both the ventral and dorsal medial prefrontal cortex (vmPFC and dmPFC) in signaling goal value and action cost, but the precise functional role of these regions is still a matter of debate. Here, we suggest a more general functional partition that applies not only to decisions but also to judgments about goal value (expected reward) and action cost (expected effort). In this conceptual framework, cognitive representations related to options (reward value and effort cost) are dissociated from metacognitive representations (confidence and deliberation) related to solving the task (providing a judgment or making a choice). We used an original approach aiming at identifying consistencies across several preference tasks, from likeability ratings to binary decisions involving both attribute integration and option comparison. fMRI results in human male and female participants confirmed the vmPFC as a generic valuation system, its activity increasing with reward value and decreasing with effort cost. In contrast, more dorsal regions were not concerned with the valuation of options but with metacognitive variables, confidence being reflected in mPFC activity and deliberation time in dmPFC activity. Thus, there was a dissociation between the effort attached to choice options (represented in the vmPFC) and the effort invested in deliberation (represented in the dmPFC), the latter being expressed in pupil dilation. More generally, assessing commonalities across preference tasks might help reaching a unified view of the neural mechanisms underlying the cost/benefit tradeoffs that drive human behavior.Significance statementDecision neuroscience studies have implicated the medial prefrontal cortex (mPFC) in forming the cognitive representations that drive human choice behavior. However, different studies using different tasks have suggested somewhat inconsistent links between precise computational variables and specific brain regions. Here, we use fMRI to demonstrate a robust functional partition of the mPFC that generalizes across tasks involving an estimation of goal value and/or action cost to provide a judgement or make a choice. This general functional partition makes a critical dissociation between neural representations of decisional factors (the expected costs and benefits attached to a given option) and metacognitive estimates (confidence in the judgment or choice, and effort invested in the deliberation process).","container-title":"The Journal of Neuroscience: The Official Journal of the Society for Neuroscience","DOI":"10.1523/JNEUROSCI.1795-21.2022","ISSN":"1529-2401","issue":"28","journalAbbreviation":"J Neurosci","language":"eng","note":"PMID: 35654606\nPMCID: PMC9295841","page":"5580-5592","source":"PubMed","title":"Value, confidence, deliberation: a functional partition of the medial prefrontal cortex demonstrated across rating and choice tasks","title-short":"Value, confidence, deliberation","volume":"42","author":[{"family":"Clairis","given":"Nicolas"},{"family":"Pessiglione","given":"Mathias"}],"issued":{"date-parts":[["2022",6,1]]}}}],"schema":"https://github.com/citation-style-language/schema/raw/master/csl-citation.json"} </w:instrText>
      </w:r>
      <w:r w:rsidRPr="00B02E55">
        <w:fldChar w:fldCharType="separate"/>
      </w:r>
      <w:r w:rsidR="0017298A" w:rsidRPr="0017298A">
        <w:rPr>
          <w:rFonts w:ascii="Calibri" w:hAnsi="Calibri" w:cs="Calibri"/>
        </w:rPr>
        <w:t>[10, 11]</w:t>
      </w:r>
      <w:r w:rsidRPr="00B02E55">
        <w:fldChar w:fldCharType="end"/>
      </w:r>
      <w:r w:rsidRPr="00B02E55">
        <w:t>. DTs also decreased over successive trials (β</w:t>
      </w:r>
      <w:r w:rsidRPr="00B02E55">
        <w:rPr>
          <w:vertAlign w:val="subscript"/>
        </w:rPr>
        <w:t>t</w:t>
      </w:r>
      <w:r w:rsidRPr="00B02E55">
        <w:t xml:space="preserve"> = -</w:t>
      </w:r>
      <w:r w:rsidR="008E14F2">
        <w:t xml:space="preserve">0.005 </w:t>
      </w:r>
      <w:r w:rsidRPr="00B02E55">
        <w:t>±</w:t>
      </w:r>
      <w:r w:rsidR="00F211FD">
        <w:t xml:space="preserve"> 0.001</w:t>
      </w:r>
      <w:r w:rsidRPr="00B02E55">
        <w:t xml:space="preserve">; </w:t>
      </w:r>
      <w:r w:rsidRPr="0057237F">
        <w:rPr>
          <w:i/>
          <w:iCs/>
        </w:rPr>
        <w:t>p</w:t>
      </w:r>
      <w:r w:rsidRPr="00B02E55">
        <w:t xml:space="preserve"> &lt; 0.001), suggesting more efficient decision-making over time. These findings align with established models of response speed and vigor, highlighting the influence of perceived value </w:t>
      </w:r>
      <w:r w:rsidRPr="00B02E55">
        <w:rPr>
          <w:rFonts w:cstheme="minorHAnsi"/>
        </w:rPr>
        <w:fldChar w:fldCharType="begin"/>
      </w:r>
      <w:r w:rsidR="0017298A">
        <w:rPr>
          <w:rFonts w:cstheme="minorHAnsi"/>
        </w:rPr>
        <w:instrText xml:space="preserve"> ADDIN ZOTERO_ITEM CSL_CITATION {"citationID":"wKxf1iL3","properties":{"formattedCitation":"[8, 12]","plainCitation":"[8, 12]","noteIndex":0},"citationItems":[{"id":2661,"uris":["http://zotero.org/users/1203856/items/7V3PCEMU"],"itemData":{"id":2661,"type":"article-journal","abstract":"Affective valence lies on a spectrum ranging from punishment to reward. The coding of such spectra in the brain almost always involves opponency between pairs of systems or structures. There is ample evidence for the role of dopamine in the appetitive half of this spectrum, but little agreement about the existence, nature, or role of putative aversive opponents such as serotonin. In this review, we consider the structure of opponency in terms of previous biases about the nature of the decision problems that animals face, the conflicts that may thus arise between Pavlovian and instrumental responses, and an additional spectrum joining invigoration to inhibition. We use this analysis to shed light on aspects of the role of serotonin and its interactions with dopamine.","container-title":"Neuropsychopharmacology: Official Publication of the American College of Neuropsychopharmacology","DOI":"10.1038/npp.2010.151","ISSN":"1740-634X","issue":"1","journalAbbreviation":"Neuropsychopharmacology","language":"eng","note":"PMID: 20881948\nPMCID: PMC3055522","page":"74-97","source":"PubMed","title":"Opponency revisited: competition and cooperation between dopamine and serotonin","title-short":"Opponency revisited","volume":"36","author":[{"family":"Boureau","given":"Y.-Lan"},{"family":"Dayan","given":"Peter"}],"issued":{"date-parts":[["2011",1]]}}},{"id":1309,"uris":["http://zotero.org/users/1203856/items/RSF2UTP5"],"itemData":{"id":1309,"type":"article-journal","container-title":"Trends in Neurosciences","DOI":"10.1016/j.tins.2019.02.003","ISSN":"01662236","issue":"5","language":"en","page":"323-336","source":"Crossref","title":"Movement Vigor as a Reflection of Subjective Economic Utility","volume":"42","author":[{"family":"Shadmehr","given":"Reza"},{"family":"Reppert","given":"Thomas R."},{"family":"Summerside","given":"Erik M."},{"family":"Yoon","given":"Tehrim"},{"family":"Ahmed","given":"Alaa A."}],"issued":{"date-parts":[["2019",5]]}}}],"schema":"https://github.com/citation-style-language/schema/raw/master/csl-citation.json"} </w:instrText>
      </w:r>
      <w:r w:rsidRPr="00B02E55">
        <w:rPr>
          <w:rFonts w:cstheme="minorHAnsi"/>
        </w:rPr>
        <w:fldChar w:fldCharType="separate"/>
      </w:r>
      <w:r w:rsidR="0017298A" w:rsidRPr="0017298A">
        <w:rPr>
          <w:rFonts w:ascii="Calibri" w:hAnsi="Calibri" w:cs="Calibri"/>
        </w:rPr>
        <w:t>[8, 12]</w:t>
      </w:r>
      <w:r w:rsidRPr="00B02E55">
        <w:rPr>
          <w:rFonts w:cstheme="minorHAnsi"/>
        </w:rPr>
        <w:fldChar w:fldCharType="end"/>
      </w:r>
      <w:r w:rsidRPr="00B02E55">
        <w:t xml:space="preserve"> and task familiarity </w:t>
      </w:r>
      <w:r w:rsidRPr="00B02E55">
        <w:fldChar w:fldCharType="begin"/>
      </w:r>
      <w:r w:rsidR="0017298A">
        <w:instrText xml:space="preserve"> ADDIN ZOTERO_ITEM CSL_CITATION {"citationID":"lTwYE6Uf","properties":{"formattedCitation":"[13]","plainCitation":"[13]","noteIndex":0},"citationItems":[{"id":13726,"uris":["http://zotero.org/groups/4965861/items/RP6E7SRY"],"itemData":{"id":13726,"type":"article-journal","abstract":"The Drift-Diffusion Model (DDM) is the prevalent computational model of the speed-accuracy trade-off in decision making. The DDM provides an explanation of behavior by optimally balancing reaction times and error rates. However, when applied to value-based decision making, the DDM makes the stark prediction that reaction times depend only on the relative utility difference between the options and not on absolute utility magnitudes. This prediction runs counter to evidence that reaction times decrease with higher utility magnitude. Here, we ask if and how it could be optimal for reaction times to show this observed pattern. We study an algorithmic framework that balances the cost of delaying rewards against the utility of obtained rewards. We find that the functional form of the cost of delay plays a key role, with the empirically observed pattern becoming optimal under multiplicative discounting. We add to the empirical literature by testing whether utility magnitude affects reaction times using a novel methodology that does not rely on functional form assumptions for the subjects' utilities. Our results advance the understanding of how and why reaction times are sensitive to the magnitude of rewards.","container-title":"Scientific Reports","DOI":"10.1038/s41598-019-56392-0","ISSN":"2045-2322","issue":"1","journalAbbreviation":"Sci Rep","language":"eng","note":"PMID: 31882745\nPMCID: PMC6934862","page":"20053","source":"PubMed","title":"Sensitivity of reaction time to the magnitude of rewards reveals the cost-structure of time","volume":"9","author":[{"family":"Steverson","given":"Kai"},{"family":"Chung","given":"Hui-Kuan"},{"family":"Zimmermann","given":"Jan"},{"family":"Louie","given":"Kenway"},{"family":"Glimcher","given":"Paul"}],"issued":{"date-parts":[["2019",12,27]]}}}],"schema":"https://github.com/citation-style-language/schema/raw/master/csl-citation.json"} </w:instrText>
      </w:r>
      <w:r w:rsidRPr="00B02E55">
        <w:fldChar w:fldCharType="separate"/>
      </w:r>
      <w:r w:rsidR="0017298A" w:rsidRPr="0017298A">
        <w:rPr>
          <w:rFonts w:ascii="Calibri" w:hAnsi="Calibri" w:cs="Calibri"/>
        </w:rPr>
        <w:t>[13]</w:t>
      </w:r>
      <w:r w:rsidRPr="00B02E55">
        <w:fldChar w:fldCharType="end"/>
      </w:r>
      <w:r w:rsidRPr="00B02E55">
        <w:t xml:space="preserve"> on the speed of decision-making</w:t>
      </w:r>
      <w:r w:rsidRPr="00B02E55">
        <w:rPr>
          <w:rFonts w:cstheme="minorHAnsi"/>
        </w:rPr>
        <w:t>.</w:t>
      </w:r>
    </w:p>
    <w:p w14:paraId="276D7703" w14:textId="4CAB4F8F" w:rsidR="00B67DC0" w:rsidRDefault="00B67DC0" w:rsidP="004B23A4">
      <w:pPr>
        <w:pStyle w:val="Titre3"/>
      </w:pPr>
      <w:r>
        <w:t xml:space="preserve">Controlling For The Relationship Between Lactate, </w:t>
      </w:r>
      <w:r w:rsidR="00932E10">
        <w:t>Physical</w:t>
      </w:r>
      <w:r>
        <w:t xml:space="preserve"> Capacity, Sex, Sleep And Stress</w:t>
      </w:r>
    </w:p>
    <w:p w14:paraId="1760835A" w14:textId="5CF9A391" w:rsidR="001F1FD2" w:rsidRDefault="00B67DC0" w:rsidP="00B67DC0">
      <w:r>
        <w:t>Because lactate was found to influence physical effort sensitivity, we decided to control that this relationship could not be explained by other factors than motivation and effort perception. More specifically, we wondered whether lactate levels would relate to differences in physical capacity</w:t>
      </w:r>
      <w:r w:rsidRPr="00B02E55">
        <w:t>,</w:t>
      </w:r>
      <w:r>
        <w:t xml:space="preserve"> in sex (as men are generally stronger than women), in sleep, </w:t>
      </w:r>
      <w:r w:rsidR="00F56457">
        <w:t xml:space="preserve">or </w:t>
      </w:r>
      <w:r>
        <w:t>in stress- and anxiety-related measures.</w:t>
      </w:r>
    </w:p>
    <w:p w14:paraId="426E93B4" w14:textId="6727E5FB" w:rsidR="007434A2" w:rsidRDefault="001F1FD2" w:rsidP="0042799C">
      <w:bookmarkStart w:id="5" w:name="_Hlk172731479"/>
      <w:r>
        <w:lastRenderedPageBreak/>
        <w:t xml:space="preserve">Concerning </w:t>
      </w:r>
      <w:r w:rsidR="00623302">
        <w:t>physical</w:t>
      </w:r>
      <w:r w:rsidR="003E6EFD">
        <w:t xml:space="preserve"> capacity</w:t>
      </w:r>
      <w:r>
        <w:t>, w</w:t>
      </w:r>
      <w:r w:rsidR="00B67DC0" w:rsidRPr="00B02E55">
        <w:t>e found no significant correlation between plasma, dmPFC/dACC, or aIns lactate levels and maximum voluntary contraction (MVC) force (</w:t>
      </w:r>
      <w:r w:rsidR="00AA193D" w:rsidRPr="00AA193D">
        <w:rPr>
          <w:rStyle w:val="FigurerefCar"/>
        </w:rPr>
        <w:t xml:space="preserve">Supplementary </w:t>
      </w:r>
      <w:r w:rsidR="00B67DC0" w:rsidRPr="00FC67EF">
        <w:rPr>
          <w:rStyle w:val="FigurerefCar"/>
        </w:rPr>
        <w:t>Fig. S2-1A</w:t>
      </w:r>
      <w:r w:rsidR="00B67DC0">
        <w:t xml:space="preserve">, </w:t>
      </w:r>
      <w:r w:rsidR="00B67DC0" w:rsidRPr="00B02E55">
        <w:t xml:space="preserve">all </w:t>
      </w:r>
      <w:r w:rsidR="00B67DC0" w:rsidRPr="00BB6C49">
        <w:rPr>
          <w:i/>
          <w:iCs/>
        </w:rPr>
        <w:t>p</w:t>
      </w:r>
      <w:r w:rsidR="00B67DC0" w:rsidRPr="00B02E55">
        <w:t xml:space="preserve"> &gt; 0.</w:t>
      </w:r>
      <w:r w:rsidR="00B67DC0">
        <w:t>4</w:t>
      </w:r>
      <w:r w:rsidR="00B67DC0" w:rsidRPr="00B02E55">
        <w:t xml:space="preserve">), suggesting that lactate levels were not related to inter-individual differences in the physical capacity for effort. </w:t>
      </w:r>
      <w:r w:rsidR="00F34342" w:rsidRPr="009141C3">
        <w:t>Because exercise-derived metabolites are often associated with improvements in cognition</w:t>
      </w:r>
      <w:bookmarkStart w:id="6" w:name="_Hlk172809197"/>
      <w:r w:rsidR="00342002" w:rsidRPr="009141C3">
        <w:t xml:space="preserve"> </w:t>
      </w:r>
      <w:r w:rsidR="00342002" w:rsidRPr="009141C3">
        <w:fldChar w:fldCharType="begin"/>
      </w:r>
      <w:r w:rsidR="00342002" w:rsidRPr="009141C3">
        <w:instrText xml:space="preserve"> ADDIN ZOTERO_ITEM CSL_CITATION {"citationID":"pWSqtGRB","properties":{"formattedCitation":"[14]","plainCitation":"[14]","noteIndex":0},"citationItems":[{"id":14936,"uris":["http://zotero.org/users/1203856/items/HXL523PZ"],"itemData":{"id":14936,"type":"article-journal","abstract":"The health benefits of exercise are well-recognized and are observed across multiple organ systems. These beneficial effects enhance overall resilience, healthspan and longevity. The molecular mechanisms that underlie the beneficial effects of exercise, however, remain poorly understood. Since the discovery in 2000 that muscle contraction releases IL-6, the number of exercise-associated signalling molecules that have been identified has multiplied. Exerkines are defined as signalling moieties released in response to acute and/or chronic exercise, which exert their effects through endocrine, paracrine and/or autocrine pathways. A multitude of organs, cells and tissues release these factors, including skeletal muscle (myokines), the heart (cardiokines), liver (hepatokines), white adipose tissue (adipokines), brown adipose tissue (baptokines) and neurons (neurokines). Exerkines have potential roles in improving cardiovascular, metabolic, immune and neurological health. As such, exerkines have potential for the treatment of cardiovascular disease, type 2 diabetes mellitus and obesity, and possibly in the facilitation of healthy ageing. This Review summarizes the importance and current state of exerkine research, prevailing challenges and future directions.","container-title":"Nature Reviews. Endocrinology","DOI":"10.1038/s41574-022-00641-2","ISSN":"1759-5037","issue":"5","journalAbbreviation":"Nat Rev Endocrinol","language":"eng","note":"PMID: 35304603\nPMCID: PMC9554896","page":"273-289","source":"PubMed","title":"Exerkines in health, resilience and disease","volume":"18","author":[{"family":"Chow","given":"Lisa S."},{"family":"Gerszten","given":"Robert E."},{"family":"Taylor","given":"Joan M."},{"family":"Pedersen","given":"Bente K."},{"family":"Praag","given":"Henriette","non-dropping-particle":"van"},{"family":"Trappe","given":"Scott"},{"family":"Febbraio","given":"Mark A."},{"family":"Galis","given":"Zorina S."},{"family":"Gao","given":"Yunling"},{"family":"Haus","given":"Jacob M."},{"family":"Lanza","given":"Ian R."},{"family":"Lavie","given":"Carl J."},{"family":"Lee","given":"Chih-Hao"},{"family":"Lucia","given":"Alejandro"},{"family":"Moro","given":"Cedric"},{"family":"Pandey","given":"Ambarish"},{"family":"Robbins","given":"Jeremy M."},{"family":"Stanford","given":"Kristin I."},{"family":"Thackray","given":"Alice E."},{"family":"Villeda","given":"Saul"},{"family":"Watt","given":"Matthew J."},{"family":"Xia","given":"Ashley"},{"family":"Zierath","given":"Juleen R."},{"family":"Goodpaster","given":"Bret H."},{"family":"Snyder","given":"Michael P."}],"issued":{"date-parts":[["2022",5]]}}}],"schema":"https://github.com/citation-style-language/schema/raw/master/csl-citation.json"} </w:instrText>
      </w:r>
      <w:r w:rsidR="00342002" w:rsidRPr="009141C3">
        <w:fldChar w:fldCharType="separate"/>
      </w:r>
      <w:r w:rsidR="00342002" w:rsidRPr="009141C3">
        <w:rPr>
          <w:rFonts w:ascii="Calibri" w:hAnsi="Calibri" w:cs="Calibri"/>
        </w:rPr>
        <w:t>[14]</w:t>
      </w:r>
      <w:r w:rsidR="00342002" w:rsidRPr="009141C3">
        <w:fldChar w:fldCharType="end"/>
      </w:r>
      <w:bookmarkEnd w:id="6"/>
      <w:r w:rsidR="00F34342" w:rsidRPr="009141C3">
        <w:t xml:space="preserve">, we also assessed whether there was any relationship between our lactate measurements and the </w:t>
      </w:r>
      <w:r w:rsidR="0023394F" w:rsidRPr="009141C3">
        <w:t xml:space="preserve">maximum </w:t>
      </w:r>
      <w:r w:rsidR="00F34342" w:rsidRPr="009141C3">
        <w:t xml:space="preserve">number of </w:t>
      </w:r>
      <w:r w:rsidR="0023394F" w:rsidRPr="009141C3">
        <w:t>correct responses (MNCR</w:t>
      </w:r>
      <w:r w:rsidR="00F34342" w:rsidRPr="009141C3">
        <w:t xml:space="preserve">) performed during the mental calibration and could observe that there was no significant relationship between any of the lactate measures and </w:t>
      </w:r>
      <w:r w:rsidR="0023394F" w:rsidRPr="009141C3">
        <w:t>MNCR</w:t>
      </w:r>
      <w:r w:rsidR="00F34342" w:rsidRPr="009141C3">
        <w:t xml:space="preserve"> (</w:t>
      </w:r>
      <w:r w:rsidR="00AA193D" w:rsidRPr="00AA193D">
        <w:rPr>
          <w:rStyle w:val="FigurerefCar"/>
        </w:rPr>
        <w:t xml:space="preserve">Supplementary </w:t>
      </w:r>
      <w:r w:rsidR="00F34342" w:rsidRPr="009141C3">
        <w:rPr>
          <w:rStyle w:val="FigurerefCar"/>
        </w:rPr>
        <w:t>Fig. S2-1B</w:t>
      </w:r>
      <w:r w:rsidR="00F34342" w:rsidRPr="009141C3">
        <w:t xml:space="preserve">, all </w:t>
      </w:r>
      <w:r w:rsidR="00F34342" w:rsidRPr="00BB6C49">
        <w:rPr>
          <w:i/>
          <w:iCs/>
        </w:rPr>
        <w:t>p</w:t>
      </w:r>
      <w:r w:rsidR="00F34342" w:rsidRPr="009141C3">
        <w:t xml:space="preserve"> &gt; 0.3). </w:t>
      </w:r>
      <w:r w:rsidR="00B67DC0" w:rsidRPr="009141C3">
        <w:t>Furthermore, lactate levels in plasma or across the measured brain regions showed no correlation with subjective fatigue ratings</w:t>
      </w:r>
      <w:r w:rsidR="00990125" w:rsidRPr="009141C3">
        <w:t xml:space="preserve"> (</w:t>
      </w:r>
      <w:r w:rsidR="00AA193D" w:rsidRPr="00AA193D">
        <w:rPr>
          <w:rStyle w:val="FigurerefCar"/>
        </w:rPr>
        <w:t xml:space="preserve">Supplementary </w:t>
      </w:r>
      <w:r w:rsidR="00990125" w:rsidRPr="009141C3">
        <w:rPr>
          <w:rStyle w:val="FigurerefCar"/>
        </w:rPr>
        <w:t>Fig. S2-</w:t>
      </w:r>
      <w:r w:rsidR="00F34342" w:rsidRPr="009141C3">
        <w:rPr>
          <w:rStyle w:val="FigurerefCar"/>
        </w:rPr>
        <w:t>1C</w:t>
      </w:r>
      <w:r w:rsidR="00990125" w:rsidRPr="009141C3">
        <w:t>)</w:t>
      </w:r>
      <w:r w:rsidR="00B67DC0" w:rsidRPr="009141C3">
        <w:t xml:space="preserve">, collected before and after MRS and fMRI sessions (all </w:t>
      </w:r>
      <w:r w:rsidR="00B67DC0" w:rsidRPr="00BB6C49">
        <w:rPr>
          <w:i/>
          <w:iCs/>
        </w:rPr>
        <w:t>p</w:t>
      </w:r>
      <w:r w:rsidR="00B67DC0" w:rsidRPr="009141C3">
        <w:t xml:space="preserve"> &gt; 0.2), or the difference in fatigue between the end and the start of the experiment (all </w:t>
      </w:r>
      <w:r w:rsidR="00B67DC0" w:rsidRPr="00BB6C49">
        <w:rPr>
          <w:i/>
          <w:iCs/>
        </w:rPr>
        <w:t>p</w:t>
      </w:r>
      <w:r w:rsidR="00B67DC0" w:rsidRPr="009141C3">
        <w:t xml:space="preserve"> &gt; 0.15), or the difference between the end and the start of the task (all </w:t>
      </w:r>
      <w:r w:rsidR="00B67DC0" w:rsidRPr="00BB6C49">
        <w:rPr>
          <w:i/>
          <w:iCs/>
        </w:rPr>
        <w:t>p</w:t>
      </w:r>
      <w:r w:rsidR="00B67DC0" w:rsidRPr="009141C3">
        <w:t xml:space="preserve"> &gt; 0.3). There was also no correlation between any of the lactate measures (plasma, dmPFC/dACC, aIns) and the difference in maximal performance before and after each fMRI block neither in the mental (all </w:t>
      </w:r>
      <w:r w:rsidR="00B67DC0" w:rsidRPr="00BB6C49">
        <w:rPr>
          <w:i/>
          <w:iCs/>
        </w:rPr>
        <w:t>p</w:t>
      </w:r>
      <w:r w:rsidR="00B67DC0" w:rsidRPr="009141C3">
        <w:t xml:space="preserve"> &gt; 0.2) nor in the physical (all </w:t>
      </w:r>
      <w:r w:rsidR="00B67DC0" w:rsidRPr="00BB6C49">
        <w:rPr>
          <w:i/>
          <w:iCs/>
        </w:rPr>
        <w:t>p</w:t>
      </w:r>
      <w:r w:rsidR="00B67DC0" w:rsidRPr="009141C3">
        <w:t xml:space="preserve"> &gt; 0.1) effort tasks (</w:t>
      </w:r>
      <w:r w:rsidR="00AA193D" w:rsidRPr="00AA193D">
        <w:rPr>
          <w:rStyle w:val="FigurerefCar"/>
        </w:rPr>
        <w:t xml:space="preserve">Supplementary </w:t>
      </w:r>
      <w:r w:rsidR="00B67DC0" w:rsidRPr="009141C3">
        <w:rPr>
          <w:rStyle w:val="FigurerefCar"/>
        </w:rPr>
        <w:t>Fig. S2-</w:t>
      </w:r>
      <w:r w:rsidR="00F34342" w:rsidRPr="009141C3">
        <w:rPr>
          <w:rStyle w:val="FigurerefCar"/>
        </w:rPr>
        <w:t>1D</w:t>
      </w:r>
      <w:r w:rsidR="00B67DC0" w:rsidRPr="009141C3">
        <w:t>)</w:t>
      </w:r>
      <w:r w:rsidR="0020108C" w:rsidRPr="009141C3">
        <w:t>,</w:t>
      </w:r>
      <w:r w:rsidR="00B67DC0" w:rsidRPr="009141C3">
        <w:t xml:space="preserve"> further suggesting the absence of relationship between our baseline lactate measures and </w:t>
      </w:r>
      <w:r w:rsidR="00F34342" w:rsidRPr="009141C3">
        <w:t xml:space="preserve">physical or mental </w:t>
      </w:r>
      <w:r w:rsidR="00B67DC0" w:rsidRPr="009141C3">
        <w:t>exertion capacities or fatigue-related measures in the task.</w:t>
      </w:r>
    </w:p>
    <w:bookmarkEnd w:id="5"/>
    <w:p w14:paraId="58700DFC" w14:textId="028E8CA5" w:rsidR="0042799C" w:rsidRDefault="007434A2" w:rsidP="0042799C">
      <w:pPr>
        <w:rPr>
          <w:color w:val="000000" w:themeColor="text1"/>
        </w:rPr>
      </w:pPr>
      <w:r>
        <w:t>W</w:t>
      </w:r>
      <w:r w:rsidR="0042799C" w:rsidRPr="00494DBB">
        <w:rPr>
          <w:color w:val="000000" w:themeColor="text1"/>
        </w:rPr>
        <w:t xml:space="preserve">e also </w:t>
      </w:r>
      <w:r>
        <w:rPr>
          <w:color w:val="000000" w:themeColor="text1"/>
        </w:rPr>
        <w:t>verified</w:t>
      </w:r>
      <w:r w:rsidR="0042799C" w:rsidRPr="00494DBB">
        <w:rPr>
          <w:color w:val="000000" w:themeColor="text1"/>
        </w:rPr>
        <w:t xml:space="preserve"> that there was no significant influence of sex differences on behavioral measures of motivation (</w:t>
      </w:r>
      <w:r w:rsidR="00AA193D" w:rsidRPr="00AA193D">
        <w:rPr>
          <w:rStyle w:val="FigurerefCar"/>
        </w:rPr>
        <w:t xml:space="preserve">Supplementary </w:t>
      </w:r>
      <w:r w:rsidR="0042799C" w:rsidRPr="00FC67EF">
        <w:rPr>
          <w:rStyle w:val="FigurerefCar"/>
        </w:rPr>
        <w:t>Fig. S2-</w:t>
      </w:r>
      <w:r w:rsidR="006A40B1">
        <w:rPr>
          <w:rStyle w:val="FigurerefCar"/>
        </w:rPr>
        <w:t>2</w:t>
      </w:r>
      <w:r w:rsidR="0042799C" w:rsidRPr="00FC67EF">
        <w:rPr>
          <w:rStyle w:val="FigurerefCar"/>
        </w:rPr>
        <w:t>A</w:t>
      </w:r>
      <w:r w:rsidR="0042799C" w:rsidRPr="00494DBB">
        <w:rPr>
          <w:color w:val="000000" w:themeColor="text1"/>
        </w:rPr>
        <w:t>)</w:t>
      </w:r>
      <w:r w:rsidR="009D3C70">
        <w:rPr>
          <w:color w:val="000000" w:themeColor="text1"/>
        </w:rPr>
        <w:t>,</w:t>
      </w:r>
      <w:r w:rsidR="0042799C" w:rsidRPr="00494DBB">
        <w:rPr>
          <w:color w:val="000000" w:themeColor="text1"/>
        </w:rPr>
        <w:t xml:space="preserve"> </w:t>
      </w:r>
      <w:r>
        <w:rPr>
          <w:color w:val="000000" w:themeColor="text1"/>
        </w:rPr>
        <w:t>including</w:t>
      </w:r>
      <w:r w:rsidR="0042799C" w:rsidRPr="00494DBB">
        <w:rPr>
          <w:color w:val="000000" w:themeColor="text1"/>
        </w:rPr>
        <w:t xml:space="preserve"> the proportion of HPE choices (</w:t>
      </w:r>
      <w:r w:rsidR="0042799C" w:rsidRPr="0057237F">
        <w:rPr>
          <w:i/>
          <w:iCs/>
          <w:color w:val="000000" w:themeColor="text1"/>
        </w:rPr>
        <w:t>p</w:t>
      </w:r>
      <w:r w:rsidR="0042799C" w:rsidRPr="00494DBB">
        <w:rPr>
          <w:color w:val="000000" w:themeColor="text1"/>
        </w:rPr>
        <w:t xml:space="preserve"> = 0.468) or kEp (</w:t>
      </w:r>
      <w:r w:rsidR="0042799C" w:rsidRPr="0057237F">
        <w:rPr>
          <w:i/>
          <w:iCs/>
          <w:color w:val="000000" w:themeColor="text1"/>
        </w:rPr>
        <w:t>p</w:t>
      </w:r>
      <w:r w:rsidR="0042799C" w:rsidRPr="00494DBB">
        <w:rPr>
          <w:color w:val="000000" w:themeColor="text1"/>
        </w:rPr>
        <w:t xml:space="preserve"> = 0.</w:t>
      </w:r>
      <w:r w:rsidR="00E87DBF">
        <w:rPr>
          <w:color w:val="000000" w:themeColor="text1"/>
        </w:rPr>
        <w:t>241</w:t>
      </w:r>
      <w:r w:rsidR="0042799C" w:rsidRPr="00494DBB">
        <w:rPr>
          <w:color w:val="000000" w:themeColor="text1"/>
        </w:rPr>
        <w:t>), or on dmPFC/dACC (</w:t>
      </w:r>
      <w:r w:rsidR="0042799C" w:rsidRPr="0057237F">
        <w:rPr>
          <w:i/>
          <w:iCs/>
          <w:color w:val="000000" w:themeColor="text1"/>
        </w:rPr>
        <w:t>p</w:t>
      </w:r>
      <w:r w:rsidR="0042799C" w:rsidRPr="00494DBB">
        <w:rPr>
          <w:color w:val="000000" w:themeColor="text1"/>
        </w:rPr>
        <w:t xml:space="preserve"> = 0.874), aIns (</w:t>
      </w:r>
      <w:r w:rsidR="0042799C" w:rsidRPr="0057237F">
        <w:rPr>
          <w:i/>
          <w:iCs/>
          <w:color w:val="000000" w:themeColor="text1"/>
        </w:rPr>
        <w:t>p</w:t>
      </w:r>
      <w:r w:rsidR="0042799C" w:rsidRPr="00494DBB">
        <w:rPr>
          <w:color w:val="000000" w:themeColor="text1"/>
        </w:rPr>
        <w:t xml:space="preserve"> = 0.146) or plasma (</w:t>
      </w:r>
      <w:r w:rsidR="0042799C" w:rsidRPr="0057237F">
        <w:rPr>
          <w:i/>
          <w:iCs/>
          <w:color w:val="000000" w:themeColor="text1"/>
        </w:rPr>
        <w:t>p</w:t>
      </w:r>
      <w:r w:rsidR="0042799C" w:rsidRPr="00494DBB">
        <w:rPr>
          <w:color w:val="000000" w:themeColor="text1"/>
        </w:rPr>
        <w:t xml:space="preserve"> = 0.819) lactate (</w:t>
      </w:r>
      <w:r w:rsidR="00AA193D" w:rsidRPr="00AA193D">
        <w:rPr>
          <w:rStyle w:val="FigurerefCar"/>
        </w:rPr>
        <w:t xml:space="preserve">Supplementary </w:t>
      </w:r>
      <w:r w:rsidR="0042799C" w:rsidRPr="00FC67EF">
        <w:rPr>
          <w:rStyle w:val="FigurerefCar"/>
        </w:rPr>
        <w:t>Fig. S2-</w:t>
      </w:r>
      <w:r w:rsidR="006A40B1">
        <w:rPr>
          <w:rStyle w:val="FigurerefCar"/>
        </w:rPr>
        <w:t>2</w:t>
      </w:r>
      <w:r w:rsidR="0042799C" w:rsidRPr="00FC67EF">
        <w:rPr>
          <w:rStyle w:val="FigurerefCar"/>
        </w:rPr>
        <w:t>B</w:t>
      </w:r>
      <w:r w:rsidR="0042799C" w:rsidRPr="00494DBB">
        <w:rPr>
          <w:color w:val="000000" w:themeColor="text1"/>
        </w:rPr>
        <w:t>) measures</w:t>
      </w:r>
      <w:r w:rsidR="000F0D99">
        <w:rPr>
          <w:color w:val="000000" w:themeColor="text1"/>
        </w:rPr>
        <w:t>, further confirming that the effect of lactate we observed was not related to sex differences or to maximal capacity differences between our individuals.</w:t>
      </w:r>
    </w:p>
    <w:p w14:paraId="0B2F77CB" w14:textId="3E2FBE35" w:rsidR="006A40B1" w:rsidRDefault="00B67DC0" w:rsidP="00B67DC0">
      <w:r>
        <w:t>B</w:t>
      </w:r>
      <w:r w:rsidRPr="00B02E55">
        <w:t xml:space="preserve">ecause lactate is cleared by the glymphatic system during sleep </w:t>
      </w:r>
      <w:r w:rsidRPr="00B02E55">
        <w:fldChar w:fldCharType="begin"/>
      </w:r>
      <w:r w:rsidR="00342002">
        <w:instrText xml:space="preserve"> ADDIN ZOTERO_ITEM CSL_CITATION {"citationID":"F0lmrZZo","properties":{"formattedCitation":"[15, 16]","plainCitation":"[15, 16]","noteIndex":0},"citationItems":[{"id":12224,"uris":["http://zotero.org/groups/4965861/items/ILS5S7UB"],"itemData":{"id":12224,"type":"article-journal","abstract":"Mechanisms for elimination of metabolites from ISF include metabolism, blood-brain barrier transport and non-selective, perivascular efflux, this last being assessed by measuring the clearance of markers like inulin. Clearance describes elimination. Clearance of a metabolite generated within the brain is determined as its elimination rate divided by its concentration in interstitial fluid (ISF). However, the more frequently measured parameter is the rate constant for elimination determined as elimination rate divided by amount present, which thus depends on both the elimination processes and the distribution of the metabolite in the brain. The relative importance of the various elimination mechanisms depends on the particular metabolite. Little is known about the effects of sleep on clearance via metabolism or blood-brain barrier transport, but studies with inulin in mice comparing perivascular effluxes during sleep and wakefulness reveal a 4.2-fold increase in clearance. Amongst the important brain metabolites considered, CO2 is eliminated so rapidly across the blood-brain barrier that clearance is blood flow limited and elimination quickly balances production. Glutamate is removed from ISF primarily by uptake into astrocytes and conversion to glutamine, but also by transport across the blood-brain barrier. Both lactate and amyloid-β are eliminated by metabolism, blood-brain barrier transport and perivascular efflux and both show decreased production, decreased ISF concentration and increased perivascular clearance during sleep. Taken altogether available data indicate that sleep increases perivascular and non-perivascular clearances for amyloid-β which reduces its concentration and may have long-term consequences for the formation of plaques and cerebral arterial deposits.","container-title":"Handbook of Experimental Pharmacology","DOI":"10.1007/164_2017_37","ISSN":"0171-2004","journalAbbreviation":"Handb Exp Pharmacol","language":"eng","note":"PMID: 28744585","page":"385-423","source":"PubMed","title":"Metabolite Clearance During Wakefulness and Sleep","volume":"253","author":[{"family":"Hladky","given":"Stephen B."},{"family":"Barrand","given":"Margery A."}],"issued":{"date-parts":[["2019"]]}}},{"id":13055,"uris":["http://zotero.org/groups/4965861/items/6VWZRLBS"],"itemData":{"id":13055,"type":"article-journal","abstract":"Brain lactate concentration is higher during wakefulness than in sleep. However, it is unknown why arousal is linked to an increase in brain lactate and why lactate declines within minutes of sleep. Here, we show that the glymphatic system is responsible for state-dependent changes in brain lactate concentration. Suppression of glymphatic function via acetazolamide treatment, cisterna magna puncture, aquaporin 4 deletion, or changes in body position reduced the decline in brain lactate normally observed when awake mice transition into sleep or anesthesia. Concurrently, the same manipulations diminished accumulation of lactate in cervical, but not in inguinal lymph nodes when mice were anesthetized. Thus, our study suggests that brain lactate is an excellent biomarker of the sleep-wake cycle and increases further during sleep deprivation, because brain lactate is inversely correlated with glymphatic-lymphatic clearance. This analysis provides fundamental new insight into brain energy metabolism by demonstrating that glucose that is not fully oxidized can be exported as lactate via glymphatic-lymphatic fluid transport.","container-title":"Journal of Cerebral Blood Flow and Metabolism: Official Journal of the International Society of Cerebral Blood Flow and Metabolism","DOI":"10.1177/0271678X16661202","ISSN":"1559-7016","issue":"6","journalAbbreviation":"J Cereb Blood Flow Metab","language":"eng","note":"PMID: 27481936\nPMCID: PMC5464705","page":"2112-2124","source":"PubMed","title":"Glymphatic clearance controls state-dependent changes in brain lactate concentration","volume":"37","author":[{"family":"Lundgaard","given":"Iben"},{"family":"Lu","given":"Minh Lon"},{"family":"Yang","given":"Ezra"},{"family":"Peng","given":"Weiguo"},{"family":"Mestre","given":"Humberto"},{"family":"Hitomi","given":"Emi"},{"family":"Deane","given":"Rashid"},{"family":"Nedergaard","given":"Maiken"}],"issued":{"date-parts":[["2017",6]]}}}],"schema":"https://github.com/citation-style-language/schema/raw/master/csl-citation.json"} </w:instrText>
      </w:r>
      <w:r w:rsidRPr="00B02E55">
        <w:fldChar w:fldCharType="separate"/>
      </w:r>
      <w:r w:rsidR="00342002" w:rsidRPr="00342002">
        <w:rPr>
          <w:rFonts w:ascii="Calibri" w:hAnsi="Calibri" w:cs="Calibri"/>
        </w:rPr>
        <w:t>[15, 16]</w:t>
      </w:r>
      <w:r w:rsidRPr="00B02E55">
        <w:fldChar w:fldCharType="end"/>
      </w:r>
      <w:r w:rsidRPr="00B02E55">
        <w:t xml:space="preserve">, we also explored if there was any relationship between the average amount of sleep, the amount of sleep the day before the experiment, or the delta between the amount of sleep the day before the experiment and the average amount of sleep of each individual and plasma levels in the plasma, the dmPFC/dACC and the aIns. There was no significant relationship with either plasma (all </w:t>
      </w:r>
      <w:r w:rsidRPr="00BB6C49">
        <w:rPr>
          <w:i/>
          <w:iCs/>
        </w:rPr>
        <w:t>p</w:t>
      </w:r>
      <w:r w:rsidRPr="00B02E55">
        <w:t xml:space="preserve"> &gt; 0.</w:t>
      </w:r>
      <w:r>
        <w:t>5</w:t>
      </w:r>
      <w:r w:rsidRPr="00B02E55">
        <w:t xml:space="preserve">), the dmPFC/dACC (all </w:t>
      </w:r>
      <w:r w:rsidRPr="00BB6C49">
        <w:rPr>
          <w:i/>
          <w:iCs/>
        </w:rPr>
        <w:t>p</w:t>
      </w:r>
      <w:r w:rsidRPr="00B02E55">
        <w:t xml:space="preserve"> &gt; 0.</w:t>
      </w:r>
      <w:r>
        <w:t>2</w:t>
      </w:r>
      <w:r w:rsidRPr="00B02E55">
        <w:t xml:space="preserve">) or the aIns (all </w:t>
      </w:r>
      <w:r w:rsidRPr="00BB6C49">
        <w:rPr>
          <w:i/>
          <w:iCs/>
        </w:rPr>
        <w:t>p</w:t>
      </w:r>
      <w:r w:rsidRPr="00B02E55">
        <w:t xml:space="preserve"> &gt; 0.</w:t>
      </w:r>
      <w:r>
        <w:t>3</w:t>
      </w:r>
      <w:r w:rsidRPr="00B02E55">
        <w:t>) lactate levels and any of the sleep-related measures</w:t>
      </w:r>
      <w:r>
        <w:t xml:space="preserve"> (</w:t>
      </w:r>
      <w:r w:rsidR="00AA193D" w:rsidRPr="00AA193D">
        <w:rPr>
          <w:rStyle w:val="FigurerefCar"/>
        </w:rPr>
        <w:t xml:space="preserve">Supplementary </w:t>
      </w:r>
      <w:r w:rsidRPr="0012309B">
        <w:rPr>
          <w:rStyle w:val="FigurerefCar"/>
        </w:rPr>
        <w:t>Fig. S2-</w:t>
      </w:r>
      <w:r w:rsidR="006A40B1" w:rsidRPr="0012309B">
        <w:rPr>
          <w:rStyle w:val="FigurerefCar"/>
        </w:rPr>
        <w:t>3</w:t>
      </w:r>
      <w:r>
        <w:t>)</w:t>
      </w:r>
      <w:r w:rsidRPr="00B02E55">
        <w:t>.</w:t>
      </w:r>
    </w:p>
    <w:p w14:paraId="4C887BB7" w14:textId="1F8A8528" w:rsidR="00B67DC0" w:rsidRDefault="00B67DC0" w:rsidP="00B67DC0">
      <w:pPr>
        <w:rPr>
          <w:color w:val="000000" w:themeColor="text1"/>
        </w:rPr>
      </w:pPr>
      <w:r>
        <w:t>Additionally,</w:t>
      </w:r>
      <w:r w:rsidR="006A40B1">
        <w:t xml:space="preserve"> because lactate </w:t>
      </w:r>
      <w:r w:rsidR="00494D34">
        <w:t>may be altered</w:t>
      </w:r>
      <w:r w:rsidR="006A40B1">
        <w:t xml:space="preserve"> </w:t>
      </w:r>
      <w:r w:rsidR="00494D34">
        <w:t>by stress in differential manners depending on the brain area</w:t>
      </w:r>
      <w:r w:rsidR="006A40B1">
        <w:t xml:space="preserve"> </w:t>
      </w:r>
      <w:r w:rsidR="006A40B1">
        <w:fldChar w:fldCharType="begin"/>
      </w:r>
      <w:r w:rsidR="00342002">
        <w:instrText xml:space="preserve"> ADDIN ZOTERO_ITEM CSL_CITATION {"citationID":"D5PP0jf8","properties":{"formattedCitation":"[17]","plainCitation":"[17]","noteIndex":0},"citationItems":[{"id":14021,"uris":["http://zotero.org/users/1203856/items/MK7ZGLR9"],"itemData":{"id":14021,"type":"article-journal","abstract":"Stress disorders are psychiatric disorders arising following stressful or traumatic events. They could deleteriously affect an individual's health because they often co-occur with mental illnesses. Considerable attention has been focused on neurons when considering the neurobiology of stress disorders. However, like other mental health conditions, recent studies have highlighted the importance of astrocytes in the pathophysiology of stress-related disorders. In addition to their structural and homeostatic support role, astrocytes actively serve several functions in regulating synaptic transmission and plasticity, protecting neurons from toxic compounds, and providing metabolic support for neurons. The astrocyte-neuron lactate shuttle model sets forth the importance of astrocytes in providing lactate for the metabolic supply of neurons under intense activity. Lactate also plays a role as a signaling molecule and has been recently studied regarding its antidepressant activity. This review discusses the involvement of astrocytes and brain energy metabolism in stress and further reflects on the importance of lactate as an energy supply in the brain and its emerging antidepressant role in stress-related disorders.","container-title":"Neurobiology of Disease","DOI":"10.1016/j.nbd.2024.106417","ISSN":"1095-953X","journalAbbreviation":"Neurobiol Dis","language":"eng","note":"PMID: 38296112","page":"106417","source":"PubMed","title":"Astrocyte-derived lactate in stress disorders","volume":"192","author":[{"family":"Chamaa","given":"Farah"},{"family":"Magistretti","given":"Pierre J."},{"family":"Fiumelli","given":"Hubert"}],"issued":{"date-parts":[["2024",3]]}}}],"schema":"https://github.com/citation-style-language/schema/raw/master/csl-citation.json"} </w:instrText>
      </w:r>
      <w:r w:rsidR="006A40B1">
        <w:fldChar w:fldCharType="separate"/>
      </w:r>
      <w:r w:rsidR="00342002" w:rsidRPr="00342002">
        <w:rPr>
          <w:rFonts w:ascii="Calibri" w:hAnsi="Calibri" w:cs="Calibri"/>
        </w:rPr>
        <w:t>[17]</w:t>
      </w:r>
      <w:r w:rsidR="006A40B1">
        <w:fldChar w:fldCharType="end"/>
      </w:r>
      <w:r w:rsidR="006A40B1">
        <w:t>,</w:t>
      </w:r>
      <w:r>
        <w:t xml:space="preserve"> we also controlled that there was no significant correlation between lactate measures and anxiety or stress-related variables</w:t>
      </w:r>
      <w:r w:rsidR="00974C23">
        <w:t>. We found that there was no significant correlation between</w:t>
      </w:r>
      <w:r>
        <w:t xml:space="preserve"> </w:t>
      </w:r>
      <w:r w:rsidR="00974C23">
        <w:t xml:space="preserve">lactate levels in the brain or plasma and </w:t>
      </w:r>
      <w:r>
        <w:t>stress-related questionnaires (</w:t>
      </w:r>
      <w:r w:rsidR="00AA193D" w:rsidRPr="00AA193D">
        <w:rPr>
          <w:rStyle w:val="FigurerefCar"/>
        </w:rPr>
        <w:t xml:space="preserve">Supplementary </w:t>
      </w:r>
      <w:r w:rsidRPr="00FC67EF">
        <w:rPr>
          <w:rStyle w:val="FigurerefCar"/>
        </w:rPr>
        <w:t>Fig. S2-</w:t>
      </w:r>
      <w:r w:rsidR="006A40B1">
        <w:rPr>
          <w:rStyle w:val="FigurerefCar"/>
        </w:rPr>
        <w:t>4</w:t>
      </w:r>
      <w:r w:rsidRPr="00FC67EF">
        <w:rPr>
          <w:rStyle w:val="FigurerefCar"/>
        </w:rPr>
        <w:t>A-C</w:t>
      </w:r>
      <w:r w:rsidRPr="008A0F56">
        <w:t xml:space="preserve">, all </w:t>
      </w:r>
      <w:r w:rsidRPr="00BB6C49">
        <w:rPr>
          <w:i/>
          <w:iCs/>
        </w:rPr>
        <w:t>p</w:t>
      </w:r>
      <w:r w:rsidRPr="008A0F56">
        <w:t xml:space="preserve"> &gt; 0.2</w:t>
      </w:r>
      <w:r>
        <w:t>), stress ratings on the day of the experiment (</w:t>
      </w:r>
      <w:r w:rsidR="00AA193D" w:rsidRPr="00AA193D">
        <w:rPr>
          <w:rStyle w:val="FigurerefCar"/>
        </w:rPr>
        <w:t xml:space="preserve">Supplementary </w:t>
      </w:r>
      <w:r w:rsidRPr="00FC67EF">
        <w:rPr>
          <w:rStyle w:val="FigurerefCar"/>
        </w:rPr>
        <w:t>Fig. S2-</w:t>
      </w:r>
      <w:r w:rsidR="006A40B1">
        <w:rPr>
          <w:rStyle w:val="FigurerefCar"/>
        </w:rPr>
        <w:t>4</w:t>
      </w:r>
      <w:r w:rsidRPr="00FC67EF">
        <w:rPr>
          <w:rStyle w:val="FigurerefCar"/>
        </w:rPr>
        <w:t>D</w:t>
      </w:r>
      <w:r>
        <w:t xml:space="preserve">, all </w:t>
      </w:r>
      <w:r w:rsidRPr="00BB6C49">
        <w:rPr>
          <w:i/>
          <w:iCs/>
        </w:rPr>
        <w:t>p</w:t>
      </w:r>
      <w:r>
        <w:t xml:space="preserve"> &gt; 0.1)</w:t>
      </w:r>
      <w:r w:rsidR="00974C23">
        <w:t>,</w:t>
      </w:r>
      <w:r>
        <w:t xml:space="preserve"> or cortisol measurements, which decreased with time-on-task according to circadian rhythm (</w:t>
      </w:r>
      <w:r w:rsidR="00AA193D" w:rsidRPr="00AA193D">
        <w:rPr>
          <w:rStyle w:val="FigurerefCar"/>
        </w:rPr>
        <w:t xml:space="preserve">Supplementary </w:t>
      </w:r>
      <w:r w:rsidRPr="00FC67EF">
        <w:rPr>
          <w:rStyle w:val="FigurerefCar"/>
        </w:rPr>
        <w:t>Fig. S2-</w:t>
      </w:r>
      <w:r w:rsidR="006A40B1">
        <w:rPr>
          <w:rStyle w:val="FigurerefCar"/>
        </w:rPr>
        <w:t>4</w:t>
      </w:r>
      <w:r w:rsidRPr="00FC67EF">
        <w:rPr>
          <w:rStyle w:val="FigurerefCar"/>
        </w:rPr>
        <w:t>E</w:t>
      </w:r>
      <w:r>
        <w:t>), on the day of the experiment (</w:t>
      </w:r>
      <w:r w:rsidR="00AA193D" w:rsidRPr="00AA193D">
        <w:rPr>
          <w:rStyle w:val="FigurerefCar"/>
        </w:rPr>
        <w:t xml:space="preserve">Supplementary </w:t>
      </w:r>
      <w:r w:rsidRPr="00FC67EF">
        <w:rPr>
          <w:rStyle w:val="FigurerefCar"/>
        </w:rPr>
        <w:t>Fig. S2-</w:t>
      </w:r>
      <w:r w:rsidR="006A40B1">
        <w:rPr>
          <w:rStyle w:val="FigurerefCar"/>
        </w:rPr>
        <w:t>4</w:t>
      </w:r>
      <w:r w:rsidRPr="00FC67EF">
        <w:rPr>
          <w:rStyle w:val="FigurerefCar"/>
        </w:rPr>
        <w:t>F</w:t>
      </w:r>
      <w:r>
        <w:t xml:space="preserve">, all </w:t>
      </w:r>
      <w:r w:rsidRPr="009D759B">
        <w:rPr>
          <w:i/>
          <w:iCs/>
        </w:rPr>
        <w:t>p</w:t>
      </w:r>
      <w:r>
        <w:t xml:space="preserve"> &gt; 0.1).There was only one small negative correlation between plasma lactate and the difference between final and initial levels of cortisol (r = -0.311; </w:t>
      </w:r>
      <w:r w:rsidRPr="0057237F">
        <w:rPr>
          <w:i/>
          <w:iCs/>
        </w:rPr>
        <w:t>p</w:t>
      </w:r>
      <w:r>
        <w:t xml:space="preserve"> = 0.019) suggesting that higher initial plasma lactate levels correlated with a sharper decrease in cortisol levels over the course of the experiment, but given the small effect size and the </w:t>
      </w:r>
      <w:r w:rsidR="009D3C70">
        <w:t>absence of</w:t>
      </w:r>
      <w:r>
        <w:t xml:space="preserve"> correct</w:t>
      </w:r>
      <w:r w:rsidR="009D3C70">
        <w:t>ion</w:t>
      </w:r>
      <w:r>
        <w:t xml:space="preserve"> for multiple comparisons, this effect should be considered with great caution. </w:t>
      </w:r>
    </w:p>
    <w:p w14:paraId="6C76CB3C" w14:textId="08E26539" w:rsidR="00B67DC0" w:rsidRDefault="00B67DC0" w:rsidP="00B67DC0">
      <w:pPr>
        <w:rPr>
          <w:rFonts w:cstheme="minorHAnsi"/>
        </w:rPr>
      </w:pPr>
      <w:r w:rsidRPr="00B02E55">
        <w:t xml:space="preserve">In summary, </w:t>
      </w:r>
      <w:r w:rsidR="00742A71">
        <w:t xml:space="preserve">none of our lactate measures </w:t>
      </w:r>
      <w:r>
        <w:t xml:space="preserve">correlated significantly with any measure related to physical capacity, to fatigue, nor to any measure related to sleep, stress, or anxiety, emphasizing that </w:t>
      </w:r>
      <w:r>
        <w:lastRenderedPageBreak/>
        <w:t>dmPFC/dACC lactate influence relates to motivation and not to changes in capacity or other biological factors.</w:t>
      </w:r>
    </w:p>
    <w:p w14:paraId="0DFADACE" w14:textId="1C7501ED" w:rsidR="002F47B7" w:rsidRPr="002F47B7" w:rsidRDefault="002F47B7" w:rsidP="002F47B7">
      <w:pPr>
        <w:pStyle w:val="Titre3"/>
      </w:pPr>
      <w:r w:rsidRPr="002F47B7">
        <w:t xml:space="preserve">fMRI correlates of </w:t>
      </w:r>
      <w:r w:rsidR="0082497A">
        <w:t>-</w:t>
      </w:r>
      <w:r w:rsidRPr="002F47B7">
        <w:t>SVch and DT</w:t>
      </w:r>
    </w:p>
    <w:p w14:paraId="54BC20D8" w14:textId="36A14A35" w:rsidR="002F47B7" w:rsidRPr="002F47B7" w:rsidRDefault="002F47B7" w:rsidP="002F47B7">
      <w:r w:rsidRPr="00B02E55">
        <w:rPr>
          <w:rFonts w:cstheme="minorHAnsi"/>
        </w:rPr>
        <w:t xml:space="preserve">Remarkably, when looking at the neural correlates of </w:t>
      </w:r>
      <w:r>
        <w:rPr>
          <w:rFonts w:cstheme="minorHAnsi"/>
        </w:rPr>
        <w:t xml:space="preserve">negative </w:t>
      </w:r>
      <w:r w:rsidRPr="00B02E55">
        <w:rPr>
          <w:rFonts w:cstheme="minorHAnsi"/>
        </w:rPr>
        <w:t xml:space="preserve">SVch, there was no cluster surviving at a voxel-wise threshold of </w:t>
      </w:r>
      <w:r w:rsidRPr="00BB6C49">
        <w:rPr>
          <w:rFonts w:cstheme="minorHAnsi"/>
          <w:i/>
          <w:iCs/>
        </w:rPr>
        <w:t>p</w:t>
      </w:r>
      <w:r w:rsidRPr="00B02E55">
        <w:rPr>
          <w:rFonts w:cstheme="minorHAnsi"/>
        </w:rPr>
        <w:t xml:space="preserve"> &lt; 0.05 family-wise error (FWE) corrected for multiple comparisons. However, when using a cluster-wise threshold of </w:t>
      </w:r>
      <w:r w:rsidRPr="00BB6C49">
        <w:rPr>
          <w:rFonts w:cstheme="minorHAnsi"/>
          <w:i/>
          <w:iCs/>
        </w:rPr>
        <w:t>p</w:t>
      </w:r>
      <w:r w:rsidRPr="00B02E55">
        <w:rPr>
          <w:rFonts w:cstheme="minorHAnsi"/>
        </w:rPr>
        <w:t xml:space="preserve"> &lt; 0.05 FWE corrected for multiple comparisons, there was one single cluster centered in the dmPFC/dACC (</w:t>
      </w:r>
      <w:r w:rsidR="00AA193D" w:rsidRPr="00AA193D">
        <w:rPr>
          <w:rStyle w:val="FigurerefCar"/>
        </w:rPr>
        <w:t xml:space="preserve">Supplementary </w:t>
      </w:r>
      <w:r w:rsidR="0082497A" w:rsidRPr="00373C18">
        <w:rPr>
          <w:rStyle w:val="FigurerefCar"/>
        </w:rPr>
        <w:t>Fig. S3-2A</w:t>
      </w:r>
      <w:r w:rsidR="0082497A">
        <w:rPr>
          <w:rFonts w:cstheme="minorHAnsi"/>
        </w:rPr>
        <w:t xml:space="preserve">; </w:t>
      </w:r>
      <w:r w:rsidR="000A3208" w:rsidRPr="000A3208">
        <w:t xml:space="preserve">x = -4, y = 26, z = 38; k = 266; </w:t>
      </w:r>
      <w:r w:rsidR="000A3208" w:rsidRPr="00BB6C49">
        <w:rPr>
          <w:i/>
          <w:iCs/>
        </w:rPr>
        <w:t>p</w:t>
      </w:r>
      <w:r w:rsidR="000A3208" w:rsidRPr="000A3208">
        <w:t xml:space="preserve"> = 0.044</w:t>
      </w:r>
      <w:r w:rsidRPr="00B02E55">
        <w:rPr>
          <w:rFonts w:cstheme="minorHAnsi"/>
        </w:rPr>
        <w:t xml:space="preserve">). There was also one widespread network of activity correlating positively with DT at </w:t>
      </w:r>
      <w:r w:rsidRPr="00BB6C49">
        <w:rPr>
          <w:rFonts w:cstheme="minorHAnsi"/>
          <w:i/>
          <w:iCs/>
        </w:rPr>
        <w:t>p</w:t>
      </w:r>
      <w:r w:rsidRPr="00B02E55">
        <w:rPr>
          <w:rFonts w:cstheme="minorHAnsi"/>
        </w:rPr>
        <w:t xml:space="preserve"> &lt; 0.</w:t>
      </w:r>
      <w:r w:rsidR="000A3208" w:rsidRPr="00B02E55">
        <w:rPr>
          <w:rFonts w:cstheme="minorHAnsi"/>
        </w:rPr>
        <w:t>0</w:t>
      </w:r>
      <w:r w:rsidR="000A3208">
        <w:rPr>
          <w:rFonts w:cstheme="minorHAnsi"/>
        </w:rPr>
        <w:t>01</w:t>
      </w:r>
      <w:r w:rsidR="000A3208" w:rsidRPr="00B02E55">
        <w:rPr>
          <w:rFonts w:cstheme="minorHAnsi"/>
        </w:rPr>
        <w:t xml:space="preserve"> </w:t>
      </w:r>
      <w:r w:rsidRPr="00B02E55">
        <w:rPr>
          <w:rFonts w:cstheme="minorHAnsi"/>
        </w:rPr>
        <w:t xml:space="preserve">FWE corrected for multiple comparisons at the voxel level, which included a </w:t>
      </w:r>
      <w:r w:rsidR="0078583B">
        <w:rPr>
          <w:rFonts w:cstheme="minorHAnsi"/>
        </w:rPr>
        <w:t xml:space="preserve">big </w:t>
      </w:r>
      <w:r w:rsidRPr="00B02E55">
        <w:rPr>
          <w:rFonts w:cstheme="minorHAnsi"/>
        </w:rPr>
        <w:t>cluster in the dmPFC/dACC (</w:t>
      </w:r>
      <w:r w:rsidR="00AA193D" w:rsidRPr="00AA193D">
        <w:rPr>
          <w:rStyle w:val="FigurerefCar"/>
        </w:rPr>
        <w:t xml:space="preserve">Supplementary </w:t>
      </w:r>
      <w:r w:rsidR="000A3208" w:rsidRPr="00AA17B2">
        <w:rPr>
          <w:rStyle w:val="FigurerefCar"/>
        </w:rPr>
        <w:t>Fig. S3-2</w:t>
      </w:r>
      <w:r w:rsidR="000A3208">
        <w:rPr>
          <w:rStyle w:val="FigurerefCar"/>
        </w:rPr>
        <w:t>B;</w:t>
      </w:r>
      <w:r w:rsidR="000A3208" w:rsidRPr="00B02E55">
        <w:rPr>
          <w:rFonts w:cstheme="minorHAnsi"/>
        </w:rPr>
        <w:t xml:space="preserve"> </w:t>
      </w:r>
      <w:r w:rsidR="000A3208" w:rsidRPr="00373C18">
        <w:t xml:space="preserve">x = -4, y = 24, z = 42; k = 1567; </w:t>
      </w:r>
      <w:r w:rsidR="000A3208" w:rsidRPr="00BB6C49">
        <w:rPr>
          <w:i/>
          <w:iCs/>
        </w:rPr>
        <w:t>p</w:t>
      </w:r>
      <w:r w:rsidR="000A3208" w:rsidRPr="00373C18">
        <w:t xml:space="preserve"> &lt; 0.001</w:t>
      </w:r>
      <w:r w:rsidRPr="00B02E55">
        <w:rPr>
          <w:rFonts w:cstheme="minorHAnsi"/>
        </w:rPr>
        <w:t xml:space="preserve">), a bilateral </w:t>
      </w:r>
      <w:r w:rsidR="0078583B">
        <w:rPr>
          <w:rFonts w:cstheme="minorHAnsi"/>
        </w:rPr>
        <w:t>activation</w:t>
      </w:r>
      <w:r w:rsidR="0078583B" w:rsidRPr="00B02E55">
        <w:rPr>
          <w:rFonts w:cstheme="minorHAnsi"/>
        </w:rPr>
        <w:t xml:space="preserve"> </w:t>
      </w:r>
      <w:r w:rsidRPr="00B02E55">
        <w:rPr>
          <w:rFonts w:cstheme="minorHAnsi"/>
        </w:rPr>
        <w:t>in the aIns</w:t>
      </w:r>
      <w:r>
        <w:rPr>
          <w:rFonts w:cstheme="minorHAnsi"/>
        </w:rPr>
        <w:t>, with the left aIns cluster</w:t>
      </w:r>
      <w:r w:rsidRPr="00B02E55">
        <w:rPr>
          <w:rFonts w:cstheme="minorHAnsi"/>
        </w:rPr>
        <w:t xml:space="preserve"> extending in the left dorsolateral prefrontal cortex </w:t>
      </w:r>
      <w:r>
        <w:rPr>
          <w:rFonts w:cstheme="minorHAnsi"/>
        </w:rPr>
        <w:t>(dlPFC) which was also present bilaterally</w:t>
      </w:r>
      <w:r w:rsidR="000A3208">
        <w:rPr>
          <w:rFonts w:cstheme="minorHAnsi"/>
        </w:rPr>
        <w:t xml:space="preserve">, </w:t>
      </w:r>
      <w:r w:rsidR="0078583B">
        <w:rPr>
          <w:rFonts w:cstheme="minorHAnsi"/>
        </w:rPr>
        <w:t>possibly reflecting</w:t>
      </w:r>
      <w:r w:rsidR="000A3208">
        <w:rPr>
          <w:rFonts w:cstheme="minorHAnsi"/>
        </w:rPr>
        <w:t xml:space="preserve"> the involvement of </w:t>
      </w:r>
      <w:r w:rsidR="000A3208" w:rsidRPr="000A3208">
        <w:rPr>
          <w:rFonts w:cstheme="minorHAnsi"/>
        </w:rPr>
        <w:t xml:space="preserve">the executive network with longer deliberation times </w:t>
      </w:r>
      <w:r w:rsidR="000A3208">
        <w:rPr>
          <w:rFonts w:cstheme="minorHAnsi"/>
        </w:rPr>
        <w:fldChar w:fldCharType="begin"/>
      </w:r>
      <w:r w:rsidR="00342002">
        <w:rPr>
          <w:rFonts w:cstheme="minorHAnsi"/>
        </w:rPr>
        <w:instrText xml:space="preserve"> ADDIN ZOTERO_ITEM CSL_CITATION {"citationID":"IFhihRmZ","properties":{"formattedCitation":"[10, 18]","plainCitation":"[10, 18]","noteIndex":0},"citationItems":[{"id":14032,"uris":["http://zotero.org/users/1203856/items/H9GQPBS9"],"itemData":{"id":14032,"type":"article-journal","abstract":"Deciding on a course of action requires both an accurate estimation of option values and the right amount of effort invested in deliberation to reach sufficient confidence in the final choice. In a previous study, we have provided evidence, across a series of judgment and choice tasks, for a dissociation between the ventromedial prefrontal cortex (vmPFC), which would represent option values, and the dorsomedial prefrontal cortex (dmPFC), which would represent the duration of deliberation. Here, we first replicate this dissociation and extend it to the case of an instrumental learning task, in which 24 human volunteers (13 women) choose between options associated with probabilistic gains and losses. According to fMRI data recorded during decision-making, vmPFC activity reflects the sum of option values generated by a reinforcement learning model and dmPFC activity the deliberation time. To further generalize the role of the dmPFC in mobilizing effort, we then analyze fMRI data recorded in the same participants while they prepare to perform motor and cognitive tasks (squeezing a handgrip or making numerical comparisons) to maximize gains or minimize losses. In both cases, dmPFC activity is associated with the output of an effort regulation model, and not with response time. Taken together, these results strengthen a general theory of behavioral control that implicates the vmPFC in the estimation of option values and the dmPFC in the energization of relevant motor and cognitive processes.","container-title":"Journal of Neuroscience","DOI":"10.1523/JNEUROSCI.1176-23.2024","ISSN":"0270-6474, 1529-2401","issue":"17","journalAbbreviation":"J. Neurosci.","language":"en","license":"Copyright © 2024 the authors. SfN exclusive license.","note":"publisher: Society for Neuroscience\nsection: Research Articles\nPMID: 38514180","source":"www.jneurosci.org","title":"Value Estimation versus Effort Mobilization: A General Dissociation between Ventromedial and Dorsomedial Prefrontal Cortex","title-short":"Value Estimation versus Effort Mobilization","URL":"https://www.jneurosci.org/content/44/17/e1176232024","volume":"44","author":[{"family":"Clairis","given":"Nicolas"},{"family":"Pessiglione","given":"Mathias"}],"accessed":{"date-parts":[["2024",5,10]]},"issued":{"date-parts":[["2024",4,24]]}}},{"id":12849,"uris":["http://zotero.org/groups/4965861/items/23I5CMST"],"itemData":{"id":12849,"type":"article-journal","abstract":"Deciding about courses of action involves minimizing costs and maximizing benefits. Decision neuroscience studies have implicated both the ventral and dorsal medial prefrontal cortex (vmPFC and dmPFC) in signaling goal value and action cost, but the precise functional role of these regions is still a matter of debate. Here, we suggest a more general functional partition that applies not only to decisions but also to judgments about goal value (expected reward) and action cost (expected effort). In this conceptual framework, cognitive representations related to options (reward value and effort cost) are dissociated from metacognitive representations (confidence and deliberation) related to solving the task (providing a judgment or making a choice). We used an original approach aiming at identifying consistencies across several preference tasks, from likeability ratings to binary decisions involving both attribute integration and option comparison. fMRI results in human male and female participants confirmed the vmPFC as a generic valuation system, its activity increasing with reward value and decreasing with effort cost. In contrast, more dorsal regions were not concerned with the valuation of options but with metacognitive variables, confidence being reflected in mPFC activity and deliberation time in dmPFC activity. Thus, there was a dissociation between the effort attached to choice options (represented in the vmPFC) and the effort invested in deliberation (represented in the dmPFC), the latter being expressed in pupil dilation. More generally, assessing commonalities across preference tasks might help reaching a unified view of the neural mechanisms underlying the cost/benefit tradeoffs that drive human behavior.Significance statementDecision neuroscience studies have implicated the medial prefrontal cortex (mPFC) in forming the cognitive representations that drive human choice behavior. However, different studies using different tasks have suggested somewhat inconsistent links between precise computational variables and specific brain regions. Here, we use fMRI to demonstrate a robust functional partition of the mPFC that generalizes across tasks involving an estimation of goal value and/or action cost to provide a judgement or make a choice. This general functional partition makes a critical dissociation between neural representations of decisional factors (the expected costs and benefits attached to a given option) and metacognitive estimates (confidence in the judgment or choice, and effort invested in the deliberation process).","container-title":"The Journal of Neuroscience: The Official Journal of the Society for Neuroscience","DOI":"10.1523/JNEUROSCI.1795-21.2022","ISSN":"1529-2401","issue":"28","journalAbbreviation":"J Neurosci","language":"eng","note":"PMID: 35654606\nPMCID: PMC9295841","page":"5580-5592","source":"PubMed","title":"Value, confidence, deliberation: a functional partition of the medial prefrontal cortex demonstrated across rating and choice tasks","title-short":"Value, confidence, deliberation","volume":"42","author":[{"family":"Clairis","given":"Nicolas"},{"family":"Pessiglione","given":"Mathias"}],"issued":{"date-parts":[["2022",6,1]]}}}],"schema":"https://github.com/citation-style-language/schema/raw/master/csl-citation.json"} </w:instrText>
      </w:r>
      <w:r w:rsidR="000A3208">
        <w:rPr>
          <w:rFonts w:cstheme="minorHAnsi"/>
        </w:rPr>
        <w:fldChar w:fldCharType="separate"/>
      </w:r>
      <w:r w:rsidR="00342002" w:rsidRPr="00342002">
        <w:rPr>
          <w:rFonts w:ascii="Calibri" w:hAnsi="Calibri" w:cs="Calibri"/>
        </w:rPr>
        <w:t>[10, 18]</w:t>
      </w:r>
      <w:r w:rsidR="000A3208">
        <w:rPr>
          <w:rFonts w:cstheme="minorHAnsi"/>
        </w:rPr>
        <w:fldChar w:fldCharType="end"/>
      </w:r>
      <w:r w:rsidRPr="00B02E55">
        <w:rPr>
          <w:rFonts w:cstheme="minorHAnsi"/>
        </w:rPr>
        <w:t xml:space="preserve">. See </w:t>
      </w:r>
      <w:r w:rsidR="0078583B">
        <w:rPr>
          <w:rFonts w:cstheme="minorHAnsi"/>
        </w:rPr>
        <w:t xml:space="preserve">also </w:t>
      </w:r>
      <w:r w:rsidRPr="00B02E55">
        <w:rPr>
          <w:rFonts w:cstheme="minorHAnsi"/>
        </w:rPr>
        <w:t xml:space="preserve">the full </w:t>
      </w:r>
      <w:r w:rsidRPr="00014A9D">
        <w:rPr>
          <w:rFonts w:cstheme="minorHAnsi"/>
        </w:rPr>
        <w:t xml:space="preserve">maps in </w:t>
      </w:r>
      <w:hyperlink r:id="rId11" w:history="1">
        <w:r w:rsidRPr="00014A9D">
          <w:rPr>
            <w:rStyle w:val="Lienhypertexte"/>
            <w:rFonts w:cstheme="minorHAnsi"/>
          </w:rPr>
          <w:t>Neurovault</w:t>
        </w:r>
      </w:hyperlink>
      <w:r w:rsidRPr="00014A9D">
        <w:rPr>
          <w:rFonts w:cstheme="minorHAnsi"/>
        </w:rPr>
        <w:t xml:space="preserve"> for more</w:t>
      </w:r>
      <w:r w:rsidRPr="00B02E55">
        <w:rPr>
          <w:rFonts w:cstheme="minorHAnsi"/>
        </w:rPr>
        <w:t xml:space="preserve"> details.</w:t>
      </w:r>
    </w:p>
    <w:p w14:paraId="1090C21B" w14:textId="5A988211" w:rsidR="00F92448" w:rsidRDefault="002F2567" w:rsidP="00F92448">
      <w:pPr>
        <w:pStyle w:val="Titre3"/>
      </w:pPr>
      <w:bookmarkStart w:id="7" w:name="_Hlk163658277"/>
      <w:r>
        <w:t>Controlling For Possible Confounds Between Ech, SVch and DT Effects in the dmPFC/dACC</w:t>
      </w:r>
      <w:bookmarkEnd w:id="7"/>
    </w:p>
    <w:p w14:paraId="5538578C" w14:textId="0D445342" w:rsidR="00762D02" w:rsidRDefault="00EE74C7">
      <w:pPr>
        <w:rPr>
          <w:rFonts w:cstheme="minorHAnsi"/>
        </w:rPr>
      </w:pPr>
      <w:r w:rsidRPr="00AF43B4">
        <w:rPr>
          <w:rFonts w:cstheme="minorHAnsi"/>
        </w:rPr>
        <w:t xml:space="preserve">Crucially, the fact that dmPFC/dACC activity correlated with </w:t>
      </w:r>
      <w:r w:rsidR="00D70F2E">
        <w:rPr>
          <w:rFonts w:cstheme="minorHAnsi"/>
        </w:rPr>
        <w:t>both Ech and DT and also tended to correlate negatively with SVch</w:t>
      </w:r>
      <w:r w:rsidR="0009019A">
        <w:rPr>
          <w:rFonts w:cstheme="minorHAnsi"/>
        </w:rPr>
        <w:t xml:space="preserve"> (</w:t>
      </w:r>
      <w:r w:rsidR="0009019A" w:rsidRPr="00373C18">
        <w:rPr>
          <w:rStyle w:val="FigurerefCar"/>
        </w:rPr>
        <w:t>Fig. 3</w:t>
      </w:r>
      <w:r w:rsidR="0009019A">
        <w:rPr>
          <w:rStyle w:val="FigurerefCar"/>
        </w:rPr>
        <w:t>C</w:t>
      </w:r>
      <w:r w:rsidR="0009019A" w:rsidRPr="00373C18">
        <w:t xml:space="preserve">, </w:t>
      </w:r>
      <w:r w:rsidR="00AA193D" w:rsidRPr="00AA193D">
        <w:rPr>
          <w:rStyle w:val="FigurerefCar"/>
        </w:rPr>
        <w:t xml:space="preserve">Supplementary </w:t>
      </w:r>
      <w:r w:rsidR="0009019A">
        <w:rPr>
          <w:rStyle w:val="FigurerefCar"/>
        </w:rPr>
        <w:t>Fig. S3-2A</w:t>
      </w:r>
      <w:r w:rsidR="005A6FDE">
        <w:rPr>
          <w:rStyle w:val="FigurerefCar"/>
        </w:rPr>
        <w:t>-B</w:t>
      </w:r>
      <w:r w:rsidR="0009019A">
        <w:rPr>
          <w:rFonts w:cstheme="minorHAnsi"/>
        </w:rPr>
        <w:t>)</w:t>
      </w:r>
      <w:r w:rsidRPr="00AF43B4">
        <w:rPr>
          <w:rFonts w:cstheme="minorHAnsi"/>
        </w:rPr>
        <w:t xml:space="preserve">, even when </w:t>
      </w:r>
      <w:r w:rsidR="00D70F2E">
        <w:rPr>
          <w:rFonts w:cstheme="minorHAnsi"/>
        </w:rPr>
        <w:t>these three parametric modulators of the choice period</w:t>
      </w:r>
      <w:r w:rsidR="00D70F2E" w:rsidRPr="00AF43B4">
        <w:rPr>
          <w:rFonts w:cstheme="minorHAnsi"/>
        </w:rPr>
        <w:t xml:space="preserve"> </w:t>
      </w:r>
      <w:r w:rsidRPr="00AF43B4">
        <w:rPr>
          <w:rFonts w:cstheme="minorHAnsi"/>
        </w:rPr>
        <w:t xml:space="preserve">were </w:t>
      </w:r>
      <w:r w:rsidR="00D70F2E">
        <w:rPr>
          <w:rFonts w:cstheme="minorHAnsi"/>
        </w:rPr>
        <w:t>split per task (</w:t>
      </w:r>
      <w:r w:rsidR="00AA193D" w:rsidRPr="00AA193D">
        <w:rPr>
          <w:rStyle w:val="FigurerefCar"/>
        </w:rPr>
        <w:t xml:space="preserve">Supplementary </w:t>
      </w:r>
      <w:r w:rsidR="00D70F2E" w:rsidRPr="00373C18">
        <w:rPr>
          <w:rStyle w:val="FigurerefCar"/>
        </w:rPr>
        <w:t>Fig. S3-1</w:t>
      </w:r>
      <w:r w:rsidR="00D70F2E">
        <w:rPr>
          <w:rFonts w:cstheme="minorHAnsi"/>
        </w:rPr>
        <w:t>)</w:t>
      </w:r>
      <w:r w:rsidRPr="00AF43B4">
        <w:rPr>
          <w:rFonts w:cstheme="minorHAnsi"/>
        </w:rPr>
        <w:t>, may be attributed to the rather big (</w:t>
      </w:r>
      <w:r w:rsidRPr="00AF43B4">
        <w:rPr>
          <w:rFonts w:cstheme="minorHAnsi"/>
          <w:color w:val="000000"/>
        </w:rPr>
        <w:t>20</w:t>
      </w:r>
      <w:r w:rsidR="00AA193D" w:rsidRPr="00AA193D">
        <w:rPr>
          <w:rFonts w:cstheme="minorHAnsi"/>
          <w:color w:val="000000"/>
        </w:rPr>
        <w:t>×</w:t>
      </w:r>
      <w:r w:rsidRPr="00AF43B4">
        <w:rPr>
          <w:rFonts w:cstheme="minorHAnsi"/>
          <w:color w:val="000000"/>
        </w:rPr>
        <w:t>20</w:t>
      </w:r>
      <w:r w:rsidR="00AA193D" w:rsidRPr="00AA193D">
        <w:rPr>
          <w:rFonts w:cstheme="minorHAnsi"/>
          <w:color w:val="000000"/>
        </w:rPr>
        <w:t>×</w:t>
      </w:r>
      <w:r w:rsidRPr="00AF43B4">
        <w:rPr>
          <w:rFonts w:cstheme="minorHAnsi"/>
          <w:color w:val="000000"/>
        </w:rPr>
        <w:t>20 mm</w:t>
      </w:r>
      <w:r w:rsidRPr="00AF43B4">
        <w:rPr>
          <w:rFonts w:cstheme="minorHAnsi"/>
          <w:color w:val="000000"/>
          <w:vertAlign w:val="superscript"/>
        </w:rPr>
        <w:t>3</w:t>
      </w:r>
      <w:r w:rsidRPr="00AF43B4">
        <w:rPr>
          <w:rFonts w:cstheme="minorHAnsi"/>
        </w:rPr>
        <w:t xml:space="preserve">) dmPFC/dACC voxel that we used for </w:t>
      </w:r>
      <w:r w:rsidRPr="00AF43B4">
        <w:rPr>
          <w:rFonts w:cstheme="minorHAnsi"/>
          <w:vertAlign w:val="superscript"/>
        </w:rPr>
        <w:t>1</w:t>
      </w:r>
      <w:r w:rsidRPr="00AF43B4">
        <w:rPr>
          <w:rFonts w:cstheme="minorHAnsi"/>
        </w:rPr>
        <w:t>H-MRS measurement in comparison with the clusters of activity (</w:t>
      </w:r>
      <w:r w:rsidR="00AA193D" w:rsidRPr="00AF43B4">
        <w:rPr>
          <w:rStyle w:val="FigurerefCar"/>
        </w:rPr>
        <w:t xml:space="preserve">Fig. </w:t>
      </w:r>
      <w:r w:rsidR="00AA193D">
        <w:rPr>
          <w:rStyle w:val="FigurerefCar"/>
        </w:rPr>
        <w:t>3B</w:t>
      </w:r>
      <w:r w:rsidR="00AA193D" w:rsidRPr="00AA193D">
        <w:t xml:space="preserve">, </w:t>
      </w:r>
      <w:r w:rsidR="00AA193D" w:rsidRPr="00AA193D">
        <w:rPr>
          <w:rStyle w:val="FigurerefCar"/>
        </w:rPr>
        <w:t xml:space="preserve">Supplementary </w:t>
      </w:r>
      <w:r w:rsidR="00F35CF6" w:rsidRPr="00373C18">
        <w:rPr>
          <w:rStyle w:val="FigurerefCar"/>
        </w:rPr>
        <w:t>Fig. S1-2A</w:t>
      </w:r>
      <w:r w:rsidRPr="00AF43B4">
        <w:rPr>
          <w:rFonts w:cstheme="minorHAnsi"/>
        </w:rPr>
        <w:t xml:space="preserve">). This voxel could overlap across several functional areas within the dmPFC/dACC, as has been suggested previously </w:t>
      </w:r>
      <w:r w:rsidRPr="00AF43B4">
        <w:rPr>
          <w:rFonts w:cstheme="minorHAnsi"/>
        </w:rPr>
        <w:fldChar w:fldCharType="begin"/>
      </w:r>
      <w:r w:rsidR="001363D5">
        <w:rPr>
          <w:rFonts w:cstheme="minorHAnsi"/>
        </w:rPr>
        <w:instrText xml:space="preserve"> ADDIN ZOTERO_ITEM CSL_CITATION {"citationID":"cFnueVlw","properties":{"formattedCitation":"[19\\uc0\\u8211{}21]","plainCitation":"[19–21]","noteIndex":0},"citationItems":[{"id":"U1juNWln/mv2mBfZe","uris":["http://zotero.org/users/1203856/items/3YM4DKJU"],"itemData":{"id":10899,"type":"article-journal","abstract":"The dorsomedial prefrontal cortex/dorsal anterior cingulate cortex (dmPFC/dACC) is a brain area subject to many theories and debates over its function(s). Even its precise anatomical borders are subject to much controversy. In the past decades, the dmPFC/dACC has been associated with more than fifteen different cognitive processes, which sometimes appear quite unrelated (e.g., body perception, cognitive conflict). As a result, understanding what the dmPFC/dACC does has become a real challenge for many neuroscientists. Several theories of this brain area's function(s) have been developed, leading to successive and competitive publications bearing different models, which sometimes contradict each other. During the last two decades, the lively scientific exchanges around the dmPFC/dACC have promoted fruitful research in cognitive neuroscience. In this review, we provide an overview of the anatomy of the dmPFC/dACC, summarize the state of the art of functions that have been associated with this brain area, and present the main theories aiming at explaining the dmPFC/dACC function(s). We explore the commonalities and the arguments between the different theories. Finally, we explain what can be learned from these debates for future investigations of the dmPFC/dACC and other brain regions’ functions.","container-title":"Brain","DOI":"10.1093/brain/awad263","ISSN":"0006-8950","journalAbbreviation":"Brain","page":"awad263","source":"Silverchair","title":"Debates on the dorsomedial prefrontal/dorsal anterior cingulate cortex: insights for future research","title-short":"Debates on the dorsomedial prefrontal/dorsal anterior cingulate cortex","author":[{"family":"Clairis","given":"Nicolas"},{"family":"Lopez-Persem","given":"Alizée"}],"issued":{"date-parts":[["2023",8,2]]}}},{"id":7732,"uris":["http://zotero.org/users/1203856/items/JAW6HJSV"],"itemData":{"id":7732,"type":"article-journal","abstract":"Neuroimaging studies of the medial prefrontal cortex (mPFC) suggest that the dorsal anterior cingulate cortex (dACC) region is responsive to a wide variety of stimuli and psychological states, such as pain, cognitive control, and prediction error (PE). In contrast, a recent meta-analysis argues that the dACC is selective for pain, whereas the supplementary motor area (SMA) and pre-SMA are specifically associated with higher-level cognitive processes (Lieberman and Eisenberger, 2015). To empirically test this claim, we manipulated effects of pain, conflict, and PE in a single experiment using human subjects. We observed a robust dorsal-ventral dissociation within the mPFC with cognitive effects of PE and conflict overlapping dorsally and pain localized more ventrally. Classification of subjects based on the presence or absence of a paracingulate sulcus showed that PE effects extended across the dorsal area of the dACC and into the pre-SMA. These results begin to resolve recent controversies by showing the following: (1) the mPFC includes dissociable regions for pain and cognitive processing; and (2) meta-analyses are correct in localizing cognitive effects to the dACC, although these effects extend to the pre-SMA as well. These results both provide evidence distinguishing between different theories of mPFC function and highlight the importance of taking individual anatomical variability into account when conducting empirical studies of the mPFC.\nSIGNIFICANCE STATEMENT Decades of neuroimaging research have shown the mPFC to represent a wide variety of stimulus processing and cognitive states. However, recently it has been argued whether distinct regions of the mPFC separately process pain and cognitive phenomena. To address this controversy, this study directly compared pain and cognitive processes within subjects. We found a double dissociation within the mPFC with pain localized ventral to the cingulate sulcus and cognitive effects localized more dorsally within the dACC and spreading into the pre-supplementary motor area. This provides empirical evidence to help resolve the current debate about the functional architecture of the mPFC.","container-title":"Journal of Neuroscience","DOI":"10.1523/JNEUROSCI.2180-16.2016","ISSN":"0270-6474, 1529-2401","issue":"49","journalAbbreviation":"J. Neurosci.","language":"en","license":"Copyright © 2016 the authors 0270-6474/16/3612385-08$15.00/0","note":"publisher: Society for Neuroscience\nsection: Research Articles\nPMID: 27807031","page":"12385-12392","source":"www-jneurosci-org.proxy.insermbiblio.inist.fr","title":"Distinct Regions within Medial Prefrontal Cortex Process Pain and Cognition","volume":"36","author":[{"family":"Jahn","given":"Andrew"},{"family":"Nee","given":"Derek Evan"},{"family":"Alexander","given":"William H."},{"family":"Brown","given":"Joshua W."}],"issued":{"date-parts":[["2016",12,7]]}}},{"id":1212,"uris":["http://zotero.org/users/1203856/items/N54JIUMI"],"itemData":{"id":1212,"type":"article-journal","container-title":"Nature Neuroscience","DOI":"10.1038/nn.4382","ISSN":"1097-6256, 1546-1726","issue":"10","language":"en","page":"1280-1285","source":"Crossref","title":"Value, search, persistence and model updating in anterior cingulate cortex","volume":"19","author":[{"family":"Kolling","given":"Nils"},{"family":"Wittmann","given":"Marco K"},{"family":"Behrens","given":"Tim E J"},{"family":"Boorman","given":"Erie D"},{"family":"Mars","given":"Rogier B"},{"family":"Rushworth","given":"Matthew F S"}],"issued":{"date-parts":[["2016",10]]}}}],"schema":"https://github.com/citation-style-language/schema/raw/master/csl-citation.json"} </w:instrText>
      </w:r>
      <w:r w:rsidRPr="00AF43B4">
        <w:rPr>
          <w:rFonts w:cstheme="minorHAnsi"/>
        </w:rPr>
        <w:fldChar w:fldCharType="separate"/>
      </w:r>
      <w:r w:rsidR="00342002" w:rsidRPr="00342002">
        <w:rPr>
          <w:rFonts w:ascii="Calibri" w:hAnsi="Calibri" w:cs="Calibri"/>
        </w:rPr>
        <w:t>[19–21]</w:t>
      </w:r>
      <w:r w:rsidRPr="00AF43B4">
        <w:rPr>
          <w:rFonts w:cstheme="minorHAnsi"/>
        </w:rPr>
        <w:fldChar w:fldCharType="end"/>
      </w:r>
      <w:r w:rsidRPr="00D93F35">
        <w:rPr>
          <w:rFonts w:cstheme="minorHAnsi"/>
        </w:rPr>
        <w:t xml:space="preserve">. </w:t>
      </w:r>
      <w:r w:rsidRPr="00AF43B4">
        <w:rPr>
          <w:rFonts w:cstheme="minorHAnsi"/>
        </w:rPr>
        <w:t>To assess this</w:t>
      </w:r>
      <w:r w:rsidR="00974CD5">
        <w:rPr>
          <w:rFonts w:cstheme="minorHAnsi"/>
        </w:rPr>
        <w:t xml:space="preserve"> possibility</w:t>
      </w:r>
      <w:r w:rsidRPr="00AF43B4">
        <w:rPr>
          <w:rFonts w:cstheme="minorHAnsi"/>
        </w:rPr>
        <w:t>, we extracted the cluster within the dmPFC/dACC corresponding to each of these regressors and looked at their overlap. Strikingly, there is a partial overlap between the three clusters (</w:t>
      </w:r>
      <w:r w:rsidR="00AA193D" w:rsidRPr="00AA193D">
        <w:rPr>
          <w:rStyle w:val="FigurerefCar"/>
        </w:rPr>
        <w:t xml:space="preserve">Supplementary </w:t>
      </w:r>
      <w:r w:rsidRPr="00AF43B4">
        <w:rPr>
          <w:rStyle w:val="FigurerefCar"/>
        </w:rPr>
        <w:t>Fig. S</w:t>
      </w:r>
      <w:r w:rsidR="0012309B">
        <w:rPr>
          <w:rStyle w:val="FigurerefCar"/>
        </w:rPr>
        <w:t>3</w:t>
      </w:r>
      <w:r w:rsidRPr="00AF43B4">
        <w:rPr>
          <w:rStyle w:val="FigurerefCar"/>
        </w:rPr>
        <w:t>-2</w:t>
      </w:r>
      <w:r w:rsidR="00F35CF6">
        <w:rPr>
          <w:rStyle w:val="FigurerefCar"/>
        </w:rPr>
        <w:t>C-D</w:t>
      </w:r>
      <w:r w:rsidRPr="00AF43B4">
        <w:rPr>
          <w:rFonts w:cstheme="minorHAnsi"/>
        </w:rPr>
        <w:t xml:space="preserve">). However, the DT cluster appears to be more dorsal (peak at x = </w:t>
      </w:r>
      <w:r w:rsidR="00991CEB">
        <w:rPr>
          <w:rFonts w:cstheme="minorHAnsi"/>
        </w:rPr>
        <w:t>-4</w:t>
      </w:r>
      <w:r w:rsidRPr="00AF43B4">
        <w:rPr>
          <w:rFonts w:cstheme="minorHAnsi"/>
        </w:rPr>
        <w:t xml:space="preserve">, y = </w:t>
      </w:r>
      <w:r w:rsidR="00991CEB">
        <w:rPr>
          <w:rFonts w:cstheme="minorHAnsi"/>
        </w:rPr>
        <w:t>24</w:t>
      </w:r>
      <w:r w:rsidRPr="00AF43B4">
        <w:rPr>
          <w:rFonts w:cstheme="minorHAnsi"/>
        </w:rPr>
        <w:t xml:space="preserve">, z = </w:t>
      </w:r>
      <w:r w:rsidR="00991CEB">
        <w:rPr>
          <w:rFonts w:cstheme="minorHAnsi"/>
        </w:rPr>
        <w:t>42</w:t>
      </w:r>
      <w:r w:rsidRPr="00AF43B4">
        <w:rPr>
          <w:rFonts w:cstheme="minorHAnsi"/>
        </w:rPr>
        <w:t xml:space="preserve">), than the -SVch (x = </w:t>
      </w:r>
      <w:r w:rsidR="00991CEB">
        <w:rPr>
          <w:rFonts w:cstheme="minorHAnsi"/>
        </w:rPr>
        <w:t>-4</w:t>
      </w:r>
      <w:r w:rsidRPr="00AF43B4">
        <w:rPr>
          <w:rFonts w:cstheme="minorHAnsi"/>
        </w:rPr>
        <w:t xml:space="preserve">, y = </w:t>
      </w:r>
      <w:r w:rsidR="00991CEB" w:rsidRPr="00AF43B4">
        <w:rPr>
          <w:rFonts w:cstheme="minorHAnsi"/>
        </w:rPr>
        <w:t>2</w:t>
      </w:r>
      <w:r w:rsidR="00991CEB">
        <w:rPr>
          <w:rFonts w:cstheme="minorHAnsi"/>
        </w:rPr>
        <w:t>6</w:t>
      </w:r>
      <w:r w:rsidRPr="00AF43B4">
        <w:rPr>
          <w:rFonts w:cstheme="minorHAnsi"/>
        </w:rPr>
        <w:t xml:space="preserve">, z = </w:t>
      </w:r>
      <w:r w:rsidR="00991CEB">
        <w:rPr>
          <w:rFonts w:cstheme="minorHAnsi"/>
        </w:rPr>
        <w:t>38</w:t>
      </w:r>
      <w:r w:rsidRPr="00AF43B4">
        <w:rPr>
          <w:rFonts w:cstheme="minorHAnsi"/>
        </w:rPr>
        <w:t xml:space="preserve">) or the Ech (x = </w:t>
      </w:r>
      <w:r w:rsidR="00991CEB">
        <w:rPr>
          <w:rFonts w:cstheme="minorHAnsi"/>
        </w:rPr>
        <w:t>0</w:t>
      </w:r>
      <w:r w:rsidRPr="00AF43B4">
        <w:rPr>
          <w:rFonts w:cstheme="minorHAnsi"/>
        </w:rPr>
        <w:t xml:space="preserve">, y = </w:t>
      </w:r>
      <w:r w:rsidR="00991CEB">
        <w:rPr>
          <w:rFonts w:cstheme="minorHAnsi"/>
        </w:rPr>
        <w:t>32</w:t>
      </w:r>
      <w:r w:rsidRPr="00AF43B4">
        <w:rPr>
          <w:rFonts w:cstheme="minorHAnsi"/>
        </w:rPr>
        <w:t xml:space="preserve">, z = </w:t>
      </w:r>
      <w:r w:rsidR="00991CEB">
        <w:rPr>
          <w:rFonts w:cstheme="minorHAnsi"/>
        </w:rPr>
        <w:t>32</w:t>
      </w:r>
      <w:r w:rsidRPr="00AF43B4">
        <w:rPr>
          <w:rFonts w:cstheme="minorHAnsi"/>
        </w:rPr>
        <w:t>) clusters which overlapped considerably with each other</w:t>
      </w:r>
      <w:r w:rsidR="001677E9">
        <w:rPr>
          <w:rFonts w:cstheme="minorHAnsi"/>
        </w:rPr>
        <w:t xml:space="preserve"> (</w:t>
      </w:r>
      <w:r w:rsidR="00AA193D" w:rsidRPr="00AA193D">
        <w:rPr>
          <w:rStyle w:val="FigurerefCar"/>
        </w:rPr>
        <w:t xml:space="preserve">Supplementary </w:t>
      </w:r>
      <w:r w:rsidR="001677E9" w:rsidRPr="00373C18">
        <w:rPr>
          <w:rStyle w:val="FigurerefCar"/>
        </w:rPr>
        <w:t>Fig. S3-2C</w:t>
      </w:r>
      <w:r w:rsidR="001677E9">
        <w:rPr>
          <w:rFonts w:cstheme="minorHAnsi"/>
        </w:rPr>
        <w:t>)</w:t>
      </w:r>
      <w:r w:rsidRPr="00AF43B4">
        <w:rPr>
          <w:rFonts w:cstheme="minorHAnsi"/>
        </w:rPr>
        <w:t>, suggesting that they may be partially confounded</w:t>
      </w:r>
      <w:r w:rsidR="006F24A8">
        <w:rPr>
          <w:rFonts w:cstheme="minorHAnsi"/>
        </w:rPr>
        <w:t xml:space="preserve"> at the behavioral and neural level</w:t>
      </w:r>
      <w:r w:rsidRPr="00AF43B4">
        <w:rPr>
          <w:rFonts w:cstheme="minorHAnsi"/>
        </w:rPr>
        <w:t>.</w:t>
      </w:r>
      <w:r w:rsidR="006F24A8">
        <w:rPr>
          <w:rFonts w:cstheme="minorHAnsi"/>
        </w:rPr>
        <w:t xml:space="preserve"> We </w:t>
      </w:r>
      <w:r w:rsidR="00EF527E">
        <w:rPr>
          <w:rFonts w:cstheme="minorHAnsi"/>
        </w:rPr>
        <w:t xml:space="preserve">therefore </w:t>
      </w:r>
      <w:r w:rsidR="006F24A8">
        <w:rPr>
          <w:rFonts w:cstheme="minorHAnsi"/>
        </w:rPr>
        <w:t>first verified whether variables were correlated at the behavioral level and found partial correlation</w:t>
      </w:r>
      <w:r w:rsidR="008632E8">
        <w:rPr>
          <w:rFonts w:cstheme="minorHAnsi"/>
        </w:rPr>
        <w:t>s</w:t>
      </w:r>
      <w:r w:rsidR="006F24A8">
        <w:rPr>
          <w:rFonts w:cstheme="minorHAnsi"/>
        </w:rPr>
        <w:t xml:space="preserve"> between </w:t>
      </w:r>
      <w:r w:rsidR="008632E8">
        <w:rPr>
          <w:rFonts w:cstheme="minorHAnsi"/>
        </w:rPr>
        <w:t xml:space="preserve">Ech and SVch (r = -0.081, </w:t>
      </w:r>
      <w:r w:rsidR="008632E8" w:rsidRPr="0057237F">
        <w:rPr>
          <w:rFonts w:cstheme="minorHAnsi"/>
          <w:i/>
          <w:iCs/>
        </w:rPr>
        <w:t>p</w:t>
      </w:r>
      <w:r w:rsidR="008632E8">
        <w:rPr>
          <w:rFonts w:cstheme="minorHAnsi"/>
        </w:rPr>
        <w:t xml:space="preserve"> = 0.007, R² = 0.054)</w:t>
      </w:r>
      <w:r w:rsidR="00A179A0">
        <w:rPr>
          <w:rFonts w:cstheme="minorHAnsi"/>
        </w:rPr>
        <w:t xml:space="preserve"> and</w:t>
      </w:r>
      <w:r w:rsidR="008632E8">
        <w:rPr>
          <w:rFonts w:cstheme="minorHAnsi"/>
        </w:rPr>
        <w:t xml:space="preserve"> between </w:t>
      </w:r>
      <w:r w:rsidR="006F24A8">
        <w:rPr>
          <w:rFonts w:cstheme="minorHAnsi"/>
        </w:rPr>
        <w:t>SVch and DT (r =</w:t>
      </w:r>
      <w:r w:rsidR="008632E8">
        <w:rPr>
          <w:rFonts w:cstheme="minorHAnsi"/>
        </w:rPr>
        <w:t xml:space="preserve"> -0.293</w:t>
      </w:r>
      <w:r w:rsidR="006F24A8">
        <w:rPr>
          <w:rFonts w:cstheme="minorHAnsi"/>
        </w:rPr>
        <w:t xml:space="preserve">, </w:t>
      </w:r>
      <w:r w:rsidR="006F24A8" w:rsidRPr="00BB6C49">
        <w:rPr>
          <w:rFonts w:cstheme="minorHAnsi"/>
          <w:i/>
          <w:iCs/>
        </w:rPr>
        <w:t>p</w:t>
      </w:r>
      <w:r w:rsidR="006F24A8">
        <w:rPr>
          <w:rFonts w:cstheme="minorHAnsi"/>
        </w:rPr>
        <w:t xml:space="preserve"> &lt; 0.001, R² =</w:t>
      </w:r>
      <w:r w:rsidR="00271A3A">
        <w:rPr>
          <w:rFonts w:cstheme="minorHAnsi"/>
        </w:rPr>
        <w:t>0.096</w:t>
      </w:r>
      <w:r w:rsidR="006F24A8">
        <w:rPr>
          <w:rFonts w:cstheme="minorHAnsi"/>
        </w:rPr>
        <w:t>)</w:t>
      </w:r>
      <w:r w:rsidR="005C7304">
        <w:rPr>
          <w:rFonts w:cstheme="minorHAnsi"/>
        </w:rPr>
        <w:t>, but Ech and DT</w:t>
      </w:r>
      <w:r w:rsidR="00507CC3">
        <w:rPr>
          <w:rFonts w:cstheme="minorHAnsi"/>
        </w:rPr>
        <w:t xml:space="preserve"> were not significantly correlated to each other</w:t>
      </w:r>
      <w:r w:rsidR="005C7304">
        <w:rPr>
          <w:rFonts w:cstheme="minorHAnsi"/>
        </w:rPr>
        <w:t xml:space="preserve"> (r =</w:t>
      </w:r>
      <w:r w:rsidR="00271A3A">
        <w:rPr>
          <w:rFonts w:cstheme="minorHAnsi"/>
        </w:rPr>
        <w:t xml:space="preserve"> -0.018</w:t>
      </w:r>
      <w:r w:rsidR="005C7304">
        <w:rPr>
          <w:rFonts w:cstheme="minorHAnsi"/>
        </w:rPr>
        <w:t xml:space="preserve">, </w:t>
      </w:r>
      <w:r w:rsidR="005C7304" w:rsidRPr="0057237F">
        <w:rPr>
          <w:rFonts w:cstheme="minorHAnsi"/>
          <w:i/>
          <w:iCs/>
        </w:rPr>
        <w:t>p</w:t>
      </w:r>
      <w:r w:rsidR="005C7304">
        <w:rPr>
          <w:rFonts w:cstheme="minorHAnsi"/>
        </w:rPr>
        <w:t xml:space="preserve"> =</w:t>
      </w:r>
      <w:r w:rsidR="00271A3A">
        <w:rPr>
          <w:rFonts w:cstheme="minorHAnsi"/>
        </w:rPr>
        <w:t xml:space="preserve"> 0.325</w:t>
      </w:r>
      <w:r w:rsidR="005C7304">
        <w:rPr>
          <w:rFonts w:cstheme="minorHAnsi"/>
        </w:rPr>
        <w:t>, R² =</w:t>
      </w:r>
      <w:r w:rsidR="00271A3A">
        <w:rPr>
          <w:rFonts w:cstheme="minorHAnsi"/>
        </w:rPr>
        <w:t xml:space="preserve"> 0.015</w:t>
      </w:r>
      <w:r w:rsidR="005C7304">
        <w:rPr>
          <w:rFonts w:cstheme="minorHAnsi"/>
        </w:rPr>
        <w:t>), suggesting that</w:t>
      </w:r>
      <w:r w:rsidR="00AC3809">
        <w:rPr>
          <w:rFonts w:cstheme="minorHAnsi"/>
        </w:rPr>
        <w:t xml:space="preserve"> </w:t>
      </w:r>
      <w:r w:rsidR="005C7304">
        <w:rPr>
          <w:rFonts w:cstheme="minorHAnsi"/>
        </w:rPr>
        <w:t xml:space="preserve">Ech </w:t>
      </w:r>
      <w:r w:rsidR="00AC3809">
        <w:rPr>
          <w:rFonts w:cstheme="minorHAnsi"/>
        </w:rPr>
        <w:t xml:space="preserve">was partially confounded with SVch at the behavioral level as well, although it </w:t>
      </w:r>
      <w:r w:rsidR="005C7304">
        <w:rPr>
          <w:rFonts w:cstheme="minorHAnsi"/>
        </w:rPr>
        <w:t>was not confounded with DT</w:t>
      </w:r>
      <w:r w:rsidR="006F24A8">
        <w:rPr>
          <w:rFonts w:cstheme="minorHAnsi"/>
        </w:rPr>
        <w:t>.</w:t>
      </w:r>
      <w:r w:rsidR="005C7304">
        <w:rPr>
          <w:rFonts w:cstheme="minorHAnsi"/>
        </w:rPr>
        <w:t xml:space="preserve"> </w:t>
      </w:r>
      <w:r w:rsidRPr="00AF43B4">
        <w:rPr>
          <w:rFonts w:cstheme="minorHAnsi"/>
        </w:rPr>
        <w:t xml:space="preserve">To clear out </w:t>
      </w:r>
      <w:r w:rsidR="005C7304">
        <w:rPr>
          <w:rFonts w:cstheme="minorHAnsi"/>
        </w:rPr>
        <w:t>any</w:t>
      </w:r>
      <w:r w:rsidRPr="00AF43B4">
        <w:rPr>
          <w:rFonts w:cstheme="minorHAnsi"/>
        </w:rPr>
        <w:t xml:space="preserve"> potential confound</w:t>
      </w:r>
      <w:r w:rsidR="00F51309">
        <w:rPr>
          <w:rFonts w:cstheme="minorHAnsi"/>
        </w:rPr>
        <w:t xml:space="preserve"> for the neural correlates of our variables of interest</w:t>
      </w:r>
      <w:r w:rsidRPr="00AF43B4">
        <w:rPr>
          <w:rFonts w:cstheme="minorHAnsi"/>
        </w:rPr>
        <w:t xml:space="preserve">, we </w:t>
      </w:r>
      <w:r w:rsidR="00083B38">
        <w:rPr>
          <w:rFonts w:cstheme="minorHAnsi"/>
        </w:rPr>
        <w:t xml:space="preserve">therefore </w:t>
      </w:r>
      <w:r w:rsidRPr="00AF43B4">
        <w:rPr>
          <w:rFonts w:cstheme="minorHAnsi"/>
        </w:rPr>
        <w:t xml:space="preserve">built two more GLM (GLM2 &amp; </w:t>
      </w:r>
      <w:r w:rsidR="00B26893">
        <w:rPr>
          <w:rFonts w:cstheme="minorHAnsi"/>
        </w:rPr>
        <w:t>GLM</w:t>
      </w:r>
      <w:r w:rsidRPr="00AF43B4">
        <w:rPr>
          <w:rFonts w:cstheme="minorHAnsi"/>
        </w:rPr>
        <w:t>3) where we orthogonalized variables in the DT/SVch/Ech and in the Ech/SVch/DT order, respectively. GLM2 confirmed the significant correlation of both dmPFC/dACC and aIns activities with effort chosen (</w:t>
      </w:r>
      <w:r w:rsidR="00AA193D" w:rsidRPr="00AA193D">
        <w:rPr>
          <w:rStyle w:val="FigurerefCar"/>
        </w:rPr>
        <w:t xml:space="preserve">Supplementary </w:t>
      </w:r>
      <w:r w:rsidRPr="00AF43B4">
        <w:rPr>
          <w:rStyle w:val="FigurerefCar"/>
          <w:rFonts w:cstheme="minorHAnsi"/>
        </w:rPr>
        <w:t>Fig. S</w:t>
      </w:r>
      <w:r w:rsidR="0012309B">
        <w:rPr>
          <w:rStyle w:val="FigurerefCar"/>
          <w:rFonts w:cstheme="minorHAnsi"/>
        </w:rPr>
        <w:t>3</w:t>
      </w:r>
      <w:r w:rsidRPr="00AF43B4">
        <w:rPr>
          <w:rStyle w:val="FigurerefCar"/>
          <w:rFonts w:cstheme="minorHAnsi"/>
        </w:rPr>
        <w:t>-3</w:t>
      </w:r>
      <w:r w:rsidR="00580A01">
        <w:rPr>
          <w:rStyle w:val="FigurerefCar"/>
          <w:rFonts w:cstheme="minorHAnsi"/>
        </w:rPr>
        <w:t>A</w:t>
      </w:r>
      <w:r w:rsidRPr="00AF43B4">
        <w:rPr>
          <w:rFonts w:cstheme="minorHAnsi"/>
        </w:rPr>
        <w:t xml:space="preserve">; dmPFC/dACC: β = </w:t>
      </w:r>
      <w:r w:rsidR="00C944E9">
        <w:rPr>
          <w:rFonts w:cstheme="minorHAnsi"/>
        </w:rPr>
        <w:t xml:space="preserve">0.397 </w:t>
      </w:r>
      <w:r w:rsidRPr="00AF43B4">
        <w:rPr>
          <w:rFonts w:cstheme="minorHAnsi"/>
        </w:rPr>
        <w:t>±</w:t>
      </w:r>
      <w:r w:rsidR="00C944E9">
        <w:rPr>
          <w:rFonts w:cstheme="minorHAnsi"/>
        </w:rPr>
        <w:t xml:space="preserve"> 0.100</w:t>
      </w:r>
      <w:r w:rsidRPr="00AF43B4">
        <w:rPr>
          <w:rFonts w:cstheme="minorHAnsi"/>
        </w:rPr>
        <w:t xml:space="preserve">, </w:t>
      </w:r>
      <w:r w:rsidRPr="00BB6C49">
        <w:rPr>
          <w:rFonts w:cstheme="minorHAnsi"/>
          <w:i/>
          <w:iCs/>
        </w:rPr>
        <w:t>p</w:t>
      </w:r>
      <w:r w:rsidRPr="00AF43B4">
        <w:rPr>
          <w:rFonts w:cstheme="minorHAnsi"/>
        </w:rPr>
        <w:t xml:space="preserve"> &lt; 0.001; aIns: β = </w:t>
      </w:r>
      <w:r w:rsidR="00B0359A">
        <w:rPr>
          <w:rFonts w:cstheme="minorHAnsi"/>
        </w:rPr>
        <w:t xml:space="preserve">0.374 </w:t>
      </w:r>
      <w:r w:rsidRPr="00AF43B4">
        <w:rPr>
          <w:rFonts w:cstheme="minorHAnsi"/>
        </w:rPr>
        <w:t>±</w:t>
      </w:r>
      <w:r w:rsidR="00B0359A">
        <w:rPr>
          <w:rFonts w:cstheme="minorHAnsi"/>
        </w:rPr>
        <w:t xml:space="preserve"> 0.087</w:t>
      </w:r>
      <w:r w:rsidRPr="00AF43B4">
        <w:rPr>
          <w:rFonts w:cstheme="minorHAnsi"/>
        </w:rPr>
        <w:t xml:space="preserve">, </w:t>
      </w:r>
      <w:r w:rsidRPr="00BB6C49">
        <w:rPr>
          <w:rFonts w:cstheme="minorHAnsi"/>
          <w:i/>
          <w:iCs/>
        </w:rPr>
        <w:t>p</w:t>
      </w:r>
      <w:r w:rsidRPr="00AF43B4">
        <w:rPr>
          <w:rFonts w:cstheme="minorHAnsi"/>
        </w:rPr>
        <w:t xml:space="preserve"> &lt; 0.001), despite Ech being orthogonalized to both DT and SVch. Furthermore, this pattern also persisted for both physical (dmPFC/dACC: β = </w:t>
      </w:r>
      <w:r w:rsidR="001479C8">
        <w:rPr>
          <w:rFonts w:cstheme="minorHAnsi"/>
        </w:rPr>
        <w:t xml:space="preserve">0.420 </w:t>
      </w:r>
      <w:r w:rsidRPr="00AF43B4">
        <w:rPr>
          <w:rFonts w:cstheme="minorHAnsi"/>
        </w:rPr>
        <w:t>±</w:t>
      </w:r>
      <w:r w:rsidR="001479C8">
        <w:rPr>
          <w:rFonts w:cstheme="minorHAnsi"/>
        </w:rPr>
        <w:t xml:space="preserve"> 0.152</w:t>
      </w:r>
      <w:r w:rsidRPr="00AF43B4">
        <w:rPr>
          <w:rFonts w:cstheme="minorHAnsi"/>
        </w:rPr>
        <w:t xml:space="preserve">; </w:t>
      </w:r>
      <w:r w:rsidRPr="0057237F">
        <w:rPr>
          <w:rFonts w:cstheme="minorHAnsi"/>
          <w:i/>
          <w:iCs/>
        </w:rPr>
        <w:t>p</w:t>
      </w:r>
      <w:r w:rsidRPr="00AF43B4">
        <w:rPr>
          <w:rFonts w:cstheme="minorHAnsi"/>
        </w:rPr>
        <w:t xml:space="preserve"> </w:t>
      </w:r>
      <w:r w:rsidR="001479C8">
        <w:rPr>
          <w:rFonts w:cstheme="minorHAnsi"/>
        </w:rPr>
        <w:t>= 0.007</w:t>
      </w:r>
      <w:r w:rsidRPr="00AF43B4">
        <w:rPr>
          <w:rFonts w:cstheme="minorHAnsi"/>
        </w:rPr>
        <w:t xml:space="preserve">; aIns: β = </w:t>
      </w:r>
      <w:r w:rsidR="00620DFF">
        <w:rPr>
          <w:rFonts w:cstheme="minorHAnsi"/>
        </w:rPr>
        <w:t xml:space="preserve">0.454 </w:t>
      </w:r>
      <w:r w:rsidRPr="00AF43B4">
        <w:rPr>
          <w:rFonts w:cstheme="minorHAnsi"/>
        </w:rPr>
        <w:t>±</w:t>
      </w:r>
      <w:r w:rsidR="00620DFF">
        <w:rPr>
          <w:rFonts w:cstheme="minorHAnsi"/>
        </w:rPr>
        <w:t xml:space="preserve"> 0.120</w:t>
      </w:r>
      <w:r w:rsidRPr="00AF43B4">
        <w:rPr>
          <w:rFonts w:cstheme="minorHAnsi"/>
        </w:rPr>
        <w:t xml:space="preserve">, </w:t>
      </w:r>
      <w:r w:rsidRPr="00BB6C49">
        <w:rPr>
          <w:rFonts w:cstheme="minorHAnsi"/>
          <w:i/>
          <w:iCs/>
        </w:rPr>
        <w:t>p</w:t>
      </w:r>
      <w:r w:rsidRPr="00AF43B4">
        <w:rPr>
          <w:rFonts w:cstheme="minorHAnsi"/>
        </w:rPr>
        <w:t xml:space="preserve"> &lt; 0.001) and mental (dmPFC/dACC: β = </w:t>
      </w:r>
      <w:r w:rsidR="00ED6034">
        <w:rPr>
          <w:rFonts w:cstheme="minorHAnsi"/>
        </w:rPr>
        <w:t xml:space="preserve">0.374 </w:t>
      </w:r>
      <w:r w:rsidRPr="00AF43B4">
        <w:rPr>
          <w:rFonts w:cstheme="minorHAnsi"/>
        </w:rPr>
        <w:t>±</w:t>
      </w:r>
      <w:r w:rsidR="00ED6034">
        <w:rPr>
          <w:rFonts w:cstheme="minorHAnsi"/>
        </w:rPr>
        <w:t xml:space="preserve"> 0.158</w:t>
      </w:r>
      <w:r w:rsidRPr="00AF43B4">
        <w:rPr>
          <w:rFonts w:cstheme="minorHAnsi"/>
        </w:rPr>
        <w:t xml:space="preserve">; </w:t>
      </w:r>
      <w:r w:rsidRPr="0057237F">
        <w:rPr>
          <w:rFonts w:cstheme="minorHAnsi"/>
          <w:i/>
          <w:iCs/>
        </w:rPr>
        <w:t>p</w:t>
      </w:r>
      <w:r w:rsidRPr="00AF43B4">
        <w:rPr>
          <w:rFonts w:cstheme="minorHAnsi"/>
        </w:rPr>
        <w:t xml:space="preserve"> </w:t>
      </w:r>
      <w:r w:rsidR="00ED6034">
        <w:rPr>
          <w:rFonts w:cstheme="minorHAnsi"/>
        </w:rPr>
        <w:t>= 0.021</w:t>
      </w:r>
      <w:r w:rsidRPr="00AF43B4">
        <w:rPr>
          <w:rFonts w:cstheme="minorHAnsi"/>
        </w:rPr>
        <w:t xml:space="preserve">; aIns: β = </w:t>
      </w:r>
      <w:r w:rsidR="00961F57">
        <w:rPr>
          <w:rFonts w:cstheme="minorHAnsi"/>
        </w:rPr>
        <w:t xml:space="preserve">0.294 </w:t>
      </w:r>
      <w:r w:rsidRPr="00AF43B4">
        <w:rPr>
          <w:rFonts w:cstheme="minorHAnsi"/>
        </w:rPr>
        <w:t>±</w:t>
      </w:r>
      <w:r w:rsidR="00961F57">
        <w:rPr>
          <w:rFonts w:cstheme="minorHAnsi"/>
        </w:rPr>
        <w:t xml:space="preserve"> 0.140</w:t>
      </w:r>
      <w:r w:rsidRPr="00AF43B4">
        <w:rPr>
          <w:rFonts w:cstheme="minorHAnsi"/>
        </w:rPr>
        <w:t xml:space="preserve">, </w:t>
      </w:r>
      <w:r w:rsidRPr="0057237F">
        <w:rPr>
          <w:rFonts w:cstheme="minorHAnsi"/>
          <w:i/>
          <w:iCs/>
        </w:rPr>
        <w:t>p</w:t>
      </w:r>
      <w:r w:rsidRPr="00AF43B4">
        <w:rPr>
          <w:rFonts w:cstheme="minorHAnsi"/>
        </w:rPr>
        <w:t xml:space="preserve"> = </w:t>
      </w:r>
      <w:r w:rsidR="00961F57">
        <w:rPr>
          <w:rFonts w:cstheme="minorHAnsi"/>
        </w:rPr>
        <w:t>0.041</w:t>
      </w:r>
      <w:r w:rsidRPr="00AF43B4">
        <w:rPr>
          <w:rFonts w:cstheme="minorHAnsi"/>
        </w:rPr>
        <w:t xml:space="preserve">) effort tasks. Moreover, in both GLM2 and GLM3 and despite orthogonalization, </w:t>
      </w:r>
      <w:r w:rsidR="006B3F51">
        <w:rPr>
          <w:rFonts w:cstheme="minorHAnsi"/>
        </w:rPr>
        <w:t xml:space="preserve">both </w:t>
      </w:r>
      <w:r w:rsidRPr="00AF43B4">
        <w:rPr>
          <w:rFonts w:cstheme="minorHAnsi"/>
        </w:rPr>
        <w:t>dmPFC/dACC</w:t>
      </w:r>
      <w:r w:rsidR="006B3F51">
        <w:rPr>
          <w:rFonts w:cstheme="minorHAnsi"/>
        </w:rPr>
        <w:t xml:space="preserve"> and aIns</w:t>
      </w:r>
      <w:r w:rsidRPr="00AF43B4">
        <w:rPr>
          <w:rFonts w:cstheme="minorHAnsi"/>
        </w:rPr>
        <w:t xml:space="preserve"> </w:t>
      </w:r>
      <w:r w:rsidR="00C944E9" w:rsidRPr="00AF43B4">
        <w:rPr>
          <w:rFonts w:cstheme="minorHAnsi"/>
        </w:rPr>
        <w:t xml:space="preserve">correlated </w:t>
      </w:r>
      <w:r w:rsidRPr="00AF43B4">
        <w:rPr>
          <w:rFonts w:cstheme="minorHAnsi"/>
        </w:rPr>
        <w:t>negatively to SVch (</w:t>
      </w:r>
      <w:r w:rsidR="00AA193D" w:rsidRPr="00AA193D">
        <w:rPr>
          <w:rStyle w:val="FigurerefCar"/>
        </w:rPr>
        <w:t xml:space="preserve">Supplementary </w:t>
      </w:r>
      <w:r w:rsidRPr="002026EE">
        <w:rPr>
          <w:rStyle w:val="FigurerefCar"/>
        </w:rPr>
        <w:t>Fig. S</w:t>
      </w:r>
      <w:r w:rsidR="0012309B">
        <w:rPr>
          <w:rStyle w:val="FigurerefCar"/>
        </w:rPr>
        <w:t>3</w:t>
      </w:r>
      <w:r w:rsidRPr="002026EE">
        <w:rPr>
          <w:rStyle w:val="FigurerefCar"/>
        </w:rPr>
        <w:t>-3</w:t>
      </w:r>
      <w:r w:rsidR="00580A01">
        <w:rPr>
          <w:rStyle w:val="FigurerefCar"/>
        </w:rPr>
        <w:t>A-B</w:t>
      </w:r>
      <w:r w:rsidRPr="00AF43B4">
        <w:rPr>
          <w:rFonts w:cstheme="minorHAnsi"/>
        </w:rPr>
        <w:t>) and positively to DT (</w:t>
      </w:r>
      <w:r w:rsidR="00AA193D" w:rsidRPr="00AA193D">
        <w:rPr>
          <w:rStyle w:val="FigurerefCar"/>
        </w:rPr>
        <w:t xml:space="preserve">Supplementary </w:t>
      </w:r>
      <w:r w:rsidRPr="00AF43B4">
        <w:rPr>
          <w:rStyle w:val="FigurerefCar"/>
          <w:rFonts w:cstheme="minorHAnsi"/>
        </w:rPr>
        <w:t>Fig. S</w:t>
      </w:r>
      <w:r w:rsidR="0012309B">
        <w:rPr>
          <w:rStyle w:val="FigurerefCar"/>
          <w:rFonts w:cstheme="minorHAnsi"/>
        </w:rPr>
        <w:t>3</w:t>
      </w:r>
      <w:r w:rsidRPr="00AF43B4">
        <w:rPr>
          <w:rStyle w:val="FigurerefCar"/>
          <w:rFonts w:cstheme="minorHAnsi"/>
        </w:rPr>
        <w:t>-3</w:t>
      </w:r>
      <w:r w:rsidR="00580A01">
        <w:rPr>
          <w:rStyle w:val="FigurerefCar"/>
          <w:rFonts w:cstheme="minorHAnsi"/>
        </w:rPr>
        <w:t>A-B</w:t>
      </w:r>
      <w:r w:rsidRPr="00AF43B4">
        <w:rPr>
          <w:rFonts w:cstheme="minorHAnsi"/>
        </w:rPr>
        <w:t xml:space="preserve">), confirming that the dmPFC/dACC (at least in the location where we measured </w:t>
      </w:r>
      <w:r w:rsidRPr="00AF43B4">
        <w:rPr>
          <w:rFonts w:cstheme="minorHAnsi"/>
          <w:vertAlign w:val="superscript"/>
        </w:rPr>
        <w:t>1</w:t>
      </w:r>
      <w:r w:rsidRPr="00AF43B4">
        <w:rPr>
          <w:rFonts w:cstheme="minorHAnsi"/>
        </w:rPr>
        <w:t>H-MRS) correlates with all three variables.</w:t>
      </w:r>
    </w:p>
    <w:p w14:paraId="1FDD25E0" w14:textId="75852B9B" w:rsidR="002F2567" w:rsidRPr="00EE74C7" w:rsidRDefault="002F2567" w:rsidP="002026EE">
      <w:pPr>
        <w:rPr>
          <w:rFonts w:cstheme="minorHAnsi"/>
        </w:rPr>
      </w:pPr>
      <w:r w:rsidRPr="00AF43B4">
        <w:rPr>
          <w:rFonts w:cstheme="minorHAnsi"/>
        </w:rPr>
        <w:lastRenderedPageBreak/>
        <w:t xml:space="preserve">Since we observed that dmPFC/dACC and aIns activities also correlated with SVch and DT, we evaluated whether the </w:t>
      </w:r>
      <w:r w:rsidR="00DD4A29">
        <w:rPr>
          <w:rFonts w:cstheme="minorHAnsi"/>
        </w:rPr>
        <w:t>correlation between neural activity and behavior</w:t>
      </w:r>
      <w:r w:rsidRPr="00AF43B4">
        <w:rPr>
          <w:rFonts w:cstheme="minorHAnsi"/>
        </w:rPr>
        <w:t xml:space="preserve"> were exclusively associated with the individual parameter estimate corresponding to the Ech regressor </w:t>
      </w:r>
      <w:r w:rsidR="006B3F51">
        <w:rPr>
          <w:rFonts w:cstheme="minorHAnsi"/>
        </w:rPr>
        <w:t xml:space="preserve">as shown in </w:t>
      </w:r>
      <w:r w:rsidR="006B3F51" w:rsidRPr="00373C18">
        <w:rPr>
          <w:rStyle w:val="FigurerefCar"/>
        </w:rPr>
        <w:t>Fig. 4</w:t>
      </w:r>
      <w:r w:rsidR="006B3F51">
        <w:rPr>
          <w:rFonts w:cstheme="minorHAnsi"/>
        </w:rPr>
        <w:t xml:space="preserve"> </w:t>
      </w:r>
      <w:r w:rsidRPr="00AF43B4">
        <w:rPr>
          <w:rFonts w:cstheme="minorHAnsi"/>
        </w:rPr>
        <w:t xml:space="preserve">or whether SVch and/or DT regression estimates </w:t>
      </w:r>
      <w:r w:rsidR="00DD4A29">
        <w:rPr>
          <w:rFonts w:cstheme="minorHAnsi"/>
        </w:rPr>
        <w:t xml:space="preserve">in the dmPFC/dACC or in the aIns </w:t>
      </w:r>
      <w:r w:rsidRPr="00AF43B4">
        <w:rPr>
          <w:rFonts w:cstheme="minorHAnsi"/>
        </w:rPr>
        <w:t xml:space="preserve">would also correlate with inter-individual differences in HE choices proportion. Our findings revealed no significant correlation between the </w:t>
      </w:r>
      <w:r w:rsidR="00B20938">
        <w:rPr>
          <w:rFonts w:cstheme="minorHAnsi"/>
        </w:rPr>
        <w:t xml:space="preserve">fMRI </w:t>
      </w:r>
      <w:r w:rsidRPr="00AF43B4">
        <w:rPr>
          <w:rFonts w:cstheme="minorHAnsi"/>
        </w:rPr>
        <w:t>regression estimate for SVch or DT and the overall proportion of HE choices</w:t>
      </w:r>
      <w:r w:rsidR="002B56D4">
        <w:rPr>
          <w:rFonts w:cstheme="minorHAnsi"/>
        </w:rPr>
        <w:t xml:space="preserve"> (</w:t>
      </w:r>
      <w:r w:rsidR="00AA193D" w:rsidRPr="00AA193D">
        <w:rPr>
          <w:rStyle w:val="FigurerefCar"/>
        </w:rPr>
        <w:t xml:space="preserve">Supplementary </w:t>
      </w:r>
      <w:r w:rsidR="002B56D4" w:rsidRPr="008358D3">
        <w:rPr>
          <w:rStyle w:val="FigurerefCar"/>
        </w:rPr>
        <w:t>Fig. S4-1</w:t>
      </w:r>
      <w:r w:rsidR="00441794">
        <w:rPr>
          <w:rStyle w:val="FigurerefCar"/>
        </w:rPr>
        <w:t>C-D</w:t>
      </w:r>
      <w:r w:rsidR="002B56D4">
        <w:rPr>
          <w:rFonts w:cstheme="minorHAnsi"/>
        </w:rPr>
        <w:t>)</w:t>
      </w:r>
      <w:r w:rsidRPr="00AF43B4">
        <w:rPr>
          <w:rFonts w:cstheme="minorHAnsi"/>
        </w:rPr>
        <w:t xml:space="preserve">, </w:t>
      </w:r>
      <w:r w:rsidR="00DD4A29">
        <w:rPr>
          <w:rFonts w:cstheme="minorHAnsi"/>
        </w:rPr>
        <w:t>neither</w:t>
      </w:r>
      <w:r w:rsidRPr="00AF43B4">
        <w:rPr>
          <w:rFonts w:cstheme="minorHAnsi"/>
        </w:rPr>
        <w:t xml:space="preserve"> in dmPFC/dACC (SVch: r =</w:t>
      </w:r>
      <w:r w:rsidR="00D1158E">
        <w:rPr>
          <w:rFonts w:cstheme="minorHAnsi"/>
        </w:rPr>
        <w:t xml:space="preserve"> -0.098</w:t>
      </w:r>
      <w:r w:rsidRPr="00AF43B4">
        <w:rPr>
          <w:rFonts w:cstheme="minorHAnsi"/>
        </w:rPr>
        <w:t xml:space="preserve">, </w:t>
      </w:r>
      <w:r w:rsidRPr="0057237F">
        <w:rPr>
          <w:rFonts w:cstheme="minorHAnsi"/>
          <w:i/>
          <w:iCs/>
        </w:rPr>
        <w:t>p</w:t>
      </w:r>
      <w:r w:rsidRPr="00AF43B4">
        <w:rPr>
          <w:rFonts w:cstheme="minorHAnsi"/>
        </w:rPr>
        <w:t xml:space="preserve"> =</w:t>
      </w:r>
      <w:r w:rsidR="00D1158E">
        <w:rPr>
          <w:rFonts w:cstheme="minorHAnsi"/>
        </w:rPr>
        <w:t xml:space="preserve"> 0.452</w:t>
      </w:r>
      <w:r w:rsidRPr="00AF43B4">
        <w:rPr>
          <w:rFonts w:cstheme="minorHAnsi"/>
        </w:rPr>
        <w:t>; DT: r =</w:t>
      </w:r>
      <w:r w:rsidR="00D1158E">
        <w:rPr>
          <w:rFonts w:cstheme="minorHAnsi"/>
        </w:rPr>
        <w:t xml:space="preserve"> -0.012</w:t>
      </w:r>
      <w:r w:rsidRPr="00AF43B4">
        <w:rPr>
          <w:rFonts w:cstheme="minorHAnsi"/>
        </w:rPr>
        <w:t xml:space="preserve">, </w:t>
      </w:r>
      <w:r w:rsidRPr="0057237F">
        <w:rPr>
          <w:rFonts w:cstheme="minorHAnsi"/>
          <w:i/>
          <w:iCs/>
        </w:rPr>
        <w:t>p</w:t>
      </w:r>
      <w:r w:rsidRPr="00AF43B4">
        <w:rPr>
          <w:rFonts w:cstheme="minorHAnsi"/>
        </w:rPr>
        <w:t xml:space="preserve"> =</w:t>
      </w:r>
      <w:r w:rsidR="00D1158E">
        <w:rPr>
          <w:rFonts w:cstheme="minorHAnsi"/>
        </w:rPr>
        <w:t xml:space="preserve"> 0.929</w:t>
      </w:r>
      <w:r w:rsidRPr="00AF43B4">
        <w:rPr>
          <w:rFonts w:cstheme="minorHAnsi"/>
        </w:rPr>
        <w:t xml:space="preserve">) </w:t>
      </w:r>
      <w:r w:rsidR="00DD4A29">
        <w:rPr>
          <w:rFonts w:cstheme="minorHAnsi"/>
        </w:rPr>
        <w:t>nor in</w:t>
      </w:r>
      <w:r w:rsidRPr="00AF43B4">
        <w:rPr>
          <w:rFonts w:cstheme="minorHAnsi"/>
        </w:rPr>
        <w:t xml:space="preserve"> aIns (SVch: r =</w:t>
      </w:r>
      <w:r w:rsidR="000D7798">
        <w:rPr>
          <w:rFonts w:cstheme="minorHAnsi"/>
        </w:rPr>
        <w:t xml:space="preserve"> -0.01</w:t>
      </w:r>
      <w:r w:rsidRPr="00AF43B4">
        <w:rPr>
          <w:rFonts w:cstheme="minorHAnsi"/>
        </w:rPr>
        <w:t xml:space="preserve">, </w:t>
      </w:r>
      <w:r w:rsidRPr="0057237F">
        <w:rPr>
          <w:rFonts w:cstheme="minorHAnsi"/>
          <w:i/>
          <w:iCs/>
        </w:rPr>
        <w:t>p</w:t>
      </w:r>
      <w:r w:rsidRPr="00AF43B4">
        <w:rPr>
          <w:rFonts w:cstheme="minorHAnsi"/>
        </w:rPr>
        <w:t xml:space="preserve"> =</w:t>
      </w:r>
      <w:r w:rsidR="000D7798">
        <w:rPr>
          <w:rFonts w:cstheme="minorHAnsi"/>
        </w:rPr>
        <w:t xml:space="preserve"> 0.938</w:t>
      </w:r>
      <w:r w:rsidRPr="00AF43B4">
        <w:rPr>
          <w:rFonts w:cstheme="minorHAnsi"/>
        </w:rPr>
        <w:t xml:space="preserve">; DT: r = </w:t>
      </w:r>
      <w:r w:rsidR="00A9171D">
        <w:rPr>
          <w:rFonts w:cstheme="minorHAnsi"/>
        </w:rPr>
        <w:t>-0.012</w:t>
      </w:r>
      <w:r w:rsidRPr="00AF43B4">
        <w:rPr>
          <w:rFonts w:cstheme="minorHAnsi"/>
        </w:rPr>
        <w:t xml:space="preserve">, </w:t>
      </w:r>
      <w:r w:rsidRPr="0057237F">
        <w:rPr>
          <w:rFonts w:cstheme="minorHAnsi"/>
          <w:i/>
          <w:iCs/>
        </w:rPr>
        <w:t>p</w:t>
      </w:r>
      <w:r w:rsidRPr="00AF43B4">
        <w:rPr>
          <w:rFonts w:cstheme="minorHAnsi"/>
        </w:rPr>
        <w:t xml:space="preserve"> =</w:t>
      </w:r>
      <w:r w:rsidR="00A9171D">
        <w:rPr>
          <w:rFonts w:cstheme="minorHAnsi"/>
        </w:rPr>
        <w:t xml:space="preserve"> 0.930</w:t>
      </w:r>
      <w:r w:rsidRPr="00AF43B4">
        <w:rPr>
          <w:rFonts w:cstheme="minorHAnsi"/>
        </w:rPr>
        <w:t xml:space="preserve">). </w:t>
      </w:r>
      <w:r w:rsidR="00E30BAC">
        <w:rPr>
          <w:rFonts w:cstheme="minorHAnsi"/>
        </w:rPr>
        <w:t xml:space="preserve">Notably, the correlation between dmPFC/dACC Ech and HE choices was not significantly more robust than the correlation between dmPFC/dACC SVch and HE choices using a one-tailed Steiger’s test although the tendency was in that direction (z = -1.229, </w:t>
      </w:r>
      <w:r w:rsidR="00E30BAC" w:rsidRPr="0057237F">
        <w:rPr>
          <w:rFonts w:cstheme="minorHAnsi"/>
          <w:i/>
          <w:iCs/>
        </w:rPr>
        <w:t>p</w:t>
      </w:r>
      <w:r w:rsidR="00E30BAC">
        <w:rPr>
          <w:rFonts w:cstheme="minorHAnsi"/>
        </w:rPr>
        <w:t xml:space="preserve"> = 0.1095). However, the correlation between dmPFC/dACC Ech and HE choices was more robust than the correlation between dmPFC/dACC DT and HE choices (z = -1.832, </w:t>
      </w:r>
      <w:r w:rsidR="00E30BAC" w:rsidRPr="0057237F">
        <w:rPr>
          <w:rFonts w:cstheme="minorHAnsi"/>
          <w:i/>
          <w:iCs/>
        </w:rPr>
        <w:t>p</w:t>
      </w:r>
      <w:r w:rsidR="00E30BAC">
        <w:rPr>
          <w:rFonts w:cstheme="minorHAnsi"/>
        </w:rPr>
        <w:t xml:space="preserve"> = 0.034) and the same was true for aIns Ech and HE choices vs aIns SVch and HE choices (z = -2.294, </w:t>
      </w:r>
      <w:r w:rsidR="00E30BAC" w:rsidRPr="0057237F">
        <w:rPr>
          <w:rFonts w:cstheme="minorHAnsi"/>
          <w:i/>
          <w:iCs/>
        </w:rPr>
        <w:t>p</w:t>
      </w:r>
      <w:r w:rsidR="00E30BAC">
        <w:rPr>
          <w:rFonts w:cstheme="minorHAnsi"/>
        </w:rPr>
        <w:t xml:space="preserve"> = 0.011) and vs aIns DT and HE choices (z = -2.526, </w:t>
      </w:r>
      <w:r w:rsidR="00E30BAC" w:rsidRPr="0057237F">
        <w:rPr>
          <w:rFonts w:cstheme="minorHAnsi"/>
          <w:i/>
          <w:iCs/>
        </w:rPr>
        <w:t>p</w:t>
      </w:r>
      <w:r w:rsidR="00E30BAC">
        <w:rPr>
          <w:rFonts w:cstheme="minorHAnsi"/>
        </w:rPr>
        <w:t xml:space="preserve"> = 0.006). </w:t>
      </w:r>
      <w:r w:rsidR="00EB45F3">
        <w:rPr>
          <w:rFonts w:cstheme="minorHAnsi"/>
        </w:rPr>
        <w:t>The lack of significant correlation also held when looking specifically at HPE choices</w:t>
      </w:r>
      <w:r w:rsidR="002B56D4">
        <w:rPr>
          <w:rFonts w:cstheme="minorHAnsi"/>
        </w:rPr>
        <w:t xml:space="preserve"> (</w:t>
      </w:r>
      <w:r w:rsidR="00AA193D" w:rsidRPr="00AA193D">
        <w:rPr>
          <w:rStyle w:val="FigurerefCar"/>
        </w:rPr>
        <w:t xml:space="preserve">Supplementary </w:t>
      </w:r>
      <w:r w:rsidR="002B56D4" w:rsidRPr="008358D3">
        <w:rPr>
          <w:rStyle w:val="FigurerefCar"/>
        </w:rPr>
        <w:t>Fig. S4-1</w:t>
      </w:r>
      <w:r w:rsidR="00517F08">
        <w:rPr>
          <w:rStyle w:val="FigurerefCar"/>
        </w:rPr>
        <w:t>C-D</w:t>
      </w:r>
      <w:r w:rsidR="002B56D4">
        <w:rPr>
          <w:rFonts w:cstheme="minorHAnsi"/>
        </w:rPr>
        <w:t>)</w:t>
      </w:r>
      <w:r w:rsidR="00EB45F3">
        <w:rPr>
          <w:rFonts w:cstheme="minorHAnsi"/>
        </w:rPr>
        <w:t xml:space="preserve"> and dmPFC/dACC activity for SVch (r = -0.232, </w:t>
      </w:r>
      <w:r w:rsidR="00EB45F3" w:rsidRPr="0057237F">
        <w:rPr>
          <w:rFonts w:cstheme="minorHAnsi"/>
          <w:i/>
          <w:iCs/>
        </w:rPr>
        <w:t>p</w:t>
      </w:r>
      <w:r w:rsidR="00EB45F3">
        <w:rPr>
          <w:rFonts w:cstheme="minorHAnsi"/>
        </w:rPr>
        <w:t xml:space="preserve"> = 0.070) and for DT (r = -0.026, </w:t>
      </w:r>
      <w:r w:rsidR="00EB45F3" w:rsidRPr="0057237F">
        <w:rPr>
          <w:rFonts w:cstheme="minorHAnsi"/>
          <w:i/>
          <w:iCs/>
        </w:rPr>
        <w:t>p</w:t>
      </w:r>
      <w:r w:rsidR="00EB45F3">
        <w:rPr>
          <w:rFonts w:cstheme="minorHAnsi"/>
        </w:rPr>
        <w:t xml:space="preserve"> = 0.839)</w:t>
      </w:r>
      <w:r w:rsidR="00EF630D">
        <w:rPr>
          <w:rFonts w:cstheme="minorHAnsi"/>
        </w:rPr>
        <w:t xml:space="preserve"> and for aIns activity for SVch (r = -0.101, </w:t>
      </w:r>
      <w:r w:rsidR="00EF630D" w:rsidRPr="0057237F">
        <w:rPr>
          <w:rFonts w:cstheme="minorHAnsi"/>
          <w:i/>
          <w:iCs/>
        </w:rPr>
        <w:t>p</w:t>
      </w:r>
      <w:r w:rsidR="00EF630D">
        <w:rPr>
          <w:rFonts w:cstheme="minorHAnsi"/>
        </w:rPr>
        <w:t xml:space="preserve"> = 0.441) and DT (r = </w:t>
      </w:r>
      <w:r w:rsidR="00C747CA">
        <w:rPr>
          <w:rFonts w:cstheme="minorHAnsi"/>
        </w:rPr>
        <w:t>-0.043</w:t>
      </w:r>
      <w:r w:rsidR="00EF630D">
        <w:rPr>
          <w:rFonts w:cstheme="minorHAnsi"/>
        </w:rPr>
        <w:t xml:space="preserve">, </w:t>
      </w:r>
      <w:r w:rsidR="00EF630D" w:rsidRPr="0057237F">
        <w:rPr>
          <w:rFonts w:cstheme="minorHAnsi"/>
          <w:i/>
          <w:iCs/>
        </w:rPr>
        <w:t>p</w:t>
      </w:r>
      <w:r w:rsidR="00EF630D">
        <w:rPr>
          <w:rFonts w:cstheme="minorHAnsi"/>
        </w:rPr>
        <w:t xml:space="preserve"> = </w:t>
      </w:r>
      <w:r w:rsidR="00C747CA">
        <w:rPr>
          <w:rFonts w:cstheme="minorHAnsi"/>
        </w:rPr>
        <w:t>0.743</w:t>
      </w:r>
      <w:r w:rsidR="00EF630D">
        <w:rPr>
          <w:rFonts w:cstheme="minorHAnsi"/>
        </w:rPr>
        <w:t>)</w:t>
      </w:r>
      <w:r w:rsidR="00EB45F3">
        <w:rPr>
          <w:rFonts w:cstheme="minorHAnsi"/>
        </w:rPr>
        <w:t>.</w:t>
      </w:r>
      <w:r w:rsidR="00517F08">
        <w:rPr>
          <w:rFonts w:cstheme="minorHAnsi"/>
        </w:rPr>
        <w:t xml:space="preserve"> </w:t>
      </w:r>
      <w:r w:rsidR="005045B3">
        <w:rPr>
          <w:rFonts w:cstheme="minorHAnsi"/>
        </w:rPr>
        <w:t xml:space="preserve">Again, based on a one tailed Steiger’s test, dmPFC/dACC Ech and HPE choices only tended to be more robustly correlated than dmPFC/dACC SVch and HPE choices (z = -1.356, </w:t>
      </w:r>
      <w:r w:rsidR="005045B3" w:rsidRPr="0057237F">
        <w:rPr>
          <w:rFonts w:cstheme="minorHAnsi"/>
          <w:i/>
          <w:iCs/>
        </w:rPr>
        <w:t>p</w:t>
      </w:r>
      <w:r w:rsidR="005045B3">
        <w:rPr>
          <w:rFonts w:cstheme="minorHAnsi"/>
        </w:rPr>
        <w:t xml:space="preserve"> = 0.088), but they were significantly more robust than the correlation between dmPFC/dACC DT and HPE choices (z = 2.580, </w:t>
      </w:r>
      <w:r w:rsidR="005045B3" w:rsidRPr="0057237F">
        <w:rPr>
          <w:rFonts w:cstheme="minorHAnsi"/>
          <w:i/>
          <w:iCs/>
        </w:rPr>
        <w:t>p</w:t>
      </w:r>
      <w:r w:rsidR="005045B3">
        <w:rPr>
          <w:rFonts w:cstheme="minorHAnsi"/>
        </w:rPr>
        <w:t xml:space="preserve"> = 0.005). The correlation between aIns Ech and HPE choices was significantly more robust than the one between aIns SVch and HPE choices (</w:t>
      </w:r>
      <w:r w:rsidR="000E076F">
        <w:rPr>
          <w:rFonts w:cstheme="minorHAnsi"/>
        </w:rPr>
        <w:t xml:space="preserve">z = -2.482, </w:t>
      </w:r>
      <w:r w:rsidR="000E076F" w:rsidRPr="0057237F">
        <w:rPr>
          <w:rFonts w:cstheme="minorHAnsi"/>
          <w:i/>
          <w:iCs/>
        </w:rPr>
        <w:t>p</w:t>
      </w:r>
      <w:r w:rsidR="000E076F">
        <w:rPr>
          <w:rFonts w:cstheme="minorHAnsi"/>
        </w:rPr>
        <w:t xml:space="preserve"> = 0.007</w:t>
      </w:r>
      <w:r w:rsidR="005045B3">
        <w:rPr>
          <w:rFonts w:cstheme="minorHAnsi"/>
        </w:rPr>
        <w:t>) and the one between aIns DT and HPE choices (</w:t>
      </w:r>
      <w:r w:rsidR="000E076F">
        <w:rPr>
          <w:rFonts w:cstheme="minorHAnsi"/>
        </w:rPr>
        <w:t xml:space="preserve">z = -2.969, </w:t>
      </w:r>
      <w:r w:rsidR="000E076F" w:rsidRPr="0057237F">
        <w:rPr>
          <w:rFonts w:cstheme="minorHAnsi"/>
          <w:i/>
          <w:iCs/>
        </w:rPr>
        <w:t>p</w:t>
      </w:r>
      <w:r w:rsidR="000E076F">
        <w:rPr>
          <w:rFonts w:cstheme="minorHAnsi"/>
        </w:rPr>
        <w:t xml:space="preserve"> = 0.002</w:t>
      </w:r>
      <w:r w:rsidR="005045B3">
        <w:rPr>
          <w:rFonts w:cstheme="minorHAnsi"/>
        </w:rPr>
        <w:t>). The dmPFC/dACC and aIns SVch and DT regression estimates were also not correlated to</w:t>
      </w:r>
      <w:r w:rsidR="00517F08">
        <w:rPr>
          <w:rFonts w:cstheme="minorHAnsi"/>
        </w:rPr>
        <w:t xml:space="preserve"> HME choices, </w:t>
      </w:r>
      <w:r w:rsidR="005045B3">
        <w:rPr>
          <w:rFonts w:cstheme="minorHAnsi"/>
        </w:rPr>
        <w:t>nor to</w:t>
      </w:r>
      <w:r w:rsidR="00517F08">
        <w:rPr>
          <w:rFonts w:cstheme="minorHAnsi"/>
        </w:rPr>
        <w:t xml:space="preserve"> kEp and kEm parameters (</w:t>
      </w:r>
      <w:r w:rsidR="00AA193D" w:rsidRPr="00AA193D">
        <w:rPr>
          <w:rStyle w:val="FigurerefCar"/>
        </w:rPr>
        <w:t xml:space="preserve">Supplementary </w:t>
      </w:r>
      <w:r w:rsidR="00517F08" w:rsidRPr="008358D3">
        <w:rPr>
          <w:rStyle w:val="FigurerefCar"/>
        </w:rPr>
        <w:t>Fig. S4-1</w:t>
      </w:r>
      <w:r w:rsidR="00517F08">
        <w:rPr>
          <w:rStyle w:val="FigurerefCar"/>
        </w:rPr>
        <w:t>C-D</w:t>
      </w:r>
      <w:r w:rsidR="00517F08">
        <w:rPr>
          <w:rFonts w:cstheme="minorHAnsi"/>
        </w:rPr>
        <w:t>).</w:t>
      </w:r>
      <w:r w:rsidR="00EB45F3">
        <w:rPr>
          <w:rFonts w:cstheme="minorHAnsi"/>
        </w:rPr>
        <w:t xml:space="preserve"> </w:t>
      </w:r>
      <w:r w:rsidR="00CD79CA">
        <w:rPr>
          <w:rFonts w:cstheme="minorHAnsi"/>
        </w:rPr>
        <w:t>These results</w:t>
      </w:r>
      <w:r w:rsidRPr="00AF43B4">
        <w:rPr>
          <w:rFonts w:cstheme="minorHAnsi"/>
        </w:rPr>
        <w:t xml:space="preserve"> underscore the specificity of the neural response to the effort component</w:t>
      </w:r>
      <w:r w:rsidR="00F84DD8">
        <w:rPr>
          <w:rFonts w:cstheme="minorHAnsi"/>
        </w:rPr>
        <w:t xml:space="preserve"> for explaining differences in motivated behavior</w:t>
      </w:r>
      <w:r w:rsidRPr="00AF43B4">
        <w:rPr>
          <w:rFonts w:cstheme="minorHAnsi"/>
        </w:rPr>
        <w:t>, rather than to other aspects of decision-making which also drive dmPFC/dACC and aIns activities.</w:t>
      </w:r>
    </w:p>
    <w:p w14:paraId="512C9132" w14:textId="28A15DEC" w:rsidR="002F2567" w:rsidRDefault="002F2567" w:rsidP="002026EE">
      <w:pPr>
        <w:pStyle w:val="Titre3"/>
      </w:pPr>
      <w:bookmarkStart w:id="8" w:name="_Hlk163658455"/>
      <w:r>
        <w:t>Effort Chosen or Effort Cost of the High Effort Option?</w:t>
      </w:r>
    </w:p>
    <w:bookmarkEnd w:id="8"/>
    <w:p w14:paraId="73CD9F5F" w14:textId="34BAE63E" w:rsidR="002026EE" w:rsidRDefault="003F3F01" w:rsidP="002026EE">
      <w:r w:rsidRPr="00AF43B4">
        <w:t>Lastly, to control that the dmPFC/dACC was driving high-effort choices, rather than computing the cost of the high-effort option, we designed a fourth GLM (GLM4) where low- and high-effort choices were modeled as separate regressors, each parametrically modulated by the level of the high-effort option. Therefore, we confirmed that both dmPFC/dACC and aIns activities increased with the high effort level only when the high effort was picked (</w:t>
      </w:r>
      <w:r w:rsidR="00C76566" w:rsidRPr="00AA193D">
        <w:rPr>
          <w:rStyle w:val="FigurerefCar"/>
        </w:rPr>
        <w:t xml:space="preserve">Supplementary </w:t>
      </w:r>
      <w:r w:rsidRPr="00AF43B4">
        <w:rPr>
          <w:rStyle w:val="FigurerefCar"/>
        </w:rPr>
        <w:t>Fig. S</w:t>
      </w:r>
      <w:r w:rsidR="0012309B">
        <w:rPr>
          <w:rStyle w:val="FigurerefCar"/>
        </w:rPr>
        <w:t>3</w:t>
      </w:r>
      <w:r w:rsidRPr="00AF43B4">
        <w:rPr>
          <w:rStyle w:val="FigurerefCar"/>
        </w:rPr>
        <w:t>-4</w:t>
      </w:r>
      <w:r w:rsidRPr="00AF43B4">
        <w:t>)</w:t>
      </w:r>
      <w:r>
        <w:t>. This result</w:t>
      </w:r>
      <w:r w:rsidRPr="00AF43B4">
        <w:t xml:space="preserve"> confirm</w:t>
      </w:r>
      <w:r>
        <w:t>s</w:t>
      </w:r>
      <w:r w:rsidRPr="00AF43B4">
        <w:t xml:space="preserve"> that both dmPFC/dACC and aIns </w:t>
      </w:r>
      <w:r>
        <w:t xml:space="preserve">activities </w:t>
      </w:r>
      <w:r w:rsidRPr="00AF43B4">
        <w:t>were not correlated with the effort cost of the high effort (HE) option, but with the difficulty of the effort chosen</w:t>
      </w:r>
      <w:r>
        <w:t>, which further confirms</w:t>
      </w:r>
      <w:r w:rsidRPr="00AF43B4">
        <w:t xml:space="preserve"> that dmPFC/dACC and aIns activities </w:t>
      </w:r>
      <w:r>
        <w:t>are</w:t>
      </w:r>
      <w:r w:rsidRPr="00AF43B4">
        <w:t xml:space="preserve"> predictive of the tendency to select the HE option within a given individual.</w:t>
      </w:r>
    </w:p>
    <w:p w14:paraId="0036865F" w14:textId="284ED853" w:rsidR="002F2567" w:rsidRDefault="006279A3" w:rsidP="002026EE">
      <w:pPr>
        <w:pStyle w:val="Titre2"/>
      </w:pPr>
      <w:r>
        <w:t>Supplementary Discussion</w:t>
      </w:r>
    </w:p>
    <w:p w14:paraId="5245F681" w14:textId="7CEB24F0" w:rsidR="002026EE" w:rsidRPr="009141C3" w:rsidRDefault="002026EE" w:rsidP="002026EE">
      <w:r w:rsidRPr="002026EE">
        <w:t>Interestingly, on top of its correlation with the level of the chosen effort,</w:t>
      </w:r>
      <w:r w:rsidR="00941EC7">
        <w:t xml:space="preserve"> as expected from the literature,</w:t>
      </w:r>
      <w:r w:rsidRPr="002026EE">
        <w:t xml:space="preserve"> the dmPFC/dACC also correlated </w:t>
      </w:r>
      <w:r w:rsidR="007E14A5">
        <w:t xml:space="preserve">positively </w:t>
      </w:r>
      <w:r w:rsidRPr="002026EE">
        <w:t xml:space="preserve">with deliberation times </w:t>
      </w:r>
      <w:r w:rsidRPr="002026EE">
        <w:fldChar w:fldCharType="begin"/>
      </w:r>
      <w:r w:rsidR="00342002">
        <w:instrText xml:space="preserve"> ADDIN ZOTERO_ITEM CSL_CITATION {"citationID":"WorlV3B1","properties":{"formattedCitation":"[10, 18, 22, 23]","plainCitation":"[10, 18, 22, 23]","noteIndex":0},"citationItems":[{"id":14032,"uris":["http://zotero.org/users/1203856/items/H9GQPBS9"],"itemData":{"id":14032,"type":"article-journal","abstract":"Deciding on a course of action requires both an accurate estimation of option values and the right amount of effort invested in deliberation to reach sufficient confidence in the final choice. In a previous study, we have provided evidence, across a series of judgment and choice tasks, for a dissociation between the ventromedial prefrontal cortex (vmPFC), which would represent option values, and the dorsomedial prefrontal cortex (dmPFC), which would represent the duration of deliberation. Here, we first replicate this dissociation and extend it to the case of an instrumental learning task, in which 24 human volunteers (13 women) choose between options associated with probabilistic gains and losses. According to fMRI data recorded during decision-making, vmPFC activity reflects the sum of option values generated by a reinforcement learning model and dmPFC activity the deliberation time. To further generalize the role of the dmPFC in mobilizing effort, we then analyze fMRI data recorded in the same participants while they prepare to perform motor and cognitive tasks (squeezing a handgrip or making numerical comparisons) to maximize gains or minimize losses. In both cases, dmPFC activity is associated with the output of an effort regulation model, and not with response time. Taken together, these results strengthen a general theory of behavioral control that implicates the vmPFC in the estimation of option values and the dmPFC in the energization of relevant motor and cognitive processes.","container-title":"Journal of Neuroscience","DOI":"10.1523/JNEUROSCI.1176-23.2024","ISSN":"0270-6474, 1529-2401","issue":"17","journalAbbreviation":"J. Neurosci.","language":"en","license":"Copyright © 2024 the authors. SfN exclusive license.","note":"publisher: Society for Neuroscience\nsection: Research Articles\nPMID: 38514180","source":"www.jneurosci.org","title":"Value Estimation versus Effort Mobilization: A General Dissociation between Ventromedial and Dorsomedial Prefrontal Cortex","title-short":"Value Estimation versus Effort Mobilization","URL":"https://www.jneurosci.org/content/44/17/e1176232024","volume":"44","author":[{"family":"Clairis","given":"Nicolas"},{"family":"Pessiglione","given":"Mathias"}],"accessed":{"date-parts":[["2024",5,10]]},"issued":{"date-parts":[["2024",4,24]]}}},{"id":12849,"uris":["http://zotero.org/groups/4965861/items/23I5CMST"],"itemData":{"id":12849,"type":"article-journal","abstract":"Deciding about courses of action involves minimizing costs and maximizing benefits. Decision neuroscience studies have implicated both the ventral and dorsal medial prefrontal cortex (vmPFC and dmPFC) in signaling goal value and action cost, but the precise functional role of these regions is still a matter of debate. Here, we suggest a more general functional partition that applies not only to decisions but also to judgments about goal value (expected reward) and action cost (expected effort). In this conceptual framework, cognitive representations related to options (reward value and effort cost) are dissociated from metacognitive representations (confidence and deliberation) related to solving the task (providing a judgment or making a choice). We used an original approach aiming at identifying consistencies across several preference tasks, from likeability ratings to binary decisions involving both attribute integration and option comparison. fMRI results in human male and female participants confirmed the vmPFC as a generic valuation system, its activity increasing with reward value and decreasing with effort cost. In contrast, more dorsal regions were not concerned with the valuation of options but with metacognitive variables, confidence being reflected in mPFC activity and deliberation time in dmPFC activity. Thus, there was a dissociation between the effort attached to choice options (represented in the vmPFC) and the effort invested in deliberation (represented in the dmPFC), the latter being expressed in pupil dilation. More generally, assessing commonalities across preference tasks might help reaching a unified view of the neural mechanisms underlying the cost/benefit tradeoffs that drive human behavior.Significance statementDecision neuroscience studies have implicated the medial prefrontal cortex (mPFC) in forming the cognitive representations that drive human choice behavior. However, different studies using different tasks have suggested somewhat inconsistent links between precise computational variables and specific brain regions. Here, we use fMRI to demonstrate a robust functional partition of the mPFC that generalizes across tasks involving an estimation of goal value and/or action cost to provide a judgement or make a choice. This general functional partition makes a critical dissociation between neural representations of decisional factors (the expected costs and benefits attached to a given option) and metacognitive estimates (confidence in the judgment or choice, and effort invested in the deliberation process).","container-title":"The Journal of Neuroscience: The Official Journal of the Society for Neuroscience","DOI":"10.1523/JNEUROSCI.1795-21.2022","ISSN":"1529-2401","issue":"28","journalAbbreviation":"J Neurosci","language":"eng","note":"PMID: 35654606\nPMCID: PMC9295841","page":"5580-5592","source":"PubMed","title":"Value, confidence, deliberation: a functional partition of the medial prefrontal cortex demonstrated across rating and choice tasks","title-short":"Value, confidence, deliberation","volume":"42","author":[{"family":"Clairis","given":"Nicolas"},{"family":"Pessiglione","given":"Mathias"}],"issued":{"date-parts":[["2022",6,1]]}}},{"id":12847,"uris":["http://zotero.org/groups/4965861/items/ZHQ6N6DF"],"itemData":{"id":12847,"type":"article-journal","abstract":"The dorsal medial frontal cortex (dMFC) is highly active during choice behavior. Though many models have been proposed to explain dMFC function, the conflict monitoring model is the most influential. It posits that dMFC is primarily involved in detecting interference between competing responses thus signaling the need for control. It accurately predicts increased neural activity and response time (RT) for incompatible (high-interference) vs. compatible (low-interference) decisions. However, it has been shown that neural activity can increase with time on task, even when no decisions are made. Thus, the greater dMFC activity on incompatible trials may stem from longer RTs rather than response conflict. This study shows that (1) the conflict monitoring model fails to predict the relationship between error likelihood and RT, and (2) the dMFC activity is not sensitive to congruency, error likelihood, or response conflict, but is monotonically related to time on task.","container-title":"NeuroImage","DOI":"10.1016/j.neuroimage.2010.12.027","ISSN":"1095-9572","issue":"2","journalAbbreviation":"Neuroimage","language":"eng","note":"PMID: 21168515\nPMCID: PMC3114292","page":"303-311","source":"PubMed","title":"The dorsal medial frontal cortex is sensitive to time on task, not response conflict or error likelihood","volume":"57","author":[{"family":"Grinband","given":"Jack"},{"family":"Savitskaya","given":"Judith"},{"family":"Wager","given":"Tor D."},{"family":"Teichert","given":"Tobias"},{"family":"Ferrera","given":"Vincent P."},{"family":"Hirsch","given":"Joy"}],"issued":{"date-parts":[["2011",7,15]]}}},{"id":12846,"uris":["http://zotero.org/groups/4965861/items/NBDX6GG8"],"itemData":{"id":12846,"type":"article-journal","abstract":"Human choice behavior takes account of internal decision costs: people show a tendency to avoid making decisions in ways that are computationally demanding and subjectively effortful. Here, we investigate neural processes underlying the registration of decision costs. We report two functional MRI experiments that implicate lateral prefrontal cortex (LPFC) in this function. In Experiment 1, LPFC activity correlated positively with a self-report measure of costs as this measure varied over blocks of simple decisions. In Experiment 2, LPFC activity also correlated with individual differences in effort-based choice, taking on higher levels in subjects with a strong tendency to avoid cognitively demanding decisions. These relationships persisted even when effects of reaction time and error were partialled out, linking LPFC activity to subjectively experienced costs and not merely to response accuracy or time on task. In contrast to LPFC, dorsomedial frontal cortex--an area widely implicated in performance monitoring--showed no relationship to decision costs independent of overt performance. Previous work has implicated LPFC in executive control. Our results thus imply that costs may be registered based on the degree to which control mechanisms are recruited during decision-making.","container-title":"Proceedings of the National Academy of Sciences of the United States of America","DOI":"10.1073/pnas.0910662107","ISSN":"1091-6490","issue":"17","journalAbbreviation":"Proc Natl Acad Sci U S A","language":"eng","note":"PMID: 20385798\nPMCID: PMC2867898","page":"7922-7926","source":"PubMed","title":"Prefrontal cortex, cognitive control, and the registration of decision costs","volume":"107","author":[{"family":"McGuire","given":"Joseph T."},{"family":"Botvinick","given":"Matthew M."}],"issued":{"date-parts":[["2010",4,27]]}}}],"schema":"https://github.com/citation-style-language/schema/raw/master/csl-citation.json"} </w:instrText>
      </w:r>
      <w:r w:rsidRPr="002026EE">
        <w:fldChar w:fldCharType="separate"/>
      </w:r>
      <w:r w:rsidR="00342002" w:rsidRPr="00342002">
        <w:rPr>
          <w:rFonts w:ascii="Calibri" w:hAnsi="Calibri" w:cs="Calibri"/>
        </w:rPr>
        <w:t>[10, 18, 22, 23]</w:t>
      </w:r>
      <w:r w:rsidRPr="002026EE">
        <w:fldChar w:fldCharType="end"/>
      </w:r>
      <w:r w:rsidRPr="002026EE">
        <w:t xml:space="preserve"> and </w:t>
      </w:r>
      <w:r w:rsidR="007E14A5">
        <w:t xml:space="preserve">negatively </w:t>
      </w:r>
      <w:r w:rsidRPr="002026EE">
        <w:t xml:space="preserve">with subjective value </w:t>
      </w:r>
      <w:r w:rsidRPr="002026EE">
        <w:fldChar w:fldCharType="begin"/>
      </w:r>
      <w:r w:rsidR="00342002">
        <w:instrText xml:space="preserve"> ADDIN ZOTERO_ITEM CSL_CITATION {"citationID":"iR4LGNmJ","properties":{"formattedCitation":"[24\\uc0\\u8211{}26]","plainCitation":"[24–26]","noteIndex":0},"citationItems":[{"id":1055,"uris":["http://zotero.org/users/1203856/items/8YL5GP58"],"itemData":{"id":1055,"type":"article-journal","container-title":"NeuroImage","DOI":"10.1016/j.neuroimage.2013.02.063","ISSN":"10538119","language":"en","page":"412-427","source":"CrossRef","title":"The valuation system: A coordinate-based meta-analysis of BOLD fMRI experiments examining neural correlates of subjective value","title-short":"The valuation system","volume":"76","author":[{"family":"Bartra","given":"Oscar"},{"family":"McGuire","given":"Joseph T."},{"family":"Kable","given":"Joseph W."}],"issued":{"date-parts":[["2013",8]]}}},{"id":8960,"uris":["http://zotero.org/users/1203856/items/FG7426KE"],"itemData":{"id":8960,"type":"article-journal","abstract":"Humans procrastinate despite being aware of potential adverse consequences. Yet, the neuro-computational mechanisms underlying procrastination remain poorly understood. Here, we use fMRI during intertemporal choice to inform a computational model that predicts procrastination behavior in independent tests. Procrastination is assessed in the laboratory as the preference for performing an effortful task on the next day as opposed to immediately, and at home as the delay taken in returning completed administrative forms. These procrastination behaviors are respectively modeled as unitary and repeated decisions to postpone a task until the next time step, based on a net expected value that integrates reward and effort attributes, both discounted with delay. The key feature that is associated with procrastination behavior across individuals (both in-lab and at-home) is the extent to which the expected effort cost (signaled by the dorsomedial prefrontal cortex) is attenuated by the delay before task completion. Thus, procrastination might stem from a cognitive bias that would make doing a task later (compared to now) appear as much less effortful but not much less rewarding.","container-title":"Nature Communications","DOI":"10.1038/s41467-022-33119-w","ISSN":"2041-1723","issue":"1","journalAbbreviation":"Nat Commun","language":"eng","note":"PMID: 36163352\nPMCID: PMC9513091","page":"5639","source":"PubMed","title":"A neuro-computational account of procrastination behavior","volume":"13","author":[{"family":"Le Bouc","given":"Raphaël"},{"family":"Pessiglione","given":"Mathias"}],"issued":{"date-parts":[["2022",9,26]]}}},{"id":11827,"uris":["http://zotero.org/users/1203856/items/ZYMB54JB"],"itemData":{"id":11827,"type":"article-journal","abstract":"Decisions that require taking effort costs into account are ubiquitous in real life. The neural common currency theory hypothesizes that a particular neural network integrates different costs (e.g., risk) and rewards into a common scale to facilitate value comparison. Although there has been a surge of interest in the computational and neural basis of effort-related value integration, it is still under debate if effort-based decision-making relies on a domain-general valuation network as implicated in the neural common currency theory. Therefore, we comprehensively compared effort-based and risky decision-making using a combination of computational modeling, univariate and multivariate fMRI analyses, and data from two independent studies. We found that effort-based decision-making can be best described by a power discounting model that accounts for both the discounting rate and effort sensitivity. At the neural level, multivariate decoding analyses indicated that the neural patterns of the dorsomedial prefrontal cortex (dmPFC) represented subjective value across different decision-making tasks including either effort or risk costs, although univariate signals were more diverse. These findings suggest that multivariate dmPFC patterns play a critical role in computing subjective value in a task-independent manner and thus extend the scope of the neural common currency theory.","container-title":"NeuroImage","DOI":"10.1016/j.neuroimage.2023.120326","ISSN":"1095-9572","journalAbbreviation":"Neuroimage","language":"eng","note":"PMID: 37579997","page":"120326","source":"PubMed","title":"The dorsomedial prefrontal cortex represents subjective value across effort-based and risky decision-making","volume":"279","author":[{"family":"Yao","given":"Yuan-Wei"},{"family":"Song","given":"Kun-Ru"},{"family":"Schuck","given":"Nicolas W."},{"family":"Li","given":"Xin"},{"family":"Fang","given":"Xiao-Yi"},{"family":"Zhang","given":"Jin-Tao"},{"family":"Heekeren","given":"Hauke R."},{"family":"Bruckner","given":"Rasmus"}],"issued":{"date-parts":[["2023",10,1]]}}}],"schema":"https://github.com/citation-style-language/schema/raw/master/csl-citation.json"} </w:instrText>
      </w:r>
      <w:r w:rsidRPr="002026EE">
        <w:fldChar w:fldCharType="separate"/>
      </w:r>
      <w:r w:rsidR="00342002" w:rsidRPr="00342002">
        <w:rPr>
          <w:rFonts w:ascii="Calibri" w:hAnsi="Calibri" w:cs="Calibri"/>
        </w:rPr>
        <w:t>[24–26]</w:t>
      </w:r>
      <w:r w:rsidRPr="002026EE">
        <w:fldChar w:fldCharType="end"/>
      </w:r>
      <w:r w:rsidRPr="002026EE">
        <w:t xml:space="preserve"> in our own data. However, the encoding of deliberation times (representing decision costs) in the dmPFC/dACC was slightly more dorsal than the correlates of effort chosen and the subjective value of the chosen option (decision value) which were more ventral, in </w:t>
      </w:r>
      <w:r w:rsidRPr="002026EE">
        <w:lastRenderedPageBreak/>
        <w:t xml:space="preserve">agreement with a ventro-dorsal gradient between value and conflict encoding in this region </w:t>
      </w:r>
      <w:r w:rsidRPr="002026EE">
        <w:fldChar w:fldCharType="begin"/>
      </w:r>
      <w:r w:rsidR="00342002">
        <w:instrText xml:space="preserve"> ADDIN ZOTERO_ITEM CSL_CITATION {"citationID":"svKnnGgr","properties":{"formattedCitation":"[21]","plainCitation":"[21]","noteIndex":0},"citationItems":[{"id":1212,"uris":["http://zotero.org/users/1203856/items/N54JIUMI"],"itemData":{"id":1212,"type":"article-journal","container-title":"Nature Neuroscience","DOI":"10.1038/nn.4382","ISSN":"1097-6256, 1546-1726","issue":"10","language":"en","page":"1280-1285","source":"Crossref","title":"Value, search, persistence and model updating in anterior cingulate cortex","volume":"19","author":[{"family":"Kolling","given":"Nils"},{"family":"Wittmann","given":"Marco K"},{"family":"Behrens","given":"Tim E J"},{"family":"Boorman","given":"Erie D"},{"family":"Mars","given":"Rogier B"},{"family":"Rushworth","given":"Matthew F S"}],"issued":{"date-parts":[["2016",10]]}}}],"schema":"https://github.com/citation-style-language/schema/raw/master/csl-citation.json"} </w:instrText>
      </w:r>
      <w:r w:rsidRPr="002026EE">
        <w:fldChar w:fldCharType="separate"/>
      </w:r>
      <w:r w:rsidR="00342002" w:rsidRPr="00342002">
        <w:rPr>
          <w:rFonts w:ascii="Calibri" w:hAnsi="Calibri" w:cs="Calibri"/>
        </w:rPr>
        <w:t>[21]</w:t>
      </w:r>
      <w:r w:rsidRPr="002026EE">
        <w:fldChar w:fldCharType="end"/>
      </w:r>
      <w:r w:rsidRPr="002026EE">
        <w:t xml:space="preserve">. It is therefore rather possible that different subparts of the dmPFC/dACC relate to different functions </w:t>
      </w:r>
      <w:r w:rsidRPr="002026EE">
        <w:fldChar w:fldCharType="begin"/>
      </w:r>
      <w:r w:rsidR="001363D5">
        <w:instrText xml:space="preserve"> ADDIN ZOTERO_ITEM CSL_CITATION {"citationID":"5fVxQDwH","properties":{"formattedCitation":"[19]","plainCitation":"[19]","noteIndex":0},"citationItems":[{"id":"U1juNWln/mv2mBfZe","uris":["http://zotero.org/users/1203856/items/3YM4DKJU"],"itemData":{"id":10899,"type":"article-journal","abstract":"The dorsomedial prefrontal cortex/dorsal anterior cingulate cortex (dmPFC/dACC) is a brain area subject to many theories and debates over its function(s). Even its precise anatomical borders are subject to much controversy. In the past decades, the dmPFC/dACC has been associated with more than fifteen different cognitive processes, which sometimes appear quite unrelated (e.g., body perception, cognitive conflict). As a result, understanding what the dmPFC/dACC does has become a real challenge for many neuroscientists. Several theories of this brain area's function(s) have been developed, leading to successive and competitive publications bearing different models, which sometimes contradict each other. During the last two decades, the lively scientific exchanges around the dmPFC/dACC have promoted fruitful research in cognitive neuroscience. In this review, we provide an overview of the anatomy of the dmPFC/dACC, summarize the state of the art of functions that have been associated with this brain area, and present the main theories aiming at explaining the dmPFC/dACC function(s). We explore the commonalities and the arguments between the different theories. Finally, we explain what can be learned from these debates for future investigations of the dmPFC/dACC and other brain regions’ functions.","container-title":"Brain","DOI":"10.1093/brain/awad263","ISSN":"0006-8950","journalAbbreviation":"Brain","page":"awad263","source":"Silverchair","title":"Debates on the dorsomedial prefrontal/dorsal anterior cingulate cortex: insights for future research","title-short":"Debates on the dorsomedial prefrontal/dorsal anterior cingulate cortex","author":[{"family":"Clairis","given":"Nicolas"},{"family":"Lopez-Persem","given":"Alizée"}],"issued":{"date-parts":[["2023",8,2]]}}}],"schema":"https://github.com/citation-style-language/schema/raw/master/csl-citation.json"} </w:instrText>
      </w:r>
      <w:r w:rsidRPr="002026EE">
        <w:fldChar w:fldCharType="separate"/>
      </w:r>
      <w:r w:rsidR="00342002" w:rsidRPr="00342002">
        <w:rPr>
          <w:rFonts w:ascii="Calibri" w:hAnsi="Calibri" w:cs="Calibri"/>
        </w:rPr>
        <w:t>[19]</w:t>
      </w:r>
      <w:r w:rsidRPr="002026EE">
        <w:fldChar w:fldCharType="end"/>
      </w:r>
      <w:r w:rsidRPr="002026EE">
        <w:t xml:space="preserve">. It would be interesting that future studies explore whether lactate levels vary across the different </w:t>
      </w:r>
      <w:r w:rsidRPr="009141C3">
        <w:t>parts of the dmPFC/dACC and whether these changes relate to a differential impact on motivated behavior depending on their location.</w:t>
      </w:r>
    </w:p>
    <w:p w14:paraId="05A968BB" w14:textId="2F975047" w:rsidR="006F0208" w:rsidRPr="002026EE" w:rsidRDefault="00D459AD" w:rsidP="002026EE">
      <w:r w:rsidRPr="009141C3">
        <w:rPr>
          <w:rFonts w:cstheme="minorHAnsi"/>
          <w:color w:val="000000" w:themeColor="text1"/>
        </w:rPr>
        <w:t>Prospect theory because prospect theory states 1) that individuals display loss aversion and weigh losses higher than equivalent monetary gains and 2) that individuals are more risk seeking in the loss domain than in the gain domain</w:t>
      </w:r>
      <w:r w:rsidR="004C786B" w:rsidRPr="009141C3">
        <w:rPr>
          <w:rFonts w:cstheme="minorHAnsi"/>
          <w:color w:val="000000" w:themeColor="text1"/>
        </w:rPr>
        <w:t xml:space="preserve"> </w:t>
      </w:r>
      <w:r w:rsidR="004C786B" w:rsidRPr="009141C3">
        <w:rPr>
          <w:rFonts w:cstheme="minorHAnsi"/>
          <w:color w:val="000000" w:themeColor="text1"/>
        </w:rPr>
        <w:fldChar w:fldCharType="begin"/>
      </w:r>
      <w:r w:rsidR="004C786B" w:rsidRPr="009141C3">
        <w:rPr>
          <w:rFonts w:cstheme="minorHAnsi"/>
          <w:color w:val="000000" w:themeColor="text1"/>
        </w:rPr>
        <w:instrText xml:space="preserve"> ADDIN ZOTERO_ITEM CSL_CITATION {"citationID":"x6SY1IY2","properties":{"formattedCitation":"[27]","plainCitation":"[27]","noteIndex":0},"citationItems":[{"id":2448,"uris":["http://zotero.org/users/1203856/items/U6VSFNZ9"],"itemData":{"id":2448,"type":"article-journal","abstract":"Discusses the cognitive and the psychophysical determinants of choice in risky and riskless contexts. The psychophysics of value induce risk aversion in the domain of gains and risk seeking in the domain of losses. The psychophysics of chance induce overweighting of sure things and of improbable events, relative to events of moderate probability. Decision problems can be described or framed in multiple ways that give rise to different preferences, contrary to the invariance criterion of rational choice. The process of mental accounting, in which people organize the outcomes of transactions, explains some anomalies of consumer behavior. In particular, the acceptability of an option can depend on whether a negative outcome is evaluated as a cost or as an uncompensated loss. The relationships between decision values and experience values and between hedonic experience and objective states are discussed. (27 ref) (PsycINFO Database Record (c) 2016 APA, all rights reserved)","container-title":"American Psychologist","DOI":"10.1037/0003-066X.39.4.341","ISSN":"1935-990X(Electronic),0003-066X(Print)","issue":"4","note":"publisher-place: US\npublisher: American Psychological Association","page":"341-350","source":"APA PsycNET","title":"Choices, values, and frames","volume":"39","author":[{"family":"Kahneman","given":"Daniel"},{"family":"Tversky","given":"Amos"}],"issued":{"date-parts":[["1984"]]}}}],"schema":"https://github.com/citation-style-language/schema/raw/master/csl-citation.json"} </w:instrText>
      </w:r>
      <w:r w:rsidR="004C786B" w:rsidRPr="009141C3">
        <w:rPr>
          <w:rFonts w:cstheme="minorHAnsi"/>
          <w:color w:val="000000" w:themeColor="text1"/>
        </w:rPr>
        <w:fldChar w:fldCharType="separate"/>
      </w:r>
      <w:r w:rsidR="004C786B" w:rsidRPr="009141C3">
        <w:rPr>
          <w:rFonts w:ascii="Calibri" w:hAnsi="Calibri" w:cs="Calibri"/>
        </w:rPr>
        <w:t>[27]</w:t>
      </w:r>
      <w:r w:rsidR="004C786B" w:rsidRPr="009141C3">
        <w:rPr>
          <w:rFonts w:cstheme="minorHAnsi"/>
          <w:color w:val="000000" w:themeColor="text1"/>
        </w:rPr>
        <w:fldChar w:fldCharType="end"/>
      </w:r>
      <w:r w:rsidRPr="009141C3">
        <w:rPr>
          <w:rFonts w:cstheme="minorHAnsi"/>
          <w:color w:val="000000" w:themeColor="text1"/>
        </w:rPr>
        <w:t>. These two proposals imply that, in our task, individuals should pick the HE option more often in the loss than in the gain domain because the same monetary amounts should have more weight in the loss than in the gain domain and because the probability of failure is slightly higher for high than for low efforts</w:t>
      </w:r>
      <w:r w:rsidR="004C786B" w:rsidRPr="009141C3">
        <w:rPr>
          <w:rFonts w:cstheme="minorHAnsi"/>
          <w:color w:val="000000" w:themeColor="text1"/>
        </w:rPr>
        <w:t xml:space="preserve"> due to difficulty</w:t>
      </w:r>
      <w:r w:rsidRPr="009141C3">
        <w:rPr>
          <w:rFonts w:cstheme="minorHAnsi"/>
          <w:color w:val="000000" w:themeColor="text1"/>
        </w:rPr>
        <w:t xml:space="preserve">, </w:t>
      </w:r>
      <w:r w:rsidR="004C786B" w:rsidRPr="009141C3">
        <w:rPr>
          <w:rFonts w:cstheme="minorHAnsi"/>
          <w:color w:val="000000" w:themeColor="text1"/>
        </w:rPr>
        <w:t xml:space="preserve">although we </w:t>
      </w:r>
      <w:r w:rsidRPr="009141C3">
        <w:rPr>
          <w:rFonts w:cstheme="minorHAnsi"/>
          <w:color w:val="000000" w:themeColor="text1"/>
        </w:rPr>
        <w:t>reduce</w:t>
      </w:r>
      <w:r w:rsidR="004C786B" w:rsidRPr="009141C3">
        <w:rPr>
          <w:rFonts w:cstheme="minorHAnsi"/>
          <w:color w:val="000000" w:themeColor="text1"/>
        </w:rPr>
        <w:t>d</w:t>
      </w:r>
      <w:r w:rsidRPr="009141C3">
        <w:rPr>
          <w:rFonts w:cstheme="minorHAnsi"/>
          <w:color w:val="000000" w:themeColor="text1"/>
        </w:rPr>
        <w:t xml:space="preserve"> </w:t>
      </w:r>
      <w:r w:rsidR="004C786B" w:rsidRPr="009141C3">
        <w:rPr>
          <w:rFonts w:cstheme="minorHAnsi"/>
          <w:color w:val="000000" w:themeColor="text1"/>
        </w:rPr>
        <w:t>the risk of failure as much as possible in our task</w:t>
      </w:r>
      <w:r w:rsidRPr="009141C3">
        <w:rPr>
          <w:rFonts w:cstheme="minorHAnsi"/>
          <w:color w:val="000000" w:themeColor="text1"/>
        </w:rPr>
        <w:t xml:space="preserve">. Instead, our results </w:t>
      </w:r>
      <w:r w:rsidR="004C786B" w:rsidRPr="009141C3">
        <w:rPr>
          <w:rFonts w:cstheme="minorHAnsi"/>
          <w:color w:val="000000" w:themeColor="text1"/>
        </w:rPr>
        <w:t>suggest that individuals weigh gains more than losses as they picked up the HE option more often in the gain than in the loss domains and were more sensitive to gains than to losses</w:t>
      </w:r>
      <w:r w:rsidR="006F0208" w:rsidRPr="009141C3">
        <w:rPr>
          <w:rFonts w:cstheme="minorHAnsi"/>
          <w:color w:val="000000" w:themeColor="text1"/>
        </w:rPr>
        <w:t xml:space="preserve">. </w:t>
      </w:r>
      <w:r w:rsidR="004C786B" w:rsidRPr="009141C3">
        <w:rPr>
          <w:rFonts w:cstheme="minorHAnsi"/>
          <w:color w:val="000000" w:themeColor="text1"/>
        </w:rPr>
        <w:t>I</w:t>
      </w:r>
      <w:r w:rsidR="006F0208" w:rsidRPr="009141C3">
        <w:rPr>
          <w:rFonts w:cstheme="minorHAnsi"/>
          <w:color w:val="000000" w:themeColor="text1"/>
        </w:rPr>
        <w:t xml:space="preserve">n agreement with a vast </w:t>
      </w:r>
      <w:r w:rsidR="00DE618E" w:rsidRPr="009141C3">
        <w:rPr>
          <w:rFonts w:cstheme="minorHAnsi"/>
          <w:color w:val="000000" w:themeColor="text1"/>
        </w:rPr>
        <w:t xml:space="preserve">and rising </w:t>
      </w:r>
      <w:r w:rsidR="006F0208" w:rsidRPr="009141C3">
        <w:rPr>
          <w:rFonts w:cstheme="minorHAnsi"/>
          <w:color w:val="000000" w:themeColor="text1"/>
        </w:rPr>
        <w:t>literature contesting the loss aversion bias</w:t>
      </w:r>
      <w:r w:rsidR="004C786B" w:rsidRPr="009141C3">
        <w:rPr>
          <w:rFonts w:cstheme="minorHAnsi"/>
          <w:color w:val="000000" w:themeColor="text1"/>
        </w:rPr>
        <w:t xml:space="preserve"> </w:t>
      </w:r>
      <w:r w:rsidR="004C786B" w:rsidRPr="009141C3">
        <w:rPr>
          <w:rFonts w:cstheme="minorHAnsi"/>
          <w:color w:val="000000" w:themeColor="text1"/>
        </w:rPr>
        <w:fldChar w:fldCharType="begin"/>
      </w:r>
      <w:r w:rsidR="00DE618E" w:rsidRPr="009141C3">
        <w:rPr>
          <w:rFonts w:cstheme="minorHAnsi"/>
          <w:color w:val="000000" w:themeColor="text1"/>
        </w:rPr>
        <w:instrText xml:space="preserve"> ADDIN ZOTERO_ITEM CSL_CITATION {"citationID":"cD82ai5j","properties":{"formattedCitation":"[28\\uc0\\u8211{}30]","plainCitation":"[28–30]","noteIndex":0},"citationItems":[{"id":14956,"uris":["http://zotero.org/users/1203856/items/ZN3JH2TR"],"itemData":{"id":14956,"type":"article-journal","abstract":"It is often claimed that negative events carry a larger weight than positive events. Loss aversion is the manifestation of this argument in monetary outcomes. In this review, we examine early studies of the utility function of gains and losses, and in particular the original evidence for loss aversion reported by Kahneman and Tversky (Econometrica  47:263-291, 1979). We suggest that loss aversion proponents have over-interpreted these findings. Specifically, the early studies of utility functions have shown that while very large losses are overweighted, smaller losses are often not. In addition, the findings of some of these studies have been systematically misrepresented to reflect loss aversion, though they did not find it. These findings shed light both on the inability of modern studies to reproduce loss aversion as well as a second literature arguing strongly for it.","container-title":"Psychological Research","DOI":"10.1007/s00426-018-1013-8","ISSN":"1430-2772","issue":"7","journalAbbreviation":"Psychol Res","language":"eng","note":"PMID: 29663131","page":"1327-1339","source":"PubMed","title":"Acceptable losses: the debatable origins of loss aversion","title-short":"Acceptable losses","volume":"83","author":[{"family":"Yechiam","given":"Eldad"}],"issued":{"date-parts":[["2019",10]]}}},{"id":2682,"uris":["http://zotero.org/users/1203856/items/U5JMBW6G"],"itemData":{"id":2682,"type":"article-journal","abstract":"Loss aversion, the principle that losses loom larger than gains, is among the most widely accepted ideas in the social sciences. The first part of this article introduces and discusses the construct of loss aversion. The second part of this article reviews evidence in support of loss aversion. The upshot of this review is that current evidence does not support that losses, on balance, tend to be any more impactful than gains. The third part of this article aims to address the question of why acceptance of loss aversion as a general principle remains pervasive and persistent among social scientists, including consumer psychologists, despite evidence to the contrary. This analysis aims to connect the persistence of a belief in loss aversion to more general ideas about belief acceptance and persistence in science. The final part of the article discusses how a more contextualized perspective of the relative impact of losses versus gains can open new areas of inquiry that are squarely in the domain of consumer psychology.","container-title":"Journal of Consumer Psychology","DOI":"10.1002/jcpy.1047","ISSN":"1532-7663","issue":"3","language":"en","license":"© 2018 Society for Consumer Psychology","note":"_eprint: https://onlinelibrary.wiley.com/doi/pdf/10.1002/jcpy.1047","page":"497-516","source":"Wiley Online Library","title":"The Loss of Loss Aversion: Will It Loom Larger Than Its Gain?","title-short":"The Loss of Loss Aversion","volume":"28","author":[{"family":"Gal","given":"David"},{"family":"Rucker","given":"Derek D."}],"issued":{"date-parts":[["2018"]]}}},{"id":2680,"uris":["http://zotero.org/users/1203856/items/R578F8WN"],"itemData":{"id":2680,"type":"article-journal","abstract":"Prospect Theory proposed that the (dis)utility of losses is always more than gains due to a phenomena called ‘loss-aversion’, a result obtained in multiple later studies over the years. However, some researchers found reversed or no loss-aversion for aﬀective judgments of small monetary amounts but, those ﬁndings have been argued to stem from the way gains versus losses were measured. Thus, it was not clear whether loss-aversion does not show with aﬀective judgments for smaller magnitudes, or it is a measurement error. This paper addresses the debate concerning loss-aversion (in the prospect theoretic sense) and judgments about the intensity of gains and losses. We measured aﬀective prospective judgments for monetary amounts using measurement scales that have been argued to be suitable for measuring loss-aversion and hence rule out any explanations regarding measurement. Both in a gambling scenario (Experiments 1 and 2) and in the context of ﬂuctuating prices (Experiments 3a and 3b), potential losses never loomed larger than gains for low magnitudes, indicating that it is not simply a measurement error. Moreover, for the same participant, loss aversion was observable at high magnitudes. Further, we show that loss-aversion disappears even for higher monetary values, if contextually an even larger anchor is provided. The results imply that Prospect Theory’s value function is contextually dependent on magnitudes.","container-title":"Judgment and Decision Making","issue":"1","language":"en","page":"81-89","source":"Zotero","title":"Is loss-aversion magnitude-dependent? Measuring prospective aﬀective judgments regarding gains and losses","volume":"12","author":[{"family":"Mukherjee","given":"Sumitava"},{"family":"Sahay","given":"Arvind"},{"family":"Pammi","given":"V S Chandrasekhar"},{"family":"Srinivasan","given":"Narayanan"}],"issued":{"date-parts":[["2017",1]]}}}],"schema":"https://github.com/citation-style-language/schema/raw/master/csl-citation.json"} </w:instrText>
      </w:r>
      <w:r w:rsidR="004C786B" w:rsidRPr="009141C3">
        <w:rPr>
          <w:rFonts w:cstheme="minorHAnsi"/>
          <w:color w:val="000000" w:themeColor="text1"/>
        </w:rPr>
        <w:fldChar w:fldCharType="separate"/>
      </w:r>
      <w:r w:rsidR="00DE618E" w:rsidRPr="009141C3">
        <w:rPr>
          <w:rFonts w:ascii="Calibri" w:hAnsi="Calibri" w:cs="Calibri"/>
        </w:rPr>
        <w:t>[28–30]</w:t>
      </w:r>
      <w:r w:rsidR="004C786B" w:rsidRPr="009141C3">
        <w:rPr>
          <w:rFonts w:cstheme="minorHAnsi"/>
          <w:color w:val="000000" w:themeColor="text1"/>
        </w:rPr>
        <w:fldChar w:fldCharType="end"/>
      </w:r>
      <w:r w:rsidR="006F0208" w:rsidRPr="009141C3">
        <w:rPr>
          <w:rFonts w:cstheme="minorHAnsi"/>
          <w:color w:val="000000" w:themeColor="text1"/>
        </w:rPr>
        <w:t xml:space="preserve">, </w:t>
      </w:r>
      <w:r w:rsidR="004C786B" w:rsidRPr="009141C3">
        <w:rPr>
          <w:rFonts w:cstheme="minorHAnsi"/>
          <w:color w:val="000000" w:themeColor="text1"/>
        </w:rPr>
        <w:t xml:space="preserve">our results thereby </w:t>
      </w:r>
      <w:r w:rsidR="006F0208" w:rsidRPr="009141C3">
        <w:rPr>
          <w:rFonts w:cstheme="minorHAnsi"/>
          <w:color w:val="000000" w:themeColor="text1"/>
        </w:rPr>
        <w:t xml:space="preserve">question </w:t>
      </w:r>
      <w:r w:rsidR="00DE618E" w:rsidRPr="009141C3">
        <w:rPr>
          <w:rFonts w:cstheme="minorHAnsi"/>
          <w:color w:val="000000" w:themeColor="text1"/>
        </w:rPr>
        <w:t xml:space="preserve">some of </w:t>
      </w:r>
      <w:r w:rsidR="006F0208" w:rsidRPr="009141C3">
        <w:rPr>
          <w:rFonts w:cstheme="minorHAnsi"/>
          <w:color w:val="000000" w:themeColor="text1"/>
        </w:rPr>
        <w:t>prospect theory</w:t>
      </w:r>
      <w:r w:rsidR="00DE618E" w:rsidRPr="009141C3">
        <w:rPr>
          <w:rFonts w:cstheme="minorHAnsi"/>
          <w:color w:val="000000" w:themeColor="text1"/>
        </w:rPr>
        <w:t>’s predictions</w:t>
      </w:r>
      <w:r w:rsidR="006F0208" w:rsidRPr="009141C3">
        <w:rPr>
          <w:rFonts w:cstheme="minorHAnsi"/>
          <w:color w:val="000000" w:themeColor="text1"/>
        </w:rPr>
        <w:t xml:space="preserve"> regarding loss aversion and risk seeking in the loss domain. Interestingly, </w:t>
      </w:r>
      <w:r w:rsidR="00DE618E" w:rsidRPr="009141C3">
        <w:rPr>
          <w:rFonts w:cstheme="minorHAnsi"/>
          <w:color w:val="000000" w:themeColor="text1"/>
        </w:rPr>
        <w:t>several</w:t>
      </w:r>
      <w:r w:rsidR="006F0208" w:rsidRPr="009141C3">
        <w:rPr>
          <w:rFonts w:cstheme="minorHAnsi"/>
          <w:color w:val="000000" w:themeColor="text1"/>
        </w:rPr>
        <w:t xml:space="preserve"> studies suggest that for “low” amounts (typically &lt; 50€/CHF/$/etc.</w:t>
      </w:r>
      <w:r w:rsidRPr="009141C3">
        <w:rPr>
          <w:rFonts w:cstheme="minorHAnsi"/>
          <w:color w:val="000000" w:themeColor="text1"/>
        </w:rPr>
        <w:t xml:space="preserve"> as in our experiment</w:t>
      </w:r>
      <w:r w:rsidR="006F0208" w:rsidRPr="009141C3">
        <w:rPr>
          <w:rFonts w:cstheme="minorHAnsi"/>
          <w:color w:val="000000" w:themeColor="text1"/>
        </w:rPr>
        <w:t xml:space="preserve">), individuals </w:t>
      </w:r>
      <w:r w:rsidR="004C786B" w:rsidRPr="009141C3">
        <w:rPr>
          <w:rFonts w:cstheme="minorHAnsi"/>
          <w:color w:val="000000" w:themeColor="text1"/>
        </w:rPr>
        <w:t>value gains more than losses</w:t>
      </w:r>
      <w:r w:rsidR="00DE618E" w:rsidRPr="009141C3">
        <w:rPr>
          <w:rFonts w:cstheme="minorHAnsi"/>
          <w:color w:val="000000" w:themeColor="text1"/>
        </w:rPr>
        <w:t xml:space="preserve"> </w:t>
      </w:r>
      <w:r w:rsidR="00DE618E" w:rsidRPr="009141C3">
        <w:rPr>
          <w:rFonts w:cstheme="minorHAnsi"/>
          <w:color w:val="000000" w:themeColor="text1"/>
        </w:rPr>
        <w:fldChar w:fldCharType="begin"/>
      </w:r>
      <w:r w:rsidR="00526037" w:rsidRPr="009141C3">
        <w:rPr>
          <w:rFonts w:cstheme="minorHAnsi"/>
          <w:color w:val="000000" w:themeColor="text1"/>
        </w:rPr>
        <w:instrText xml:space="preserve"> ADDIN ZOTERO_ITEM CSL_CITATION {"citationID":"MZQR6pQu","properties":{"formattedCitation":"[28, 30\\uc0\\u8211{}32]","plainCitation":"[28, 30–32]","noteIndex":0},"citationItems":[{"id":14956,"uris":["http://zotero.org/users/1203856/items/ZN3JH2TR"],"itemData":{"id":14956,"type":"article-journal","abstract":"It is often claimed that negative events carry a larger weight than positive events. Loss aversion is the manifestation of this argument in monetary outcomes. In this review, we examine early studies of the utility function of gains and losses, and in particular the original evidence for loss aversion reported by Kahneman and Tversky (Econometrica  47:263-291, 1979). We suggest that loss aversion proponents have over-interpreted these findings. Specifically, the early studies of utility functions have shown that while very large losses are overweighted, smaller losses are often not. In addition, the findings of some of these studies have been systematically misrepresented to reflect loss aversion, though they did not find it. These findings shed light both on the inability of modern studies to reproduce loss aversion as well as a second literature arguing strongly for it.","container-title":"Psychological Research","DOI":"10.1007/s00426-018-1013-8","ISSN":"1430-2772","issue":"7","journalAbbreviation":"Psychol Res","language":"eng","note":"PMID: 29663131","page":"1327-1339","source":"PubMed","title":"Acceptable losses: the debatable origins of loss aversion","title-short":"Acceptable losses","volume":"83","author":[{"family":"Yechiam","given":"Eldad"}],"issued":{"date-parts":[["2019",10]]}}},{"id":2680,"uris":["http://zotero.org/users/1203856/items/R578F8WN"],"itemData":{"id":2680,"type":"article-journal","abstract":"Prospect Theory proposed that the (dis)utility of losses is always more than gains due to a phenomena called ‘loss-aversion’, a result obtained in multiple later studies over the years. However, some researchers found reversed or no loss-aversion for aﬀective judgments of small monetary amounts but, those ﬁndings have been argued to stem from the way gains versus losses were measured. Thus, it was not clear whether loss-aversion does not show with aﬀective judgments for smaller magnitudes, or it is a measurement error. This paper addresses the debate concerning loss-aversion (in the prospect theoretic sense) and judgments about the intensity of gains and losses. We measured aﬀective prospective judgments for monetary amounts using measurement scales that have been argued to be suitable for measuring loss-aversion and hence rule out any explanations regarding measurement. Both in a gambling scenario (Experiments 1 and 2) and in the context of ﬂuctuating prices (Experiments 3a and 3b), potential losses never loomed larger than gains for low magnitudes, indicating that it is not simply a measurement error. Moreover, for the same participant, loss aversion was observable at high magnitudes. Further, we show that loss-aversion disappears even for higher monetary values, if contextually an even larger anchor is provided. The results imply that Prospect Theory’s value function is contextually dependent on magnitudes.","container-title":"Judgment and Decision Making","issue":"1","language":"en","page":"81-89","source":"Zotero","title":"Is loss-aversion magnitude-dependent? Measuring prospective aﬀective judgments regarding gains and losses","volume":"12","author":[{"family":"Mukherjee","given":"Sumitava"},{"family":"Sahay","given":"Arvind"},{"family":"Pammi","given":"V S Chandrasekhar"},{"family":"Srinivasan","given":"Narayanan"}],"issued":{"date-parts":[["2017",1]]}}},{"id":14974,"uris":["http://zotero.org/users/1203856/items/BVLW98D9"],"itemData":{"id":14974,"type":"article-journal","abstract":"Previous research has generally shown that people are loss averse; that is, they weigh losses more heavily than gains. In a series of three experiments, we found that for small outcomes, this pattern is reversed, and gains loom larger than losses. We explain this reversal on the basis of (a) the hedonic principle, which states that individuals are motivated to maximize pleasure and to minimize pain, and (b) the assumption that small losses are more easily discounted cognitively than large losses are.","container-title":"Psychological Science","DOI":"10.1111/j.1467-9280.2007.02031.x","ISSN":"0956-7976","issue":"12","journalAbbreviation":"Psychol Sci","language":"en","note":"publisher: SAGE Publications Inc","page":"1099-1105","source":"SAGE Journals","title":"When Gains Loom Larger Than Losses: Reversed Loss Aversion for Small Amounts of Money","title-short":"When Gains Loom Larger Than Losses","volume":"18","author":[{"family":"Harinck","given":"Fieke"},{"family":"Van Dijk","given":"Eric"},{"family":"Van Beest","given":"Ilja"},{"family":"Mersmann","given":"Paul"}],"issued":{"date-parts":[["2007",12,1]]}}},{"id":2399,"uris":["http://zotero.org/users/1203856/items/6G2SLZYT"],"itemData":{"id":2399,"type":"report","abstract":"Previous studies of loss aversion in decisions under risk have led to mixed results. Losses appear to loom larger than gains in some settings, but not in others. The current paper clarifies these results by highlighting six experimental manipulations that tend to increase the likelihood of the behavior predicted by loss aversion. These manipulations include: (1) framing of the safe alternative as the status quo; (2) ensuring that the choice pattern predicted by loss aversion maximizes the probability of positive (rather than zero or negative) outcomes; (3) the use of high nominal (numerical) payoffs; (4) the use of high stakes; (5) the inclusion of highly attractive risky prospects that creates a contrast effect; and (6) the use of long experiments in which no feedback is provided and in which the computation of the expected values is difficult. In addition, the results suggest the possibility of learning in the absence of feedback: The tendency to select simple strategies, like “maximize the worst outcome” which implies “loss aversion”, increases when this behavior is not costly. Theoretical and practical implications are discussed.","event-place":"Rochester, NY","genre":"SSRN Scholarly Paper","language":"en","note":"DOI: 10.2139/ssrn.1012022","number":"ID 1012022","publisher":"Social Science Research Network","publisher-place":"Rochester, NY","source":"papers.ssrn.com","title":"On the Descriptive Value of Loss Aversion in Decisions under Risk: Six Clarifications","title-short":"On the Descriptive Value of Loss Aversion in Decisions under Risk","URL":"https://papers.ssrn.com/abstract=1012022","author":[{"family":"Ert","given":"Eyal"},{"family":"Erev","given":"Ido"}],"accessed":{"date-parts":[["2020",6,28]]},"issued":{"date-parts":[["2007",9,6]]}}}],"schema":"https://github.com/citation-style-language/schema/raw/master/csl-citation.json"} </w:instrText>
      </w:r>
      <w:r w:rsidR="00DE618E" w:rsidRPr="009141C3">
        <w:rPr>
          <w:rFonts w:cstheme="minorHAnsi"/>
          <w:color w:val="000000" w:themeColor="text1"/>
        </w:rPr>
        <w:fldChar w:fldCharType="separate"/>
      </w:r>
      <w:r w:rsidR="00526037" w:rsidRPr="009141C3">
        <w:rPr>
          <w:rFonts w:ascii="Calibri" w:hAnsi="Calibri" w:cs="Calibri"/>
        </w:rPr>
        <w:t>[28, 30–32]</w:t>
      </w:r>
      <w:r w:rsidR="00DE618E" w:rsidRPr="009141C3">
        <w:rPr>
          <w:rFonts w:cstheme="minorHAnsi"/>
          <w:color w:val="000000" w:themeColor="text1"/>
        </w:rPr>
        <w:fldChar w:fldCharType="end"/>
      </w:r>
      <w:r w:rsidR="004C786B" w:rsidRPr="009141C3">
        <w:rPr>
          <w:rFonts w:cstheme="minorHAnsi"/>
          <w:color w:val="000000" w:themeColor="text1"/>
        </w:rPr>
        <w:t xml:space="preserve">. Loss aversion, the fact of weighing equivalent losses more than equivalent gains, would emerge </w:t>
      </w:r>
      <w:r w:rsidRPr="009141C3">
        <w:rPr>
          <w:rFonts w:cstheme="minorHAnsi"/>
          <w:color w:val="000000" w:themeColor="text1"/>
        </w:rPr>
        <w:t>only for “high” amounts (typically &gt; 1000$) as the ones used in the original experiments of the tenants of the prospect theory</w:t>
      </w:r>
      <w:r w:rsidR="00526037" w:rsidRPr="009141C3">
        <w:rPr>
          <w:rFonts w:cstheme="minorHAnsi"/>
          <w:color w:val="000000" w:themeColor="text1"/>
        </w:rPr>
        <w:t xml:space="preserve"> </w:t>
      </w:r>
      <w:r w:rsidR="00526037" w:rsidRPr="009141C3">
        <w:rPr>
          <w:rFonts w:cstheme="minorHAnsi"/>
          <w:color w:val="000000" w:themeColor="text1"/>
        </w:rPr>
        <w:fldChar w:fldCharType="begin"/>
      </w:r>
      <w:r w:rsidR="00526037" w:rsidRPr="009141C3">
        <w:rPr>
          <w:rFonts w:cstheme="minorHAnsi"/>
          <w:color w:val="000000" w:themeColor="text1"/>
        </w:rPr>
        <w:instrText xml:space="preserve"> ADDIN ZOTERO_ITEM CSL_CITATION {"citationID":"nFrTMVq3","properties":{"formattedCitation":"[28]","plainCitation":"[28]","noteIndex":0},"citationItems":[{"id":14956,"uris":["http://zotero.org/users/1203856/items/ZN3JH2TR"],"itemData":{"id":14956,"type":"article-journal","abstract":"It is often claimed that negative events carry a larger weight than positive events. Loss aversion is the manifestation of this argument in monetary outcomes. In this review, we examine early studies of the utility function of gains and losses, and in particular the original evidence for loss aversion reported by Kahneman and Tversky (Econometrica  47:263-291, 1979). We suggest that loss aversion proponents have over-interpreted these findings. Specifically, the early studies of utility functions have shown that while very large losses are overweighted, smaller losses are often not. In addition, the findings of some of these studies have been systematically misrepresented to reflect loss aversion, though they did not find it. These findings shed light both on the inability of modern studies to reproduce loss aversion as well as a second literature arguing strongly for it.","container-title":"Psychological Research","DOI":"10.1007/s00426-018-1013-8","ISSN":"1430-2772","issue":"7","journalAbbreviation":"Psychol Res","language":"eng","note":"PMID: 29663131","page":"1327-1339","source":"PubMed","title":"Acceptable losses: the debatable origins of loss aversion","title-short":"Acceptable losses","volume":"83","author":[{"family":"Yechiam","given":"Eldad"}],"issued":{"date-parts":[["2019",10]]}}}],"schema":"https://github.com/citation-style-language/schema/raw/master/csl-citation.json"} </w:instrText>
      </w:r>
      <w:r w:rsidR="00526037" w:rsidRPr="009141C3">
        <w:rPr>
          <w:rFonts w:cstheme="minorHAnsi"/>
          <w:color w:val="000000" w:themeColor="text1"/>
        </w:rPr>
        <w:fldChar w:fldCharType="separate"/>
      </w:r>
      <w:r w:rsidR="00526037" w:rsidRPr="009141C3">
        <w:rPr>
          <w:rFonts w:ascii="Calibri" w:hAnsi="Calibri" w:cs="Calibri"/>
        </w:rPr>
        <w:t>[28]</w:t>
      </w:r>
      <w:r w:rsidR="00526037" w:rsidRPr="009141C3">
        <w:rPr>
          <w:rFonts w:cstheme="minorHAnsi"/>
          <w:color w:val="000000" w:themeColor="text1"/>
        </w:rPr>
        <w:fldChar w:fldCharType="end"/>
      </w:r>
      <w:r w:rsidRPr="009141C3">
        <w:rPr>
          <w:rFonts w:cstheme="minorHAnsi"/>
          <w:color w:val="000000" w:themeColor="text1"/>
        </w:rPr>
        <w:t xml:space="preserve">, </w:t>
      </w:r>
      <w:r w:rsidRPr="009141C3">
        <w:rPr>
          <w:rFonts w:cstheme="minorHAnsi"/>
          <w:i/>
          <w:iCs/>
          <w:color w:val="000000" w:themeColor="text1"/>
        </w:rPr>
        <w:t>i.e.</w:t>
      </w:r>
      <w:r w:rsidRPr="009141C3">
        <w:rPr>
          <w:rFonts w:cstheme="minorHAnsi"/>
          <w:color w:val="000000" w:themeColor="text1"/>
        </w:rPr>
        <w:t xml:space="preserve"> when the loss is </w:t>
      </w:r>
      <w:r w:rsidR="00526037" w:rsidRPr="009141C3">
        <w:rPr>
          <w:rFonts w:cstheme="minorHAnsi"/>
          <w:color w:val="000000" w:themeColor="text1"/>
        </w:rPr>
        <w:t xml:space="preserve">really </w:t>
      </w:r>
      <w:r w:rsidRPr="009141C3">
        <w:rPr>
          <w:rFonts w:cstheme="minorHAnsi"/>
          <w:color w:val="000000" w:themeColor="text1"/>
        </w:rPr>
        <w:t>consequential</w:t>
      </w:r>
      <w:r w:rsidR="00526037" w:rsidRPr="009141C3">
        <w:rPr>
          <w:rFonts w:cstheme="minorHAnsi"/>
          <w:color w:val="000000" w:themeColor="text1"/>
        </w:rPr>
        <w:t xml:space="preserve"> for one’s life and survival</w:t>
      </w:r>
      <w:r w:rsidRPr="009141C3">
        <w:rPr>
          <w:rFonts w:cstheme="minorHAnsi"/>
          <w:color w:val="000000" w:themeColor="text1"/>
        </w:rPr>
        <w:t xml:space="preserve">. Our results, which show faster </w:t>
      </w:r>
      <w:r w:rsidR="004C786B" w:rsidRPr="009141C3">
        <w:rPr>
          <w:rFonts w:cstheme="minorHAnsi"/>
          <w:color w:val="000000" w:themeColor="text1"/>
        </w:rPr>
        <w:t xml:space="preserve">choices </w:t>
      </w:r>
      <w:r w:rsidRPr="009141C3">
        <w:rPr>
          <w:rFonts w:cstheme="minorHAnsi"/>
          <w:color w:val="000000" w:themeColor="text1"/>
        </w:rPr>
        <w:t xml:space="preserve">and more HE choices in the gain than in the loss domain, are consistent with opponency theories of approach/avoidance where the expectation of more positive stimuli tends to trigger faster and more intense approach answers due to dopamine release, while the expectation of more negative stimuli tends to trigger slower reactions based on inhibition and avoidance, potentially triggered by serotonin release </w:t>
      </w:r>
      <w:r w:rsidRPr="009141C3">
        <w:rPr>
          <w:rFonts w:cstheme="minorHAnsi"/>
        </w:rPr>
        <w:fldChar w:fldCharType="begin"/>
      </w:r>
      <w:r w:rsidR="004C786B" w:rsidRPr="009141C3">
        <w:rPr>
          <w:rFonts w:cstheme="minorHAnsi"/>
        </w:rPr>
        <w:instrText xml:space="preserve"> ADDIN ZOTERO_ITEM CSL_CITATION {"citationID":"GFqalIXI","properties":{"formattedCitation":"[8, 12]","plainCitation":"[8, 12]","noteIndex":0},"citationItems":[{"id":2661,"uris":["http://zotero.org/users/1203856/items/7V3PCEMU"],"itemData":{"id":2661,"type":"article-journal","abstract":"Affective valence lies on a spectrum ranging from punishment to reward. The coding of such spectra in the brain almost always involves opponency between pairs of systems or structures. There is ample evidence for the role of dopamine in the appetitive half of this spectrum, but little agreement about the existence, nature, or role of putative aversive opponents such as serotonin. In this review, we consider the structure of opponency in terms of previous biases about the nature of the decision problems that animals face, the conflicts that may thus arise between Pavlovian and instrumental responses, and an additional spectrum joining invigoration to inhibition. We use this analysis to shed light on aspects of the role of serotonin and its interactions with dopamine.","container-title":"Neuropsychopharmacology: Official Publication of the American College of Neuropsychopharmacology","DOI":"10.1038/npp.2010.151","ISSN":"1740-634X","issue":"1","journalAbbreviation":"Neuropsychopharmacology","language":"eng","note":"PMID: 20881948\nPMCID: PMC3055522","page":"74-97","source":"PubMed","title":"Opponency revisited: competition and cooperation between dopamine and serotonin","title-short":"Opponency revisited","volume":"36","author":[{"family":"Boureau","given":"Y.-Lan"},{"family":"Dayan","given":"Peter"}],"issued":{"date-parts":[["2011",1]]}}},{"id":1309,"uris":["http://zotero.org/users/1203856/items/RSF2UTP5"],"itemData":{"id":1309,"type":"article-journal","container-title":"Trends in Neurosciences","DOI":"10.1016/j.tins.2019.02.003","ISSN":"01662236","issue":"5","language":"en","page":"323-336","source":"Crossref","title":"Movement Vigor as a Reflection of Subjective Economic Utility","volume":"42","author":[{"family":"Shadmehr","given":"Reza"},{"family":"Reppert","given":"Thomas R."},{"family":"Summerside","given":"Erik M."},{"family":"Yoon","given":"Tehrim"},{"family":"Ahmed","given":"Alaa A."}],"issued":{"date-parts":[["2019",5]]}}}],"schema":"https://github.com/citation-style-language/schema/raw/master/csl-citation.json"} </w:instrText>
      </w:r>
      <w:r w:rsidRPr="009141C3">
        <w:rPr>
          <w:rFonts w:cstheme="minorHAnsi"/>
        </w:rPr>
        <w:fldChar w:fldCharType="separate"/>
      </w:r>
      <w:r w:rsidRPr="009141C3">
        <w:rPr>
          <w:rFonts w:ascii="Calibri" w:hAnsi="Calibri" w:cs="Calibri"/>
        </w:rPr>
        <w:t>[8, 12]</w:t>
      </w:r>
      <w:r w:rsidRPr="009141C3">
        <w:rPr>
          <w:rFonts w:cstheme="minorHAnsi"/>
        </w:rPr>
        <w:fldChar w:fldCharType="end"/>
      </w:r>
      <w:r w:rsidRPr="009141C3">
        <w:rPr>
          <w:rFonts w:cstheme="minorHAnsi"/>
          <w:color w:val="000000" w:themeColor="text1"/>
        </w:rPr>
        <w:t>.</w:t>
      </w:r>
      <w:r>
        <w:rPr>
          <w:rFonts w:cstheme="minorHAnsi"/>
          <w:color w:val="000000" w:themeColor="text1"/>
        </w:rPr>
        <w:t xml:space="preserve"> </w:t>
      </w:r>
    </w:p>
    <w:p w14:paraId="2381382F" w14:textId="77777777" w:rsidR="001363D5" w:rsidRDefault="00B71C31" w:rsidP="00AD5A30">
      <w:pPr>
        <w:pStyle w:val="Titre2"/>
      </w:pPr>
      <w:r w:rsidRPr="001632B6">
        <w:br w:type="page"/>
      </w:r>
    </w:p>
    <w:p w14:paraId="0F7AF3AC" w14:textId="77777777" w:rsidR="001363D5" w:rsidRDefault="001363D5" w:rsidP="001363D5">
      <w:pPr>
        <w:pStyle w:val="Titre2"/>
      </w:pPr>
      <w:r>
        <w:lastRenderedPageBreak/>
        <w:t>Supplementary References</w:t>
      </w:r>
    </w:p>
    <w:p w14:paraId="72922FE5" w14:textId="77777777" w:rsidR="001363D5" w:rsidRPr="001363D5" w:rsidRDefault="001363D5" w:rsidP="001363D5">
      <w:pPr>
        <w:pStyle w:val="Bibliographie"/>
        <w:rPr>
          <w:rFonts w:ascii="Calibri" w:hAnsi="Calibri" w:cs="Calibri"/>
          <w:lang w:val="fr-FR"/>
        </w:rPr>
      </w:pPr>
      <w:r>
        <w:rPr>
          <w:rFonts w:cstheme="minorHAnsi"/>
        </w:rPr>
        <w:fldChar w:fldCharType="begin"/>
      </w:r>
      <w:r>
        <w:rPr>
          <w:rFonts w:cstheme="minorHAnsi"/>
        </w:rPr>
        <w:instrText xml:space="preserve"> ADDIN ZOTERO_BIBL {"uncited":[],"omitted":[],"custom":[]} CSL_BIBLIOGRAPHY </w:instrText>
      </w:r>
      <w:r>
        <w:rPr>
          <w:rFonts w:cstheme="minorHAnsi"/>
        </w:rPr>
        <w:fldChar w:fldCharType="separate"/>
      </w:r>
      <w:r w:rsidRPr="001363D5">
        <w:rPr>
          <w:rFonts w:ascii="Calibri" w:hAnsi="Calibri" w:cs="Calibri"/>
        </w:rPr>
        <w:t xml:space="preserve">1. </w:t>
      </w:r>
      <w:r w:rsidRPr="001363D5">
        <w:rPr>
          <w:rFonts w:ascii="Calibri" w:hAnsi="Calibri" w:cs="Calibri"/>
        </w:rPr>
        <w:tab/>
        <w:t xml:space="preserve">Lesage F-X, Berjot S, Deschamps F. Psychometric properties of the French versions of the Perceived Stress Scale. </w:t>
      </w:r>
      <w:r w:rsidRPr="001363D5">
        <w:rPr>
          <w:rFonts w:ascii="Calibri" w:hAnsi="Calibri" w:cs="Calibri"/>
          <w:lang w:val="fr-FR"/>
        </w:rPr>
        <w:t>Int J Occup Med Environ Health. 2012;25:178–184.</w:t>
      </w:r>
    </w:p>
    <w:p w14:paraId="6D4455DB" w14:textId="77777777" w:rsidR="001363D5" w:rsidRPr="001363D5" w:rsidRDefault="001363D5" w:rsidP="001363D5">
      <w:pPr>
        <w:pStyle w:val="Bibliographie"/>
        <w:rPr>
          <w:rFonts w:ascii="Calibri" w:hAnsi="Calibri" w:cs="Calibri"/>
          <w:lang w:val="fr-FR"/>
        </w:rPr>
      </w:pPr>
      <w:r w:rsidRPr="001363D5">
        <w:rPr>
          <w:rFonts w:ascii="Calibri" w:hAnsi="Calibri" w:cs="Calibri"/>
          <w:lang w:val="fr-FR"/>
        </w:rPr>
        <w:t xml:space="preserve">2. </w:t>
      </w:r>
      <w:r w:rsidRPr="001363D5">
        <w:rPr>
          <w:rFonts w:ascii="Calibri" w:hAnsi="Calibri" w:cs="Calibri"/>
          <w:lang w:val="fr-FR"/>
        </w:rPr>
        <w:tab/>
        <w:t>Spielberger CD, Bruchon-Schweitzer M, Paulhan I. STAI-Y: Inventaire d’anxiété état-trait forme Y. Paris, France: Éditions du centre de psychologie appliquée, DL 1993; 1993.</w:t>
      </w:r>
    </w:p>
    <w:p w14:paraId="719EA186" w14:textId="77777777" w:rsidR="001363D5" w:rsidRPr="001363D5" w:rsidRDefault="001363D5" w:rsidP="001363D5">
      <w:pPr>
        <w:pStyle w:val="Bibliographie"/>
        <w:rPr>
          <w:rFonts w:ascii="Calibri" w:hAnsi="Calibri" w:cs="Calibri"/>
        </w:rPr>
      </w:pPr>
      <w:r w:rsidRPr="001363D5">
        <w:rPr>
          <w:rFonts w:ascii="Calibri" w:hAnsi="Calibri" w:cs="Calibri"/>
        </w:rPr>
        <w:t xml:space="preserve">3. </w:t>
      </w:r>
      <w:r w:rsidRPr="001363D5">
        <w:rPr>
          <w:rFonts w:ascii="Calibri" w:hAnsi="Calibri" w:cs="Calibri"/>
        </w:rPr>
        <w:tab/>
        <w:t>Mattick RP, Clarke JC. Social Interaction Anxiety Scale. 2012.</w:t>
      </w:r>
    </w:p>
    <w:p w14:paraId="6DA79254" w14:textId="77777777" w:rsidR="001363D5" w:rsidRPr="001363D5" w:rsidRDefault="001363D5" w:rsidP="001363D5">
      <w:pPr>
        <w:pStyle w:val="Bibliographie"/>
        <w:rPr>
          <w:rFonts w:ascii="Calibri" w:hAnsi="Calibri" w:cs="Calibri"/>
        </w:rPr>
      </w:pPr>
      <w:r w:rsidRPr="001363D5">
        <w:rPr>
          <w:rFonts w:ascii="Calibri" w:hAnsi="Calibri" w:cs="Calibri"/>
        </w:rPr>
        <w:t xml:space="preserve">4. </w:t>
      </w:r>
      <w:r w:rsidRPr="001363D5">
        <w:rPr>
          <w:rFonts w:ascii="Calibri" w:hAnsi="Calibri" w:cs="Calibri"/>
        </w:rPr>
        <w:tab/>
        <w:t>Westbrook A, Lamichhane B, Braver T. The Subjective Value of Cognitive Effort is Encoded by a Domain-General Valuation Network. The Journal of Neuroscience. 2019:3071–18.</w:t>
      </w:r>
    </w:p>
    <w:p w14:paraId="50A59C12" w14:textId="77777777" w:rsidR="001363D5" w:rsidRPr="001363D5" w:rsidRDefault="001363D5" w:rsidP="001363D5">
      <w:pPr>
        <w:pStyle w:val="Bibliographie"/>
        <w:rPr>
          <w:rFonts w:ascii="Calibri" w:hAnsi="Calibri" w:cs="Calibri"/>
        </w:rPr>
      </w:pPr>
      <w:r w:rsidRPr="001363D5">
        <w:rPr>
          <w:rFonts w:ascii="Calibri" w:hAnsi="Calibri" w:cs="Calibri"/>
        </w:rPr>
        <w:t xml:space="preserve">5. </w:t>
      </w:r>
      <w:r w:rsidRPr="001363D5">
        <w:rPr>
          <w:rFonts w:ascii="Calibri" w:hAnsi="Calibri" w:cs="Calibri"/>
        </w:rPr>
        <w:tab/>
        <w:t>Westbrook A, Kester D, Braver TS. What Is the Subjective Cost of Cognitive Effort? Load, Trait, and Aging Effects Revealed by Economic Preference. PLoS ONE. 2013;8:e68210.</w:t>
      </w:r>
    </w:p>
    <w:p w14:paraId="7C614C9B" w14:textId="77777777" w:rsidR="001363D5" w:rsidRPr="001363D5" w:rsidRDefault="001363D5" w:rsidP="001363D5">
      <w:pPr>
        <w:pStyle w:val="Bibliographie"/>
        <w:rPr>
          <w:rFonts w:ascii="Calibri" w:hAnsi="Calibri" w:cs="Calibri"/>
        </w:rPr>
      </w:pPr>
      <w:r w:rsidRPr="001363D5">
        <w:rPr>
          <w:rFonts w:ascii="Calibri" w:hAnsi="Calibri" w:cs="Calibri"/>
        </w:rPr>
        <w:t xml:space="preserve">6. </w:t>
      </w:r>
      <w:r w:rsidRPr="001363D5">
        <w:rPr>
          <w:rFonts w:ascii="Calibri" w:hAnsi="Calibri" w:cs="Calibri"/>
        </w:rPr>
        <w:tab/>
        <w:t>Daunizeau J, Adam V, Rigoux L. VBA: A Probabilistic Treatment of Nonlinear Models for Neurobiological and Behavioural Data. PLoS Comput Biol. 2014;10:e1003441.</w:t>
      </w:r>
    </w:p>
    <w:p w14:paraId="3BC4CFFE" w14:textId="77777777" w:rsidR="001363D5" w:rsidRPr="001363D5" w:rsidRDefault="001363D5" w:rsidP="001363D5">
      <w:pPr>
        <w:pStyle w:val="Bibliographie"/>
        <w:rPr>
          <w:rFonts w:ascii="Calibri" w:hAnsi="Calibri" w:cs="Calibri"/>
        </w:rPr>
      </w:pPr>
      <w:r w:rsidRPr="001363D5">
        <w:rPr>
          <w:rFonts w:ascii="Calibri" w:hAnsi="Calibri" w:cs="Calibri"/>
        </w:rPr>
        <w:t xml:space="preserve">7. </w:t>
      </w:r>
      <w:r w:rsidRPr="001363D5">
        <w:rPr>
          <w:rFonts w:ascii="Calibri" w:hAnsi="Calibri" w:cs="Calibri"/>
        </w:rPr>
        <w:tab/>
        <w:t>Wilson RC, Collins AG. Ten simple rules for the computational modeling of behavioral data. eLife. 2019;8:e49547.</w:t>
      </w:r>
    </w:p>
    <w:p w14:paraId="086C1C84" w14:textId="77777777" w:rsidR="001363D5" w:rsidRPr="001363D5" w:rsidRDefault="001363D5" w:rsidP="001363D5">
      <w:pPr>
        <w:pStyle w:val="Bibliographie"/>
        <w:rPr>
          <w:rFonts w:ascii="Calibri" w:hAnsi="Calibri" w:cs="Calibri"/>
        </w:rPr>
      </w:pPr>
      <w:r w:rsidRPr="001363D5">
        <w:rPr>
          <w:rFonts w:ascii="Calibri" w:hAnsi="Calibri" w:cs="Calibri"/>
        </w:rPr>
        <w:t xml:space="preserve">8. </w:t>
      </w:r>
      <w:r w:rsidRPr="001363D5">
        <w:rPr>
          <w:rFonts w:ascii="Calibri" w:hAnsi="Calibri" w:cs="Calibri"/>
        </w:rPr>
        <w:tab/>
        <w:t>Shadmehr R, Reppert TR, Summerside EM, Yoon T, Ahmed AA. Movement Vigor as a Reflection of Subjective Economic Utility. Trends in Neurosciences. 2019;42:323–336.</w:t>
      </w:r>
    </w:p>
    <w:p w14:paraId="368EB43E" w14:textId="77777777" w:rsidR="001363D5" w:rsidRPr="001363D5" w:rsidRDefault="001363D5" w:rsidP="001363D5">
      <w:pPr>
        <w:pStyle w:val="Bibliographie"/>
        <w:rPr>
          <w:rFonts w:ascii="Calibri" w:hAnsi="Calibri" w:cs="Calibri"/>
        </w:rPr>
      </w:pPr>
      <w:r w:rsidRPr="001363D5">
        <w:rPr>
          <w:rFonts w:ascii="Calibri" w:hAnsi="Calibri" w:cs="Calibri"/>
        </w:rPr>
        <w:t xml:space="preserve">9. </w:t>
      </w:r>
      <w:r w:rsidRPr="001363D5">
        <w:rPr>
          <w:rFonts w:ascii="Calibri" w:hAnsi="Calibri" w:cs="Calibri"/>
        </w:rPr>
        <w:tab/>
        <w:t>Lebreton M, Abitbol R, Daunizeau J, Pessiglione M. Automatic integration of confidence in the brain valuation signal. Nat Neurosci. 2015;18:1159–1167.</w:t>
      </w:r>
    </w:p>
    <w:p w14:paraId="1BA58285" w14:textId="77777777" w:rsidR="001363D5" w:rsidRPr="001363D5" w:rsidRDefault="001363D5" w:rsidP="001363D5">
      <w:pPr>
        <w:pStyle w:val="Bibliographie"/>
        <w:rPr>
          <w:rFonts w:ascii="Calibri" w:hAnsi="Calibri" w:cs="Calibri"/>
          <w:lang w:val="pt-BR"/>
        </w:rPr>
      </w:pPr>
      <w:r w:rsidRPr="001363D5">
        <w:rPr>
          <w:rFonts w:ascii="Calibri" w:hAnsi="Calibri" w:cs="Calibri"/>
        </w:rPr>
        <w:t xml:space="preserve">10. </w:t>
      </w:r>
      <w:r w:rsidRPr="001363D5">
        <w:rPr>
          <w:rFonts w:ascii="Calibri" w:hAnsi="Calibri" w:cs="Calibri"/>
        </w:rPr>
        <w:tab/>
        <w:t xml:space="preserve">Clairis N, Pessiglione M. Value, confidence, deliberation: a functional partition of the medial prefrontal cortex demonstrated across rating and choice tasks. </w:t>
      </w:r>
      <w:r w:rsidRPr="001363D5">
        <w:rPr>
          <w:rFonts w:ascii="Calibri" w:hAnsi="Calibri" w:cs="Calibri"/>
          <w:lang w:val="pt-BR"/>
        </w:rPr>
        <w:t>J Neurosci. 2022;42:5580–5592.</w:t>
      </w:r>
    </w:p>
    <w:p w14:paraId="378CF38C" w14:textId="77777777" w:rsidR="001363D5" w:rsidRPr="001363D5" w:rsidRDefault="001363D5" w:rsidP="001363D5">
      <w:pPr>
        <w:pStyle w:val="Bibliographie"/>
        <w:rPr>
          <w:rFonts w:ascii="Calibri" w:hAnsi="Calibri" w:cs="Calibri"/>
        </w:rPr>
      </w:pPr>
      <w:r w:rsidRPr="001363D5">
        <w:rPr>
          <w:rFonts w:ascii="Calibri" w:hAnsi="Calibri" w:cs="Calibri"/>
          <w:lang w:val="pt-BR"/>
        </w:rPr>
        <w:t xml:space="preserve">11. </w:t>
      </w:r>
      <w:r w:rsidRPr="001363D5">
        <w:rPr>
          <w:rFonts w:ascii="Calibri" w:hAnsi="Calibri" w:cs="Calibri"/>
          <w:lang w:val="pt-BR"/>
        </w:rPr>
        <w:tab/>
        <w:t xml:space="preserve">De Martino B, Fleming SM, Garrett N, Dolan RJ. </w:t>
      </w:r>
      <w:r w:rsidRPr="001363D5">
        <w:rPr>
          <w:rFonts w:ascii="Calibri" w:hAnsi="Calibri" w:cs="Calibri"/>
        </w:rPr>
        <w:t>Confidence in value-based choice. Nat Neurosci. 2013;16:105–110.</w:t>
      </w:r>
    </w:p>
    <w:p w14:paraId="3568036C" w14:textId="77777777" w:rsidR="001363D5" w:rsidRPr="001363D5" w:rsidRDefault="001363D5" w:rsidP="001363D5">
      <w:pPr>
        <w:pStyle w:val="Bibliographie"/>
        <w:rPr>
          <w:rFonts w:ascii="Calibri" w:hAnsi="Calibri" w:cs="Calibri"/>
        </w:rPr>
      </w:pPr>
      <w:r w:rsidRPr="001363D5">
        <w:rPr>
          <w:rFonts w:ascii="Calibri" w:hAnsi="Calibri" w:cs="Calibri"/>
        </w:rPr>
        <w:t xml:space="preserve">12. </w:t>
      </w:r>
      <w:r w:rsidRPr="001363D5">
        <w:rPr>
          <w:rFonts w:ascii="Calibri" w:hAnsi="Calibri" w:cs="Calibri"/>
        </w:rPr>
        <w:tab/>
        <w:t>Boureau Y-L, Dayan P. Opponency revisited: competition and cooperation between dopamine and serotonin. Neuropsychopharmacology. 2011;36:74–97.</w:t>
      </w:r>
    </w:p>
    <w:p w14:paraId="72581D99" w14:textId="77777777" w:rsidR="001363D5" w:rsidRPr="001363D5" w:rsidRDefault="001363D5" w:rsidP="001363D5">
      <w:pPr>
        <w:pStyle w:val="Bibliographie"/>
        <w:rPr>
          <w:rFonts w:ascii="Calibri" w:hAnsi="Calibri" w:cs="Calibri"/>
        </w:rPr>
      </w:pPr>
      <w:r w:rsidRPr="001363D5">
        <w:rPr>
          <w:rFonts w:ascii="Calibri" w:hAnsi="Calibri" w:cs="Calibri"/>
        </w:rPr>
        <w:t xml:space="preserve">13. </w:t>
      </w:r>
      <w:r w:rsidRPr="001363D5">
        <w:rPr>
          <w:rFonts w:ascii="Calibri" w:hAnsi="Calibri" w:cs="Calibri"/>
        </w:rPr>
        <w:tab/>
        <w:t>Steverson K, Chung H-K, Zimmermann J, Louie K, Glimcher P. Sensitivity of reaction time to the magnitude of rewards reveals the cost-structure of time. Sci Rep. 2019;9:20053.</w:t>
      </w:r>
    </w:p>
    <w:p w14:paraId="39746ED8" w14:textId="77777777" w:rsidR="001363D5" w:rsidRPr="001363D5" w:rsidRDefault="001363D5" w:rsidP="001363D5">
      <w:pPr>
        <w:pStyle w:val="Bibliographie"/>
        <w:rPr>
          <w:rFonts w:ascii="Calibri" w:hAnsi="Calibri" w:cs="Calibri"/>
        </w:rPr>
      </w:pPr>
      <w:r w:rsidRPr="001363D5">
        <w:rPr>
          <w:rFonts w:ascii="Calibri" w:hAnsi="Calibri" w:cs="Calibri"/>
        </w:rPr>
        <w:t xml:space="preserve">14. </w:t>
      </w:r>
      <w:r w:rsidRPr="001363D5">
        <w:rPr>
          <w:rFonts w:ascii="Calibri" w:hAnsi="Calibri" w:cs="Calibri"/>
        </w:rPr>
        <w:tab/>
        <w:t>Chow LS, Gerszten RE, Taylor JM, Pedersen BK, van Praag H, Trappe S, et al. Exerkines in health, resilience and disease. Nat Rev Endocrinol. 2022;18:273–289.</w:t>
      </w:r>
    </w:p>
    <w:p w14:paraId="42CD1C7A" w14:textId="77777777" w:rsidR="001363D5" w:rsidRPr="001363D5" w:rsidRDefault="001363D5" w:rsidP="001363D5">
      <w:pPr>
        <w:pStyle w:val="Bibliographie"/>
        <w:rPr>
          <w:rFonts w:ascii="Calibri" w:hAnsi="Calibri" w:cs="Calibri"/>
        </w:rPr>
      </w:pPr>
      <w:r w:rsidRPr="001363D5">
        <w:rPr>
          <w:rFonts w:ascii="Calibri" w:hAnsi="Calibri" w:cs="Calibri"/>
        </w:rPr>
        <w:t xml:space="preserve">15. </w:t>
      </w:r>
      <w:r w:rsidRPr="001363D5">
        <w:rPr>
          <w:rFonts w:ascii="Calibri" w:hAnsi="Calibri" w:cs="Calibri"/>
        </w:rPr>
        <w:tab/>
        <w:t>Hladky SB, Barrand MA. Metabolite Clearance During Wakefulness and Sleep. Handb Exp Pharmacol. 2019;253:385–423.</w:t>
      </w:r>
    </w:p>
    <w:p w14:paraId="51CA3D26" w14:textId="77777777" w:rsidR="001363D5" w:rsidRPr="001363D5" w:rsidRDefault="001363D5" w:rsidP="001363D5">
      <w:pPr>
        <w:pStyle w:val="Bibliographie"/>
        <w:rPr>
          <w:rFonts w:ascii="Calibri" w:hAnsi="Calibri" w:cs="Calibri"/>
        </w:rPr>
      </w:pPr>
      <w:r w:rsidRPr="001363D5">
        <w:rPr>
          <w:rFonts w:ascii="Calibri" w:hAnsi="Calibri" w:cs="Calibri"/>
        </w:rPr>
        <w:t xml:space="preserve">16. </w:t>
      </w:r>
      <w:r w:rsidRPr="001363D5">
        <w:rPr>
          <w:rFonts w:ascii="Calibri" w:hAnsi="Calibri" w:cs="Calibri"/>
        </w:rPr>
        <w:tab/>
        <w:t>Lundgaard I, Lu ML, Yang E, Peng W, Mestre H, Hitomi E, et al. Glymphatic clearance controls state-dependent changes in brain lactate concentration. J Cereb Blood Flow Metab. 2017;37:2112–2124.</w:t>
      </w:r>
    </w:p>
    <w:p w14:paraId="5698C9EC" w14:textId="77777777" w:rsidR="001363D5" w:rsidRPr="001363D5" w:rsidRDefault="001363D5" w:rsidP="001363D5">
      <w:pPr>
        <w:pStyle w:val="Bibliographie"/>
        <w:rPr>
          <w:rFonts w:ascii="Calibri" w:hAnsi="Calibri" w:cs="Calibri"/>
        </w:rPr>
      </w:pPr>
      <w:r w:rsidRPr="001363D5">
        <w:rPr>
          <w:rFonts w:ascii="Calibri" w:hAnsi="Calibri" w:cs="Calibri"/>
        </w:rPr>
        <w:t xml:space="preserve">17. </w:t>
      </w:r>
      <w:r w:rsidRPr="001363D5">
        <w:rPr>
          <w:rFonts w:ascii="Calibri" w:hAnsi="Calibri" w:cs="Calibri"/>
        </w:rPr>
        <w:tab/>
        <w:t>Chamaa F, Magistretti PJ, Fiumelli H. Astrocyte-derived lactate in stress disorders. Neurobiol Dis. 2024;192:106417.</w:t>
      </w:r>
    </w:p>
    <w:p w14:paraId="3E874AE3" w14:textId="77777777" w:rsidR="001363D5" w:rsidRPr="001363D5" w:rsidRDefault="001363D5" w:rsidP="001363D5">
      <w:pPr>
        <w:pStyle w:val="Bibliographie"/>
        <w:rPr>
          <w:rFonts w:ascii="Calibri" w:hAnsi="Calibri" w:cs="Calibri"/>
        </w:rPr>
      </w:pPr>
      <w:r w:rsidRPr="001363D5">
        <w:rPr>
          <w:rFonts w:ascii="Calibri" w:hAnsi="Calibri" w:cs="Calibri"/>
        </w:rPr>
        <w:t xml:space="preserve">18. </w:t>
      </w:r>
      <w:r w:rsidRPr="001363D5">
        <w:rPr>
          <w:rFonts w:ascii="Calibri" w:hAnsi="Calibri" w:cs="Calibri"/>
        </w:rPr>
        <w:tab/>
        <w:t>Clairis N, Pessiglione M. Value Estimation versus Effort Mobilization: A General Dissociation between Ventromedial and Dorsomedial Prefrontal Cortex. J Neurosci. 2024;44.</w:t>
      </w:r>
    </w:p>
    <w:p w14:paraId="6750AC5F" w14:textId="77777777" w:rsidR="001363D5" w:rsidRPr="001363D5" w:rsidRDefault="001363D5" w:rsidP="001363D5">
      <w:pPr>
        <w:pStyle w:val="Bibliographie"/>
        <w:rPr>
          <w:rFonts w:ascii="Calibri" w:hAnsi="Calibri" w:cs="Calibri"/>
        </w:rPr>
      </w:pPr>
      <w:r w:rsidRPr="001363D5">
        <w:rPr>
          <w:rFonts w:ascii="Calibri" w:hAnsi="Calibri" w:cs="Calibri"/>
        </w:rPr>
        <w:t xml:space="preserve">19. </w:t>
      </w:r>
      <w:r w:rsidRPr="001363D5">
        <w:rPr>
          <w:rFonts w:ascii="Calibri" w:hAnsi="Calibri" w:cs="Calibri"/>
        </w:rPr>
        <w:tab/>
        <w:t>Clairis N, Lopez-Persem A. Debates on the dorsomedial prefrontal/dorsal anterior cingulate cortex: insights for future research. Brain. 2023:awad263.</w:t>
      </w:r>
    </w:p>
    <w:p w14:paraId="1CF1A469" w14:textId="77777777" w:rsidR="001363D5" w:rsidRPr="001363D5" w:rsidRDefault="001363D5" w:rsidP="001363D5">
      <w:pPr>
        <w:pStyle w:val="Bibliographie"/>
        <w:rPr>
          <w:rFonts w:ascii="Calibri" w:hAnsi="Calibri" w:cs="Calibri"/>
        </w:rPr>
      </w:pPr>
      <w:r w:rsidRPr="001363D5">
        <w:rPr>
          <w:rFonts w:ascii="Calibri" w:hAnsi="Calibri" w:cs="Calibri"/>
        </w:rPr>
        <w:t xml:space="preserve">20. </w:t>
      </w:r>
      <w:r w:rsidRPr="001363D5">
        <w:rPr>
          <w:rFonts w:ascii="Calibri" w:hAnsi="Calibri" w:cs="Calibri"/>
        </w:rPr>
        <w:tab/>
        <w:t>Jahn A, Nee DE, Alexander WH, Brown JW. Distinct Regions within Medial Prefrontal Cortex Process Pain and Cognition. J Neurosci. 2016;36:12385–12392.</w:t>
      </w:r>
    </w:p>
    <w:p w14:paraId="7D3D1932" w14:textId="77777777" w:rsidR="001363D5" w:rsidRPr="001363D5" w:rsidRDefault="001363D5" w:rsidP="001363D5">
      <w:pPr>
        <w:pStyle w:val="Bibliographie"/>
        <w:rPr>
          <w:rFonts w:ascii="Calibri" w:hAnsi="Calibri" w:cs="Calibri"/>
        </w:rPr>
      </w:pPr>
      <w:r w:rsidRPr="001363D5">
        <w:rPr>
          <w:rFonts w:ascii="Calibri" w:hAnsi="Calibri" w:cs="Calibri"/>
        </w:rPr>
        <w:t xml:space="preserve">21. </w:t>
      </w:r>
      <w:r w:rsidRPr="001363D5">
        <w:rPr>
          <w:rFonts w:ascii="Calibri" w:hAnsi="Calibri" w:cs="Calibri"/>
        </w:rPr>
        <w:tab/>
        <w:t>Kolling N, Wittmann MK, Behrens TEJ, Boorman ED, Mars RB, Rushworth MFS. Value, search, persistence and model updating in anterior cingulate cortex. Nature Neuroscience. 2016;19:1280–1285.</w:t>
      </w:r>
    </w:p>
    <w:p w14:paraId="2BFC9730" w14:textId="77777777" w:rsidR="001363D5" w:rsidRPr="001363D5" w:rsidRDefault="001363D5" w:rsidP="001363D5">
      <w:pPr>
        <w:pStyle w:val="Bibliographie"/>
        <w:rPr>
          <w:rFonts w:ascii="Calibri" w:hAnsi="Calibri" w:cs="Calibri"/>
        </w:rPr>
      </w:pPr>
      <w:r w:rsidRPr="001363D5">
        <w:rPr>
          <w:rFonts w:ascii="Calibri" w:hAnsi="Calibri" w:cs="Calibri"/>
        </w:rPr>
        <w:t xml:space="preserve">22. </w:t>
      </w:r>
      <w:r w:rsidRPr="001363D5">
        <w:rPr>
          <w:rFonts w:ascii="Calibri" w:hAnsi="Calibri" w:cs="Calibri"/>
        </w:rPr>
        <w:tab/>
        <w:t>Grinband J, Savitskaya J, Wager TD, Teichert T, Ferrera VP, Hirsch J. The dorsal medial frontal cortex is sensitive to time on task, not response conflict or error likelihood. Neuroimage. 2011;57:303–311.</w:t>
      </w:r>
    </w:p>
    <w:p w14:paraId="1440E861" w14:textId="77777777" w:rsidR="001363D5" w:rsidRPr="001363D5" w:rsidRDefault="001363D5" w:rsidP="001363D5">
      <w:pPr>
        <w:pStyle w:val="Bibliographie"/>
        <w:rPr>
          <w:rFonts w:ascii="Calibri" w:hAnsi="Calibri" w:cs="Calibri"/>
        </w:rPr>
      </w:pPr>
      <w:r w:rsidRPr="001363D5">
        <w:rPr>
          <w:rFonts w:ascii="Calibri" w:hAnsi="Calibri" w:cs="Calibri"/>
        </w:rPr>
        <w:t xml:space="preserve">23. </w:t>
      </w:r>
      <w:r w:rsidRPr="001363D5">
        <w:rPr>
          <w:rFonts w:ascii="Calibri" w:hAnsi="Calibri" w:cs="Calibri"/>
        </w:rPr>
        <w:tab/>
        <w:t>McGuire JT, Botvinick MM. Prefrontal cortex, cognitive control, and the registration of decision costs. Proc Natl Acad Sci U S A. 2010;107:7922–7926.</w:t>
      </w:r>
    </w:p>
    <w:p w14:paraId="191F7FD9" w14:textId="77777777" w:rsidR="001363D5" w:rsidRPr="001363D5" w:rsidRDefault="001363D5" w:rsidP="001363D5">
      <w:pPr>
        <w:pStyle w:val="Bibliographie"/>
        <w:rPr>
          <w:rFonts w:ascii="Calibri" w:hAnsi="Calibri" w:cs="Calibri"/>
        </w:rPr>
      </w:pPr>
      <w:r w:rsidRPr="001363D5">
        <w:rPr>
          <w:rFonts w:ascii="Calibri" w:hAnsi="Calibri" w:cs="Calibri"/>
        </w:rPr>
        <w:lastRenderedPageBreak/>
        <w:t xml:space="preserve">24. </w:t>
      </w:r>
      <w:r w:rsidRPr="001363D5">
        <w:rPr>
          <w:rFonts w:ascii="Calibri" w:hAnsi="Calibri" w:cs="Calibri"/>
        </w:rPr>
        <w:tab/>
        <w:t>Bartra O, McGuire JT, Kable JW. The valuation system: A coordinate-based meta-analysis of BOLD fMRI experiments examining neural correlates of subjective value. NeuroImage. 2013;76:412–427.</w:t>
      </w:r>
    </w:p>
    <w:p w14:paraId="68785A8E" w14:textId="77777777" w:rsidR="001363D5" w:rsidRPr="001363D5" w:rsidRDefault="001363D5" w:rsidP="001363D5">
      <w:pPr>
        <w:pStyle w:val="Bibliographie"/>
        <w:rPr>
          <w:rFonts w:ascii="Calibri" w:hAnsi="Calibri" w:cs="Calibri"/>
        </w:rPr>
      </w:pPr>
      <w:r w:rsidRPr="001363D5">
        <w:rPr>
          <w:rFonts w:ascii="Calibri" w:hAnsi="Calibri" w:cs="Calibri"/>
        </w:rPr>
        <w:t xml:space="preserve">25. </w:t>
      </w:r>
      <w:r w:rsidRPr="001363D5">
        <w:rPr>
          <w:rFonts w:ascii="Calibri" w:hAnsi="Calibri" w:cs="Calibri"/>
        </w:rPr>
        <w:tab/>
        <w:t>Le Bouc R, Pessiglione M. A neuro-computational account of procrastination behavior. Nat Commun. 2022;13:5639.</w:t>
      </w:r>
    </w:p>
    <w:p w14:paraId="6C36F8A9" w14:textId="77777777" w:rsidR="001363D5" w:rsidRPr="001363D5" w:rsidRDefault="001363D5" w:rsidP="001363D5">
      <w:pPr>
        <w:pStyle w:val="Bibliographie"/>
        <w:rPr>
          <w:rFonts w:ascii="Calibri" w:hAnsi="Calibri" w:cs="Calibri"/>
        </w:rPr>
      </w:pPr>
      <w:r w:rsidRPr="001363D5">
        <w:rPr>
          <w:rFonts w:ascii="Calibri" w:hAnsi="Calibri" w:cs="Calibri"/>
        </w:rPr>
        <w:t xml:space="preserve">26. </w:t>
      </w:r>
      <w:r w:rsidRPr="001363D5">
        <w:rPr>
          <w:rFonts w:ascii="Calibri" w:hAnsi="Calibri" w:cs="Calibri"/>
        </w:rPr>
        <w:tab/>
        <w:t>Yao Y-W, Song K-R, Schuck NW, Li X, Fang X-Y, Zhang J-T, et al. The dorsomedial prefrontal cortex represents subjective value across effort-based and risky decision-making. Neuroimage. 2023;279:120326.</w:t>
      </w:r>
    </w:p>
    <w:p w14:paraId="13EE6DFF" w14:textId="77777777" w:rsidR="001363D5" w:rsidRPr="001363D5" w:rsidRDefault="001363D5" w:rsidP="001363D5">
      <w:pPr>
        <w:pStyle w:val="Bibliographie"/>
        <w:rPr>
          <w:rFonts w:ascii="Calibri" w:hAnsi="Calibri" w:cs="Calibri"/>
        </w:rPr>
      </w:pPr>
      <w:r w:rsidRPr="001363D5">
        <w:rPr>
          <w:rFonts w:ascii="Calibri" w:hAnsi="Calibri" w:cs="Calibri"/>
        </w:rPr>
        <w:t xml:space="preserve">27. </w:t>
      </w:r>
      <w:r w:rsidRPr="001363D5">
        <w:rPr>
          <w:rFonts w:ascii="Calibri" w:hAnsi="Calibri" w:cs="Calibri"/>
        </w:rPr>
        <w:tab/>
        <w:t>Kahneman D, Tversky A. Choices, values, and frames. American Psychologist. 1984;39:341–350.</w:t>
      </w:r>
    </w:p>
    <w:p w14:paraId="3CFE9A31" w14:textId="77777777" w:rsidR="001363D5" w:rsidRPr="001363D5" w:rsidRDefault="001363D5" w:rsidP="001363D5">
      <w:pPr>
        <w:pStyle w:val="Bibliographie"/>
        <w:rPr>
          <w:rFonts w:ascii="Calibri" w:hAnsi="Calibri" w:cs="Calibri"/>
        </w:rPr>
      </w:pPr>
      <w:r w:rsidRPr="001363D5">
        <w:rPr>
          <w:rFonts w:ascii="Calibri" w:hAnsi="Calibri" w:cs="Calibri"/>
        </w:rPr>
        <w:t xml:space="preserve">28. </w:t>
      </w:r>
      <w:r w:rsidRPr="001363D5">
        <w:rPr>
          <w:rFonts w:ascii="Calibri" w:hAnsi="Calibri" w:cs="Calibri"/>
        </w:rPr>
        <w:tab/>
        <w:t>Yechiam E. Acceptable losses: the debatable origins of loss aversion. Psychol Res. 2019;83:1327–1339.</w:t>
      </w:r>
    </w:p>
    <w:p w14:paraId="0E6E1961" w14:textId="77777777" w:rsidR="001363D5" w:rsidRPr="001363D5" w:rsidRDefault="001363D5" w:rsidP="001363D5">
      <w:pPr>
        <w:pStyle w:val="Bibliographie"/>
        <w:rPr>
          <w:rFonts w:ascii="Calibri" w:hAnsi="Calibri" w:cs="Calibri"/>
        </w:rPr>
      </w:pPr>
      <w:r w:rsidRPr="001363D5">
        <w:rPr>
          <w:rFonts w:ascii="Calibri" w:hAnsi="Calibri" w:cs="Calibri"/>
        </w:rPr>
        <w:t xml:space="preserve">29. </w:t>
      </w:r>
      <w:r w:rsidRPr="001363D5">
        <w:rPr>
          <w:rFonts w:ascii="Calibri" w:hAnsi="Calibri" w:cs="Calibri"/>
        </w:rPr>
        <w:tab/>
        <w:t>Gal D, Rucker DD. The Loss of Loss Aversion: Will It Loom Larger Than Its Gain? Journal of Consumer Psychology. 2018;28:497–516.</w:t>
      </w:r>
    </w:p>
    <w:p w14:paraId="30D04DF8" w14:textId="77777777" w:rsidR="001363D5" w:rsidRPr="001363D5" w:rsidRDefault="001363D5" w:rsidP="001363D5">
      <w:pPr>
        <w:pStyle w:val="Bibliographie"/>
        <w:rPr>
          <w:rFonts w:ascii="Calibri" w:hAnsi="Calibri" w:cs="Calibri"/>
        </w:rPr>
      </w:pPr>
      <w:r w:rsidRPr="001363D5">
        <w:rPr>
          <w:rFonts w:ascii="Calibri" w:hAnsi="Calibri" w:cs="Calibri"/>
        </w:rPr>
        <w:t xml:space="preserve">30. </w:t>
      </w:r>
      <w:r w:rsidRPr="001363D5">
        <w:rPr>
          <w:rFonts w:ascii="Calibri" w:hAnsi="Calibri" w:cs="Calibri"/>
        </w:rPr>
        <w:tab/>
        <w:t>Mukherjee S, Sahay A, Pammi VSC, Srinivasan N. Is loss-aversion magnitude-dependent? Measuring prospective aﬀective judgments regarding gains and losses. Judgment and Decision Making. 2017;12:81–89.</w:t>
      </w:r>
    </w:p>
    <w:p w14:paraId="424BF19E" w14:textId="77777777" w:rsidR="001363D5" w:rsidRPr="001363D5" w:rsidRDefault="001363D5" w:rsidP="001363D5">
      <w:pPr>
        <w:pStyle w:val="Bibliographie"/>
        <w:rPr>
          <w:rFonts w:ascii="Calibri" w:hAnsi="Calibri" w:cs="Calibri"/>
        </w:rPr>
      </w:pPr>
      <w:r w:rsidRPr="001363D5">
        <w:rPr>
          <w:rFonts w:ascii="Calibri" w:hAnsi="Calibri" w:cs="Calibri"/>
        </w:rPr>
        <w:t xml:space="preserve">31. </w:t>
      </w:r>
      <w:r w:rsidRPr="001363D5">
        <w:rPr>
          <w:rFonts w:ascii="Calibri" w:hAnsi="Calibri" w:cs="Calibri"/>
        </w:rPr>
        <w:tab/>
        <w:t>Harinck F, Van Dijk E, Van Beest I, Mersmann P. When Gains Loom Larger Than Losses: Reversed Loss Aversion for Small Amounts of Money. Psychol Sci. 2007;18:1099–1105.</w:t>
      </w:r>
    </w:p>
    <w:p w14:paraId="76812205" w14:textId="77777777" w:rsidR="001363D5" w:rsidRPr="001363D5" w:rsidRDefault="001363D5" w:rsidP="001363D5">
      <w:pPr>
        <w:pStyle w:val="Bibliographie"/>
        <w:rPr>
          <w:rFonts w:ascii="Calibri" w:hAnsi="Calibri" w:cs="Calibri"/>
        </w:rPr>
      </w:pPr>
      <w:r w:rsidRPr="001363D5">
        <w:rPr>
          <w:rFonts w:ascii="Calibri" w:hAnsi="Calibri" w:cs="Calibri"/>
        </w:rPr>
        <w:t xml:space="preserve">32. </w:t>
      </w:r>
      <w:r w:rsidRPr="001363D5">
        <w:rPr>
          <w:rFonts w:ascii="Calibri" w:hAnsi="Calibri" w:cs="Calibri"/>
        </w:rPr>
        <w:tab/>
        <w:t>Ert E, Erev I. On the Descriptive Value of Loss Aversion in Decisions under Risk: Six Clarifications. Rochester, NY: Social Science Research Network; 2007.</w:t>
      </w:r>
    </w:p>
    <w:p w14:paraId="22D71664" w14:textId="7BBE10A3" w:rsidR="001363D5" w:rsidRDefault="001363D5">
      <w:pPr>
        <w:spacing w:after="160" w:line="259" w:lineRule="auto"/>
        <w:jc w:val="left"/>
        <w:rPr>
          <w:rFonts w:cstheme="minorHAnsi"/>
        </w:rPr>
      </w:pPr>
      <w:r>
        <w:rPr>
          <w:rFonts w:cstheme="minorHAnsi"/>
        </w:rPr>
        <w:fldChar w:fldCharType="end"/>
      </w:r>
      <w:r>
        <w:rPr>
          <w:rFonts w:cstheme="minorHAnsi"/>
        </w:rPr>
        <w:br w:type="page"/>
      </w:r>
    </w:p>
    <w:p w14:paraId="6218E630" w14:textId="0902C157" w:rsidR="00807980" w:rsidRPr="005D7E09" w:rsidRDefault="00807980" w:rsidP="00AD5A30">
      <w:pPr>
        <w:pStyle w:val="Titre2"/>
        <w:rPr>
          <w:rFonts w:cstheme="minorHAnsi"/>
        </w:rPr>
      </w:pPr>
      <w:r>
        <w:lastRenderedPageBreak/>
        <w:t xml:space="preserve">Supplementary </w:t>
      </w:r>
      <w:r w:rsidRPr="005D7E09">
        <w:rPr>
          <w:rFonts w:cstheme="minorHAnsi"/>
        </w:rPr>
        <w:t>Tables</w:t>
      </w:r>
    </w:p>
    <w:p w14:paraId="7043B9B8" w14:textId="77777777" w:rsidR="00807980" w:rsidRDefault="00807980" w:rsidP="00807980"/>
    <w:p w14:paraId="3C38E666" w14:textId="77777777" w:rsidR="001363D5" w:rsidRPr="005D7E09" w:rsidRDefault="001363D5" w:rsidP="00807980"/>
    <w:tbl>
      <w:tblPr>
        <w:tblStyle w:val="Grilledutableau"/>
        <w:tblW w:w="9055" w:type="dxa"/>
        <w:tblLayout w:type="fixed"/>
        <w:tblLook w:val="04A0" w:firstRow="1" w:lastRow="0" w:firstColumn="1" w:lastColumn="0" w:noHBand="0" w:noVBand="1"/>
      </w:tblPr>
      <w:tblGrid>
        <w:gridCol w:w="1509"/>
        <w:gridCol w:w="1509"/>
        <w:gridCol w:w="1510"/>
        <w:gridCol w:w="1509"/>
        <w:gridCol w:w="1509"/>
        <w:gridCol w:w="1509"/>
      </w:tblGrid>
      <w:tr w:rsidR="00807980" w:rsidRPr="005D7E09" w14:paraId="32D33F36" w14:textId="77777777" w:rsidTr="00312C5C">
        <w:trPr>
          <w:trHeight w:val="781"/>
        </w:trPr>
        <w:tc>
          <w:tcPr>
            <w:tcW w:w="1509" w:type="dxa"/>
          </w:tcPr>
          <w:p w14:paraId="7138B277" w14:textId="77777777" w:rsidR="00807980" w:rsidRPr="005D7E09" w:rsidRDefault="00807980" w:rsidP="00312C5C">
            <w:pPr>
              <w:rPr>
                <w:rFonts w:cstheme="minorHAnsi"/>
                <w:b/>
                <w:bCs/>
              </w:rPr>
            </w:pPr>
            <w:r w:rsidRPr="005D7E09">
              <w:rPr>
                <w:rFonts w:cstheme="minorHAnsi"/>
                <w:b/>
                <w:bCs/>
              </w:rPr>
              <w:t>Female/Male (N)</w:t>
            </w:r>
          </w:p>
        </w:tc>
        <w:tc>
          <w:tcPr>
            <w:tcW w:w="1509" w:type="dxa"/>
          </w:tcPr>
          <w:p w14:paraId="27236B5B" w14:textId="77777777" w:rsidR="00807980" w:rsidRPr="005D7E09" w:rsidRDefault="00807980" w:rsidP="00312C5C">
            <w:pPr>
              <w:rPr>
                <w:rFonts w:cstheme="minorHAnsi"/>
                <w:b/>
                <w:bCs/>
              </w:rPr>
            </w:pPr>
            <w:r w:rsidRPr="005D7E09">
              <w:rPr>
                <w:rFonts w:cstheme="minorHAnsi"/>
                <w:b/>
                <w:bCs/>
              </w:rPr>
              <w:t>Age (years)</w:t>
            </w:r>
          </w:p>
        </w:tc>
        <w:tc>
          <w:tcPr>
            <w:tcW w:w="1510" w:type="dxa"/>
          </w:tcPr>
          <w:p w14:paraId="14DA39BC" w14:textId="77777777" w:rsidR="00807980" w:rsidRPr="005D7E09" w:rsidRDefault="00807980" w:rsidP="00312C5C">
            <w:pPr>
              <w:rPr>
                <w:rFonts w:cstheme="minorHAnsi"/>
                <w:b/>
                <w:bCs/>
              </w:rPr>
            </w:pPr>
            <w:r w:rsidRPr="005D7E09">
              <w:rPr>
                <w:rFonts w:cstheme="minorHAnsi"/>
                <w:b/>
                <w:bCs/>
              </w:rPr>
              <w:t>Weight (kg)</w:t>
            </w:r>
          </w:p>
        </w:tc>
        <w:tc>
          <w:tcPr>
            <w:tcW w:w="1509" w:type="dxa"/>
          </w:tcPr>
          <w:p w14:paraId="12E59334" w14:textId="77777777" w:rsidR="00807980" w:rsidRPr="005D7E09" w:rsidRDefault="00807980" w:rsidP="00312C5C">
            <w:pPr>
              <w:rPr>
                <w:rFonts w:cstheme="minorHAnsi"/>
                <w:b/>
                <w:bCs/>
              </w:rPr>
            </w:pPr>
            <w:r w:rsidRPr="005D7E09">
              <w:rPr>
                <w:rFonts w:cstheme="minorHAnsi"/>
                <w:b/>
                <w:bCs/>
              </w:rPr>
              <w:t>Height (m)</w:t>
            </w:r>
          </w:p>
        </w:tc>
        <w:tc>
          <w:tcPr>
            <w:tcW w:w="1509" w:type="dxa"/>
          </w:tcPr>
          <w:p w14:paraId="0C4CE452" w14:textId="77777777" w:rsidR="00807980" w:rsidRPr="005D7E09" w:rsidRDefault="00807980" w:rsidP="00312C5C">
            <w:pPr>
              <w:rPr>
                <w:rFonts w:cstheme="minorHAnsi"/>
                <w:b/>
                <w:bCs/>
              </w:rPr>
            </w:pPr>
            <w:r w:rsidRPr="005D7E09">
              <w:rPr>
                <w:rFonts w:cstheme="minorHAnsi"/>
                <w:b/>
                <w:bCs/>
              </w:rPr>
              <w:t>BMI</w:t>
            </w:r>
          </w:p>
        </w:tc>
        <w:tc>
          <w:tcPr>
            <w:tcW w:w="1509" w:type="dxa"/>
          </w:tcPr>
          <w:p w14:paraId="7CDFDAA1" w14:textId="77777777" w:rsidR="00807980" w:rsidRPr="005D7E09" w:rsidRDefault="00807980" w:rsidP="00312C5C">
            <w:pPr>
              <w:rPr>
                <w:rFonts w:cstheme="minorHAnsi"/>
                <w:b/>
                <w:bCs/>
              </w:rPr>
            </w:pPr>
            <w:r w:rsidRPr="005D7E09">
              <w:rPr>
                <w:rFonts w:cstheme="minorHAnsi"/>
                <w:b/>
                <w:bCs/>
              </w:rPr>
              <w:t>Level of studies</w:t>
            </w:r>
          </w:p>
        </w:tc>
      </w:tr>
      <w:tr w:rsidR="00807980" w:rsidRPr="005D7E09" w14:paraId="16423798" w14:textId="77777777" w:rsidTr="00312C5C">
        <w:trPr>
          <w:trHeight w:val="498"/>
        </w:trPr>
        <w:tc>
          <w:tcPr>
            <w:tcW w:w="1509" w:type="dxa"/>
          </w:tcPr>
          <w:p w14:paraId="6D2CC3AB" w14:textId="77777777" w:rsidR="00807980" w:rsidRPr="005D7E09" w:rsidRDefault="00807980" w:rsidP="00312C5C">
            <w:pPr>
              <w:rPr>
                <w:rFonts w:cstheme="minorHAnsi"/>
              </w:rPr>
            </w:pPr>
            <w:r w:rsidRPr="005D7E09">
              <w:rPr>
                <w:rFonts w:cstheme="minorHAnsi"/>
              </w:rPr>
              <w:t>36/27</w:t>
            </w:r>
          </w:p>
        </w:tc>
        <w:tc>
          <w:tcPr>
            <w:tcW w:w="1509" w:type="dxa"/>
          </w:tcPr>
          <w:p w14:paraId="695B7B24" w14:textId="77777777" w:rsidR="00807980" w:rsidRPr="005D7E09" w:rsidRDefault="00807980" w:rsidP="00312C5C">
            <w:pPr>
              <w:rPr>
                <w:rFonts w:cstheme="minorHAnsi"/>
              </w:rPr>
            </w:pPr>
            <w:r w:rsidRPr="005D7E09">
              <w:rPr>
                <w:rFonts w:cstheme="minorHAnsi"/>
              </w:rPr>
              <w:t>29.7 ± 0.49</w:t>
            </w:r>
          </w:p>
        </w:tc>
        <w:tc>
          <w:tcPr>
            <w:tcW w:w="1510" w:type="dxa"/>
          </w:tcPr>
          <w:p w14:paraId="75901660" w14:textId="77777777" w:rsidR="00807980" w:rsidRPr="005D7E09" w:rsidRDefault="00807980" w:rsidP="00312C5C">
            <w:pPr>
              <w:rPr>
                <w:rFonts w:cstheme="minorHAnsi"/>
              </w:rPr>
            </w:pPr>
            <w:r w:rsidRPr="005D7E09">
              <w:rPr>
                <w:rFonts w:cstheme="minorHAnsi"/>
              </w:rPr>
              <w:t>66.4 ± 1.37</w:t>
            </w:r>
          </w:p>
        </w:tc>
        <w:tc>
          <w:tcPr>
            <w:tcW w:w="1509" w:type="dxa"/>
          </w:tcPr>
          <w:p w14:paraId="33B75C35" w14:textId="77777777" w:rsidR="00807980" w:rsidRPr="005D7E09" w:rsidRDefault="00807980" w:rsidP="00312C5C">
            <w:pPr>
              <w:rPr>
                <w:rFonts w:cstheme="minorHAnsi"/>
              </w:rPr>
            </w:pPr>
            <w:r w:rsidRPr="005D7E09">
              <w:rPr>
                <w:rFonts w:cstheme="minorHAnsi"/>
              </w:rPr>
              <w:t>1.71±0.03</w:t>
            </w:r>
          </w:p>
        </w:tc>
        <w:tc>
          <w:tcPr>
            <w:tcW w:w="1509" w:type="dxa"/>
          </w:tcPr>
          <w:p w14:paraId="1C59367F" w14:textId="77777777" w:rsidR="00807980" w:rsidRPr="005D7E09" w:rsidRDefault="00807980" w:rsidP="00312C5C">
            <w:pPr>
              <w:rPr>
                <w:rFonts w:cstheme="minorHAnsi"/>
              </w:rPr>
            </w:pPr>
            <w:r w:rsidRPr="005D7E09">
              <w:rPr>
                <w:rFonts w:cstheme="minorHAnsi"/>
              </w:rPr>
              <w:t>22.54±0.50</w:t>
            </w:r>
          </w:p>
        </w:tc>
        <w:tc>
          <w:tcPr>
            <w:tcW w:w="1509" w:type="dxa"/>
          </w:tcPr>
          <w:p w14:paraId="258C666D" w14:textId="77777777" w:rsidR="00807980" w:rsidRPr="005D7E09" w:rsidRDefault="00807980" w:rsidP="00312C5C">
            <w:pPr>
              <w:rPr>
                <w:rFonts w:cstheme="minorHAnsi"/>
              </w:rPr>
            </w:pPr>
            <w:r w:rsidRPr="005D7E09">
              <w:rPr>
                <w:rFonts w:cstheme="minorHAnsi"/>
              </w:rPr>
              <w:t>6.27±0.21</w:t>
            </w:r>
          </w:p>
        </w:tc>
      </w:tr>
    </w:tbl>
    <w:p w14:paraId="055B8D73" w14:textId="05D81E56" w:rsidR="00807980" w:rsidRPr="005D7E09" w:rsidRDefault="00807980" w:rsidP="00AD5A30">
      <w:pPr>
        <w:pStyle w:val="Titre3"/>
      </w:pPr>
      <w:r w:rsidRPr="005D7E09">
        <w:t xml:space="preserve">Table </w:t>
      </w:r>
      <w:r>
        <w:t>S</w:t>
      </w:r>
      <w:r w:rsidRPr="005D7E09">
        <w:t>1: Demographic characteristics of the (included) participants (</w:t>
      </w:r>
      <w:r w:rsidR="00704696">
        <w:t>N</w:t>
      </w:r>
      <w:r w:rsidRPr="005D7E09">
        <w:t xml:space="preserve"> = 63). </w:t>
      </w:r>
    </w:p>
    <w:p w14:paraId="244E3657" w14:textId="77777777" w:rsidR="00807980" w:rsidRPr="00373C18" w:rsidRDefault="00807980" w:rsidP="00807980">
      <w:pPr>
        <w:rPr>
          <w:sz w:val="20"/>
          <w:szCs w:val="20"/>
        </w:rPr>
      </w:pPr>
      <w:r w:rsidRPr="00373C18">
        <w:rPr>
          <w:sz w:val="20"/>
          <w:szCs w:val="20"/>
        </w:rPr>
        <w:t>The level of studies is indicated based on the International Standard Classification of Education (ISCED) which is a range going from 0 to 8. Results are mean ± SEM.</w:t>
      </w:r>
    </w:p>
    <w:p w14:paraId="650BDD99" w14:textId="77777777" w:rsidR="007947C6" w:rsidRPr="001632B6" w:rsidRDefault="00807980" w:rsidP="00D73F2E">
      <w:pPr>
        <w:pStyle w:val="Titre2"/>
        <w:jc w:val="center"/>
        <w:rPr>
          <w:rFonts w:cstheme="minorHAnsi"/>
          <w:sz w:val="22"/>
        </w:rPr>
      </w:pPr>
      <w:r w:rsidRPr="005D7E09">
        <w:rPr>
          <w:rFonts w:cstheme="minorHAnsi"/>
        </w:rPr>
        <w:br w:type="page"/>
      </w:r>
      <w:r w:rsidR="007947C6" w:rsidRPr="001632B6">
        <w:rPr>
          <w:rFonts w:cstheme="minorHAnsi"/>
          <w:sz w:val="22"/>
        </w:rPr>
        <w:lastRenderedPageBreak/>
        <w:t>Supplementary Figures</w:t>
      </w:r>
    </w:p>
    <w:p w14:paraId="134129C0" w14:textId="77777777" w:rsidR="007947C6" w:rsidRDefault="007947C6" w:rsidP="007947C6">
      <w:pPr>
        <w:jc w:val="center"/>
        <w:rPr>
          <w:rFonts w:cstheme="minorHAnsi"/>
        </w:rPr>
      </w:pPr>
    </w:p>
    <w:p w14:paraId="45EB6532" w14:textId="77777777" w:rsidR="007947C6" w:rsidRDefault="007947C6" w:rsidP="007947C6">
      <w:pPr>
        <w:jc w:val="center"/>
        <w:rPr>
          <w:rFonts w:cstheme="minorHAnsi"/>
        </w:rPr>
      </w:pPr>
    </w:p>
    <w:p w14:paraId="7295FCB6" w14:textId="77777777" w:rsidR="007947C6" w:rsidRPr="001632B6" w:rsidRDefault="007947C6" w:rsidP="007947C6">
      <w:pPr>
        <w:jc w:val="center"/>
        <w:rPr>
          <w:rFonts w:cstheme="minorHAnsi"/>
        </w:rPr>
      </w:pPr>
      <w:r>
        <w:rPr>
          <w:rFonts w:cstheme="minorHAnsi"/>
          <w:noProof/>
        </w:rPr>
        <w:drawing>
          <wp:inline distT="0" distB="0" distL="0" distR="0" wp14:anchorId="03B3B5B7" wp14:editId="28DEE6E3">
            <wp:extent cx="4095750" cy="6496050"/>
            <wp:effectExtent l="0" t="0" r="0" b="0"/>
            <wp:docPr id="164830417" name="Image 4" descr="Une image contenant texte, capture d’écran, Caractère coloré,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0417" name="Image 4" descr="Une image contenant texte, capture d’écran, Caractère coloré, diagramme&#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0" cy="6496050"/>
                    </a:xfrm>
                    <a:prstGeom prst="rect">
                      <a:avLst/>
                    </a:prstGeom>
                    <a:noFill/>
                    <a:ln>
                      <a:noFill/>
                    </a:ln>
                  </pic:spPr>
                </pic:pic>
              </a:graphicData>
            </a:graphic>
          </wp:inline>
        </w:drawing>
      </w:r>
    </w:p>
    <w:p w14:paraId="7F0CD23E" w14:textId="77777777" w:rsidR="007947C6" w:rsidRPr="001632B6" w:rsidRDefault="007947C6" w:rsidP="007947C6">
      <w:pPr>
        <w:pStyle w:val="Titre3"/>
      </w:pPr>
      <w:r w:rsidRPr="001632B6">
        <w:t xml:space="preserve">Figure </w:t>
      </w:r>
      <w:r>
        <w:t>S1-1</w:t>
      </w:r>
      <w:r w:rsidRPr="001632B6">
        <w:t>: Behavioral results.</w:t>
      </w:r>
    </w:p>
    <w:p w14:paraId="29EA85BE" w14:textId="67EA956B" w:rsidR="007947C6" w:rsidRDefault="007947C6" w:rsidP="007947C6">
      <w:pPr>
        <w:rPr>
          <w:rFonts w:cstheme="minorHAnsi"/>
        </w:rPr>
      </w:pPr>
      <w:r w:rsidRPr="00373C18">
        <w:rPr>
          <w:b/>
          <w:bCs/>
          <w:sz w:val="20"/>
          <w:szCs w:val="20"/>
        </w:rPr>
        <w:t>A</w:t>
      </w:r>
      <w:r w:rsidRPr="00373C18">
        <w:rPr>
          <w:sz w:val="20"/>
          <w:szCs w:val="20"/>
        </w:rPr>
        <w:t xml:space="preserve"> Proportion of high physical effort (HPE, left panels) and high mental effort (HME, right panels) choices selected by the subjects (top panels) or predicted by our computational model (bottom panels) in function of the monetary incentives expressed as rewards (R1/R2/R3) or punishments (P1/P2/P3) and of the effort level (E1/E2/E3) of the varying option. </w:t>
      </w:r>
      <w:r w:rsidRPr="00373C18">
        <w:rPr>
          <w:b/>
          <w:bCs/>
          <w:sz w:val="20"/>
          <w:szCs w:val="20"/>
        </w:rPr>
        <w:t>B</w:t>
      </w:r>
      <w:r w:rsidRPr="00373C18">
        <w:rPr>
          <w:sz w:val="20"/>
          <w:szCs w:val="20"/>
        </w:rPr>
        <w:t xml:space="preserve"> Deliberation times (DT) (top panels) and fitted DT (bottom panels) in seconds </w:t>
      </w:r>
      <w:r w:rsidRPr="00373C18">
        <w:rPr>
          <w:sz w:val="20"/>
          <w:szCs w:val="20"/>
        </w:rPr>
        <w:lastRenderedPageBreak/>
        <w:t>(s) in function of the monetary incentives and of the effort level of the varying option. Note that in all graphs a higher level of incentive (reward R or punishment P) means that it was more valuable (higher difference with the fixed option) while a higher level of effort means that the effort was more difficult.</w:t>
      </w:r>
      <w:r w:rsidRPr="001632B6">
        <w:br w:type="page"/>
      </w:r>
    </w:p>
    <w:p w14:paraId="25198F2F" w14:textId="77777777" w:rsidR="007947C6" w:rsidRDefault="007947C6" w:rsidP="007947C6">
      <w:pPr>
        <w:jc w:val="center"/>
        <w:rPr>
          <w:rFonts w:cstheme="minorHAnsi"/>
        </w:rPr>
      </w:pPr>
    </w:p>
    <w:p w14:paraId="6096CAA6" w14:textId="77777777" w:rsidR="007947C6" w:rsidRDefault="007947C6" w:rsidP="007947C6">
      <w:pPr>
        <w:jc w:val="center"/>
        <w:rPr>
          <w:rFonts w:cstheme="minorHAnsi"/>
        </w:rPr>
      </w:pPr>
    </w:p>
    <w:p w14:paraId="13E93493" w14:textId="77777777" w:rsidR="007947C6" w:rsidRPr="001632B6" w:rsidRDefault="007947C6" w:rsidP="007947C6">
      <w:pPr>
        <w:jc w:val="center"/>
        <w:rPr>
          <w:rFonts w:cstheme="minorHAnsi"/>
        </w:rPr>
      </w:pPr>
      <w:r>
        <w:rPr>
          <w:rFonts w:cstheme="minorHAnsi"/>
          <w:noProof/>
        </w:rPr>
        <w:drawing>
          <wp:inline distT="0" distB="0" distL="0" distR="0" wp14:anchorId="0B333587" wp14:editId="0A4C687C">
            <wp:extent cx="4095750" cy="4076700"/>
            <wp:effectExtent l="0" t="0" r="0" b="0"/>
            <wp:docPr id="638991536" name="Image 5" descr="Une image contenant texte, film radio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991536" name="Image 5" descr="Une image contenant texte, film radiographique&#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95750" cy="4076700"/>
                    </a:xfrm>
                    <a:prstGeom prst="rect">
                      <a:avLst/>
                    </a:prstGeom>
                    <a:noFill/>
                    <a:ln>
                      <a:noFill/>
                    </a:ln>
                  </pic:spPr>
                </pic:pic>
              </a:graphicData>
            </a:graphic>
          </wp:inline>
        </w:drawing>
      </w:r>
    </w:p>
    <w:p w14:paraId="74929EF3" w14:textId="77777777" w:rsidR="007947C6" w:rsidRPr="001632B6" w:rsidRDefault="007947C6" w:rsidP="007947C6">
      <w:pPr>
        <w:pStyle w:val="Titre3"/>
        <w:rPr>
          <w:rFonts w:cstheme="minorHAnsi"/>
        </w:rPr>
      </w:pPr>
      <w:r w:rsidRPr="001632B6">
        <w:rPr>
          <w:rFonts w:cstheme="minorHAnsi"/>
        </w:rPr>
        <w:t>Figure S1-</w:t>
      </w:r>
      <w:r>
        <w:rPr>
          <w:rFonts w:cstheme="minorHAnsi"/>
        </w:rPr>
        <w:t>2</w:t>
      </w:r>
      <w:r w:rsidRPr="001632B6">
        <w:rPr>
          <w:rFonts w:cstheme="minorHAnsi"/>
        </w:rPr>
        <w:t xml:space="preserve">: Density map of the </w:t>
      </w:r>
      <w:r w:rsidRPr="001632B6">
        <w:rPr>
          <w:rFonts w:cstheme="minorHAnsi"/>
          <w:vertAlign w:val="superscript"/>
        </w:rPr>
        <w:t>1</w:t>
      </w:r>
      <w:r w:rsidRPr="001632B6">
        <w:rPr>
          <w:rFonts w:cstheme="minorHAnsi"/>
        </w:rPr>
        <w:t>H-MRS voxels.</w:t>
      </w:r>
    </w:p>
    <w:p w14:paraId="37E8CF48" w14:textId="4C2A7E6E" w:rsidR="007947C6" w:rsidRPr="001632B6" w:rsidRDefault="007947C6" w:rsidP="007947C6">
      <w:pPr>
        <w:rPr>
          <w:rFonts w:cstheme="minorHAnsi"/>
        </w:rPr>
      </w:pPr>
      <w:r w:rsidRPr="00373C18">
        <w:rPr>
          <w:rFonts w:cstheme="minorHAnsi"/>
          <w:b/>
          <w:bCs/>
          <w:sz w:val="20"/>
          <w:szCs w:val="20"/>
        </w:rPr>
        <w:t>A</w:t>
      </w:r>
      <w:r w:rsidRPr="00373C18">
        <w:rPr>
          <w:rFonts w:cstheme="minorHAnsi"/>
          <w:sz w:val="20"/>
          <w:szCs w:val="20"/>
        </w:rPr>
        <w:t xml:space="preserve"> Proton magnetic resonance spectroscopy (</w:t>
      </w:r>
      <w:r w:rsidRPr="00373C18">
        <w:rPr>
          <w:rFonts w:cstheme="minorHAnsi"/>
          <w:sz w:val="20"/>
          <w:szCs w:val="20"/>
          <w:vertAlign w:val="superscript"/>
        </w:rPr>
        <w:t>1</w:t>
      </w:r>
      <w:r w:rsidRPr="00373C18">
        <w:rPr>
          <w:rFonts w:cstheme="minorHAnsi"/>
          <w:sz w:val="20"/>
          <w:szCs w:val="20"/>
        </w:rPr>
        <w:t>H-MRS) density maps representing the proportion of subjects where each voxel is present across individuals overlaid on the average anatomy of the subjects included in the study (</w:t>
      </w:r>
      <w:r w:rsidRPr="00704696">
        <w:rPr>
          <w:rFonts w:cstheme="minorHAnsi"/>
          <w:i/>
          <w:iCs/>
          <w:sz w:val="20"/>
          <w:szCs w:val="20"/>
        </w:rPr>
        <w:t>N</w:t>
      </w:r>
      <w:r w:rsidRPr="00373C18">
        <w:rPr>
          <w:rFonts w:cstheme="minorHAnsi"/>
          <w:sz w:val="20"/>
          <w:szCs w:val="20"/>
        </w:rPr>
        <w:t xml:space="preserve"> = 63). All the data is represented in MNI space. Note that the aIns map contains lesser subjects (</w:t>
      </w:r>
      <w:r w:rsidRPr="00704696">
        <w:rPr>
          <w:rFonts w:cstheme="minorHAnsi"/>
          <w:i/>
          <w:iCs/>
          <w:sz w:val="20"/>
          <w:szCs w:val="20"/>
        </w:rPr>
        <w:t>N</w:t>
      </w:r>
      <w:r w:rsidRPr="00373C18">
        <w:rPr>
          <w:rFonts w:cstheme="minorHAnsi"/>
          <w:sz w:val="20"/>
          <w:szCs w:val="20"/>
        </w:rPr>
        <w:t xml:space="preserve"> = 60) than the dmPFC/dACC map (</w:t>
      </w:r>
      <w:r w:rsidRPr="00704696">
        <w:rPr>
          <w:rFonts w:cstheme="minorHAnsi"/>
          <w:i/>
          <w:iCs/>
          <w:sz w:val="20"/>
          <w:szCs w:val="20"/>
        </w:rPr>
        <w:t>N</w:t>
      </w:r>
      <w:r w:rsidRPr="00373C18">
        <w:rPr>
          <w:rFonts w:cstheme="minorHAnsi"/>
          <w:sz w:val="20"/>
          <w:szCs w:val="20"/>
        </w:rPr>
        <w:t xml:space="preserve"> = 63) because the aIns MRS measurement could not be acquired in some subjects. </w:t>
      </w:r>
      <w:r w:rsidRPr="00373C18">
        <w:rPr>
          <w:rFonts w:cstheme="minorHAnsi"/>
          <w:b/>
          <w:bCs/>
          <w:sz w:val="20"/>
          <w:szCs w:val="20"/>
        </w:rPr>
        <w:t>B</w:t>
      </w:r>
      <w:r w:rsidRPr="00373C18">
        <w:rPr>
          <w:rFonts w:cstheme="minorHAnsi"/>
          <w:sz w:val="20"/>
          <w:szCs w:val="20"/>
        </w:rPr>
        <w:t xml:space="preserve"> Representative </w:t>
      </w:r>
      <w:r w:rsidRPr="00373C18">
        <w:rPr>
          <w:rFonts w:cstheme="minorHAnsi"/>
          <w:sz w:val="20"/>
          <w:szCs w:val="20"/>
          <w:vertAlign w:val="superscript"/>
        </w:rPr>
        <w:t>1</w:t>
      </w:r>
      <w:r w:rsidRPr="00373C18">
        <w:rPr>
          <w:rFonts w:cstheme="minorHAnsi"/>
          <w:sz w:val="20"/>
          <w:szCs w:val="20"/>
        </w:rPr>
        <w:t xml:space="preserve">H-MRS spectrum acquired with the semi-adiabatic SPECIAL sequence at 7 Tesla, as well as the corresponding LCModel spectral fit, baseline and residual fit. The arrow highlights the lactate doublet. </w:t>
      </w:r>
      <w:r w:rsidRPr="001632B6">
        <w:rPr>
          <w:rFonts w:cstheme="minorHAnsi"/>
        </w:rPr>
        <w:br w:type="page"/>
      </w:r>
    </w:p>
    <w:p w14:paraId="7964D27F" w14:textId="77777777" w:rsidR="007947C6" w:rsidRDefault="007947C6" w:rsidP="007947C6">
      <w:pPr>
        <w:spacing w:after="160" w:line="259" w:lineRule="auto"/>
        <w:rPr>
          <w:rFonts w:cstheme="minorHAnsi"/>
          <w:bCs/>
        </w:rPr>
      </w:pPr>
    </w:p>
    <w:p w14:paraId="2BEC4E12" w14:textId="77777777" w:rsidR="007947C6" w:rsidRDefault="007947C6" w:rsidP="007947C6">
      <w:pPr>
        <w:spacing w:after="160" w:line="259" w:lineRule="auto"/>
        <w:jc w:val="left"/>
        <w:rPr>
          <w:rFonts w:cstheme="minorHAnsi"/>
        </w:rPr>
      </w:pPr>
    </w:p>
    <w:p w14:paraId="237BCCCD" w14:textId="77777777" w:rsidR="007947C6" w:rsidRDefault="007947C6" w:rsidP="007947C6">
      <w:pPr>
        <w:spacing w:after="160" w:line="259" w:lineRule="auto"/>
        <w:jc w:val="center"/>
        <w:rPr>
          <w:rFonts w:cstheme="minorHAnsi"/>
        </w:rPr>
      </w:pPr>
      <w:r>
        <w:rPr>
          <w:rFonts w:cstheme="minorHAnsi"/>
          <w:noProof/>
        </w:rPr>
        <w:drawing>
          <wp:inline distT="0" distB="0" distL="0" distR="0" wp14:anchorId="00ADA14E" wp14:editId="5FD0A6A9">
            <wp:extent cx="4114800" cy="4800600"/>
            <wp:effectExtent l="0" t="0" r="0" b="0"/>
            <wp:docPr id="16528643" name="Image 6" descr="Une image contenant texte, diagramme, capture d’écran,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643" name="Image 6" descr="Une image contenant texte, diagramme, capture d’écran, Parallèle&#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4800" cy="4800600"/>
                    </a:xfrm>
                    <a:prstGeom prst="rect">
                      <a:avLst/>
                    </a:prstGeom>
                    <a:noFill/>
                    <a:ln>
                      <a:noFill/>
                    </a:ln>
                  </pic:spPr>
                </pic:pic>
              </a:graphicData>
            </a:graphic>
          </wp:inline>
        </w:drawing>
      </w:r>
    </w:p>
    <w:p w14:paraId="5F6C9A28" w14:textId="77777777" w:rsidR="007947C6" w:rsidRDefault="007947C6" w:rsidP="007947C6">
      <w:pPr>
        <w:pStyle w:val="Titre3"/>
      </w:pPr>
      <w:bookmarkStart w:id="9" w:name="_Hlk172731221"/>
      <w:r>
        <w:t>Figure S2-1: Correlations between plasma and brain lactate levels and MVC, subjective fatigue and maximal performance.</w:t>
      </w:r>
    </w:p>
    <w:p w14:paraId="6462C785" w14:textId="4F90B2CE" w:rsidR="007947C6" w:rsidRDefault="007947C6" w:rsidP="007947C6">
      <w:pPr>
        <w:rPr>
          <w:rFonts w:cstheme="minorHAnsi"/>
        </w:rPr>
      </w:pPr>
      <w:r w:rsidRPr="00373C18">
        <w:rPr>
          <w:b/>
          <w:bCs/>
          <w:sz w:val="20"/>
          <w:szCs w:val="20"/>
        </w:rPr>
        <w:t>A</w:t>
      </w:r>
      <w:r w:rsidRPr="00373C18">
        <w:rPr>
          <w:sz w:val="20"/>
          <w:szCs w:val="20"/>
        </w:rPr>
        <w:t xml:space="preserve"> Maximum voluntary contraction (MVC) force produced in </w:t>
      </w:r>
      <w:r w:rsidRPr="007947C6">
        <w:rPr>
          <w:sz w:val="20"/>
          <w:szCs w:val="20"/>
        </w:rPr>
        <w:t>Newtons (N) during the initial calibration in function of individual levels of lactate in the dmPFC/dACC (left), the aIns (middle), or the plasma (right).</w:t>
      </w:r>
      <w:r w:rsidRPr="007947C6">
        <w:rPr>
          <w:b/>
          <w:bCs/>
          <w:sz w:val="20"/>
          <w:szCs w:val="20"/>
        </w:rPr>
        <w:t xml:space="preserve"> B</w:t>
      </w:r>
      <w:r w:rsidRPr="007947C6">
        <w:rPr>
          <w:sz w:val="20"/>
          <w:szCs w:val="20"/>
        </w:rPr>
        <w:t xml:space="preserve"> Maximum number of correct responses (MNCR) produced during the initial calibration in function of individual levels of lactate in the dmPFC/dACC (left), the aIns (middle), or the plasma (right). </w:t>
      </w:r>
      <w:r w:rsidRPr="007947C6">
        <w:rPr>
          <w:b/>
          <w:bCs/>
          <w:sz w:val="20"/>
          <w:szCs w:val="20"/>
        </w:rPr>
        <w:t>C</w:t>
      </w:r>
      <w:r w:rsidRPr="007947C6">
        <w:rPr>
          <w:sz w:val="20"/>
          <w:szCs w:val="20"/>
        </w:rPr>
        <w:t xml:space="preserve"> Heatmap displaying Pearson correlation coefficients between subjective fatigue ratings before (F1) or after (F2) the </w:t>
      </w:r>
      <w:r w:rsidRPr="007947C6">
        <w:rPr>
          <w:sz w:val="20"/>
          <w:szCs w:val="20"/>
          <w:vertAlign w:val="superscript"/>
        </w:rPr>
        <w:t>1</w:t>
      </w:r>
      <w:r w:rsidRPr="007947C6">
        <w:rPr>
          <w:sz w:val="20"/>
          <w:szCs w:val="20"/>
        </w:rPr>
        <w:t>H-MRS acquisition, before (F3) or after the fMRI task (F4), and difference between F4 and F1 or between F4 and F3 and dmPFC/dACC, aIns, or plasma lactate levels. None of the correlations is significant.</w:t>
      </w:r>
      <w:r w:rsidRPr="00373C18">
        <w:rPr>
          <w:sz w:val="20"/>
          <w:szCs w:val="20"/>
        </w:rPr>
        <w:t xml:space="preserve"> </w:t>
      </w:r>
      <w:r>
        <w:rPr>
          <w:b/>
          <w:bCs/>
          <w:sz w:val="20"/>
          <w:szCs w:val="20"/>
        </w:rPr>
        <w:t>D</w:t>
      </w:r>
      <w:r w:rsidRPr="00373C18">
        <w:rPr>
          <w:sz w:val="20"/>
          <w:szCs w:val="20"/>
        </w:rPr>
        <w:t xml:space="preserve"> Difference in maximal performance after versus before each </w:t>
      </w:r>
      <w:r>
        <w:rPr>
          <w:sz w:val="20"/>
          <w:szCs w:val="20"/>
        </w:rPr>
        <w:t xml:space="preserve">of the two </w:t>
      </w:r>
      <w:r w:rsidRPr="00373C18">
        <w:rPr>
          <w:sz w:val="20"/>
          <w:szCs w:val="20"/>
        </w:rPr>
        <w:t>block</w:t>
      </w:r>
      <w:r>
        <w:rPr>
          <w:sz w:val="20"/>
          <w:szCs w:val="20"/>
        </w:rPr>
        <w:t>s</w:t>
      </w:r>
      <w:r w:rsidRPr="00373C18">
        <w:rPr>
          <w:sz w:val="20"/>
          <w:szCs w:val="20"/>
        </w:rPr>
        <w:t xml:space="preserve"> (B) of each task in function of lactate in the plasma, the dmPFC/dACC, or the aIns. None of the correlations is significant.</w:t>
      </w:r>
      <w:bookmarkEnd w:id="9"/>
      <w:r>
        <w:rPr>
          <w:rFonts w:cstheme="minorHAnsi"/>
        </w:rPr>
        <w:br w:type="page"/>
      </w:r>
    </w:p>
    <w:p w14:paraId="3C8D3519" w14:textId="77777777" w:rsidR="007947C6" w:rsidRDefault="007947C6" w:rsidP="007947C6">
      <w:pPr>
        <w:spacing w:after="160" w:line="259" w:lineRule="auto"/>
        <w:jc w:val="left"/>
        <w:rPr>
          <w:rFonts w:cstheme="minorHAnsi"/>
        </w:rPr>
      </w:pPr>
    </w:p>
    <w:p w14:paraId="103ADC9F" w14:textId="77777777" w:rsidR="007947C6" w:rsidRDefault="007947C6" w:rsidP="007947C6">
      <w:pPr>
        <w:spacing w:after="160" w:line="259" w:lineRule="auto"/>
        <w:jc w:val="left"/>
        <w:rPr>
          <w:rFonts w:cstheme="minorHAnsi"/>
        </w:rPr>
      </w:pPr>
    </w:p>
    <w:p w14:paraId="3D2E7FC0" w14:textId="77777777" w:rsidR="007947C6" w:rsidRDefault="007947C6" w:rsidP="007947C6">
      <w:pPr>
        <w:spacing w:after="160" w:line="259" w:lineRule="auto"/>
        <w:jc w:val="center"/>
        <w:rPr>
          <w:rFonts w:cstheme="minorHAnsi"/>
        </w:rPr>
      </w:pPr>
      <w:r>
        <w:rPr>
          <w:rFonts w:cstheme="minorHAnsi"/>
          <w:noProof/>
        </w:rPr>
        <w:drawing>
          <wp:inline distT="0" distB="0" distL="0" distR="0" wp14:anchorId="66131DF4" wp14:editId="7AADEA63">
            <wp:extent cx="3577132" cy="4513204"/>
            <wp:effectExtent l="0" t="0" r="4445" b="1905"/>
            <wp:docPr id="963156719" name="Image 7" descr="Une image contenant texte, diagramme, Tracé,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6719" name="Image 7" descr="Une image contenant texte, diagramme, Tracé, capture d’écran&#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7879" cy="4514147"/>
                    </a:xfrm>
                    <a:prstGeom prst="rect">
                      <a:avLst/>
                    </a:prstGeom>
                    <a:noFill/>
                    <a:ln>
                      <a:noFill/>
                    </a:ln>
                  </pic:spPr>
                </pic:pic>
              </a:graphicData>
            </a:graphic>
          </wp:inline>
        </w:drawing>
      </w:r>
    </w:p>
    <w:p w14:paraId="3BE7C73C" w14:textId="77777777" w:rsidR="007947C6" w:rsidRDefault="007947C6" w:rsidP="007947C6">
      <w:pPr>
        <w:pStyle w:val="Titre3"/>
      </w:pPr>
      <w:r>
        <w:t>Figure S2-2: Absence of sex differences for lactate concentrations and motivation-related measures.</w:t>
      </w:r>
    </w:p>
    <w:p w14:paraId="45D32482" w14:textId="264637DA" w:rsidR="007947C6" w:rsidRDefault="007947C6" w:rsidP="007947C6">
      <w:pPr>
        <w:rPr>
          <w:rFonts w:cstheme="minorHAnsi"/>
        </w:rPr>
      </w:pPr>
      <w:r w:rsidRPr="00373C18">
        <w:rPr>
          <w:b/>
          <w:bCs/>
          <w:sz w:val="20"/>
          <w:szCs w:val="20"/>
        </w:rPr>
        <w:t>A</w:t>
      </w:r>
      <w:r w:rsidRPr="00373C18">
        <w:rPr>
          <w:sz w:val="20"/>
          <w:szCs w:val="20"/>
        </w:rPr>
        <w:t xml:space="preserve"> No significant (NS) difference between males (M) and females (F) for the proportion of high physical effort (HPE) choices or for the kEp parameter. </w:t>
      </w:r>
      <w:r w:rsidRPr="00373C18">
        <w:rPr>
          <w:b/>
          <w:bCs/>
          <w:sz w:val="20"/>
          <w:szCs w:val="20"/>
        </w:rPr>
        <w:t>B</w:t>
      </w:r>
      <w:r w:rsidRPr="00373C18">
        <w:rPr>
          <w:sz w:val="20"/>
          <w:szCs w:val="20"/>
        </w:rPr>
        <w:t xml:space="preserve"> No significant (NS) differences between males (M) and females (F) for dmPFC/dACC, aIns and plasma lactate levels.</w:t>
      </w:r>
      <w:r>
        <w:rPr>
          <w:rFonts w:cstheme="minorHAnsi"/>
        </w:rPr>
        <w:br w:type="page"/>
      </w:r>
    </w:p>
    <w:p w14:paraId="502C75A7" w14:textId="77777777" w:rsidR="007947C6" w:rsidRDefault="007947C6" w:rsidP="007947C6">
      <w:pPr>
        <w:spacing w:after="160" w:line="259" w:lineRule="auto"/>
        <w:jc w:val="left"/>
        <w:rPr>
          <w:rFonts w:cstheme="minorHAnsi"/>
        </w:rPr>
      </w:pPr>
    </w:p>
    <w:p w14:paraId="54AA6D1F" w14:textId="77777777" w:rsidR="007947C6" w:rsidRDefault="007947C6" w:rsidP="007947C6">
      <w:pPr>
        <w:spacing w:after="160" w:line="259" w:lineRule="auto"/>
        <w:jc w:val="left"/>
        <w:rPr>
          <w:rFonts w:cstheme="minorHAnsi"/>
        </w:rPr>
      </w:pPr>
    </w:p>
    <w:p w14:paraId="292915DB" w14:textId="77777777" w:rsidR="007947C6" w:rsidRDefault="007947C6" w:rsidP="007947C6">
      <w:pPr>
        <w:spacing w:after="160" w:line="259" w:lineRule="auto"/>
        <w:jc w:val="left"/>
        <w:rPr>
          <w:rFonts w:cstheme="minorHAnsi"/>
        </w:rPr>
      </w:pPr>
      <w:r>
        <w:rPr>
          <w:rFonts w:cstheme="minorHAnsi"/>
          <w:noProof/>
        </w:rPr>
        <w:drawing>
          <wp:inline distT="0" distB="0" distL="0" distR="0" wp14:anchorId="38E71879" wp14:editId="025E4EC9">
            <wp:extent cx="5724525" cy="5267325"/>
            <wp:effectExtent l="0" t="0" r="9525" b="9525"/>
            <wp:docPr id="34507085" name="Image 8" descr="Une image contenant texte, diagramme, Plan, schéma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7085" name="Image 8" descr="Une image contenant texte, diagramme, Plan, schématiqu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4525" cy="5267325"/>
                    </a:xfrm>
                    <a:prstGeom prst="rect">
                      <a:avLst/>
                    </a:prstGeom>
                    <a:noFill/>
                    <a:ln>
                      <a:noFill/>
                    </a:ln>
                  </pic:spPr>
                </pic:pic>
              </a:graphicData>
            </a:graphic>
          </wp:inline>
        </w:drawing>
      </w:r>
    </w:p>
    <w:p w14:paraId="28383300" w14:textId="77777777" w:rsidR="007947C6" w:rsidRDefault="007947C6" w:rsidP="007947C6">
      <w:pPr>
        <w:pStyle w:val="Titre3"/>
      </w:pPr>
      <w:r>
        <w:t>Figure S2-3: Correlations between plasma and brain lactate levels and sleep duration.</w:t>
      </w:r>
    </w:p>
    <w:p w14:paraId="0F094292" w14:textId="77777777" w:rsidR="007947C6" w:rsidRDefault="007947C6" w:rsidP="007947C6">
      <w:pPr>
        <w:rPr>
          <w:rFonts w:cstheme="minorHAnsi"/>
        </w:rPr>
      </w:pPr>
      <w:r w:rsidRPr="00373C18">
        <w:rPr>
          <w:sz w:val="20"/>
          <w:szCs w:val="20"/>
        </w:rPr>
        <w:t>Plasma, dmPFC/dACC and aIns lactate levels in function of average sleep duration (</w:t>
      </w:r>
      <w:r w:rsidRPr="00373C18">
        <w:rPr>
          <w:b/>
          <w:bCs/>
          <w:sz w:val="20"/>
          <w:szCs w:val="20"/>
        </w:rPr>
        <w:t>A</w:t>
      </w:r>
      <w:r w:rsidRPr="00373C18">
        <w:rPr>
          <w:sz w:val="20"/>
          <w:szCs w:val="20"/>
        </w:rPr>
        <w:t>), sleep duration the day preceding the experiment (</w:t>
      </w:r>
      <w:r w:rsidRPr="00373C18">
        <w:rPr>
          <w:b/>
          <w:bCs/>
          <w:sz w:val="20"/>
          <w:szCs w:val="20"/>
        </w:rPr>
        <w:t>B</w:t>
      </w:r>
      <w:r w:rsidRPr="00373C18">
        <w:rPr>
          <w:sz w:val="20"/>
          <w:szCs w:val="20"/>
        </w:rPr>
        <w:t>) and the difference between the sleep the day preceding the experiment and the average duration of sleep (</w:t>
      </w:r>
      <w:r w:rsidRPr="00373C18">
        <w:rPr>
          <w:b/>
          <w:bCs/>
          <w:sz w:val="20"/>
          <w:szCs w:val="20"/>
        </w:rPr>
        <w:t>C</w:t>
      </w:r>
      <w:r w:rsidRPr="00373C18">
        <w:rPr>
          <w:sz w:val="20"/>
          <w:szCs w:val="20"/>
        </w:rPr>
        <w:t>).</w:t>
      </w:r>
      <w:r>
        <w:rPr>
          <w:rFonts w:cstheme="minorHAnsi"/>
        </w:rPr>
        <w:br w:type="page"/>
      </w:r>
    </w:p>
    <w:p w14:paraId="714B9E06" w14:textId="77777777" w:rsidR="007947C6" w:rsidRDefault="007947C6" w:rsidP="007947C6">
      <w:pPr>
        <w:spacing w:after="160" w:line="259" w:lineRule="auto"/>
        <w:jc w:val="left"/>
        <w:rPr>
          <w:rFonts w:cstheme="minorHAnsi"/>
        </w:rPr>
      </w:pPr>
    </w:p>
    <w:p w14:paraId="7CFA34DA" w14:textId="77777777" w:rsidR="007947C6" w:rsidRDefault="007947C6" w:rsidP="007947C6">
      <w:pPr>
        <w:spacing w:after="160" w:line="259" w:lineRule="auto"/>
        <w:jc w:val="left"/>
        <w:rPr>
          <w:rFonts w:cstheme="minorHAnsi"/>
        </w:rPr>
      </w:pPr>
    </w:p>
    <w:p w14:paraId="25CA85F5" w14:textId="77777777" w:rsidR="007947C6" w:rsidRDefault="007947C6" w:rsidP="007947C6">
      <w:pPr>
        <w:spacing w:after="160" w:line="259" w:lineRule="auto"/>
        <w:jc w:val="left"/>
        <w:rPr>
          <w:rFonts w:cstheme="minorHAnsi"/>
        </w:rPr>
      </w:pPr>
      <w:r>
        <w:rPr>
          <w:rFonts w:cstheme="minorHAnsi"/>
          <w:noProof/>
        </w:rPr>
        <w:drawing>
          <wp:inline distT="0" distB="0" distL="0" distR="0" wp14:anchorId="4270986B" wp14:editId="7701348E">
            <wp:extent cx="5724525" cy="6743700"/>
            <wp:effectExtent l="0" t="0" r="9525" b="0"/>
            <wp:docPr id="1807653668" name="Image 9" descr="Une image contenant texte, diagramme, Parallèle, Pl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653668" name="Image 9" descr="Une image contenant texte, diagramme, Parallèle, Plan&#10;&#10;Description générée automatiqueme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4525" cy="6743700"/>
                    </a:xfrm>
                    <a:prstGeom prst="rect">
                      <a:avLst/>
                    </a:prstGeom>
                    <a:noFill/>
                    <a:ln>
                      <a:noFill/>
                    </a:ln>
                  </pic:spPr>
                </pic:pic>
              </a:graphicData>
            </a:graphic>
          </wp:inline>
        </w:drawing>
      </w:r>
    </w:p>
    <w:p w14:paraId="6581DE18" w14:textId="77777777" w:rsidR="007947C6" w:rsidRDefault="007947C6" w:rsidP="007947C6">
      <w:pPr>
        <w:pStyle w:val="Titre3"/>
      </w:pPr>
      <w:r>
        <w:t>Figure S2-4: Correlations between plasma and brain lactate levels and stress-related measures.</w:t>
      </w:r>
    </w:p>
    <w:p w14:paraId="4232339B" w14:textId="2CFC23B5" w:rsidR="007947C6" w:rsidRDefault="007947C6" w:rsidP="007947C6">
      <w:pPr>
        <w:rPr>
          <w:rFonts w:cstheme="minorHAnsi"/>
        </w:rPr>
      </w:pPr>
      <w:r w:rsidRPr="00373C18">
        <w:rPr>
          <w:b/>
          <w:bCs/>
          <w:sz w:val="20"/>
          <w:szCs w:val="20"/>
        </w:rPr>
        <w:t>A</w:t>
      </w:r>
      <w:r w:rsidRPr="00373C18">
        <w:rPr>
          <w:sz w:val="20"/>
          <w:szCs w:val="20"/>
        </w:rPr>
        <w:t xml:space="preserve"> Perceived Stress Scale (PSS-14) score in function of dmPFC/dACC (left), aIns (middle) or plasma (right) levels. </w:t>
      </w:r>
      <w:r w:rsidRPr="00373C18">
        <w:rPr>
          <w:b/>
          <w:bCs/>
          <w:sz w:val="20"/>
          <w:szCs w:val="20"/>
        </w:rPr>
        <w:t>B</w:t>
      </w:r>
      <w:r w:rsidRPr="00373C18">
        <w:rPr>
          <w:sz w:val="20"/>
          <w:szCs w:val="20"/>
        </w:rPr>
        <w:t xml:space="preserve"> Social Interaction Anxiety Scale (SIAS) score in function of dmPFC/dACC (left), aIns (middle) or plasma (right) levels. </w:t>
      </w:r>
      <w:r w:rsidRPr="00373C18">
        <w:rPr>
          <w:b/>
          <w:bCs/>
          <w:sz w:val="20"/>
          <w:szCs w:val="20"/>
        </w:rPr>
        <w:t>C</w:t>
      </w:r>
      <w:r w:rsidRPr="00373C18">
        <w:rPr>
          <w:sz w:val="20"/>
          <w:szCs w:val="20"/>
        </w:rPr>
        <w:t xml:space="preserve"> Spielberger’s State-Trait Anxiety Inventory – trait (STAI</w:t>
      </w:r>
      <w:r w:rsidRPr="00373C18">
        <w:rPr>
          <w:sz w:val="20"/>
          <w:szCs w:val="20"/>
          <w:vertAlign w:val="subscript"/>
        </w:rPr>
        <w:t>T</w:t>
      </w:r>
      <w:r w:rsidRPr="00373C18">
        <w:rPr>
          <w:sz w:val="20"/>
          <w:szCs w:val="20"/>
        </w:rPr>
        <w:t xml:space="preserve">) in function of dmPFC/dACC (left), aIns (middle) or plasma (right) levels. </w:t>
      </w:r>
      <w:r w:rsidRPr="00373C18">
        <w:rPr>
          <w:b/>
          <w:bCs/>
          <w:sz w:val="20"/>
          <w:szCs w:val="20"/>
        </w:rPr>
        <w:t>D</w:t>
      </w:r>
      <w:r w:rsidRPr="00373C18">
        <w:rPr>
          <w:sz w:val="20"/>
          <w:szCs w:val="20"/>
        </w:rPr>
        <w:t xml:space="preserve"> Stress ratings before (S1) or after (S2) the </w:t>
      </w:r>
      <w:r w:rsidRPr="00373C18">
        <w:rPr>
          <w:sz w:val="20"/>
          <w:szCs w:val="20"/>
          <w:vertAlign w:val="superscript"/>
        </w:rPr>
        <w:t>1</w:t>
      </w:r>
      <w:r w:rsidRPr="00373C18">
        <w:rPr>
          <w:sz w:val="20"/>
          <w:szCs w:val="20"/>
        </w:rPr>
        <w:t xml:space="preserve">H-MRS acquisition, before (S3) or after the fMRI task (S4), and difference between S4 and S1 or between S4 and S3 and dmPFC/dACC, aIns, or plasma lactate levels. None of the correlation is significant. </w:t>
      </w:r>
      <w:r w:rsidRPr="00373C18">
        <w:rPr>
          <w:b/>
          <w:bCs/>
          <w:sz w:val="20"/>
          <w:szCs w:val="20"/>
        </w:rPr>
        <w:t>E</w:t>
      </w:r>
      <w:r w:rsidRPr="00373C18">
        <w:rPr>
          <w:sz w:val="20"/>
          <w:szCs w:val="20"/>
        </w:rPr>
        <w:t xml:space="preserve"> Salivary cortisol across the experiment. Cortisol measures were </w:t>
      </w:r>
      <w:r w:rsidRPr="00373C18">
        <w:rPr>
          <w:sz w:val="20"/>
          <w:szCs w:val="20"/>
        </w:rPr>
        <w:lastRenderedPageBreak/>
        <w:t xml:space="preserve">taken before (C1) and after (C2) the </w:t>
      </w:r>
      <w:r w:rsidRPr="00373C18">
        <w:rPr>
          <w:sz w:val="20"/>
          <w:szCs w:val="20"/>
          <w:vertAlign w:val="superscript"/>
        </w:rPr>
        <w:t>1</w:t>
      </w:r>
      <w:r w:rsidRPr="00373C18">
        <w:rPr>
          <w:sz w:val="20"/>
          <w:szCs w:val="20"/>
        </w:rPr>
        <w:t xml:space="preserve">H-MRS acquisition, and before (C3) and after (C4) the MRI acquisition. </w:t>
      </w:r>
      <w:r w:rsidRPr="00373C18">
        <w:rPr>
          <w:b/>
          <w:bCs/>
          <w:sz w:val="20"/>
          <w:szCs w:val="20"/>
        </w:rPr>
        <w:t>F</w:t>
      </w:r>
      <w:r w:rsidRPr="00373C18">
        <w:rPr>
          <w:sz w:val="20"/>
          <w:szCs w:val="20"/>
        </w:rPr>
        <w:t xml:space="preserve"> Salivary cortisol across the duration of the experiment (C1-4), and difference between C4 and C1 or between C4 and C3 in function of dmPFC/dACC, aIns, or plasma lactate levels. The only significant correlation was between C4-C1 and lactate plasma levels (r = -0.311; </w:t>
      </w:r>
      <w:r w:rsidRPr="0057237F">
        <w:rPr>
          <w:i/>
          <w:iCs/>
          <w:sz w:val="20"/>
          <w:szCs w:val="20"/>
        </w:rPr>
        <w:t>p</w:t>
      </w:r>
      <w:r w:rsidRPr="00373C18">
        <w:rPr>
          <w:sz w:val="20"/>
          <w:szCs w:val="20"/>
        </w:rPr>
        <w:t xml:space="preserve"> = 0.019 uncorrected for multiple comparisons).</w:t>
      </w:r>
      <w:r>
        <w:rPr>
          <w:rFonts w:cstheme="minorHAnsi"/>
        </w:rPr>
        <w:br w:type="page"/>
      </w:r>
    </w:p>
    <w:p w14:paraId="1AF2A8F0" w14:textId="77777777" w:rsidR="007947C6" w:rsidRDefault="007947C6" w:rsidP="007947C6">
      <w:pPr>
        <w:jc w:val="center"/>
      </w:pPr>
    </w:p>
    <w:p w14:paraId="6A47BAAE" w14:textId="77777777" w:rsidR="007947C6" w:rsidRDefault="007947C6" w:rsidP="007947C6">
      <w:pPr>
        <w:jc w:val="center"/>
      </w:pPr>
    </w:p>
    <w:p w14:paraId="5CD18797" w14:textId="77777777" w:rsidR="007947C6" w:rsidRDefault="007947C6" w:rsidP="007947C6">
      <w:pPr>
        <w:jc w:val="center"/>
      </w:pPr>
      <w:r>
        <w:rPr>
          <w:noProof/>
        </w:rPr>
        <w:drawing>
          <wp:inline distT="0" distB="0" distL="0" distR="0" wp14:anchorId="6F4A9B60" wp14:editId="3DD6CE14">
            <wp:extent cx="4095750" cy="2131616"/>
            <wp:effectExtent l="0" t="0" r="0" b="2540"/>
            <wp:docPr id="193513055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30556" name="Image 10"/>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095750" cy="2131616"/>
                    </a:xfrm>
                    <a:prstGeom prst="rect">
                      <a:avLst/>
                    </a:prstGeom>
                    <a:noFill/>
                    <a:ln>
                      <a:noFill/>
                    </a:ln>
                  </pic:spPr>
                </pic:pic>
              </a:graphicData>
            </a:graphic>
          </wp:inline>
        </w:drawing>
      </w:r>
    </w:p>
    <w:p w14:paraId="6D4B98A6" w14:textId="77777777" w:rsidR="007947C6" w:rsidRDefault="007947C6" w:rsidP="007947C6">
      <w:pPr>
        <w:pStyle w:val="Titre3"/>
      </w:pPr>
      <w:r>
        <w:t>Figure S3-1: dmPFC/dACC and aIns activity correlation with Ech, SVch and DT separately for each task.</w:t>
      </w:r>
    </w:p>
    <w:p w14:paraId="082C0E9F" w14:textId="01D51A04" w:rsidR="007947C6" w:rsidRDefault="007947C6" w:rsidP="007947C6">
      <w:r w:rsidRPr="00AA17B2">
        <w:rPr>
          <w:rFonts w:cstheme="minorHAnsi"/>
          <w:sz w:val="20"/>
          <w:szCs w:val="20"/>
        </w:rPr>
        <w:t xml:space="preserve">Regression estimates for effort chosen (Ech), the subjective value of the chosen option (SVch) and deliberation time (DT) during the choice period within the </w:t>
      </w:r>
      <w:r w:rsidRPr="00AA17B2">
        <w:rPr>
          <w:rFonts w:cstheme="minorHAnsi"/>
          <w:sz w:val="20"/>
          <w:szCs w:val="20"/>
          <w:vertAlign w:val="superscript"/>
        </w:rPr>
        <w:t>1</w:t>
      </w:r>
      <w:r w:rsidRPr="00AA17B2">
        <w:rPr>
          <w:rFonts w:cstheme="minorHAnsi"/>
          <w:sz w:val="20"/>
          <w:szCs w:val="20"/>
        </w:rPr>
        <w:t>H-MRS dmPFC/dACC (</w:t>
      </w:r>
      <w:r w:rsidRPr="00704696">
        <w:rPr>
          <w:rFonts w:cstheme="minorHAnsi"/>
          <w:i/>
          <w:iCs/>
          <w:sz w:val="20"/>
          <w:szCs w:val="20"/>
        </w:rPr>
        <w:t>N</w:t>
      </w:r>
      <w:r w:rsidRPr="00AA17B2">
        <w:rPr>
          <w:rFonts w:cstheme="minorHAnsi"/>
          <w:sz w:val="20"/>
          <w:szCs w:val="20"/>
        </w:rPr>
        <w:t xml:space="preserve"> = 63, left panel) and the </w:t>
      </w:r>
      <w:r w:rsidRPr="00AA17B2">
        <w:rPr>
          <w:rFonts w:cstheme="minorHAnsi"/>
          <w:sz w:val="20"/>
          <w:szCs w:val="20"/>
          <w:vertAlign w:val="superscript"/>
        </w:rPr>
        <w:t>1</w:t>
      </w:r>
      <w:r w:rsidRPr="00AA17B2">
        <w:rPr>
          <w:rFonts w:cstheme="minorHAnsi"/>
          <w:sz w:val="20"/>
          <w:szCs w:val="20"/>
        </w:rPr>
        <w:t>H-MRS aIns (</w:t>
      </w:r>
      <w:r w:rsidRPr="00704696">
        <w:rPr>
          <w:rFonts w:cstheme="minorHAnsi"/>
          <w:i/>
          <w:iCs/>
          <w:sz w:val="20"/>
          <w:szCs w:val="20"/>
        </w:rPr>
        <w:t>N</w:t>
      </w:r>
      <w:r w:rsidRPr="00AA17B2">
        <w:rPr>
          <w:rFonts w:cstheme="minorHAnsi"/>
          <w:sz w:val="20"/>
          <w:szCs w:val="20"/>
        </w:rPr>
        <w:t xml:space="preserve"> = 60, right panel)</w:t>
      </w:r>
      <w:r>
        <w:rPr>
          <w:rFonts w:cstheme="minorHAnsi"/>
          <w:sz w:val="20"/>
          <w:szCs w:val="20"/>
        </w:rPr>
        <w:t xml:space="preserve"> for each individual (displayed in circles) looking independently for each task</w:t>
      </w:r>
      <w:r w:rsidRPr="00AA17B2">
        <w:rPr>
          <w:rFonts w:cstheme="minorHAnsi"/>
          <w:sz w:val="20"/>
          <w:szCs w:val="20"/>
        </w:rPr>
        <w:t xml:space="preserve">. The dmPFC/dACC activity </w:t>
      </w:r>
      <w:r>
        <w:rPr>
          <w:rFonts w:cstheme="minorHAnsi"/>
          <w:sz w:val="20"/>
          <w:szCs w:val="20"/>
        </w:rPr>
        <w:t>is</w:t>
      </w:r>
      <w:r w:rsidRPr="00AA17B2">
        <w:rPr>
          <w:rFonts w:cstheme="minorHAnsi"/>
          <w:sz w:val="20"/>
          <w:szCs w:val="20"/>
        </w:rPr>
        <w:t xml:space="preserve"> positively associated to Ech </w:t>
      </w:r>
      <w:r>
        <w:rPr>
          <w:rFonts w:cstheme="minorHAnsi"/>
          <w:sz w:val="20"/>
          <w:szCs w:val="20"/>
        </w:rPr>
        <w:t xml:space="preserve">in both the </w:t>
      </w:r>
      <w:r w:rsidRPr="00AA17B2">
        <w:rPr>
          <w:rFonts w:cstheme="minorHAnsi"/>
          <w:sz w:val="20"/>
          <w:szCs w:val="20"/>
        </w:rPr>
        <w:t>physical</w:t>
      </w:r>
      <w:r>
        <w:rPr>
          <w:rFonts w:cstheme="minorHAnsi"/>
          <w:sz w:val="20"/>
          <w:szCs w:val="20"/>
        </w:rPr>
        <w:t xml:space="preserve"> (</w:t>
      </w:r>
      <w:r>
        <w:rPr>
          <w:rFonts w:cstheme="minorHAnsi"/>
          <w:sz w:val="20"/>
          <w:szCs w:val="20"/>
          <w:lang w:val="el-GR"/>
        </w:rPr>
        <w:t>β</w:t>
      </w:r>
      <w:r w:rsidRPr="00373C18">
        <w:rPr>
          <w:rFonts w:cstheme="minorHAnsi"/>
          <w:sz w:val="20"/>
          <w:szCs w:val="20"/>
        </w:rPr>
        <w:t xml:space="preserve"> </w:t>
      </w:r>
      <w:r>
        <w:rPr>
          <w:rFonts w:cstheme="minorHAnsi"/>
          <w:sz w:val="20"/>
          <w:szCs w:val="20"/>
        </w:rPr>
        <w:t xml:space="preserve">= 0.516 ± 0.123, </w:t>
      </w:r>
      <w:r w:rsidRPr="00BB6C49">
        <w:rPr>
          <w:rFonts w:cstheme="minorHAnsi"/>
          <w:i/>
          <w:iCs/>
          <w:sz w:val="20"/>
          <w:szCs w:val="20"/>
        </w:rPr>
        <w:t>p</w:t>
      </w:r>
      <w:r>
        <w:rPr>
          <w:rFonts w:cstheme="minorHAnsi"/>
          <w:sz w:val="20"/>
          <w:szCs w:val="20"/>
        </w:rPr>
        <w:t xml:space="preserve"> &lt; 0.001)</w:t>
      </w:r>
      <w:r w:rsidRPr="00AA17B2">
        <w:rPr>
          <w:rFonts w:cstheme="minorHAnsi"/>
          <w:sz w:val="20"/>
          <w:szCs w:val="20"/>
        </w:rPr>
        <w:t xml:space="preserve"> and</w:t>
      </w:r>
      <w:r>
        <w:rPr>
          <w:rFonts w:cstheme="minorHAnsi"/>
          <w:sz w:val="20"/>
          <w:szCs w:val="20"/>
        </w:rPr>
        <w:t xml:space="preserve"> the</w:t>
      </w:r>
      <w:r w:rsidRPr="00AA17B2">
        <w:rPr>
          <w:rFonts w:cstheme="minorHAnsi"/>
          <w:sz w:val="20"/>
          <w:szCs w:val="20"/>
        </w:rPr>
        <w:t xml:space="preserve"> mental</w:t>
      </w:r>
      <w:r>
        <w:rPr>
          <w:rFonts w:cstheme="minorHAnsi"/>
          <w:sz w:val="20"/>
          <w:szCs w:val="20"/>
        </w:rPr>
        <w:t xml:space="preserve">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0.551 ± 0.098, </w:t>
      </w:r>
      <w:r w:rsidRPr="00BB6C49">
        <w:rPr>
          <w:rFonts w:cstheme="minorHAnsi"/>
          <w:i/>
          <w:iCs/>
          <w:sz w:val="20"/>
          <w:szCs w:val="20"/>
        </w:rPr>
        <w:t>p</w:t>
      </w:r>
      <w:r>
        <w:rPr>
          <w:rFonts w:cstheme="minorHAnsi"/>
          <w:sz w:val="20"/>
          <w:szCs w:val="20"/>
        </w:rPr>
        <w:t xml:space="preserve"> &lt; 0.001)</w:t>
      </w:r>
      <w:r w:rsidRPr="00AA17B2">
        <w:rPr>
          <w:rFonts w:cstheme="minorHAnsi"/>
          <w:sz w:val="20"/>
          <w:szCs w:val="20"/>
        </w:rPr>
        <w:t xml:space="preserve"> effort task</w:t>
      </w:r>
      <w:r>
        <w:rPr>
          <w:rFonts w:cstheme="minorHAnsi"/>
          <w:sz w:val="20"/>
          <w:szCs w:val="20"/>
        </w:rPr>
        <w:t>s, as well as with DT in both the physical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0.764 ± 0.141, </w:t>
      </w:r>
      <w:r w:rsidRPr="00BB6C49">
        <w:rPr>
          <w:rFonts w:cstheme="minorHAnsi"/>
          <w:i/>
          <w:iCs/>
          <w:sz w:val="20"/>
          <w:szCs w:val="20"/>
        </w:rPr>
        <w:t>p</w:t>
      </w:r>
      <w:r>
        <w:rPr>
          <w:rFonts w:cstheme="minorHAnsi"/>
          <w:sz w:val="20"/>
          <w:szCs w:val="20"/>
        </w:rPr>
        <w:t xml:space="preserve"> &lt; 0.001) and the mental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0.712 ± 0.123, </w:t>
      </w:r>
      <w:r w:rsidRPr="00BB6C49">
        <w:rPr>
          <w:rFonts w:cstheme="minorHAnsi"/>
          <w:i/>
          <w:iCs/>
          <w:sz w:val="20"/>
          <w:szCs w:val="20"/>
        </w:rPr>
        <w:t>p</w:t>
      </w:r>
      <w:r>
        <w:rPr>
          <w:rFonts w:cstheme="minorHAnsi"/>
          <w:sz w:val="20"/>
          <w:szCs w:val="20"/>
        </w:rPr>
        <w:t xml:space="preserve"> &lt; 0.001) effort tasks. It also correlated negatively with SVch in the mental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-0.283 ± 0.098, </w:t>
      </w:r>
      <w:r w:rsidRPr="00BB6C49">
        <w:rPr>
          <w:rFonts w:cstheme="minorHAnsi"/>
          <w:i/>
          <w:iCs/>
          <w:sz w:val="20"/>
          <w:szCs w:val="20"/>
        </w:rPr>
        <w:t>p</w:t>
      </w:r>
      <w:r>
        <w:rPr>
          <w:rFonts w:cstheme="minorHAnsi"/>
          <w:sz w:val="20"/>
          <w:szCs w:val="20"/>
        </w:rPr>
        <w:t xml:space="preserve"> = 0.005), but not in the physical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-0.012 ± 0.126, </w:t>
      </w:r>
      <w:r w:rsidRPr="00BB6C49">
        <w:rPr>
          <w:rFonts w:cstheme="minorHAnsi"/>
          <w:i/>
          <w:iCs/>
          <w:sz w:val="20"/>
          <w:szCs w:val="20"/>
        </w:rPr>
        <w:t>p</w:t>
      </w:r>
      <w:r>
        <w:rPr>
          <w:rFonts w:cstheme="minorHAnsi"/>
          <w:sz w:val="20"/>
          <w:szCs w:val="20"/>
        </w:rPr>
        <w:t xml:space="preserve"> = 0.927) task. The aIns correlated positively with Ech in both physical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0.471 ± 0.117, </w:t>
      </w:r>
      <w:r w:rsidRPr="00BB6C49">
        <w:rPr>
          <w:rFonts w:cstheme="minorHAnsi"/>
          <w:i/>
          <w:iCs/>
          <w:sz w:val="20"/>
          <w:szCs w:val="20"/>
        </w:rPr>
        <w:t>p</w:t>
      </w:r>
      <w:r>
        <w:rPr>
          <w:rFonts w:cstheme="minorHAnsi"/>
          <w:sz w:val="20"/>
          <w:szCs w:val="20"/>
        </w:rPr>
        <w:t xml:space="preserve"> &lt; 0.001) and mental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0.411 ± 0.094, </w:t>
      </w:r>
      <w:r w:rsidRPr="00BB6C49">
        <w:rPr>
          <w:rFonts w:cstheme="minorHAnsi"/>
          <w:i/>
          <w:iCs/>
          <w:sz w:val="20"/>
          <w:szCs w:val="20"/>
        </w:rPr>
        <w:t>p</w:t>
      </w:r>
      <w:r>
        <w:rPr>
          <w:rFonts w:cstheme="minorHAnsi"/>
          <w:sz w:val="20"/>
          <w:szCs w:val="20"/>
        </w:rPr>
        <w:t xml:space="preserve"> &lt; 0.001) effort tasks, as well as with DT in both physical (</w:t>
      </w:r>
      <w:r>
        <w:rPr>
          <w:rFonts w:cstheme="minorHAnsi"/>
          <w:sz w:val="20"/>
          <w:szCs w:val="20"/>
          <w:lang w:val="el-GR"/>
        </w:rPr>
        <w:t>β</w:t>
      </w:r>
      <w:r w:rsidRPr="00AA17B2">
        <w:rPr>
          <w:rFonts w:cstheme="minorHAnsi"/>
          <w:sz w:val="20"/>
          <w:szCs w:val="20"/>
        </w:rPr>
        <w:t xml:space="preserve"> </w:t>
      </w:r>
      <w:r>
        <w:rPr>
          <w:rFonts w:cstheme="minorHAnsi"/>
          <w:sz w:val="20"/>
          <w:szCs w:val="20"/>
        </w:rPr>
        <w:t>= 0.466 ± 0.112, p &lt; 0.001) and mental effort tasks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0.534 ± 0.120, </w:t>
      </w:r>
      <w:r w:rsidRPr="00BB6C49">
        <w:rPr>
          <w:rFonts w:cstheme="minorHAnsi"/>
          <w:i/>
          <w:iCs/>
          <w:sz w:val="20"/>
          <w:szCs w:val="20"/>
        </w:rPr>
        <w:t>p</w:t>
      </w:r>
      <w:r>
        <w:rPr>
          <w:rFonts w:cstheme="minorHAnsi"/>
          <w:sz w:val="20"/>
          <w:szCs w:val="20"/>
        </w:rPr>
        <w:t xml:space="preserve"> &lt; 0.001), but it did not significantly correlate to SVch, neither in the physical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0.025 ± 0.100, </w:t>
      </w:r>
      <w:r w:rsidRPr="0057237F">
        <w:rPr>
          <w:rFonts w:cstheme="minorHAnsi"/>
          <w:i/>
          <w:iCs/>
          <w:sz w:val="20"/>
          <w:szCs w:val="20"/>
        </w:rPr>
        <w:t>p</w:t>
      </w:r>
      <w:r>
        <w:rPr>
          <w:rFonts w:cstheme="minorHAnsi"/>
          <w:sz w:val="20"/>
          <w:szCs w:val="20"/>
        </w:rPr>
        <w:t xml:space="preserve"> = 0.806), nor in the mental (</w:t>
      </w:r>
      <w:r>
        <w:rPr>
          <w:rFonts w:cstheme="minorHAnsi"/>
          <w:sz w:val="20"/>
          <w:szCs w:val="20"/>
          <w:lang w:val="el-GR"/>
        </w:rPr>
        <w:t>β</w:t>
      </w:r>
      <w:r w:rsidRPr="00AA17B2">
        <w:rPr>
          <w:rFonts w:cstheme="minorHAnsi"/>
          <w:sz w:val="20"/>
          <w:szCs w:val="20"/>
        </w:rPr>
        <w:t xml:space="preserve"> </w:t>
      </w:r>
      <w:r>
        <w:rPr>
          <w:rFonts w:cstheme="minorHAnsi"/>
          <w:sz w:val="20"/>
          <w:szCs w:val="20"/>
        </w:rPr>
        <w:t xml:space="preserve">= -0.128 ± 0.091, </w:t>
      </w:r>
      <w:r w:rsidRPr="0057237F">
        <w:rPr>
          <w:rFonts w:cstheme="minorHAnsi"/>
          <w:i/>
          <w:iCs/>
          <w:sz w:val="20"/>
          <w:szCs w:val="20"/>
        </w:rPr>
        <w:t>p</w:t>
      </w:r>
      <w:r>
        <w:rPr>
          <w:rFonts w:cstheme="minorHAnsi"/>
          <w:sz w:val="20"/>
          <w:szCs w:val="20"/>
        </w:rPr>
        <w:t xml:space="preserve"> = 0.165) effort task.</w:t>
      </w:r>
      <w:r w:rsidRPr="00AA17B2">
        <w:rPr>
          <w:rFonts w:cstheme="minorHAnsi"/>
          <w:sz w:val="20"/>
          <w:szCs w:val="20"/>
        </w:rPr>
        <w:t xml:space="preserve"> Significance of Student t-tests against zero: ***</w:t>
      </w:r>
      <w:r w:rsidRPr="00BB6C49">
        <w:rPr>
          <w:rFonts w:cstheme="minorHAnsi"/>
          <w:i/>
          <w:iCs/>
          <w:sz w:val="20"/>
          <w:szCs w:val="20"/>
        </w:rPr>
        <w:t>p</w:t>
      </w:r>
      <w:r w:rsidR="0057237F">
        <w:rPr>
          <w:rFonts w:cstheme="minorHAnsi"/>
          <w:i/>
          <w:iCs/>
          <w:sz w:val="20"/>
          <w:szCs w:val="20"/>
        </w:rPr>
        <w:t xml:space="preserve"> </w:t>
      </w:r>
      <w:r w:rsidRPr="00AA17B2">
        <w:rPr>
          <w:rFonts w:cstheme="minorHAnsi"/>
          <w:sz w:val="20"/>
          <w:szCs w:val="20"/>
        </w:rPr>
        <w:t>&lt;</w:t>
      </w:r>
      <w:r w:rsidR="0057237F">
        <w:rPr>
          <w:rFonts w:cstheme="minorHAnsi"/>
          <w:sz w:val="20"/>
          <w:szCs w:val="20"/>
        </w:rPr>
        <w:t xml:space="preserve"> </w:t>
      </w:r>
      <w:r w:rsidRPr="00AA17B2">
        <w:rPr>
          <w:rFonts w:cstheme="minorHAnsi"/>
          <w:sz w:val="20"/>
          <w:szCs w:val="20"/>
        </w:rPr>
        <w:t>0.001; **</w:t>
      </w:r>
      <w:r w:rsidRPr="00BB6C49">
        <w:rPr>
          <w:rFonts w:cstheme="minorHAnsi"/>
          <w:i/>
          <w:iCs/>
          <w:sz w:val="20"/>
          <w:szCs w:val="20"/>
        </w:rPr>
        <w:t>p</w:t>
      </w:r>
      <w:r w:rsidR="0057237F">
        <w:rPr>
          <w:rFonts w:cstheme="minorHAnsi"/>
          <w:i/>
          <w:iCs/>
          <w:sz w:val="20"/>
          <w:szCs w:val="20"/>
        </w:rPr>
        <w:t xml:space="preserve"> </w:t>
      </w:r>
      <w:r w:rsidRPr="00AA17B2">
        <w:rPr>
          <w:rFonts w:cstheme="minorHAnsi"/>
          <w:sz w:val="20"/>
          <w:szCs w:val="20"/>
        </w:rPr>
        <w:t>&lt;</w:t>
      </w:r>
      <w:r w:rsidR="0057237F">
        <w:rPr>
          <w:rFonts w:cstheme="minorHAnsi"/>
          <w:sz w:val="20"/>
          <w:szCs w:val="20"/>
        </w:rPr>
        <w:t xml:space="preserve"> </w:t>
      </w:r>
      <w:r w:rsidRPr="00AA17B2">
        <w:rPr>
          <w:rFonts w:cstheme="minorHAnsi"/>
          <w:sz w:val="20"/>
          <w:szCs w:val="20"/>
        </w:rPr>
        <w:t>0.01; *</w:t>
      </w:r>
      <w:r w:rsidRPr="00BB6C49">
        <w:rPr>
          <w:rFonts w:cstheme="minorHAnsi"/>
          <w:i/>
          <w:iCs/>
          <w:sz w:val="20"/>
          <w:szCs w:val="20"/>
        </w:rPr>
        <w:t>p</w:t>
      </w:r>
      <w:r w:rsidR="0057237F">
        <w:rPr>
          <w:rFonts w:cstheme="minorHAnsi"/>
          <w:i/>
          <w:iCs/>
          <w:sz w:val="20"/>
          <w:szCs w:val="20"/>
        </w:rPr>
        <w:t xml:space="preserve"> </w:t>
      </w:r>
      <w:r w:rsidRPr="00AA17B2">
        <w:rPr>
          <w:rFonts w:cstheme="minorHAnsi"/>
          <w:sz w:val="20"/>
          <w:szCs w:val="20"/>
        </w:rPr>
        <w:t>&lt;</w:t>
      </w:r>
      <w:r w:rsidR="0057237F">
        <w:rPr>
          <w:rFonts w:cstheme="minorHAnsi"/>
          <w:sz w:val="20"/>
          <w:szCs w:val="20"/>
        </w:rPr>
        <w:t xml:space="preserve"> </w:t>
      </w:r>
      <w:r w:rsidRPr="00AA17B2">
        <w:rPr>
          <w:rFonts w:cstheme="minorHAnsi"/>
          <w:sz w:val="20"/>
          <w:szCs w:val="20"/>
        </w:rPr>
        <w:t>0.05.</w:t>
      </w:r>
      <w:r>
        <w:br w:type="page"/>
      </w:r>
    </w:p>
    <w:p w14:paraId="1D39960C" w14:textId="77777777" w:rsidR="007947C6" w:rsidRDefault="007947C6" w:rsidP="007947C6">
      <w:pPr>
        <w:jc w:val="center"/>
      </w:pPr>
    </w:p>
    <w:p w14:paraId="453E0B3F" w14:textId="77777777" w:rsidR="007947C6" w:rsidRDefault="007947C6" w:rsidP="007947C6">
      <w:pPr>
        <w:jc w:val="center"/>
      </w:pPr>
    </w:p>
    <w:p w14:paraId="78425543" w14:textId="77777777" w:rsidR="007947C6" w:rsidRDefault="007947C6" w:rsidP="007947C6">
      <w:pPr>
        <w:jc w:val="center"/>
      </w:pPr>
      <w:r>
        <w:rPr>
          <w:noProof/>
        </w:rPr>
        <w:drawing>
          <wp:inline distT="0" distB="0" distL="0" distR="0" wp14:anchorId="1D6D1566" wp14:editId="2CACCAFD">
            <wp:extent cx="4333875" cy="3333750"/>
            <wp:effectExtent l="0" t="0" r="9525" b="0"/>
            <wp:docPr id="2013631887" name="Image 11" descr="Une image contenant texte, Imagerie médicale, capture d’écran, radiolog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31887" name="Image 11" descr="Une image contenant texte, Imagerie médicale, capture d’écran, radiologie&#10;&#10;Description générée automatiquemen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33875" cy="3333750"/>
                    </a:xfrm>
                    <a:prstGeom prst="rect">
                      <a:avLst/>
                    </a:prstGeom>
                    <a:noFill/>
                    <a:ln>
                      <a:noFill/>
                    </a:ln>
                  </pic:spPr>
                </pic:pic>
              </a:graphicData>
            </a:graphic>
          </wp:inline>
        </w:drawing>
      </w:r>
    </w:p>
    <w:p w14:paraId="23CDE254" w14:textId="77777777" w:rsidR="007947C6" w:rsidRDefault="007947C6" w:rsidP="007947C6">
      <w:pPr>
        <w:pStyle w:val="Titre3"/>
      </w:pPr>
      <w:r>
        <w:t>Figure S3-2: Neural correlates of -SVch and DT and overlap between Ech, -SVch and DT dmPFC/dACC clusters.</w:t>
      </w:r>
    </w:p>
    <w:p w14:paraId="2C707514" w14:textId="53E7114B" w:rsidR="007947C6" w:rsidRDefault="007947C6" w:rsidP="007947C6">
      <w:pPr>
        <w:spacing w:after="160" w:line="259" w:lineRule="auto"/>
        <w:rPr>
          <w:rFonts w:cstheme="minorHAnsi"/>
        </w:rPr>
      </w:pPr>
      <w:r w:rsidRPr="00373C18">
        <w:rPr>
          <w:rFonts w:cstheme="minorHAnsi"/>
          <w:b/>
          <w:bCs/>
          <w:sz w:val="20"/>
          <w:szCs w:val="20"/>
        </w:rPr>
        <w:t>A</w:t>
      </w:r>
      <w:r>
        <w:rPr>
          <w:rFonts w:cstheme="minorHAnsi"/>
          <w:sz w:val="20"/>
          <w:szCs w:val="20"/>
        </w:rPr>
        <w:t xml:space="preserve"> </w:t>
      </w:r>
      <w:r>
        <w:rPr>
          <w:sz w:val="20"/>
          <w:szCs w:val="20"/>
        </w:rPr>
        <w:t>Negative neural</w:t>
      </w:r>
      <w:r w:rsidRPr="00AA17B2">
        <w:rPr>
          <w:sz w:val="20"/>
          <w:szCs w:val="20"/>
        </w:rPr>
        <w:t xml:space="preserve"> </w:t>
      </w:r>
      <w:r>
        <w:rPr>
          <w:sz w:val="20"/>
          <w:szCs w:val="20"/>
        </w:rPr>
        <w:t>correlates</w:t>
      </w:r>
      <w:r w:rsidRPr="00AA17B2">
        <w:rPr>
          <w:sz w:val="20"/>
          <w:szCs w:val="20"/>
        </w:rPr>
        <w:t xml:space="preserve"> </w:t>
      </w:r>
      <w:r>
        <w:rPr>
          <w:sz w:val="20"/>
          <w:szCs w:val="20"/>
        </w:rPr>
        <w:t>of the subjective value of the chosen</w:t>
      </w:r>
      <w:r w:rsidRPr="00AA17B2">
        <w:rPr>
          <w:sz w:val="20"/>
          <w:szCs w:val="20"/>
        </w:rPr>
        <w:t xml:space="preserve"> </w:t>
      </w:r>
      <w:r>
        <w:rPr>
          <w:sz w:val="20"/>
          <w:szCs w:val="20"/>
        </w:rPr>
        <w:t xml:space="preserve">option </w:t>
      </w:r>
      <w:r w:rsidRPr="00AA17B2">
        <w:rPr>
          <w:sz w:val="20"/>
          <w:szCs w:val="20"/>
        </w:rPr>
        <w:t>(</w:t>
      </w:r>
      <w:r>
        <w:rPr>
          <w:sz w:val="20"/>
          <w:szCs w:val="20"/>
        </w:rPr>
        <w:t>SV</w:t>
      </w:r>
      <w:r w:rsidRPr="00AA17B2">
        <w:rPr>
          <w:sz w:val="20"/>
          <w:szCs w:val="20"/>
        </w:rPr>
        <w:t>ch) across tasks. A t.test against zero across participants (</w:t>
      </w:r>
      <w:r w:rsidRPr="00704696">
        <w:rPr>
          <w:i/>
          <w:iCs/>
          <w:sz w:val="20"/>
          <w:szCs w:val="20"/>
        </w:rPr>
        <w:t>N</w:t>
      </w:r>
      <w:r w:rsidRPr="00AA17B2">
        <w:rPr>
          <w:sz w:val="20"/>
          <w:szCs w:val="20"/>
        </w:rPr>
        <w:t xml:space="preserve"> = 63) reveals </w:t>
      </w:r>
      <w:r>
        <w:rPr>
          <w:sz w:val="20"/>
          <w:szCs w:val="20"/>
        </w:rPr>
        <w:t>only one cluster, centered in the</w:t>
      </w:r>
      <w:r w:rsidRPr="00AA17B2">
        <w:rPr>
          <w:sz w:val="20"/>
          <w:szCs w:val="20"/>
        </w:rPr>
        <w:t xml:space="preserve"> dmPFC/dACC</w:t>
      </w:r>
      <w:r>
        <w:rPr>
          <w:sz w:val="20"/>
          <w:szCs w:val="20"/>
        </w:rPr>
        <w:t xml:space="preserve"> (x = -4, y = 26, z = 38; k = 266; </w:t>
      </w:r>
      <w:r w:rsidRPr="00BB6C49">
        <w:rPr>
          <w:i/>
          <w:iCs/>
          <w:sz w:val="20"/>
          <w:szCs w:val="20"/>
        </w:rPr>
        <w:t>p</w:t>
      </w:r>
      <w:r>
        <w:rPr>
          <w:sz w:val="20"/>
          <w:szCs w:val="20"/>
        </w:rPr>
        <w:t xml:space="preserve"> = 0.044)</w:t>
      </w:r>
      <w:r w:rsidRPr="00AA17B2">
        <w:rPr>
          <w:sz w:val="20"/>
          <w:szCs w:val="20"/>
        </w:rPr>
        <w:t xml:space="preserve">, voxel-wise thresholded at </w:t>
      </w:r>
      <w:r w:rsidRPr="00BB6C49">
        <w:rPr>
          <w:i/>
          <w:iCs/>
          <w:sz w:val="20"/>
          <w:szCs w:val="20"/>
        </w:rPr>
        <w:t>p</w:t>
      </w:r>
      <w:r w:rsidRPr="00AA17B2">
        <w:rPr>
          <w:sz w:val="20"/>
          <w:szCs w:val="20"/>
        </w:rPr>
        <w:t xml:space="preserve"> &lt; 0.001 </w:t>
      </w:r>
      <w:r>
        <w:rPr>
          <w:sz w:val="20"/>
          <w:szCs w:val="20"/>
        </w:rPr>
        <w:t xml:space="preserve">uncorrected for multiple comparisons but cluster-wise thresholded at </w:t>
      </w:r>
      <w:r w:rsidRPr="00BB6C49">
        <w:rPr>
          <w:i/>
          <w:iCs/>
          <w:sz w:val="20"/>
          <w:szCs w:val="20"/>
        </w:rPr>
        <w:t>p</w:t>
      </w:r>
      <w:r>
        <w:rPr>
          <w:sz w:val="20"/>
          <w:szCs w:val="20"/>
        </w:rPr>
        <w:t xml:space="preserve"> &lt; 0.05 </w:t>
      </w:r>
      <w:r w:rsidRPr="00AA17B2">
        <w:rPr>
          <w:sz w:val="20"/>
          <w:szCs w:val="20"/>
        </w:rPr>
        <w:t>after family-wise error (FWE) correction for multiple comparisons</w:t>
      </w:r>
      <w:r>
        <w:rPr>
          <w:sz w:val="20"/>
          <w:szCs w:val="20"/>
        </w:rPr>
        <w:t xml:space="preserve">. Note that no cluster survives with a voxel-wise threshold of </w:t>
      </w:r>
      <w:r w:rsidRPr="00BB6C49">
        <w:rPr>
          <w:i/>
          <w:iCs/>
          <w:sz w:val="20"/>
          <w:szCs w:val="20"/>
        </w:rPr>
        <w:t>p</w:t>
      </w:r>
      <w:r>
        <w:rPr>
          <w:sz w:val="20"/>
          <w:szCs w:val="20"/>
        </w:rPr>
        <w:t xml:space="preserve"> &lt; 0.05 after FWE correction for multiple comparisons. </w:t>
      </w:r>
      <w:r>
        <w:rPr>
          <w:b/>
          <w:bCs/>
          <w:sz w:val="20"/>
          <w:szCs w:val="20"/>
        </w:rPr>
        <w:t>B</w:t>
      </w:r>
      <w:r>
        <w:rPr>
          <w:sz w:val="20"/>
          <w:szCs w:val="20"/>
        </w:rPr>
        <w:t xml:space="preserve"> Neural correlates of deliberation times (DT) across tasks. A t.test against zero across participants (</w:t>
      </w:r>
      <w:r w:rsidRPr="00704696">
        <w:rPr>
          <w:i/>
          <w:iCs/>
          <w:sz w:val="20"/>
          <w:szCs w:val="20"/>
        </w:rPr>
        <w:t>N</w:t>
      </w:r>
      <w:r>
        <w:rPr>
          <w:sz w:val="20"/>
          <w:szCs w:val="20"/>
        </w:rPr>
        <w:t xml:space="preserve"> = 63), voxel-wise thresholded at </w:t>
      </w:r>
      <w:r w:rsidRPr="00BB6C49">
        <w:rPr>
          <w:i/>
          <w:iCs/>
          <w:sz w:val="20"/>
          <w:szCs w:val="20"/>
        </w:rPr>
        <w:t>p</w:t>
      </w:r>
      <w:r>
        <w:rPr>
          <w:sz w:val="20"/>
          <w:szCs w:val="20"/>
        </w:rPr>
        <w:t xml:space="preserve"> &lt; 0.001 after FWE correction for multiple comparisons, rev</w:t>
      </w:r>
      <w:r>
        <w:rPr>
          <w:rFonts w:cstheme="minorHAnsi"/>
          <w:sz w:val="20"/>
          <w:szCs w:val="20"/>
        </w:rPr>
        <w:t xml:space="preserve">eals a widespread network including important clusters in the dmPFC/dACC (x = -4, y = 24, z = 42; k = 1567; </w:t>
      </w:r>
      <w:r w:rsidRPr="00BB6C49">
        <w:rPr>
          <w:rFonts w:cstheme="minorHAnsi"/>
          <w:i/>
          <w:iCs/>
          <w:sz w:val="20"/>
          <w:szCs w:val="20"/>
        </w:rPr>
        <w:t>p</w:t>
      </w:r>
      <w:r>
        <w:rPr>
          <w:rFonts w:cstheme="minorHAnsi"/>
          <w:sz w:val="20"/>
          <w:szCs w:val="20"/>
        </w:rPr>
        <w:t xml:space="preserve"> &lt; 0.001) highlighted in the figure, as well as in the left (x = -48, y = 22, z = 28; k = 2543; </w:t>
      </w:r>
      <w:r w:rsidRPr="00BB6C49">
        <w:rPr>
          <w:rFonts w:cstheme="minorHAnsi"/>
          <w:i/>
          <w:iCs/>
          <w:sz w:val="20"/>
          <w:szCs w:val="20"/>
        </w:rPr>
        <w:t>p</w:t>
      </w:r>
      <w:r>
        <w:rPr>
          <w:rFonts w:cstheme="minorHAnsi"/>
          <w:sz w:val="20"/>
          <w:szCs w:val="20"/>
        </w:rPr>
        <w:t xml:space="preserve"> &lt; 0.001) and right (x = 42, y = 20, z = 42; k = 319; </w:t>
      </w:r>
      <w:r w:rsidRPr="00BB6C49">
        <w:rPr>
          <w:rFonts w:cstheme="minorHAnsi"/>
          <w:i/>
          <w:iCs/>
          <w:sz w:val="20"/>
          <w:szCs w:val="20"/>
        </w:rPr>
        <w:t>p</w:t>
      </w:r>
      <w:r>
        <w:rPr>
          <w:rFonts w:cstheme="minorHAnsi"/>
          <w:sz w:val="20"/>
          <w:szCs w:val="20"/>
        </w:rPr>
        <w:t xml:space="preserve"> &lt; 0.001) dorsolateral prefrontal cortex (dlPFC) and in the left (x = -34, y = 18, z = 0; k = 2543; </w:t>
      </w:r>
      <w:r w:rsidRPr="00BB6C49">
        <w:rPr>
          <w:rFonts w:cstheme="minorHAnsi"/>
          <w:i/>
          <w:iCs/>
          <w:sz w:val="20"/>
          <w:szCs w:val="20"/>
        </w:rPr>
        <w:t>p</w:t>
      </w:r>
      <w:r>
        <w:rPr>
          <w:rFonts w:cstheme="minorHAnsi"/>
          <w:sz w:val="20"/>
          <w:szCs w:val="20"/>
        </w:rPr>
        <w:t xml:space="preserve"> &lt; 0.001) and right (x = 34, y = 24, z = -2; k = 345; </w:t>
      </w:r>
      <w:r w:rsidRPr="00BB6C49">
        <w:rPr>
          <w:rFonts w:cstheme="minorHAnsi"/>
          <w:i/>
          <w:iCs/>
          <w:sz w:val="20"/>
          <w:szCs w:val="20"/>
        </w:rPr>
        <w:t>p</w:t>
      </w:r>
      <w:r>
        <w:rPr>
          <w:rFonts w:cstheme="minorHAnsi"/>
          <w:sz w:val="20"/>
          <w:szCs w:val="20"/>
        </w:rPr>
        <w:t xml:space="preserve"> &lt; 0.001) aIns. </w:t>
      </w:r>
      <w:r>
        <w:rPr>
          <w:rFonts w:cstheme="minorHAnsi"/>
          <w:b/>
          <w:bCs/>
          <w:sz w:val="20"/>
          <w:szCs w:val="20"/>
        </w:rPr>
        <w:t>C</w:t>
      </w:r>
      <w:r w:rsidRPr="00373C18">
        <w:rPr>
          <w:rFonts w:cstheme="minorHAnsi"/>
          <w:sz w:val="20"/>
          <w:szCs w:val="20"/>
        </w:rPr>
        <w:t xml:space="preserve"> Overlap between the effort chosen (Ech, in blue) and the negative subjective value (-SVch, in red) dmPFC/dACC cluster</w:t>
      </w:r>
      <w:r>
        <w:rPr>
          <w:rFonts w:cstheme="minorHAnsi"/>
          <w:sz w:val="20"/>
          <w:szCs w:val="20"/>
        </w:rPr>
        <w:t>s</w:t>
      </w:r>
      <w:r w:rsidRPr="00373C18">
        <w:rPr>
          <w:rFonts w:cstheme="minorHAnsi"/>
          <w:sz w:val="20"/>
          <w:szCs w:val="20"/>
        </w:rPr>
        <w:t xml:space="preserve">. </w:t>
      </w:r>
      <w:r>
        <w:rPr>
          <w:rFonts w:cstheme="minorHAnsi"/>
          <w:b/>
          <w:bCs/>
          <w:sz w:val="20"/>
          <w:szCs w:val="20"/>
        </w:rPr>
        <w:t>D</w:t>
      </w:r>
      <w:r w:rsidRPr="00373C18">
        <w:rPr>
          <w:rFonts w:cstheme="minorHAnsi"/>
          <w:sz w:val="20"/>
          <w:szCs w:val="20"/>
        </w:rPr>
        <w:t xml:space="preserve"> Overlap between the effort chosen (Ech, in blue) and the deliberation times (DT, in beige) dmPFC/dACC cluster</w:t>
      </w:r>
      <w:r>
        <w:rPr>
          <w:rFonts w:cstheme="minorHAnsi"/>
          <w:sz w:val="20"/>
          <w:szCs w:val="20"/>
        </w:rPr>
        <w:t>s</w:t>
      </w:r>
      <w:r w:rsidRPr="00373C18">
        <w:rPr>
          <w:rFonts w:cstheme="minorHAnsi"/>
          <w:sz w:val="20"/>
          <w:szCs w:val="20"/>
        </w:rPr>
        <w:t>. All fMRI clusters are overlaid on the anatomical average of the 63 subjects included in the study</w:t>
      </w:r>
      <w:r>
        <w:rPr>
          <w:rFonts w:cstheme="minorHAnsi"/>
          <w:sz w:val="20"/>
          <w:szCs w:val="20"/>
        </w:rPr>
        <w:t xml:space="preserve"> in MNI space</w:t>
      </w:r>
      <w:r w:rsidRPr="00373C18">
        <w:rPr>
          <w:rFonts w:cstheme="minorHAnsi"/>
          <w:sz w:val="20"/>
          <w:szCs w:val="20"/>
        </w:rPr>
        <w:t>.</w:t>
      </w:r>
      <w:r>
        <w:rPr>
          <w:rFonts w:cstheme="minorHAnsi"/>
        </w:rPr>
        <w:br w:type="page"/>
      </w:r>
    </w:p>
    <w:p w14:paraId="71483B75" w14:textId="77777777" w:rsidR="007947C6" w:rsidRDefault="007947C6" w:rsidP="007947C6">
      <w:pPr>
        <w:spacing w:after="160" w:line="259" w:lineRule="auto"/>
        <w:jc w:val="left"/>
      </w:pPr>
    </w:p>
    <w:p w14:paraId="7B1DE45F" w14:textId="77777777" w:rsidR="007947C6" w:rsidRPr="001632B6" w:rsidRDefault="007947C6" w:rsidP="007947C6"/>
    <w:p w14:paraId="44CF0DDE" w14:textId="77777777" w:rsidR="007947C6" w:rsidRPr="001632B6" w:rsidRDefault="007947C6" w:rsidP="007947C6">
      <w:pPr>
        <w:spacing w:after="160" w:line="259" w:lineRule="auto"/>
        <w:jc w:val="center"/>
        <w:rPr>
          <w:rFonts w:cstheme="minorHAnsi"/>
        </w:rPr>
      </w:pPr>
      <w:r>
        <w:rPr>
          <w:rFonts w:cstheme="minorHAnsi"/>
          <w:noProof/>
        </w:rPr>
        <w:drawing>
          <wp:inline distT="0" distB="0" distL="0" distR="0" wp14:anchorId="6A55D684" wp14:editId="7BF42705">
            <wp:extent cx="4105275" cy="3638550"/>
            <wp:effectExtent l="0" t="0" r="9525" b="0"/>
            <wp:docPr id="1588342032" name="Image 12" descr="Une image contenant origami, diagramm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42032" name="Image 12" descr="Une image contenant origami, diagramme, texte&#10;&#10;Description générée automatiquemen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05275" cy="3638550"/>
                    </a:xfrm>
                    <a:prstGeom prst="rect">
                      <a:avLst/>
                    </a:prstGeom>
                    <a:noFill/>
                    <a:ln>
                      <a:noFill/>
                    </a:ln>
                  </pic:spPr>
                </pic:pic>
              </a:graphicData>
            </a:graphic>
          </wp:inline>
        </w:drawing>
      </w:r>
    </w:p>
    <w:p w14:paraId="5653D324" w14:textId="77777777" w:rsidR="007947C6" w:rsidRPr="001632B6" w:rsidRDefault="007947C6" w:rsidP="007947C6">
      <w:pPr>
        <w:pStyle w:val="Titre3"/>
        <w:rPr>
          <w:rFonts w:cstheme="minorHAnsi"/>
        </w:rPr>
      </w:pPr>
      <w:r w:rsidRPr="001632B6">
        <w:rPr>
          <w:rFonts w:cstheme="minorHAnsi"/>
        </w:rPr>
        <w:t>Figure S</w:t>
      </w:r>
      <w:r>
        <w:rPr>
          <w:rFonts w:cstheme="minorHAnsi"/>
        </w:rPr>
        <w:t>3</w:t>
      </w:r>
      <w:r w:rsidRPr="001632B6">
        <w:rPr>
          <w:rFonts w:cstheme="minorHAnsi"/>
        </w:rPr>
        <w:t>-</w:t>
      </w:r>
      <w:r>
        <w:rPr>
          <w:rFonts w:cstheme="minorHAnsi"/>
        </w:rPr>
        <w:t>3</w:t>
      </w:r>
      <w:r w:rsidRPr="001632B6">
        <w:rPr>
          <w:rFonts w:cstheme="minorHAnsi"/>
        </w:rPr>
        <w:t xml:space="preserve">: dmPFC/dACC (left panel) and aIns (right panel) activity </w:t>
      </w:r>
      <w:r>
        <w:rPr>
          <w:rFonts w:cstheme="minorHAnsi"/>
        </w:rPr>
        <w:t>regression estimates</w:t>
      </w:r>
      <w:r w:rsidRPr="001632B6">
        <w:rPr>
          <w:rFonts w:cstheme="minorHAnsi"/>
        </w:rPr>
        <w:t xml:space="preserve"> </w:t>
      </w:r>
      <w:r>
        <w:rPr>
          <w:rFonts w:cstheme="minorHAnsi"/>
        </w:rPr>
        <w:t>for</w:t>
      </w:r>
      <w:r w:rsidRPr="001632B6">
        <w:rPr>
          <w:rFonts w:cstheme="minorHAnsi"/>
        </w:rPr>
        <w:t xml:space="preserve"> </w:t>
      </w:r>
      <w:r>
        <w:rPr>
          <w:rFonts w:cstheme="minorHAnsi"/>
        </w:rPr>
        <w:t>effort chosen (</w:t>
      </w:r>
      <w:r w:rsidRPr="001632B6">
        <w:rPr>
          <w:rFonts w:cstheme="minorHAnsi"/>
        </w:rPr>
        <w:t>Ech</w:t>
      </w:r>
      <w:r>
        <w:rPr>
          <w:rFonts w:cstheme="minorHAnsi"/>
        </w:rPr>
        <w:t>)</w:t>
      </w:r>
      <w:r w:rsidRPr="001632B6">
        <w:rPr>
          <w:rFonts w:cstheme="minorHAnsi"/>
        </w:rPr>
        <w:t xml:space="preserve">, </w:t>
      </w:r>
      <w:r>
        <w:rPr>
          <w:rFonts w:cstheme="minorHAnsi"/>
        </w:rPr>
        <w:t>subjective value of the chosen option (</w:t>
      </w:r>
      <w:r w:rsidRPr="001632B6">
        <w:rPr>
          <w:rFonts w:cstheme="minorHAnsi"/>
        </w:rPr>
        <w:t>SVch</w:t>
      </w:r>
      <w:r>
        <w:rPr>
          <w:rFonts w:cstheme="minorHAnsi"/>
        </w:rPr>
        <w:t>)</w:t>
      </w:r>
      <w:r w:rsidRPr="001632B6">
        <w:rPr>
          <w:rFonts w:cstheme="minorHAnsi"/>
        </w:rPr>
        <w:t xml:space="preserve"> and </w:t>
      </w:r>
      <w:r>
        <w:rPr>
          <w:rFonts w:cstheme="minorHAnsi"/>
        </w:rPr>
        <w:t>deliberation time (</w:t>
      </w:r>
      <w:r w:rsidRPr="001632B6">
        <w:rPr>
          <w:rFonts w:cstheme="minorHAnsi"/>
        </w:rPr>
        <w:t>DT</w:t>
      </w:r>
      <w:r>
        <w:rPr>
          <w:rFonts w:cstheme="minorHAnsi"/>
        </w:rPr>
        <w:t>)</w:t>
      </w:r>
      <w:r w:rsidRPr="001632B6">
        <w:rPr>
          <w:rFonts w:cstheme="minorHAnsi"/>
        </w:rPr>
        <w:t xml:space="preserve"> when variables are orthogonalized.</w:t>
      </w:r>
    </w:p>
    <w:p w14:paraId="68D7EF95" w14:textId="4F0E03C9" w:rsidR="007947C6" w:rsidRDefault="007947C6" w:rsidP="007947C6">
      <w:pPr>
        <w:rPr>
          <w:rFonts w:cstheme="minorHAnsi"/>
        </w:rPr>
      </w:pPr>
      <w:r w:rsidRPr="00373C18">
        <w:rPr>
          <w:rFonts w:cstheme="minorHAnsi"/>
          <w:sz w:val="20"/>
          <w:szCs w:val="20"/>
        </w:rPr>
        <w:t xml:space="preserve">Data has been extracted in the dmPFC/dACC (left column) and in the aIns (right column) for </w:t>
      </w:r>
      <w:r w:rsidRPr="00373C18">
        <w:rPr>
          <w:rFonts w:cstheme="minorHAnsi"/>
          <w:b/>
          <w:bCs/>
          <w:sz w:val="20"/>
          <w:szCs w:val="20"/>
        </w:rPr>
        <w:t>A</w:t>
      </w:r>
      <w:r>
        <w:rPr>
          <w:rFonts w:cstheme="minorHAnsi"/>
          <w:sz w:val="20"/>
          <w:szCs w:val="20"/>
        </w:rPr>
        <w:t xml:space="preserve"> </w:t>
      </w:r>
      <w:r w:rsidRPr="00373C18">
        <w:rPr>
          <w:rFonts w:cstheme="minorHAnsi"/>
          <w:sz w:val="20"/>
          <w:szCs w:val="20"/>
        </w:rPr>
        <w:t xml:space="preserve">GLM2 where variables are orthogonalized in the DT/SVch/Ech order and </w:t>
      </w:r>
      <w:r w:rsidRPr="00373C18">
        <w:rPr>
          <w:rFonts w:cstheme="minorHAnsi"/>
          <w:b/>
          <w:bCs/>
          <w:sz w:val="20"/>
          <w:szCs w:val="20"/>
        </w:rPr>
        <w:t>B</w:t>
      </w:r>
      <w:r>
        <w:rPr>
          <w:rFonts w:cstheme="minorHAnsi"/>
          <w:sz w:val="20"/>
          <w:szCs w:val="20"/>
        </w:rPr>
        <w:t xml:space="preserve"> </w:t>
      </w:r>
      <w:r w:rsidRPr="00373C18">
        <w:rPr>
          <w:rFonts w:cstheme="minorHAnsi"/>
          <w:sz w:val="20"/>
          <w:szCs w:val="20"/>
        </w:rPr>
        <w:t xml:space="preserve">for GLM3 where variables are orthogonalized in the Ech/SVch/DT order. </w:t>
      </w:r>
      <w:r>
        <w:rPr>
          <w:rFonts w:cstheme="minorHAnsi"/>
          <w:sz w:val="20"/>
          <w:szCs w:val="20"/>
        </w:rPr>
        <w:t>In all panels, t</w:t>
      </w:r>
      <w:r w:rsidRPr="00373C18">
        <w:rPr>
          <w:rFonts w:cstheme="minorHAnsi"/>
          <w:sz w:val="20"/>
          <w:szCs w:val="20"/>
        </w:rPr>
        <w:t>he violin plots represent the regression estimates for each regressor included in the GLM at the time of choice (</w:t>
      </w:r>
      <w:r w:rsidRPr="00704696">
        <w:rPr>
          <w:rFonts w:cstheme="minorHAnsi"/>
          <w:i/>
          <w:iCs/>
          <w:sz w:val="20"/>
          <w:szCs w:val="20"/>
        </w:rPr>
        <w:t>N</w:t>
      </w:r>
      <w:r w:rsidRPr="00373C18">
        <w:rPr>
          <w:rFonts w:cstheme="minorHAnsi"/>
          <w:sz w:val="20"/>
          <w:szCs w:val="20"/>
        </w:rPr>
        <w:t xml:space="preserve"> = 63). Abbreviations mean level of the effort chosen (Ech), subjective value of the chosen option (SVch) and deliberation time (DT). Significance levels of t-test against zero: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0.001;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0.01;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0.05.</w:t>
      </w:r>
      <w:r w:rsidRPr="001632B6">
        <w:rPr>
          <w:rFonts w:cstheme="minorHAnsi"/>
        </w:rPr>
        <w:br w:type="page"/>
      </w:r>
    </w:p>
    <w:p w14:paraId="3F0F095C" w14:textId="77777777" w:rsidR="007947C6" w:rsidRDefault="007947C6" w:rsidP="007947C6">
      <w:pPr>
        <w:spacing w:after="160" w:line="259" w:lineRule="auto"/>
        <w:jc w:val="left"/>
        <w:rPr>
          <w:rFonts w:cstheme="minorHAnsi"/>
        </w:rPr>
      </w:pPr>
    </w:p>
    <w:p w14:paraId="3EE6ED48" w14:textId="77777777" w:rsidR="007947C6" w:rsidRDefault="007947C6" w:rsidP="007947C6">
      <w:pPr>
        <w:spacing w:after="160" w:line="259" w:lineRule="auto"/>
        <w:jc w:val="left"/>
        <w:rPr>
          <w:rFonts w:cstheme="minorHAnsi"/>
        </w:rPr>
      </w:pPr>
    </w:p>
    <w:p w14:paraId="3C29BB59" w14:textId="77777777" w:rsidR="007947C6" w:rsidRDefault="007947C6" w:rsidP="007947C6">
      <w:pPr>
        <w:spacing w:after="160" w:line="259" w:lineRule="auto"/>
        <w:jc w:val="center"/>
        <w:rPr>
          <w:rFonts w:cstheme="minorHAnsi"/>
        </w:rPr>
      </w:pPr>
      <w:r>
        <w:rPr>
          <w:rFonts w:cstheme="minorHAnsi"/>
          <w:noProof/>
        </w:rPr>
        <w:drawing>
          <wp:inline distT="0" distB="0" distL="0" distR="0" wp14:anchorId="5670E7D8" wp14:editId="65548BA6">
            <wp:extent cx="4359859" cy="2162628"/>
            <wp:effectExtent l="0" t="0" r="3175" b="9525"/>
            <wp:docPr id="1029018886" name="Image 14" descr="Une image contenant diagramme, ligne, Tracé,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018886" name="Image 14" descr="Une image contenant diagramme, ligne, Tracé, texte&#10;&#10;Description générée automatiquemen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2714" cy="2169004"/>
                    </a:xfrm>
                    <a:prstGeom prst="rect">
                      <a:avLst/>
                    </a:prstGeom>
                    <a:noFill/>
                    <a:ln>
                      <a:noFill/>
                    </a:ln>
                  </pic:spPr>
                </pic:pic>
              </a:graphicData>
            </a:graphic>
          </wp:inline>
        </w:drawing>
      </w:r>
    </w:p>
    <w:p w14:paraId="28051728" w14:textId="77777777" w:rsidR="007947C6" w:rsidRDefault="007947C6" w:rsidP="007947C6">
      <w:pPr>
        <w:pStyle w:val="Titre3"/>
      </w:pPr>
      <w:r>
        <w:t>Figure S3-4: Neural activity in function of effort difficulty and choice.</w:t>
      </w:r>
    </w:p>
    <w:p w14:paraId="66561A7E" w14:textId="2F103B19" w:rsidR="007947C6" w:rsidRDefault="007947C6" w:rsidP="007947C6">
      <w:pPr>
        <w:rPr>
          <w:rFonts w:cstheme="minorHAnsi"/>
        </w:rPr>
      </w:pPr>
      <w:r>
        <w:rPr>
          <w:rFonts w:cstheme="minorHAnsi"/>
          <w:sz w:val="20"/>
          <w:szCs w:val="20"/>
        </w:rPr>
        <w:t xml:space="preserve">The </w:t>
      </w:r>
      <w:r w:rsidRPr="00373C18">
        <w:rPr>
          <w:rFonts w:cstheme="minorHAnsi"/>
          <w:sz w:val="20"/>
          <w:szCs w:val="20"/>
        </w:rPr>
        <w:t xml:space="preserve">dmPFC/dACC (left panel) and aIns (right panel) regression estimate for high effort (HE) level </w:t>
      </w:r>
      <w:r>
        <w:rPr>
          <w:rFonts w:cstheme="minorHAnsi"/>
          <w:sz w:val="20"/>
          <w:szCs w:val="20"/>
        </w:rPr>
        <w:t xml:space="preserve">was </w:t>
      </w:r>
      <w:r w:rsidRPr="00373C18">
        <w:rPr>
          <w:rFonts w:cstheme="minorHAnsi"/>
          <w:sz w:val="20"/>
          <w:szCs w:val="20"/>
        </w:rPr>
        <w:t xml:space="preserve">estimated independently for the trials when the low effort was chosen (lEch) and the trials when the high effort was chosen (hEch). The two regression estimates were compared with a paired t-test. Significance levels: </w:t>
      </w:r>
      <w:r>
        <w:rPr>
          <w:rFonts w:cstheme="minorHAnsi"/>
          <w:sz w:val="20"/>
          <w:szCs w:val="20"/>
        </w:rPr>
        <w:t>***</w:t>
      </w:r>
      <w:r w:rsidRPr="00BB6C49">
        <w:rPr>
          <w:rFonts w:cstheme="minorHAnsi"/>
          <w:i/>
          <w:iCs/>
          <w:sz w:val="20"/>
          <w:szCs w:val="20"/>
        </w:rPr>
        <w:t>p</w:t>
      </w:r>
      <w:r w:rsidR="00BB6C49">
        <w:rPr>
          <w:rFonts w:cstheme="minorHAnsi"/>
          <w:sz w:val="20"/>
          <w:szCs w:val="20"/>
        </w:rPr>
        <w:t xml:space="preserve"> </w:t>
      </w:r>
      <w:r>
        <w:rPr>
          <w:rFonts w:cstheme="minorHAnsi"/>
          <w:sz w:val="20"/>
          <w:szCs w:val="20"/>
        </w:rPr>
        <w:t>&lt;</w:t>
      </w:r>
      <w:r w:rsidR="00BB6C49">
        <w:rPr>
          <w:rFonts w:cstheme="minorHAnsi"/>
          <w:sz w:val="20"/>
          <w:szCs w:val="20"/>
        </w:rPr>
        <w:t xml:space="preserve"> </w:t>
      </w:r>
      <w:r>
        <w:rPr>
          <w:rFonts w:cstheme="minorHAnsi"/>
          <w:sz w:val="20"/>
          <w:szCs w:val="20"/>
        </w:rPr>
        <w:t>0.001, **</w:t>
      </w:r>
      <w:r w:rsidRPr="00BB6C49">
        <w:rPr>
          <w:rFonts w:cstheme="minorHAnsi"/>
          <w:i/>
          <w:iCs/>
          <w:sz w:val="20"/>
          <w:szCs w:val="20"/>
        </w:rPr>
        <w:t>p</w:t>
      </w:r>
      <w:r w:rsidR="00BB6C49">
        <w:rPr>
          <w:rFonts w:cstheme="minorHAnsi"/>
          <w:sz w:val="20"/>
          <w:szCs w:val="20"/>
        </w:rPr>
        <w:t xml:space="preserve"> </w:t>
      </w:r>
      <w:r>
        <w:rPr>
          <w:rFonts w:cstheme="minorHAnsi"/>
          <w:sz w:val="20"/>
          <w:szCs w:val="20"/>
        </w:rPr>
        <w:t>&lt;</w:t>
      </w:r>
      <w:r w:rsidR="00BB6C49">
        <w:rPr>
          <w:rFonts w:cstheme="minorHAnsi"/>
          <w:sz w:val="20"/>
          <w:szCs w:val="20"/>
        </w:rPr>
        <w:t xml:space="preserve"> </w:t>
      </w:r>
      <w:r>
        <w:rPr>
          <w:rFonts w:cstheme="minorHAnsi"/>
          <w:sz w:val="20"/>
          <w:szCs w:val="20"/>
        </w:rPr>
        <w:t xml:space="preserve">0.01, </w:t>
      </w:r>
      <w:r w:rsidRPr="00373C18">
        <w:rPr>
          <w:rFonts w:cstheme="minorHAnsi"/>
          <w:sz w:val="20"/>
          <w:szCs w:val="20"/>
        </w:rPr>
        <w:t>*</w:t>
      </w:r>
      <w:r w:rsidRPr="00BB6C49">
        <w:rPr>
          <w:rFonts w:cstheme="minorHAnsi"/>
          <w:i/>
          <w:iCs/>
          <w:sz w:val="20"/>
          <w:szCs w:val="20"/>
        </w:rPr>
        <w:t>p</w:t>
      </w:r>
      <w:r w:rsidRPr="00373C18">
        <w:rPr>
          <w:rFonts w:cstheme="minorHAnsi"/>
          <w:sz w:val="20"/>
          <w:szCs w:val="20"/>
        </w:rPr>
        <w:t xml:space="preserve"> &lt; 0.05, NS for not significant. </w:t>
      </w:r>
      <w:r>
        <w:rPr>
          <w:rFonts w:cstheme="minorHAnsi"/>
          <w:sz w:val="20"/>
          <w:szCs w:val="20"/>
        </w:rPr>
        <w:t>Statistics and figures display the results after removing outliers defined as those who have a regression estimate further than the median ± 3*SD.</w:t>
      </w:r>
      <w:r>
        <w:rPr>
          <w:rFonts w:cstheme="minorHAnsi"/>
        </w:rPr>
        <w:br w:type="page"/>
      </w:r>
    </w:p>
    <w:p w14:paraId="1043401F" w14:textId="77777777" w:rsidR="007947C6" w:rsidRDefault="007947C6" w:rsidP="007947C6">
      <w:pPr>
        <w:spacing w:after="160" w:line="259" w:lineRule="auto"/>
        <w:jc w:val="left"/>
        <w:rPr>
          <w:rFonts w:cstheme="minorHAnsi"/>
        </w:rPr>
      </w:pPr>
    </w:p>
    <w:p w14:paraId="7EFFB1C3" w14:textId="77777777" w:rsidR="007947C6" w:rsidRDefault="007947C6" w:rsidP="007947C6">
      <w:pPr>
        <w:spacing w:after="160" w:line="259" w:lineRule="auto"/>
        <w:jc w:val="left"/>
        <w:rPr>
          <w:rFonts w:cstheme="minorHAnsi"/>
        </w:rPr>
      </w:pPr>
    </w:p>
    <w:p w14:paraId="32537123" w14:textId="77777777" w:rsidR="007947C6" w:rsidRDefault="007947C6" w:rsidP="007947C6">
      <w:pPr>
        <w:spacing w:after="160" w:line="259" w:lineRule="auto"/>
        <w:jc w:val="center"/>
        <w:rPr>
          <w:rFonts w:cstheme="minorHAnsi"/>
        </w:rPr>
      </w:pPr>
      <w:r>
        <w:rPr>
          <w:rFonts w:cstheme="minorHAnsi"/>
          <w:noProof/>
        </w:rPr>
        <w:drawing>
          <wp:inline distT="0" distB="0" distL="0" distR="0" wp14:anchorId="46593917" wp14:editId="1640DA91">
            <wp:extent cx="4103827" cy="4816536"/>
            <wp:effectExtent l="0" t="0" r="0" b="3175"/>
            <wp:docPr id="1319965379" name="Image 16" descr="Une image contenant texte, diagramme, capture d’écran,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5379" name="Image 16" descr="Une image contenant texte, diagramme, capture d’écran, Parallèle&#10;&#10;Description générée automatiquemen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21343" cy="4837094"/>
                    </a:xfrm>
                    <a:prstGeom prst="rect">
                      <a:avLst/>
                    </a:prstGeom>
                    <a:noFill/>
                    <a:ln>
                      <a:noFill/>
                    </a:ln>
                  </pic:spPr>
                </pic:pic>
              </a:graphicData>
            </a:graphic>
          </wp:inline>
        </w:drawing>
      </w:r>
    </w:p>
    <w:p w14:paraId="462829C0" w14:textId="77777777" w:rsidR="007947C6" w:rsidRDefault="007947C6" w:rsidP="007947C6">
      <w:pPr>
        <w:pStyle w:val="Titre3"/>
      </w:pPr>
      <w:r>
        <w:t>Figure S4-1: Correlation between dmPFC/dACC and aIns activity regression estimates during choice and behavioral motivation measures.</w:t>
      </w:r>
    </w:p>
    <w:p w14:paraId="0DD68305" w14:textId="638D6CE8" w:rsidR="007947C6" w:rsidRDefault="007947C6" w:rsidP="007947C6">
      <w:pPr>
        <w:spacing w:after="160" w:line="259" w:lineRule="auto"/>
        <w:jc w:val="left"/>
        <w:rPr>
          <w:rFonts w:cstheme="minorHAnsi"/>
        </w:rPr>
      </w:pPr>
      <w:r w:rsidRPr="00373C18">
        <w:rPr>
          <w:rFonts w:cstheme="minorHAnsi"/>
          <w:b/>
          <w:bCs/>
          <w:sz w:val="20"/>
          <w:szCs w:val="20"/>
        </w:rPr>
        <w:t>A</w:t>
      </w:r>
      <w:r w:rsidRPr="00373C18">
        <w:rPr>
          <w:rFonts w:cstheme="minorHAnsi"/>
          <w:sz w:val="20"/>
          <w:szCs w:val="20"/>
        </w:rPr>
        <w:t xml:space="preserve"> Scatter plots depicting the correlation between dmPFC/dACC (left panels) and aIns (right panels) effort chosen (Ech) regression estimates and the proportion of high mental effort (HME) choices (upper panels) and the sensitivity to mental effort kEm (bottom panels). Each point represents an individual participant. Significance levels: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0.00</w:t>
      </w:r>
      <w:r>
        <w:rPr>
          <w:rFonts w:cstheme="minorHAnsi"/>
          <w:sz w:val="20"/>
          <w:szCs w:val="20"/>
        </w:rPr>
        <w:t>1</w:t>
      </w:r>
      <w:r w:rsidRPr="00373C18">
        <w:rPr>
          <w:rFonts w:cstheme="minorHAnsi"/>
          <w:sz w:val="20"/>
          <w:szCs w:val="20"/>
        </w:rPr>
        <w:t>;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0.01;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 xml:space="preserve">0.05. </w:t>
      </w:r>
      <w:r w:rsidRPr="00373C18">
        <w:rPr>
          <w:rFonts w:cstheme="minorHAnsi"/>
          <w:b/>
          <w:bCs/>
          <w:sz w:val="20"/>
          <w:szCs w:val="20"/>
        </w:rPr>
        <w:t>B</w:t>
      </w:r>
      <w:r w:rsidRPr="00373C18">
        <w:rPr>
          <w:rFonts w:cstheme="minorHAnsi"/>
          <w:sz w:val="20"/>
          <w:szCs w:val="20"/>
        </w:rPr>
        <w:t xml:space="preserve"> Heatmap depicting Pearson correlation coefficients between model parameters (kR, kP, kFp, kLm and kBias) against dmPFC/dACC and aIns effort chosen (Ech) regression estimate during the choice period. None of the correlations is significant. </w:t>
      </w:r>
      <w:r w:rsidRPr="00373C18">
        <w:rPr>
          <w:rFonts w:cstheme="minorHAnsi"/>
          <w:b/>
          <w:bCs/>
          <w:sz w:val="20"/>
          <w:szCs w:val="20"/>
        </w:rPr>
        <w:t>C</w:t>
      </w:r>
      <w:r w:rsidR="00A87295">
        <w:rPr>
          <w:rFonts w:cstheme="minorHAnsi"/>
          <w:b/>
          <w:bCs/>
          <w:sz w:val="20"/>
          <w:szCs w:val="20"/>
        </w:rPr>
        <w:t xml:space="preserve">, </w:t>
      </w:r>
      <w:r w:rsidRPr="00373C18">
        <w:rPr>
          <w:rFonts w:cstheme="minorHAnsi"/>
          <w:b/>
          <w:bCs/>
          <w:sz w:val="20"/>
          <w:szCs w:val="20"/>
        </w:rPr>
        <w:t>D</w:t>
      </w:r>
      <w:r w:rsidRPr="00373C18">
        <w:rPr>
          <w:rFonts w:cstheme="minorHAnsi"/>
          <w:sz w:val="20"/>
          <w:szCs w:val="20"/>
        </w:rPr>
        <w:t xml:space="preserve"> Heatmap representing Pearson correlation coefficients between the proportion of high effort choices globally (HE), in the physical effort task (HPE) and in the mental effort task (HME) as well as effort sensitivities for physical effort (kEp) and mental effort (kEm) against dmPFC/dACC and aIns regression estimates for </w:t>
      </w:r>
      <w:r w:rsidRPr="00373C18">
        <w:rPr>
          <w:rFonts w:cstheme="minorHAnsi"/>
          <w:b/>
          <w:bCs/>
          <w:sz w:val="20"/>
          <w:szCs w:val="20"/>
        </w:rPr>
        <w:t>C</w:t>
      </w:r>
      <w:r w:rsidRPr="00373C18">
        <w:rPr>
          <w:rFonts w:cstheme="minorHAnsi"/>
          <w:sz w:val="20"/>
          <w:szCs w:val="20"/>
        </w:rPr>
        <w:t xml:space="preserve"> the subjective value of the chosen option (SVch) and </w:t>
      </w:r>
      <w:r w:rsidRPr="00373C18">
        <w:rPr>
          <w:rFonts w:cstheme="minorHAnsi"/>
          <w:b/>
          <w:bCs/>
          <w:sz w:val="20"/>
          <w:szCs w:val="20"/>
        </w:rPr>
        <w:t>D</w:t>
      </w:r>
      <w:r w:rsidRPr="00373C18">
        <w:rPr>
          <w:rFonts w:cstheme="minorHAnsi"/>
          <w:sz w:val="20"/>
          <w:szCs w:val="20"/>
        </w:rPr>
        <w:t xml:space="preserve"> for deliberation times (DT). None of the correlations displayed is significant.</w:t>
      </w:r>
      <w:r>
        <w:rPr>
          <w:rFonts w:cstheme="minorHAnsi"/>
        </w:rPr>
        <w:br w:type="page"/>
      </w:r>
    </w:p>
    <w:p w14:paraId="796D093D" w14:textId="77777777" w:rsidR="007947C6" w:rsidRDefault="007947C6" w:rsidP="007947C6">
      <w:pPr>
        <w:spacing w:after="160" w:line="259" w:lineRule="auto"/>
        <w:jc w:val="left"/>
        <w:rPr>
          <w:rFonts w:cstheme="minorHAnsi"/>
        </w:rPr>
      </w:pPr>
    </w:p>
    <w:p w14:paraId="670872BA" w14:textId="77777777" w:rsidR="007947C6" w:rsidRPr="001632B6" w:rsidRDefault="007947C6" w:rsidP="007947C6">
      <w:pPr>
        <w:spacing w:after="160" w:line="259" w:lineRule="auto"/>
        <w:jc w:val="left"/>
        <w:rPr>
          <w:rFonts w:cstheme="minorHAnsi"/>
        </w:rPr>
      </w:pPr>
    </w:p>
    <w:p w14:paraId="4A26364A" w14:textId="77777777" w:rsidR="007947C6" w:rsidRPr="001632B6" w:rsidRDefault="007947C6" w:rsidP="007947C6">
      <w:pPr>
        <w:jc w:val="center"/>
        <w:rPr>
          <w:rFonts w:cstheme="minorHAnsi"/>
        </w:rPr>
      </w:pPr>
      <w:r>
        <w:rPr>
          <w:rFonts w:cstheme="minorHAnsi"/>
          <w:noProof/>
        </w:rPr>
        <w:drawing>
          <wp:inline distT="0" distB="0" distL="0" distR="0" wp14:anchorId="7E846029" wp14:editId="6F2C8706">
            <wp:extent cx="5724525" cy="2057400"/>
            <wp:effectExtent l="0" t="0" r="9525" b="0"/>
            <wp:docPr id="388684477" name="Image 17" descr="Une image contenant texte, capture d’écran,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84477" name="Image 17" descr="Une image contenant texte, capture d’écran, diagramme, Police&#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4525" cy="2057400"/>
                    </a:xfrm>
                    <a:prstGeom prst="rect">
                      <a:avLst/>
                    </a:prstGeom>
                    <a:noFill/>
                    <a:ln>
                      <a:noFill/>
                    </a:ln>
                  </pic:spPr>
                </pic:pic>
              </a:graphicData>
            </a:graphic>
          </wp:inline>
        </w:drawing>
      </w:r>
    </w:p>
    <w:p w14:paraId="36FDA43A" w14:textId="77777777" w:rsidR="007947C6" w:rsidRPr="001632B6" w:rsidRDefault="007947C6" w:rsidP="007947C6">
      <w:pPr>
        <w:pStyle w:val="Titre3"/>
        <w:rPr>
          <w:rFonts w:cstheme="minorHAnsi"/>
        </w:rPr>
      </w:pPr>
      <w:r w:rsidRPr="001632B6">
        <w:rPr>
          <w:rFonts w:cstheme="minorHAnsi"/>
        </w:rPr>
        <w:t>Figure S</w:t>
      </w:r>
      <w:r>
        <w:rPr>
          <w:rFonts w:cstheme="minorHAnsi"/>
        </w:rPr>
        <w:t>5</w:t>
      </w:r>
      <w:r w:rsidRPr="001632B6">
        <w:rPr>
          <w:rFonts w:cstheme="minorHAnsi"/>
        </w:rPr>
        <w:t xml:space="preserve">-1: Mediation analysis </w:t>
      </w:r>
      <w:r>
        <w:rPr>
          <w:rFonts w:cstheme="minorHAnsi"/>
        </w:rPr>
        <w:t>of</w:t>
      </w:r>
      <w:r w:rsidRPr="001632B6">
        <w:rPr>
          <w:rFonts w:cstheme="minorHAnsi"/>
        </w:rPr>
        <w:t xml:space="preserve"> aIns lactate</w:t>
      </w:r>
      <w:r>
        <w:rPr>
          <w:rFonts w:cstheme="minorHAnsi"/>
        </w:rPr>
        <w:t xml:space="preserve"> on motivated behavior</w:t>
      </w:r>
      <w:r w:rsidRPr="001632B6">
        <w:rPr>
          <w:rFonts w:cstheme="minorHAnsi"/>
        </w:rPr>
        <w:t>,</w:t>
      </w:r>
      <w:r>
        <w:rPr>
          <w:rFonts w:cstheme="minorHAnsi"/>
        </w:rPr>
        <w:t xml:space="preserve"> via</w:t>
      </w:r>
      <w:r w:rsidRPr="001632B6">
        <w:rPr>
          <w:rFonts w:cstheme="minorHAnsi"/>
        </w:rPr>
        <w:t xml:space="preserve"> aIns activity.</w:t>
      </w:r>
    </w:p>
    <w:p w14:paraId="21644C72" w14:textId="7B13C0E2" w:rsidR="0058055F" w:rsidRPr="001632B6" w:rsidRDefault="007947C6" w:rsidP="001363D5">
      <w:pPr>
        <w:rPr>
          <w:rFonts w:cstheme="minorHAnsi"/>
        </w:rPr>
      </w:pPr>
      <w:r w:rsidRPr="00373C18">
        <w:rPr>
          <w:rFonts w:cstheme="minorHAnsi"/>
          <w:sz w:val="20"/>
          <w:szCs w:val="20"/>
        </w:rPr>
        <w:t>Significant paths are depicted with continuous black lines, while non-significant paths are represented with dotted grey lines. Path c represents the coefficient for the direct path before considering the mediator, while path c’ represents the coefficient for the direct path after considering the mediator in the same equation, and path a and b are the coefficients for the indirect pathway (</w:t>
      </w:r>
      <w:r w:rsidRPr="00373C18">
        <w:rPr>
          <w:rFonts w:cstheme="minorHAnsi"/>
          <w:i/>
          <w:iCs/>
          <w:sz w:val="20"/>
          <w:szCs w:val="20"/>
        </w:rPr>
        <w:t xml:space="preserve">i.e. </w:t>
      </w:r>
      <w:r w:rsidRPr="00373C18">
        <w:rPr>
          <w:rFonts w:cstheme="minorHAnsi"/>
          <w:sz w:val="20"/>
          <w:szCs w:val="20"/>
        </w:rPr>
        <w:t>the mediation). Significance levels for each path: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0.001;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0.01; *</w:t>
      </w:r>
      <w:r w:rsidRPr="0057237F">
        <w:rPr>
          <w:rFonts w:cstheme="minorHAnsi"/>
          <w:i/>
          <w:iCs/>
          <w:sz w:val="20"/>
          <w:szCs w:val="20"/>
        </w:rPr>
        <w:t>p</w:t>
      </w:r>
      <w:r w:rsidR="0057237F">
        <w:rPr>
          <w:rFonts w:cstheme="minorHAnsi"/>
          <w:sz w:val="20"/>
          <w:szCs w:val="20"/>
        </w:rPr>
        <w:t xml:space="preserve"> </w:t>
      </w:r>
      <w:r w:rsidRPr="00373C18">
        <w:rPr>
          <w:rFonts w:cstheme="minorHAnsi"/>
          <w:sz w:val="20"/>
          <w:szCs w:val="20"/>
        </w:rPr>
        <w:t>&lt;</w:t>
      </w:r>
      <w:r w:rsidR="0057237F">
        <w:rPr>
          <w:rFonts w:cstheme="minorHAnsi"/>
          <w:sz w:val="20"/>
          <w:szCs w:val="20"/>
        </w:rPr>
        <w:t xml:space="preserve"> </w:t>
      </w:r>
      <w:r w:rsidRPr="00373C18">
        <w:rPr>
          <w:rFonts w:cstheme="minorHAnsi"/>
          <w:sz w:val="20"/>
          <w:szCs w:val="20"/>
        </w:rPr>
        <w:t xml:space="preserve">0.05. </w:t>
      </w:r>
      <w:r w:rsidRPr="00373C18">
        <w:rPr>
          <w:rFonts w:cstheme="minorHAnsi"/>
          <w:b/>
          <w:bCs/>
          <w:sz w:val="20"/>
          <w:szCs w:val="20"/>
        </w:rPr>
        <w:t>A</w:t>
      </w:r>
      <w:r w:rsidRPr="00373C18">
        <w:rPr>
          <w:rFonts w:cstheme="minorHAnsi"/>
          <w:sz w:val="20"/>
          <w:szCs w:val="20"/>
        </w:rPr>
        <w:t xml:space="preserve"> Total high-effort (HE) choices: Path analysis testing if aIns lactate levels influence HE choices mediated by aIns fMRI regression estimate for effort chosen (</w:t>
      </w:r>
      <w:r w:rsidRPr="0057237F">
        <w:rPr>
          <w:rFonts w:cstheme="minorHAnsi"/>
          <w:i/>
          <w:iCs/>
          <w:sz w:val="20"/>
          <w:szCs w:val="20"/>
        </w:rPr>
        <w:t>N</w:t>
      </w:r>
      <w:r w:rsidRPr="00373C18">
        <w:rPr>
          <w:rFonts w:cstheme="minorHAnsi"/>
          <w:sz w:val="20"/>
          <w:szCs w:val="20"/>
        </w:rPr>
        <w:t xml:space="preserve"> = 43). </w:t>
      </w:r>
      <w:r w:rsidRPr="00373C18">
        <w:rPr>
          <w:rFonts w:cstheme="minorHAnsi"/>
          <w:b/>
          <w:bCs/>
          <w:sz w:val="20"/>
          <w:szCs w:val="20"/>
        </w:rPr>
        <w:t>B</w:t>
      </w:r>
      <w:r w:rsidRPr="00373C18">
        <w:rPr>
          <w:rFonts w:cstheme="minorHAnsi"/>
          <w:sz w:val="20"/>
          <w:szCs w:val="20"/>
        </w:rPr>
        <w:t xml:space="preserve"> High physical effort (HPE) choices: Path analysis testing if aIns lactate levels influence HPE choices mediated by aIns fMRI regression estimate for effort chosen (</w:t>
      </w:r>
      <w:r w:rsidRPr="0057237F">
        <w:rPr>
          <w:rFonts w:cstheme="minorHAnsi"/>
          <w:i/>
          <w:iCs/>
          <w:sz w:val="20"/>
          <w:szCs w:val="20"/>
        </w:rPr>
        <w:t>N</w:t>
      </w:r>
      <w:r w:rsidRPr="00373C18">
        <w:rPr>
          <w:rFonts w:cstheme="minorHAnsi"/>
          <w:sz w:val="20"/>
          <w:szCs w:val="20"/>
        </w:rPr>
        <w:t xml:space="preserve"> = 44). </w:t>
      </w:r>
      <w:r w:rsidRPr="00373C18">
        <w:rPr>
          <w:rFonts w:cstheme="minorHAnsi"/>
          <w:b/>
          <w:bCs/>
          <w:sz w:val="20"/>
          <w:szCs w:val="20"/>
        </w:rPr>
        <w:t>C</w:t>
      </w:r>
      <w:r w:rsidRPr="00373C18">
        <w:rPr>
          <w:rFonts w:cstheme="minorHAnsi"/>
          <w:sz w:val="20"/>
          <w:szCs w:val="20"/>
        </w:rPr>
        <w:t xml:space="preserve"> High mental effort (HME) choices: Path analysis testing if aIns lactate levels influence HME choices mediated by aIns fMRI regression estimate for effort chosen (</w:t>
      </w:r>
      <w:r w:rsidRPr="0057237F">
        <w:rPr>
          <w:rFonts w:cstheme="minorHAnsi"/>
          <w:i/>
          <w:iCs/>
          <w:sz w:val="20"/>
          <w:szCs w:val="20"/>
        </w:rPr>
        <w:t>N</w:t>
      </w:r>
      <w:r w:rsidRPr="00373C18">
        <w:rPr>
          <w:rFonts w:cstheme="minorHAnsi"/>
          <w:sz w:val="20"/>
          <w:szCs w:val="20"/>
        </w:rPr>
        <w:t xml:space="preserve"> = 43). </w:t>
      </w:r>
      <w:r w:rsidRPr="00373C18">
        <w:rPr>
          <w:rFonts w:cstheme="minorHAnsi"/>
          <w:b/>
          <w:bCs/>
          <w:sz w:val="20"/>
          <w:szCs w:val="20"/>
        </w:rPr>
        <w:t>D</w:t>
      </w:r>
      <w:r w:rsidRPr="00373C18">
        <w:rPr>
          <w:rFonts w:cstheme="minorHAnsi"/>
          <w:sz w:val="20"/>
          <w:szCs w:val="20"/>
        </w:rPr>
        <w:t xml:space="preserve"> Sensitivity to physical effort kEp: Path analysis testing if aIns lactate levels influence kEp, mediated by the aIns fMRI regression estimate for effort chosen (</w:t>
      </w:r>
      <w:r w:rsidRPr="0057237F">
        <w:rPr>
          <w:rFonts w:cstheme="minorHAnsi"/>
          <w:i/>
          <w:iCs/>
          <w:sz w:val="20"/>
          <w:szCs w:val="20"/>
        </w:rPr>
        <w:t>N</w:t>
      </w:r>
      <w:r w:rsidRPr="00373C18">
        <w:rPr>
          <w:rFonts w:cstheme="minorHAnsi"/>
          <w:sz w:val="20"/>
          <w:szCs w:val="20"/>
        </w:rPr>
        <w:t xml:space="preserve"> = 4</w:t>
      </w:r>
      <w:r>
        <w:rPr>
          <w:rFonts w:cstheme="minorHAnsi"/>
          <w:sz w:val="20"/>
          <w:szCs w:val="20"/>
        </w:rPr>
        <w:t>2</w:t>
      </w:r>
      <w:r w:rsidRPr="00373C18">
        <w:rPr>
          <w:rFonts w:cstheme="minorHAnsi"/>
          <w:sz w:val="20"/>
          <w:szCs w:val="20"/>
        </w:rPr>
        <w:t>).</w:t>
      </w:r>
    </w:p>
    <w:sectPr w:rsidR="0058055F" w:rsidRPr="001632B6" w:rsidSect="00D93F35">
      <w:footerReference w:type="default" r:id="rId24"/>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98A0C" w14:textId="77777777" w:rsidR="00964869" w:rsidRDefault="00964869" w:rsidP="0014040E">
      <w:pPr>
        <w:spacing w:after="0" w:line="240" w:lineRule="auto"/>
      </w:pPr>
      <w:r>
        <w:separator/>
      </w:r>
    </w:p>
  </w:endnote>
  <w:endnote w:type="continuationSeparator" w:id="0">
    <w:p w14:paraId="6A3D236D" w14:textId="77777777" w:rsidR="00964869" w:rsidRDefault="00964869" w:rsidP="00140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9973417"/>
      <w:docPartObj>
        <w:docPartGallery w:val="Page Numbers (Bottom of Page)"/>
        <w:docPartUnique/>
      </w:docPartObj>
    </w:sdtPr>
    <w:sdtEndPr/>
    <w:sdtContent>
      <w:p w14:paraId="0F00B163" w14:textId="3D87E58E" w:rsidR="008E6216" w:rsidRDefault="008E6216">
        <w:pPr>
          <w:pStyle w:val="Pieddepage"/>
          <w:jc w:val="right"/>
        </w:pPr>
        <w:r>
          <w:fldChar w:fldCharType="begin"/>
        </w:r>
        <w:r>
          <w:instrText>PAGE   \* MERGEFORMAT</w:instrText>
        </w:r>
        <w:r>
          <w:fldChar w:fldCharType="separate"/>
        </w:r>
        <w:r>
          <w:t>2</w:t>
        </w:r>
        <w:r>
          <w:fldChar w:fldCharType="end"/>
        </w:r>
      </w:p>
    </w:sdtContent>
  </w:sdt>
  <w:p w14:paraId="125F8140" w14:textId="77777777" w:rsidR="008E6216" w:rsidRDefault="008E62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C90F33" w14:textId="77777777" w:rsidR="00964869" w:rsidRDefault="00964869" w:rsidP="0014040E">
      <w:pPr>
        <w:spacing w:after="0" w:line="240" w:lineRule="auto"/>
      </w:pPr>
      <w:r>
        <w:separator/>
      </w:r>
    </w:p>
  </w:footnote>
  <w:footnote w:type="continuationSeparator" w:id="0">
    <w:p w14:paraId="1F2E42FE" w14:textId="77777777" w:rsidR="00964869" w:rsidRDefault="00964869" w:rsidP="001404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57C8E"/>
    <w:multiLevelType w:val="hybridMultilevel"/>
    <w:tmpl w:val="E7984D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6AE2792"/>
    <w:multiLevelType w:val="hybridMultilevel"/>
    <w:tmpl w:val="7B587D88"/>
    <w:lvl w:ilvl="0" w:tplc="6302B27E">
      <w:start w:val="1"/>
      <w:numFmt w:val="decimal"/>
      <w:lvlText w:val="%1)"/>
      <w:lvlJc w:val="left"/>
      <w:pPr>
        <w:ind w:left="1020" w:hanging="360"/>
      </w:pPr>
    </w:lvl>
    <w:lvl w:ilvl="1" w:tplc="FA9487D0">
      <w:start w:val="1"/>
      <w:numFmt w:val="decimal"/>
      <w:lvlText w:val="%2)"/>
      <w:lvlJc w:val="left"/>
      <w:pPr>
        <w:ind w:left="1020" w:hanging="360"/>
      </w:pPr>
    </w:lvl>
    <w:lvl w:ilvl="2" w:tplc="B906A246">
      <w:start w:val="1"/>
      <w:numFmt w:val="decimal"/>
      <w:lvlText w:val="%3)"/>
      <w:lvlJc w:val="left"/>
      <w:pPr>
        <w:ind w:left="1020" w:hanging="360"/>
      </w:pPr>
    </w:lvl>
    <w:lvl w:ilvl="3" w:tplc="D38AEC9E">
      <w:start w:val="1"/>
      <w:numFmt w:val="decimal"/>
      <w:lvlText w:val="%4)"/>
      <w:lvlJc w:val="left"/>
      <w:pPr>
        <w:ind w:left="1020" w:hanging="360"/>
      </w:pPr>
    </w:lvl>
    <w:lvl w:ilvl="4" w:tplc="14BA9882">
      <w:start w:val="1"/>
      <w:numFmt w:val="decimal"/>
      <w:lvlText w:val="%5)"/>
      <w:lvlJc w:val="left"/>
      <w:pPr>
        <w:ind w:left="1020" w:hanging="360"/>
      </w:pPr>
    </w:lvl>
    <w:lvl w:ilvl="5" w:tplc="40C645BC">
      <w:start w:val="1"/>
      <w:numFmt w:val="decimal"/>
      <w:lvlText w:val="%6)"/>
      <w:lvlJc w:val="left"/>
      <w:pPr>
        <w:ind w:left="1020" w:hanging="360"/>
      </w:pPr>
    </w:lvl>
    <w:lvl w:ilvl="6" w:tplc="8FB6B65A">
      <w:start w:val="1"/>
      <w:numFmt w:val="decimal"/>
      <w:lvlText w:val="%7)"/>
      <w:lvlJc w:val="left"/>
      <w:pPr>
        <w:ind w:left="1020" w:hanging="360"/>
      </w:pPr>
    </w:lvl>
    <w:lvl w:ilvl="7" w:tplc="3AB6B7DC">
      <w:start w:val="1"/>
      <w:numFmt w:val="decimal"/>
      <w:lvlText w:val="%8)"/>
      <w:lvlJc w:val="left"/>
      <w:pPr>
        <w:ind w:left="1020" w:hanging="360"/>
      </w:pPr>
    </w:lvl>
    <w:lvl w:ilvl="8" w:tplc="1AC2F40E">
      <w:start w:val="1"/>
      <w:numFmt w:val="decimal"/>
      <w:lvlText w:val="%9)"/>
      <w:lvlJc w:val="left"/>
      <w:pPr>
        <w:ind w:left="1020" w:hanging="360"/>
      </w:pPr>
    </w:lvl>
  </w:abstractNum>
  <w:abstractNum w:abstractNumId="2" w15:restartNumberingAfterBreak="0">
    <w:nsid w:val="3814062C"/>
    <w:multiLevelType w:val="hybridMultilevel"/>
    <w:tmpl w:val="D4F8DD48"/>
    <w:lvl w:ilvl="0" w:tplc="B8F899E2">
      <w:start w:val="1"/>
      <w:numFmt w:val="decimal"/>
      <w:lvlText w:val="%1)"/>
      <w:lvlJc w:val="left"/>
      <w:pPr>
        <w:ind w:left="1020" w:hanging="360"/>
      </w:pPr>
    </w:lvl>
    <w:lvl w:ilvl="1" w:tplc="EEE67FAE">
      <w:start w:val="1"/>
      <w:numFmt w:val="decimal"/>
      <w:lvlText w:val="%2)"/>
      <w:lvlJc w:val="left"/>
      <w:pPr>
        <w:ind w:left="1020" w:hanging="360"/>
      </w:pPr>
    </w:lvl>
    <w:lvl w:ilvl="2" w:tplc="978A03A8">
      <w:start w:val="1"/>
      <w:numFmt w:val="decimal"/>
      <w:lvlText w:val="%3)"/>
      <w:lvlJc w:val="left"/>
      <w:pPr>
        <w:ind w:left="1020" w:hanging="360"/>
      </w:pPr>
    </w:lvl>
    <w:lvl w:ilvl="3" w:tplc="982A2FE8">
      <w:start w:val="1"/>
      <w:numFmt w:val="decimal"/>
      <w:lvlText w:val="%4)"/>
      <w:lvlJc w:val="left"/>
      <w:pPr>
        <w:ind w:left="1020" w:hanging="360"/>
      </w:pPr>
    </w:lvl>
    <w:lvl w:ilvl="4" w:tplc="1E44821E">
      <w:start w:val="1"/>
      <w:numFmt w:val="decimal"/>
      <w:lvlText w:val="%5)"/>
      <w:lvlJc w:val="left"/>
      <w:pPr>
        <w:ind w:left="1020" w:hanging="360"/>
      </w:pPr>
    </w:lvl>
    <w:lvl w:ilvl="5" w:tplc="35042B14">
      <w:start w:val="1"/>
      <w:numFmt w:val="decimal"/>
      <w:lvlText w:val="%6)"/>
      <w:lvlJc w:val="left"/>
      <w:pPr>
        <w:ind w:left="1020" w:hanging="360"/>
      </w:pPr>
    </w:lvl>
    <w:lvl w:ilvl="6" w:tplc="0F86F974">
      <w:start w:val="1"/>
      <w:numFmt w:val="decimal"/>
      <w:lvlText w:val="%7)"/>
      <w:lvlJc w:val="left"/>
      <w:pPr>
        <w:ind w:left="1020" w:hanging="360"/>
      </w:pPr>
    </w:lvl>
    <w:lvl w:ilvl="7" w:tplc="9FAE65CA">
      <w:start w:val="1"/>
      <w:numFmt w:val="decimal"/>
      <w:lvlText w:val="%8)"/>
      <w:lvlJc w:val="left"/>
      <w:pPr>
        <w:ind w:left="1020" w:hanging="360"/>
      </w:pPr>
    </w:lvl>
    <w:lvl w:ilvl="8" w:tplc="86307702">
      <w:start w:val="1"/>
      <w:numFmt w:val="decimal"/>
      <w:lvlText w:val="%9)"/>
      <w:lvlJc w:val="left"/>
      <w:pPr>
        <w:ind w:left="1020" w:hanging="360"/>
      </w:pPr>
    </w:lvl>
  </w:abstractNum>
  <w:abstractNum w:abstractNumId="3" w15:restartNumberingAfterBreak="0">
    <w:nsid w:val="3A185F8B"/>
    <w:multiLevelType w:val="hybridMultilevel"/>
    <w:tmpl w:val="50842750"/>
    <w:lvl w:ilvl="0" w:tplc="834C6166">
      <w:start w:val="1"/>
      <w:numFmt w:val="decimal"/>
      <w:lvlText w:val="%1)"/>
      <w:lvlJc w:val="left"/>
      <w:pPr>
        <w:ind w:left="1020" w:hanging="360"/>
      </w:pPr>
    </w:lvl>
    <w:lvl w:ilvl="1" w:tplc="E1807784">
      <w:start w:val="1"/>
      <w:numFmt w:val="decimal"/>
      <w:lvlText w:val="%2)"/>
      <w:lvlJc w:val="left"/>
      <w:pPr>
        <w:ind w:left="1020" w:hanging="360"/>
      </w:pPr>
    </w:lvl>
    <w:lvl w:ilvl="2" w:tplc="763C5C08">
      <w:start w:val="1"/>
      <w:numFmt w:val="decimal"/>
      <w:lvlText w:val="%3)"/>
      <w:lvlJc w:val="left"/>
      <w:pPr>
        <w:ind w:left="1020" w:hanging="360"/>
      </w:pPr>
    </w:lvl>
    <w:lvl w:ilvl="3" w:tplc="08DC1DD6">
      <w:start w:val="1"/>
      <w:numFmt w:val="decimal"/>
      <w:lvlText w:val="%4)"/>
      <w:lvlJc w:val="left"/>
      <w:pPr>
        <w:ind w:left="1020" w:hanging="360"/>
      </w:pPr>
    </w:lvl>
    <w:lvl w:ilvl="4" w:tplc="0ADAB80A">
      <w:start w:val="1"/>
      <w:numFmt w:val="decimal"/>
      <w:lvlText w:val="%5)"/>
      <w:lvlJc w:val="left"/>
      <w:pPr>
        <w:ind w:left="1020" w:hanging="360"/>
      </w:pPr>
    </w:lvl>
    <w:lvl w:ilvl="5" w:tplc="F9FCC3AA">
      <w:start w:val="1"/>
      <w:numFmt w:val="decimal"/>
      <w:lvlText w:val="%6)"/>
      <w:lvlJc w:val="left"/>
      <w:pPr>
        <w:ind w:left="1020" w:hanging="360"/>
      </w:pPr>
    </w:lvl>
    <w:lvl w:ilvl="6" w:tplc="FE78EC00">
      <w:start w:val="1"/>
      <w:numFmt w:val="decimal"/>
      <w:lvlText w:val="%7)"/>
      <w:lvlJc w:val="left"/>
      <w:pPr>
        <w:ind w:left="1020" w:hanging="360"/>
      </w:pPr>
    </w:lvl>
    <w:lvl w:ilvl="7" w:tplc="3F725D06">
      <w:start w:val="1"/>
      <w:numFmt w:val="decimal"/>
      <w:lvlText w:val="%8)"/>
      <w:lvlJc w:val="left"/>
      <w:pPr>
        <w:ind w:left="1020" w:hanging="360"/>
      </w:pPr>
    </w:lvl>
    <w:lvl w:ilvl="8" w:tplc="1C008AE4">
      <w:start w:val="1"/>
      <w:numFmt w:val="decimal"/>
      <w:lvlText w:val="%9)"/>
      <w:lvlJc w:val="left"/>
      <w:pPr>
        <w:ind w:left="1020" w:hanging="360"/>
      </w:pPr>
    </w:lvl>
  </w:abstractNum>
  <w:abstractNum w:abstractNumId="4" w15:restartNumberingAfterBreak="0">
    <w:nsid w:val="3F8E6914"/>
    <w:multiLevelType w:val="hybridMultilevel"/>
    <w:tmpl w:val="D1BA8240"/>
    <w:lvl w:ilvl="0" w:tplc="586A567A">
      <w:start w:val="1"/>
      <w:numFmt w:val="decimal"/>
      <w:lvlText w:val="%1)"/>
      <w:lvlJc w:val="left"/>
      <w:pPr>
        <w:ind w:left="1020" w:hanging="360"/>
      </w:pPr>
    </w:lvl>
    <w:lvl w:ilvl="1" w:tplc="FEACD5FA">
      <w:start w:val="1"/>
      <w:numFmt w:val="decimal"/>
      <w:lvlText w:val="%2)"/>
      <w:lvlJc w:val="left"/>
      <w:pPr>
        <w:ind w:left="1020" w:hanging="360"/>
      </w:pPr>
    </w:lvl>
    <w:lvl w:ilvl="2" w:tplc="7604E88E">
      <w:start w:val="1"/>
      <w:numFmt w:val="decimal"/>
      <w:lvlText w:val="%3)"/>
      <w:lvlJc w:val="left"/>
      <w:pPr>
        <w:ind w:left="1020" w:hanging="360"/>
      </w:pPr>
    </w:lvl>
    <w:lvl w:ilvl="3" w:tplc="1BF01F44">
      <w:start w:val="1"/>
      <w:numFmt w:val="decimal"/>
      <w:lvlText w:val="%4)"/>
      <w:lvlJc w:val="left"/>
      <w:pPr>
        <w:ind w:left="1020" w:hanging="360"/>
      </w:pPr>
    </w:lvl>
    <w:lvl w:ilvl="4" w:tplc="F3B2A9D8">
      <w:start w:val="1"/>
      <w:numFmt w:val="decimal"/>
      <w:lvlText w:val="%5)"/>
      <w:lvlJc w:val="left"/>
      <w:pPr>
        <w:ind w:left="1020" w:hanging="360"/>
      </w:pPr>
    </w:lvl>
    <w:lvl w:ilvl="5" w:tplc="3E12B03A">
      <w:start w:val="1"/>
      <w:numFmt w:val="decimal"/>
      <w:lvlText w:val="%6)"/>
      <w:lvlJc w:val="left"/>
      <w:pPr>
        <w:ind w:left="1020" w:hanging="360"/>
      </w:pPr>
    </w:lvl>
    <w:lvl w:ilvl="6" w:tplc="19309168">
      <w:start w:val="1"/>
      <w:numFmt w:val="decimal"/>
      <w:lvlText w:val="%7)"/>
      <w:lvlJc w:val="left"/>
      <w:pPr>
        <w:ind w:left="1020" w:hanging="360"/>
      </w:pPr>
    </w:lvl>
    <w:lvl w:ilvl="7" w:tplc="EAA4423A">
      <w:start w:val="1"/>
      <w:numFmt w:val="decimal"/>
      <w:lvlText w:val="%8)"/>
      <w:lvlJc w:val="left"/>
      <w:pPr>
        <w:ind w:left="1020" w:hanging="360"/>
      </w:pPr>
    </w:lvl>
    <w:lvl w:ilvl="8" w:tplc="05DC44CE">
      <w:start w:val="1"/>
      <w:numFmt w:val="decimal"/>
      <w:lvlText w:val="%9)"/>
      <w:lvlJc w:val="left"/>
      <w:pPr>
        <w:ind w:left="1020" w:hanging="360"/>
      </w:pPr>
    </w:lvl>
  </w:abstractNum>
  <w:abstractNum w:abstractNumId="5" w15:restartNumberingAfterBreak="0">
    <w:nsid w:val="51197136"/>
    <w:multiLevelType w:val="hybridMultilevel"/>
    <w:tmpl w:val="3920E0EC"/>
    <w:lvl w:ilvl="0" w:tplc="5FBC2420">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5B837A73"/>
    <w:multiLevelType w:val="hybridMultilevel"/>
    <w:tmpl w:val="DC04439A"/>
    <w:lvl w:ilvl="0" w:tplc="FB3A9112">
      <w:start w:val="1"/>
      <w:numFmt w:val="decimal"/>
      <w:lvlText w:val="%1)"/>
      <w:lvlJc w:val="left"/>
      <w:pPr>
        <w:ind w:left="1020" w:hanging="360"/>
      </w:pPr>
    </w:lvl>
    <w:lvl w:ilvl="1" w:tplc="CA20D112">
      <w:start w:val="1"/>
      <w:numFmt w:val="decimal"/>
      <w:lvlText w:val="%2)"/>
      <w:lvlJc w:val="left"/>
      <w:pPr>
        <w:ind w:left="1020" w:hanging="360"/>
      </w:pPr>
    </w:lvl>
    <w:lvl w:ilvl="2" w:tplc="42504152">
      <w:start w:val="1"/>
      <w:numFmt w:val="decimal"/>
      <w:lvlText w:val="%3)"/>
      <w:lvlJc w:val="left"/>
      <w:pPr>
        <w:ind w:left="1020" w:hanging="360"/>
      </w:pPr>
    </w:lvl>
    <w:lvl w:ilvl="3" w:tplc="5B60F5C8">
      <w:start w:val="1"/>
      <w:numFmt w:val="decimal"/>
      <w:lvlText w:val="%4)"/>
      <w:lvlJc w:val="left"/>
      <w:pPr>
        <w:ind w:left="1020" w:hanging="360"/>
      </w:pPr>
    </w:lvl>
    <w:lvl w:ilvl="4" w:tplc="977A9072">
      <w:start w:val="1"/>
      <w:numFmt w:val="decimal"/>
      <w:lvlText w:val="%5)"/>
      <w:lvlJc w:val="left"/>
      <w:pPr>
        <w:ind w:left="1020" w:hanging="360"/>
      </w:pPr>
    </w:lvl>
    <w:lvl w:ilvl="5" w:tplc="D9C4CC4C">
      <w:start w:val="1"/>
      <w:numFmt w:val="decimal"/>
      <w:lvlText w:val="%6)"/>
      <w:lvlJc w:val="left"/>
      <w:pPr>
        <w:ind w:left="1020" w:hanging="360"/>
      </w:pPr>
    </w:lvl>
    <w:lvl w:ilvl="6" w:tplc="2CD43284">
      <w:start w:val="1"/>
      <w:numFmt w:val="decimal"/>
      <w:lvlText w:val="%7)"/>
      <w:lvlJc w:val="left"/>
      <w:pPr>
        <w:ind w:left="1020" w:hanging="360"/>
      </w:pPr>
    </w:lvl>
    <w:lvl w:ilvl="7" w:tplc="50682F54">
      <w:start w:val="1"/>
      <w:numFmt w:val="decimal"/>
      <w:lvlText w:val="%8)"/>
      <w:lvlJc w:val="left"/>
      <w:pPr>
        <w:ind w:left="1020" w:hanging="360"/>
      </w:pPr>
    </w:lvl>
    <w:lvl w:ilvl="8" w:tplc="F07A34DE">
      <w:start w:val="1"/>
      <w:numFmt w:val="decimal"/>
      <w:lvlText w:val="%9)"/>
      <w:lvlJc w:val="left"/>
      <w:pPr>
        <w:ind w:left="1020" w:hanging="360"/>
      </w:pPr>
    </w:lvl>
  </w:abstractNum>
  <w:abstractNum w:abstractNumId="7" w15:restartNumberingAfterBreak="0">
    <w:nsid w:val="7E5D1205"/>
    <w:multiLevelType w:val="hybridMultilevel"/>
    <w:tmpl w:val="14AA068E"/>
    <w:lvl w:ilvl="0" w:tplc="DF2C32BC">
      <w:start w:val="1"/>
      <w:numFmt w:val="decimal"/>
      <w:lvlText w:val="%1)"/>
      <w:lvlJc w:val="left"/>
      <w:pPr>
        <w:ind w:left="1020" w:hanging="360"/>
      </w:pPr>
    </w:lvl>
    <w:lvl w:ilvl="1" w:tplc="A7CA5FBE">
      <w:start w:val="1"/>
      <w:numFmt w:val="decimal"/>
      <w:lvlText w:val="%2)"/>
      <w:lvlJc w:val="left"/>
      <w:pPr>
        <w:ind w:left="1020" w:hanging="360"/>
      </w:pPr>
    </w:lvl>
    <w:lvl w:ilvl="2" w:tplc="575853FE">
      <w:start w:val="1"/>
      <w:numFmt w:val="decimal"/>
      <w:lvlText w:val="%3)"/>
      <w:lvlJc w:val="left"/>
      <w:pPr>
        <w:ind w:left="1020" w:hanging="360"/>
      </w:pPr>
    </w:lvl>
    <w:lvl w:ilvl="3" w:tplc="88AA70D2">
      <w:start w:val="1"/>
      <w:numFmt w:val="decimal"/>
      <w:lvlText w:val="%4)"/>
      <w:lvlJc w:val="left"/>
      <w:pPr>
        <w:ind w:left="1020" w:hanging="360"/>
      </w:pPr>
    </w:lvl>
    <w:lvl w:ilvl="4" w:tplc="94DAF9FC">
      <w:start w:val="1"/>
      <w:numFmt w:val="decimal"/>
      <w:lvlText w:val="%5)"/>
      <w:lvlJc w:val="left"/>
      <w:pPr>
        <w:ind w:left="1020" w:hanging="360"/>
      </w:pPr>
    </w:lvl>
    <w:lvl w:ilvl="5" w:tplc="E51E5BA6">
      <w:start w:val="1"/>
      <w:numFmt w:val="decimal"/>
      <w:lvlText w:val="%6)"/>
      <w:lvlJc w:val="left"/>
      <w:pPr>
        <w:ind w:left="1020" w:hanging="360"/>
      </w:pPr>
    </w:lvl>
    <w:lvl w:ilvl="6" w:tplc="49BC369A">
      <w:start w:val="1"/>
      <w:numFmt w:val="decimal"/>
      <w:lvlText w:val="%7)"/>
      <w:lvlJc w:val="left"/>
      <w:pPr>
        <w:ind w:left="1020" w:hanging="360"/>
      </w:pPr>
    </w:lvl>
    <w:lvl w:ilvl="7" w:tplc="0ACA5C10">
      <w:start w:val="1"/>
      <w:numFmt w:val="decimal"/>
      <w:lvlText w:val="%8)"/>
      <w:lvlJc w:val="left"/>
      <w:pPr>
        <w:ind w:left="1020" w:hanging="360"/>
      </w:pPr>
    </w:lvl>
    <w:lvl w:ilvl="8" w:tplc="51186B50">
      <w:start w:val="1"/>
      <w:numFmt w:val="decimal"/>
      <w:lvlText w:val="%9)"/>
      <w:lvlJc w:val="left"/>
      <w:pPr>
        <w:ind w:left="1020" w:hanging="360"/>
      </w:pPr>
    </w:lvl>
  </w:abstractNum>
  <w:num w:numId="1" w16cid:durableId="783308450">
    <w:abstractNumId w:val="0"/>
  </w:num>
  <w:num w:numId="2" w16cid:durableId="1495603025">
    <w:abstractNumId w:val="5"/>
  </w:num>
  <w:num w:numId="3" w16cid:durableId="234903009">
    <w:abstractNumId w:val="3"/>
  </w:num>
  <w:num w:numId="4" w16cid:durableId="160586079">
    <w:abstractNumId w:val="7"/>
  </w:num>
  <w:num w:numId="5" w16cid:durableId="1881504483">
    <w:abstractNumId w:val="1"/>
  </w:num>
  <w:num w:numId="6" w16cid:durableId="1553156086">
    <w:abstractNumId w:val="2"/>
  </w:num>
  <w:num w:numId="7" w16cid:durableId="2010017188">
    <w:abstractNumId w:val="6"/>
  </w:num>
  <w:num w:numId="8" w16cid:durableId="14225291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yNDCysLQwNDQ0szRT0lEKTi0uzszPAykwqQUA2HaC8CwAAAA="/>
  </w:docVars>
  <w:rsids>
    <w:rsidRoot w:val="00967A60"/>
    <w:rsid w:val="0000114D"/>
    <w:rsid w:val="00002C8C"/>
    <w:rsid w:val="0000472D"/>
    <w:rsid w:val="000049B2"/>
    <w:rsid w:val="00014D45"/>
    <w:rsid w:val="00015760"/>
    <w:rsid w:val="00020CDA"/>
    <w:rsid w:val="00021D9A"/>
    <w:rsid w:val="00023ADA"/>
    <w:rsid w:val="00024F0D"/>
    <w:rsid w:val="00025140"/>
    <w:rsid w:val="00026816"/>
    <w:rsid w:val="00026906"/>
    <w:rsid w:val="00026D14"/>
    <w:rsid w:val="000271A0"/>
    <w:rsid w:val="00030060"/>
    <w:rsid w:val="0003016C"/>
    <w:rsid w:val="00031294"/>
    <w:rsid w:val="00034330"/>
    <w:rsid w:val="000352B5"/>
    <w:rsid w:val="00035CF3"/>
    <w:rsid w:val="00036C61"/>
    <w:rsid w:val="0003712C"/>
    <w:rsid w:val="00040A66"/>
    <w:rsid w:val="00041412"/>
    <w:rsid w:val="0004262E"/>
    <w:rsid w:val="000438AB"/>
    <w:rsid w:val="00043F40"/>
    <w:rsid w:val="00045812"/>
    <w:rsid w:val="00047809"/>
    <w:rsid w:val="00050986"/>
    <w:rsid w:val="00051537"/>
    <w:rsid w:val="000545E6"/>
    <w:rsid w:val="00055375"/>
    <w:rsid w:val="00056E1B"/>
    <w:rsid w:val="0006081E"/>
    <w:rsid w:val="0006147C"/>
    <w:rsid w:val="00062773"/>
    <w:rsid w:val="000654E3"/>
    <w:rsid w:val="00065AE9"/>
    <w:rsid w:val="000664E6"/>
    <w:rsid w:val="00074A22"/>
    <w:rsid w:val="00074C5B"/>
    <w:rsid w:val="00083B38"/>
    <w:rsid w:val="000856AE"/>
    <w:rsid w:val="000870AE"/>
    <w:rsid w:val="000874E8"/>
    <w:rsid w:val="0008779B"/>
    <w:rsid w:val="00087D4D"/>
    <w:rsid w:val="0009019A"/>
    <w:rsid w:val="00090C5C"/>
    <w:rsid w:val="0009384F"/>
    <w:rsid w:val="000947B4"/>
    <w:rsid w:val="00094DB0"/>
    <w:rsid w:val="00095011"/>
    <w:rsid w:val="0009635C"/>
    <w:rsid w:val="0009675A"/>
    <w:rsid w:val="00097268"/>
    <w:rsid w:val="000A3208"/>
    <w:rsid w:val="000A4A7A"/>
    <w:rsid w:val="000A7386"/>
    <w:rsid w:val="000A739B"/>
    <w:rsid w:val="000A77B7"/>
    <w:rsid w:val="000A7903"/>
    <w:rsid w:val="000B1035"/>
    <w:rsid w:val="000B1459"/>
    <w:rsid w:val="000B2DF2"/>
    <w:rsid w:val="000B3CBB"/>
    <w:rsid w:val="000B3CD1"/>
    <w:rsid w:val="000B3D2E"/>
    <w:rsid w:val="000B423F"/>
    <w:rsid w:val="000B4FDC"/>
    <w:rsid w:val="000B6797"/>
    <w:rsid w:val="000B6AAE"/>
    <w:rsid w:val="000C1C03"/>
    <w:rsid w:val="000C335E"/>
    <w:rsid w:val="000C3AFC"/>
    <w:rsid w:val="000C7E9D"/>
    <w:rsid w:val="000D03E2"/>
    <w:rsid w:val="000D1684"/>
    <w:rsid w:val="000D1726"/>
    <w:rsid w:val="000D23D1"/>
    <w:rsid w:val="000D2E81"/>
    <w:rsid w:val="000D35F2"/>
    <w:rsid w:val="000D5835"/>
    <w:rsid w:val="000D6731"/>
    <w:rsid w:val="000D6A7B"/>
    <w:rsid w:val="000D6B74"/>
    <w:rsid w:val="000D7798"/>
    <w:rsid w:val="000E076F"/>
    <w:rsid w:val="000E1003"/>
    <w:rsid w:val="000E1681"/>
    <w:rsid w:val="000E3B72"/>
    <w:rsid w:val="000E6436"/>
    <w:rsid w:val="000E6825"/>
    <w:rsid w:val="000E75C6"/>
    <w:rsid w:val="000F0D99"/>
    <w:rsid w:val="000F2279"/>
    <w:rsid w:val="000F2ADB"/>
    <w:rsid w:val="000F626A"/>
    <w:rsid w:val="000F7CDD"/>
    <w:rsid w:val="00100352"/>
    <w:rsid w:val="0010050C"/>
    <w:rsid w:val="001029B7"/>
    <w:rsid w:val="00103405"/>
    <w:rsid w:val="001073C1"/>
    <w:rsid w:val="0011181E"/>
    <w:rsid w:val="00112431"/>
    <w:rsid w:val="001128FF"/>
    <w:rsid w:val="001139F8"/>
    <w:rsid w:val="00113A9D"/>
    <w:rsid w:val="00114FDB"/>
    <w:rsid w:val="00115DD0"/>
    <w:rsid w:val="00116A5E"/>
    <w:rsid w:val="001172C0"/>
    <w:rsid w:val="00120F29"/>
    <w:rsid w:val="0012107B"/>
    <w:rsid w:val="0012309B"/>
    <w:rsid w:val="001233DE"/>
    <w:rsid w:val="001246EA"/>
    <w:rsid w:val="00125300"/>
    <w:rsid w:val="001257E1"/>
    <w:rsid w:val="00125B75"/>
    <w:rsid w:val="00126F61"/>
    <w:rsid w:val="00127D70"/>
    <w:rsid w:val="0013262A"/>
    <w:rsid w:val="00132AE8"/>
    <w:rsid w:val="00135532"/>
    <w:rsid w:val="00135731"/>
    <w:rsid w:val="001363D5"/>
    <w:rsid w:val="0014040E"/>
    <w:rsid w:val="0014105E"/>
    <w:rsid w:val="001414AE"/>
    <w:rsid w:val="00143E5F"/>
    <w:rsid w:val="00144BE7"/>
    <w:rsid w:val="001467C7"/>
    <w:rsid w:val="00147988"/>
    <w:rsid w:val="001479C8"/>
    <w:rsid w:val="00152564"/>
    <w:rsid w:val="001532EC"/>
    <w:rsid w:val="00153734"/>
    <w:rsid w:val="0015543F"/>
    <w:rsid w:val="00155877"/>
    <w:rsid w:val="0015623F"/>
    <w:rsid w:val="001563E6"/>
    <w:rsid w:val="001612FF"/>
    <w:rsid w:val="001616C9"/>
    <w:rsid w:val="00161D02"/>
    <w:rsid w:val="00161D38"/>
    <w:rsid w:val="001632B6"/>
    <w:rsid w:val="0016433D"/>
    <w:rsid w:val="001677E9"/>
    <w:rsid w:val="001677EB"/>
    <w:rsid w:val="0017096C"/>
    <w:rsid w:val="00171492"/>
    <w:rsid w:val="0017298A"/>
    <w:rsid w:val="00172D13"/>
    <w:rsid w:val="00173CC6"/>
    <w:rsid w:val="0017546B"/>
    <w:rsid w:val="0017568B"/>
    <w:rsid w:val="00175A6F"/>
    <w:rsid w:val="00180012"/>
    <w:rsid w:val="00180176"/>
    <w:rsid w:val="0018273E"/>
    <w:rsid w:val="0018290C"/>
    <w:rsid w:val="00183A19"/>
    <w:rsid w:val="00185B5E"/>
    <w:rsid w:val="00186298"/>
    <w:rsid w:val="00186519"/>
    <w:rsid w:val="00187005"/>
    <w:rsid w:val="0019022B"/>
    <w:rsid w:val="00190824"/>
    <w:rsid w:val="00192523"/>
    <w:rsid w:val="00192C91"/>
    <w:rsid w:val="001960F8"/>
    <w:rsid w:val="001975FC"/>
    <w:rsid w:val="001A015E"/>
    <w:rsid w:val="001A060F"/>
    <w:rsid w:val="001A27D4"/>
    <w:rsid w:val="001A34B5"/>
    <w:rsid w:val="001A356D"/>
    <w:rsid w:val="001A438C"/>
    <w:rsid w:val="001A5EF7"/>
    <w:rsid w:val="001A732F"/>
    <w:rsid w:val="001A7F70"/>
    <w:rsid w:val="001B204D"/>
    <w:rsid w:val="001B7941"/>
    <w:rsid w:val="001C30F1"/>
    <w:rsid w:val="001C36BD"/>
    <w:rsid w:val="001C6653"/>
    <w:rsid w:val="001D445D"/>
    <w:rsid w:val="001D63FB"/>
    <w:rsid w:val="001D64DE"/>
    <w:rsid w:val="001D75C6"/>
    <w:rsid w:val="001D7611"/>
    <w:rsid w:val="001E1915"/>
    <w:rsid w:val="001E2379"/>
    <w:rsid w:val="001E2382"/>
    <w:rsid w:val="001E248F"/>
    <w:rsid w:val="001E280A"/>
    <w:rsid w:val="001E7C0E"/>
    <w:rsid w:val="001F1A2E"/>
    <w:rsid w:val="001F1FD2"/>
    <w:rsid w:val="001F693F"/>
    <w:rsid w:val="0020108C"/>
    <w:rsid w:val="00201142"/>
    <w:rsid w:val="002015AB"/>
    <w:rsid w:val="002026EE"/>
    <w:rsid w:val="00203242"/>
    <w:rsid w:val="00203B2D"/>
    <w:rsid w:val="0020557D"/>
    <w:rsid w:val="00206A1F"/>
    <w:rsid w:val="00207A54"/>
    <w:rsid w:val="00210575"/>
    <w:rsid w:val="00211582"/>
    <w:rsid w:val="00212F85"/>
    <w:rsid w:val="0021378A"/>
    <w:rsid w:val="00213A23"/>
    <w:rsid w:val="00214029"/>
    <w:rsid w:val="0021762E"/>
    <w:rsid w:val="00223003"/>
    <w:rsid w:val="00223125"/>
    <w:rsid w:val="002249D3"/>
    <w:rsid w:val="002253E7"/>
    <w:rsid w:val="0023111E"/>
    <w:rsid w:val="00231865"/>
    <w:rsid w:val="00231BEA"/>
    <w:rsid w:val="00232D3F"/>
    <w:rsid w:val="0023394F"/>
    <w:rsid w:val="0023478B"/>
    <w:rsid w:val="00240FFB"/>
    <w:rsid w:val="00242BD8"/>
    <w:rsid w:val="002463A4"/>
    <w:rsid w:val="00247156"/>
    <w:rsid w:val="00250092"/>
    <w:rsid w:val="00250404"/>
    <w:rsid w:val="0025154D"/>
    <w:rsid w:val="0025158E"/>
    <w:rsid w:val="002518D2"/>
    <w:rsid w:val="0025256A"/>
    <w:rsid w:val="002525FB"/>
    <w:rsid w:val="0025328B"/>
    <w:rsid w:val="00254DD3"/>
    <w:rsid w:val="002573B9"/>
    <w:rsid w:val="00257E7F"/>
    <w:rsid w:val="0026340C"/>
    <w:rsid w:val="00266630"/>
    <w:rsid w:val="00271A3A"/>
    <w:rsid w:val="00272670"/>
    <w:rsid w:val="00272DD4"/>
    <w:rsid w:val="00273504"/>
    <w:rsid w:val="00273E9B"/>
    <w:rsid w:val="00276736"/>
    <w:rsid w:val="002779E2"/>
    <w:rsid w:val="00277D22"/>
    <w:rsid w:val="002801A7"/>
    <w:rsid w:val="00280364"/>
    <w:rsid w:val="00280C23"/>
    <w:rsid w:val="002812B3"/>
    <w:rsid w:val="002815C8"/>
    <w:rsid w:val="00281B5E"/>
    <w:rsid w:val="00281DFE"/>
    <w:rsid w:val="00282CFA"/>
    <w:rsid w:val="0028481D"/>
    <w:rsid w:val="002854F3"/>
    <w:rsid w:val="002870F8"/>
    <w:rsid w:val="00287D9B"/>
    <w:rsid w:val="00290152"/>
    <w:rsid w:val="00292DBD"/>
    <w:rsid w:val="002947C2"/>
    <w:rsid w:val="00296CDC"/>
    <w:rsid w:val="0029761F"/>
    <w:rsid w:val="00297832"/>
    <w:rsid w:val="002A027C"/>
    <w:rsid w:val="002A2B6F"/>
    <w:rsid w:val="002A2CC9"/>
    <w:rsid w:val="002A3101"/>
    <w:rsid w:val="002A33F1"/>
    <w:rsid w:val="002A3892"/>
    <w:rsid w:val="002A6677"/>
    <w:rsid w:val="002A682E"/>
    <w:rsid w:val="002B0433"/>
    <w:rsid w:val="002B2FBA"/>
    <w:rsid w:val="002B51E4"/>
    <w:rsid w:val="002B56D4"/>
    <w:rsid w:val="002C2016"/>
    <w:rsid w:val="002C2A85"/>
    <w:rsid w:val="002C363D"/>
    <w:rsid w:val="002C5C61"/>
    <w:rsid w:val="002D1C88"/>
    <w:rsid w:val="002D2582"/>
    <w:rsid w:val="002D4FB6"/>
    <w:rsid w:val="002D5501"/>
    <w:rsid w:val="002D7966"/>
    <w:rsid w:val="002E1167"/>
    <w:rsid w:val="002E178B"/>
    <w:rsid w:val="002E1E93"/>
    <w:rsid w:val="002E3229"/>
    <w:rsid w:val="002E342D"/>
    <w:rsid w:val="002E5F75"/>
    <w:rsid w:val="002E68AA"/>
    <w:rsid w:val="002E6BD7"/>
    <w:rsid w:val="002E6F59"/>
    <w:rsid w:val="002E6FC9"/>
    <w:rsid w:val="002E7860"/>
    <w:rsid w:val="002E7C38"/>
    <w:rsid w:val="002F2567"/>
    <w:rsid w:val="002F37A2"/>
    <w:rsid w:val="002F41A8"/>
    <w:rsid w:val="002F47B7"/>
    <w:rsid w:val="002F4A3A"/>
    <w:rsid w:val="00301F5D"/>
    <w:rsid w:val="0030330C"/>
    <w:rsid w:val="00303706"/>
    <w:rsid w:val="00304087"/>
    <w:rsid w:val="00304261"/>
    <w:rsid w:val="003048BD"/>
    <w:rsid w:val="003048E9"/>
    <w:rsid w:val="00305F09"/>
    <w:rsid w:val="00310A39"/>
    <w:rsid w:val="00315070"/>
    <w:rsid w:val="00317188"/>
    <w:rsid w:val="00320F2B"/>
    <w:rsid w:val="00321F0B"/>
    <w:rsid w:val="00322080"/>
    <w:rsid w:val="003236FE"/>
    <w:rsid w:val="003241F7"/>
    <w:rsid w:val="00324778"/>
    <w:rsid w:val="00324B0C"/>
    <w:rsid w:val="00325D13"/>
    <w:rsid w:val="00327747"/>
    <w:rsid w:val="00331278"/>
    <w:rsid w:val="00331B7D"/>
    <w:rsid w:val="00334B88"/>
    <w:rsid w:val="00334C44"/>
    <w:rsid w:val="003357F7"/>
    <w:rsid w:val="0033647F"/>
    <w:rsid w:val="00336EBD"/>
    <w:rsid w:val="003407D1"/>
    <w:rsid w:val="00340987"/>
    <w:rsid w:val="00342002"/>
    <w:rsid w:val="00343BAC"/>
    <w:rsid w:val="00346D4C"/>
    <w:rsid w:val="0035384B"/>
    <w:rsid w:val="003564F7"/>
    <w:rsid w:val="00357D60"/>
    <w:rsid w:val="003647EF"/>
    <w:rsid w:val="00365A5B"/>
    <w:rsid w:val="00367199"/>
    <w:rsid w:val="00367662"/>
    <w:rsid w:val="00371DF0"/>
    <w:rsid w:val="003722B1"/>
    <w:rsid w:val="00372EB1"/>
    <w:rsid w:val="0037303F"/>
    <w:rsid w:val="00373C18"/>
    <w:rsid w:val="003757B6"/>
    <w:rsid w:val="0037597F"/>
    <w:rsid w:val="00375B01"/>
    <w:rsid w:val="00377ECD"/>
    <w:rsid w:val="0038090A"/>
    <w:rsid w:val="00384079"/>
    <w:rsid w:val="00384530"/>
    <w:rsid w:val="00386F57"/>
    <w:rsid w:val="003900E3"/>
    <w:rsid w:val="00390334"/>
    <w:rsid w:val="0039201C"/>
    <w:rsid w:val="00392E13"/>
    <w:rsid w:val="00393066"/>
    <w:rsid w:val="00395203"/>
    <w:rsid w:val="00395310"/>
    <w:rsid w:val="003979A2"/>
    <w:rsid w:val="00397D5A"/>
    <w:rsid w:val="003A00B5"/>
    <w:rsid w:val="003A06F4"/>
    <w:rsid w:val="003A0CEC"/>
    <w:rsid w:val="003A3044"/>
    <w:rsid w:val="003A327B"/>
    <w:rsid w:val="003A4820"/>
    <w:rsid w:val="003A512E"/>
    <w:rsid w:val="003A5DD3"/>
    <w:rsid w:val="003A6D5E"/>
    <w:rsid w:val="003A735F"/>
    <w:rsid w:val="003A7496"/>
    <w:rsid w:val="003A7AEA"/>
    <w:rsid w:val="003A7D26"/>
    <w:rsid w:val="003B0226"/>
    <w:rsid w:val="003B0401"/>
    <w:rsid w:val="003B08AE"/>
    <w:rsid w:val="003B09BE"/>
    <w:rsid w:val="003B0B58"/>
    <w:rsid w:val="003B1A51"/>
    <w:rsid w:val="003B4E8C"/>
    <w:rsid w:val="003B4FA4"/>
    <w:rsid w:val="003B56D7"/>
    <w:rsid w:val="003B6142"/>
    <w:rsid w:val="003C16B7"/>
    <w:rsid w:val="003C18C2"/>
    <w:rsid w:val="003C2499"/>
    <w:rsid w:val="003C3D11"/>
    <w:rsid w:val="003C4352"/>
    <w:rsid w:val="003C5FA8"/>
    <w:rsid w:val="003C7B06"/>
    <w:rsid w:val="003D0060"/>
    <w:rsid w:val="003D03F5"/>
    <w:rsid w:val="003D12A2"/>
    <w:rsid w:val="003D1DA9"/>
    <w:rsid w:val="003D4295"/>
    <w:rsid w:val="003D62F2"/>
    <w:rsid w:val="003D6704"/>
    <w:rsid w:val="003D6AFF"/>
    <w:rsid w:val="003D7D3C"/>
    <w:rsid w:val="003E0D4F"/>
    <w:rsid w:val="003E1A14"/>
    <w:rsid w:val="003E262A"/>
    <w:rsid w:val="003E31AB"/>
    <w:rsid w:val="003E351F"/>
    <w:rsid w:val="003E390E"/>
    <w:rsid w:val="003E4D27"/>
    <w:rsid w:val="003E6EFD"/>
    <w:rsid w:val="003E6FED"/>
    <w:rsid w:val="003E74D8"/>
    <w:rsid w:val="003F03FE"/>
    <w:rsid w:val="003F214E"/>
    <w:rsid w:val="003F3F01"/>
    <w:rsid w:val="003F3F50"/>
    <w:rsid w:val="003F6936"/>
    <w:rsid w:val="003F76A3"/>
    <w:rsid w:val="00401E77"/>
    <w:rsid w:val="00402271"/>
    <w:rsid w:val="00402B6A"/>
    <w:rsid w:val="00403223"/>
    <w:rsid w:val="00404111"/>
    <w:rsid w:val="00407E54"/>
    <w:rsid w:val="00410038"/>
    <w:rsid w:val="004105AC"/>
    <w:rsid w:val="004127E1"/>
    <w:rsid w:val="00412F4B"/>
    <w:rsid w:val="004136C9"/>
    <w:rsid w:val="00415138"/>
    <w:rsid w:val="00416BFB"/>
    <w:rsid w:val="00416D30"/>
    <w:rsid w:val="004178A6"/>
    <w:rsid w:val="00420861"/>
    <w:rsid w:val="00420C18"/>
    <w:rsid w:val="00421DCB"/>
    <w:rsid w:val="004222AD"/>
    <w:rsid w:val="004231B2"/>
    <w:rsid w:val="004231F6"/>
    <w:rsid w:val="0042362F"/>
    <w:rsid w:val="00424D90"/>
    <w:rsid w:val="0042799C"/>
    <w:rsid w:val="0043147C"/>
    <w:rsid w:val="0043200B"/>
    <w:rsid w:val="00432E3A"/>
    <w:rsid w:val="00440461"/>
    <w:rsid w:val="00441794"/>
    <w:rsid w:val="00442096"/>
    <w:rsid w:val="00445420"/>
    <w:rsid w:val="0045127B"/>
    <w:rsid w:val="00452D30"/>
    <w:rsid w:val="00453993"/>
    <w:rsid w:val="004547E4"/>
    <w:rsid w:val="00455277"/>
    <w:rsid w:val="00456A1A"/>
    <w:rsid w:val="00457C8C"/>
    <w:rsid w:val="004616BD"/>
    <w:rsid w:val="0046607C"/>
    <w:rsid w:val="00466776"/>
    <w:rsid w:val="00467C1C"/>
    <w:rsid w:val="00467EF2"/>
    <w:rsid w:val="00472454"/>
    <w:rsid w:val="00472DA3"/>
    <w:rsid w:val="00473924"/>
    <w:rsid w:val="00473FD1"/>
    <w:rsid w:val="00474C8C"/>
    <w:rsid w:val="00480949"/>
    <w:rsid w:val="0048121A"/>
    <w:rsid w:val="0048423D"/>
    <w:rsid w:val="00484249"/>
    <w:rsid w:val="00484366"/>
    <w:rsid w:val="00484CC4"/>
    <w:rsid w:val="00484DBA"/>
    <w:rsid w:val="004855F3"/>
    <w:rsid w:val="00485CC2"/>
    <w:rsid w:val="00486C7C"/>
    <w:rsid w:val="00487A28"/>
    <w:rsid w:val="0049211E"/>
    <w:rsid w:val="004930E8"/>
    <w:rsid w:val="00494D34"/>
    <w:rsid w:val="004A024A"/>
    <w:rsid w:val="004A2BD0"/>
    <w:rsid w:val="004A34C7"/>
    <w:rsid w:val="004A4C0A"/>
    <w:rsid w:val="004A5F5C"/>
    <w:rsid w:val="004A6BA3"/>
    <w:rsid w:val="004A7B17"/>
    <w:rsid w:val="004B2143"/>
    <w:rsid w:val="004B23A4"/>
    <w:rsid w:val="004B3B3A"/>
    <w:rsid w:val="004B3FC6"/>
    <w:rsid w:val="004B6317"/>
    <w:rsid w:val="004B6EBA"/>
    <w:rsid w:val="004C322B"/>
    <w:rsid w:val="004C332E"/>
    <w:rsid w:val="004C3B99"/>
    <w:rsid w:val="004C4476"/>
    <w:rsid w:val="004C5845"/>
    <w:rsid w:val="004C6E87"/>
    <w:rsid w:val="004C786B"/>
    <w:rsid w:val="004D0D46"/>
    <w:rsid w:val="004D3064"/>
    <w:rsid w:val="004D596A"/>
    <w:rsid w:val="004D68A9"/>
    <w:rsid w:val="004D7FE0"/>
    <w:rsid w:val="004E1D2E"/>
    <w:rsid w:val="004E1DA2"/>
    <w:rsid w:val="004F0186"/>
    <w:rsid w:val="004F0AC1"/>
    <w:rsid w:val="004F0C02"/>
    <w:rsid w:val="004F139C"/>
    <w:rsid w:val="004F1755"/>
    <w:rsid w:val="004F2270"/>
    <w:rsid w:val="004F31F2"/>
    <w:rsid w:val="004F6F96"/>
    <w:rsid w:val="004F7693"/>
    <w:rsid w:val="00500BF8"/>
    <w:rsid w:val="0050145D"/>
    <w:rsid w:val="00501C0C"/>
    <w:rsid w:val="00504454"/>
    <w:rsid w:val="005045B3"/>
    <w:rsid w:val="00507CC3"/>
    <w:rsid w:val="00510F20"/>
    <w:rsid w:val="00514AC1"/>
    <w:rsid w:val="00515EEE"/>
    <w:rsid w:val="00517F08"/>
    <w:rsid w:val="005213FF"/>
    <w:rsid w:val="00522818"/>
    <w:rsid w:val="00525294"/>
    <w:rsid w:val="00526037"/>
    <w:rsid w:val="00526D0F"/>
    <w:rsid w:val="005301A0"/>
    <w:rsid w:val="00530E0D"/>
    <w:rsid w:val="005312AC"/>
    <w:rsid w:val="00532583"/>
    <w:rsid w:val="005326FB"/>
    <w:rsid w:val="00533D34"/>
    <w:rsid w:val="00534F09"/>
    <w:rsid w:val="00537B45"/>
    <w:rsid w:val="00540184"/>
    <w:rsid w:val="005411AE"/>
    <w:rsid w:val="00543ABF"/>
    <w:rsid w:val="00544882"/>
    <w:rsid w:val="0054509E"/>
    <w:rsid w:val="0055443F"/>
    <w:rsid w:val="00554F35"/>
    <w:rsid w:val="00562F48"/>
    <w:rsid w:val="00563A8C"/>
    <w:rsid w:val="00564D67"/>
    <w:rsid w:val="00566D5B"/>
    <w:rsid w:val="00570347"/>
    <w:rsid w:val="005707ED"/>
    <w:rsid w:val="00570D9C"/>
    <w:rsid w:val="0057213B"/>
    <w:rsid w:val="0057237F"/>
    <w:rsid w:val="00572DFD"/>
    <w:rsid w:val="00573309"/>
    <w:rsid w:val="00573B0A"/>
    <w:rsid w:val="00576ADB"/>
    <w:rsid w:val="0057789F"/>
    <w:rsid w:val="0058055F"/>
    <w:rsid w:val="00580A01"/>
    <w:rsid w:val="00581E17"/>
    <w:rsid w:val="00590784"/>
    <w:rsid w:val="0059287B"/>
    <w:rsid w:val="00592ADA"/>
    <w:rsid w:val="00594ADE"/>
    <w:rsid w:val="00594D9F"/>
    <w:rsid w:val="0059538F"/>
    <w:rsid w:val="0059546A"/>
    <w:rsid w:val="005A1280"/>
    <w:rsid w:val="005A2205"/>
    <w:rsid w:val="005A27E4"/>
    <w:rsid w:val="005A2C0E"/>
    <w:rsid w:val="005A4455"/>
    <w:rsid w:val="005A6CED"/>
    <w:rsid w:val="005A6FDE"/>
    <w:rsid w:val="005B08DB"/>
    <w:rsid w:val="005B1EB7"/>
    <w:rsid w:val="005B31EF"/>
    <w:rsid w:val="005B4BCA"/>
    <w:rsid w:val="005B5286"/>
    <w:rsid w:val="005B611C"/>
    <w:rsid w:val="005C139D"/>
    <w:rsid w:val="005C2317"/>
    <w:rsid w:val="005C4181"/>
    <w:rsid w:val="005C4F88"/>
    <w:rsid w:val="005C616E"/>
    <w:rsid w:val="005C7304"/>
    <w:rsid w:val="005D0888"/>
    <w:rsid w:val="005D0B36"/>
    <w:rsid w:val="005D10E4"/>
    <w:rsid w:val="005D12B0"/>
    <w:rsid w:val="005D1BE3"/>
    <w:rsid w:val="005D2BD4"/>
    <w:rsid w:val="005D4764"/>
    <w:rsid w:val="005D6ADD"/>
    <w:rsid w:val="005E0143"/>
    <w:rsid w:val="005E092A"/>
    <w:rsid w:val="005E0F93"/>
    <w:rsid w:val="005E1089"/>
    <w:rsid w:val="005E5099"/>
    <w:rsid w:val="005F3172"/>
    <w:rsid w:val="005F3D12"/>
    <w:rsid w:val="005F4C86"/>
    <w:rsid w:val="005F59FD"/>
    <w:rsid w:val="005F6A30"/>
    <w:rsid w:val="005F786F"/>
    <w:rsid w:val="005F7F0E"/>
    <w:rsid w:val="00600CBF"/>
    <w:rsid w:val="00602B88"/>
    <w:rsid w:val="00603B09"/>
    <w:rsid w:val="00604C7E"/>
    <w:rsid w:val="00605C39"/>
    <w:rsid w:val="0060669C"/>
    <w:rsid w:val="0060670B"/>
    <w:rsid w:val="006067E5"/>
    <w:rsid w:val="0060790C"/>
    <w:rsid w:val="0061031C"/>
    <w:rsid w:val="0061208E"/>
    <w:rsid w:val="00620DFF"/>
    <w:rsid w:val="00623302"/>
    <w:rsid w:val="0062425E"/>
    <w:rsid w:val="006248B4"/>
    <w:rsid w:val="006257F2"/>
    <w:rsid w:val="00625952"/>
    <w:rsid w:val="00625DAD"/>
    <w:rsid w:val="006279A3"/>
    <w:rsid w:val="00630906"/>
    <w:rsid w:val="00631E62"/>
    <w:rsid w:val="00631E98"/>
    <w:rsid w:val="00632748"/>
    <w:rsid w:val="00632B52"/>
    <w:rsid w:val="00636698"/>
    <w:rsid w:val="00636D90"/>
    <w:rsid w:val="00637FB9"/>
    <w:rsid w:val="0064196D"/>
    <w:rsid w:val="00643EB5"/>
    <w:rsid w:val="00644EB1"/>
    <w:rsid w:val="00651302"/>
    <w:rsid w:val="006526AD"/>
    <w:rsid w:val="00653F0E"/>
    <w:rsid w:val="006573CA"/>
    <w:rsid w:val="006638F9"/>
    <w:rsid w:val="00664291"/>
    <w:rsid w:val="00665D56"/>
    <w:rsid w:val="00666B04"/>
    <w:rsid w:val="0066793F"/>
    <w:rsid w:val="00667D26"/>
    <w:rsid w:val="00670550"/>
    <w:rsid w:val="00670695"/>
    <w:rsid w:val="00670B3A"/>
    <w:rsid w:val="00670CB4"/>
    <w:rsid w:val="00673E62"/>
    <w:rsid w:val="006770DD"/>
    <w:rsid w:val="0067745E"/>
    <w:rsid w:val="006827F3"/>
    <w:rsid w:val="00684870"/>
    <w:rsid w:val="006859B4"/>
    <w:rsid w:val="00685A32"/>
    <w:rsid w:val="00686686"/>
    <w:rsid w:val="00690200"/>
    <w:rsid w:val="006931C6"/>
    <w:rsid w:val="006A40B1"/>
    <w:rsid w:val="006A482B"/>
    <w:rsid w:val="006A521C"/>
    <w:rsid w:val="006A5897"/>
    <w:rsid w:val="006B2284"/>
    <w:rsid w:val="006B2E80"/>
    <w:rsid w:val="006B3222"/>
    <w:rsid w:val="006B3D4A"/>
    <w:rsid w:val="006B3F51"/>
    <w:rsid w:val="006B73A1"/>
    <w:rsid w:val="006B767B"/>
    <w:rsid w:val="006B7C2C"/>
    <w:rsid w:val="006C05A6"/>
    <w:rsid w:val="006C0F6E"/>
    <w:rsid w:val="006C2716"/>
    <w:rsid w:val="006C2A6A"/>
    <w:rsid w:val="006C4736"/>
    <w:rsid w:val="006D05A4"/>
    <w:rsid w:val="006D2978"/>
    <w:rsid w:val="006D2AAF"/>
    <w:rsid w:val="006D3F8F"/>
    <w:rsid w:val="006E01DB"/>
    <w:rsid w:val="006E1422"/>
    <w:rsid w:val="006E20D6"/>
    <w:rsid w:val="006E2E6A"/>
    <w:rsid w:val="006E3F89"/>
    <w:rsid w:val="006E4551"/>
    <w:rsid w:val="006E65DE"/>
    <w:rsid w:val="006E6CB7"/>
    <w:rsid w:val="006E75B5"/>
    <w:rsid w:val="006F0208"/>
    <w:rsid w:val="006F0AD0"/>
    <w:rsid w:val="006F0CE7"/>
    <w:rsid w:val="006F20F9"/>
    <w:rsid w:val="006F24A8"/>
    <w:rsid w:val="006F4AAC"/>
    <w:rsid w:val="006F5708"/>
    <w:rsid w:val="006F5C14"/>
    <w:rsid w:val="006F5E97"/>
    <w:rsid w:val="006F76CA"/>
    <w:rsid w:val="0070381B"/>
    <w:rsid w:val="00704696"/>
    <w:rsid w:val="00705129"/>
    <w:rsid w:val="0070726C"/>
    <w:rsid w:val="00707327"/>
    <w:rsid w:val="007104E6"/>
    <w:rsid w:val="007127F3"/>
    <w:rsid w:val="00712BBD"/>
    <w:rsid w:val="0071325A"/>
    <w:rsid w:val="00714E51"/>
    <w:rsid w:val="00715BBF"/>
    <w:rsid w:val="00715ED4"/>
    <w:rsid w:val="00720184"/>
    <w:rsid w:val="007233DB"/>
    <w:rsid w:val="00724313"/>
    <w:rsid w:val="00730024"/>
    <w:rsid w:val="00730A0A"/>
    <w:rsid w:val="00731C72"/>
    <w:rsid w:val="007323E6"/>
    <w:rsid w:val="007336FC"/>
    <w:rsid w:val="00735473"/>
    <w:rsid w:val="0073718C"/>
    <w:rsid w:val="00737435"/>
    <w:rsid w:val="00740462"/>
    <w:rsid w:val="00740D09"/>
    <w:rsid w:val="00740F45"/>
    <w:rsid w:val="007411DF"/>
    <w:rsid w:val="00741B45"/>
    <w:rsid w:val="007425B3"/>
    <w:rsid w:val="00742A71"/>
    <w:rsid w:val="007431B4"/>
    <w:rsid w:val="007434A2"/>
    <w:rsid w:val="007446A5"/>
    <w:rsid w:val="00751C77"/>
    <w:rsid w:val="007523C5"/>
    <w:rsid w:val="00752D68"/>
    <w:rsid w:val="00754232"/>
    <w:rsid w:val="007547A8"/>
    <w:rsid w:val="00754DA1"/>
    <w:rsid w:val="007550BB"/>
    <w:rsid w:val="00755265"/>
    <w:rsid w:val="0075605B"/>
    <w:rsid w:val="00756489"/>
    <w:rsid w:val="00760328"/>
    <w:rsid w:val="007603BE"/>
    <w:rsid w:val="00760886"/>
    <w:rsid w:val="00760BA6"/>
    <w:rsid w:val="00760CB4"/>
    <w:rsid w:val="00762D02"/>
    <w:rsid w:val="0076333B"/>
    <w:rsid w:val="00763D45"/>
    <w:rsid w:val="00763FC8"/>
    <w:rsid w:val="0076403A"/>
    <w:rsid w:val="00764BD4"/>
    <w:rsid w:val="00766333"/>
    <w:rsid w:val="0076712A"/>
    <w:rsid w:val="00774D19"/>
    <w:rsid w:val="00775FAA"/>
    <w:rsid w:val="0078008D"/>
    <w:rsid w:val="00783BE0"/>
    <w:rsid w:val="0078583B"/>
    <w:rsid w:val="0078663A"/>
    <w:rsid w:val="00786FDE"/>
    <w:rsid w:val="00787AE7"/>
    <w:rsid w:val="00790FBE"/>
    <w:rsid w:val="007917F3"/>
    <w:rsid w:val="0079347E"/>
    <w:rsid w:val="00793837"/>
    <w:rsid w:val="00793D2C"/>
    <w:rsid w:val="007947C6"/>
    <w:rsid w:val="0079627A"/>
    <w:rsid w:val="007975A0"/>
    <w:rsid w:val="007A0CA5"/>
    <w:rsid w:val="007A101D"/>
    <w:rsid w:val="007A2964"/>
    <w:rsid w:val="007A449F"/>
    <w:rsid w:val="007B0C22"/>
    <w:rsid w:val="007B0C59"/>
    <w:rsid w:val="007B0CED"/>
    <w:rsid w:val="007B4137"/>
    <w:rsid w:val="007B7F9C"/>
    <w:rsid w:val="007C1038"/>
    <w:rsid w:val="007C2AE4"/>
    <w:rsid w:val="007C478D"/>
    <w:rsid w:val="007C603F"/>
    <w:rsid w:val="007D2576"/>
    <w:rsid w:val="007D2EDC"/>
    <w:rsid w:val="007D3C87"/>
    <w:rsid w:val="007D3EBA"/>
    <w:rsid w:val="007D574C"/>
    <w:rsid w:val="007D626B"/>
    <w:rsid w:val="007D74CE"/>
    <w:rsid w:val="007D76D5"/>
    <w:rsid w:val="007E0CC3"/>
    <w:rsid w:val="007E14A5"/>
    <w:rsid w:val="007F00AF"/>
    <w:rsid w:val="007F10C2"/>
    <w:rsid w:val="007F1D30"/>
    <w:rsid w:val="007F26C3"/>
    <w:rsid w:val="007F2CB7"/>
    <w:rsid w:val="007F2E22"/>
    <w:rsid w:val="007F3960"/>
    <w:rsid w:val="007F7812"/>
    <w:rsid w:val="007F7D77"/>
    <w:rsid w:val="008026B0"/>
    <w:rsid w:val="00802927"/>
    <w:rsid w:val="0080600F"/>
    <w:rsid w:val="00806C56"/>
    <w:rsid w:val="00807980"/>
    <w:rsid w:val="00807AB4"/>
    <w:rsid w:val="00810027"/>
    <w:rsid w:val="00812ED0"/>
    <w:rsid w:val="008148B6"/>
    <w:rsid w:val="00814F67"/>
    <w:rsid w:val="008167AC"/>
    <w:rsid w:val="0082240D"/>
    <w:rsid w:val="00823969"/>
    <w:rsid w:val="00823E28"/>
    <w:rsid w:val="008241D7"/>
    <w:rsid w:val="0082497A"/>
    <w:rsid w:val="00830561"/>
    <w:rsid w:val="00830C14"/>
    <w:rsid w:val="00833B14"/>
    <w:rsid w:val="0083782B"/>
    <w:rsid w:val="008416A5"/>
    <w:rsid w:val="00841757"/>
    <w:rsid w:val="00850759"/>
    <w:rsid w:val="00851F1E"/>
    <w:rsid w:val="008537D8"/>
    <w:rsid w:val="00854682"/>
    <w:rsid w:val="00856D7C"/>
    <w:rsid w:val="008572A7"/>
    <w:rsid w:val="008577D9"/>
    <w:rsid w:val="0085797A"/>
    <w:rsid w:val="008608F8"/>
    <w:rsid w:val="00863088"/>
    <w:rsid w:val="008632E8"/>
    <w:rsid w:val="00864466"/>
    <w:rsid w:val="00864A70"/>
    <w:rsid w:val="00864DA3"/>
    <w:rsid w:val="00864DF1"/>
    <w:rsid w:val="00865058"/>
    <w:rsid w:val="008655D7"/>
    <w:rsid w:val="00865B1E"/>
    <w:rsid w:val="00865B9D"/>
    <w:rsid w:val="008700F6"/>
    <w:rsid w:val="00871BDA"/>
    <w:rsid w:val="008752DD"/>
    <w:rsid w:val="008761EB"/>
    <w:rsid w:val="0087741D"/>
    <w:rsid w:val="00883F24"/>
    <w:rsid w:val="00885683"/>
    <w:rsid w:val="00885E50"/>
    <w:rsid w:val="0089017E"/>
    <w:rsid w:val="00890E3D"/>
    <w:rsid w:val="00891979"/>
    <w:rsid w:val="00891EE9"/>
    <w:rsid w:val="00894CD2"/>
    <w:rsid w:val="00894D46"/>
    <w:rsid w:val="00896095"/>
    <w:rsid w:val="0089700B"/>
    <w:rsid w:val="00897940"/>
    <w:rsid w:val="008A13CA"/>
    <w:rsid w:val="008A282C"/>
    <w:rsid w:val="008A5754"/>
    <w:rsid w:val="008A6539"/>
    <w:rsid w:val="008A71F5"/>
    <w:rsid w:val="008A78E5"/>
    <w:rsid w:val="008A7B8D"/>
    <w:rsid w:val="008B08A6"/>
    <w:rsid w:val="008B0BB9"/>
    <w:rsid w:val="008B4CC6"/>
    <w:rsid w:val="008B5AB5"/>
    <w:rsid w:val="008B5FBE"/>
    <w:rsid w:val="008B6F64"/>
    <w:rsid w:val="008B7CD0"/>
    <w:rsid w:val="008C605D"/>
    <w:rsid w:val="008D097F"/>
    <w:rsid w:val="008D1887"/>
    <w:rsid w:val="008D1A23"/>
    <w:rsid w:val="008D2DFE"/>
    <w:rsid w:val="008D39DC"/>
    <w:rsid w:val="008D4BE4"/>
    <w:rsid w:val="008D527E"/>
    <w:rsid w:val="008D6EAF"/>
    <w:rsid w:val="008D70E2"/>
    <w:rsid w:val="008E14F2"/>
    <w:rsid w:val="008E358B"/>
    <w:rsid w:val="008E4594"/>
    <w:rsid w:val="008E4696"/>
    <w:rsid w:val="008E6216"/>
    <w:rsid w:val="008F1A21"/>
    <w:rsid w:val="008F44CB"/>
    <w:rsid w:val="008F4582"/>
    <w:rsid w:val="008F4702"/>
    <w:rsid w:val="008F7DE4"/>
    <w:rsid w:val="00900BC7"/>
    <w:rsid w:val="009010B0"/>
    <w:rsid w:val="009018DC"/>
    <w:rsid w:val="0090205C"/>
    <w:rsid w:val="0090255A"/>
    <w:rsid w:val="00902DE3"/>
    <w:rsid w:val="00912007"/>
    <w:rsid w:val="00913667"/>
    <w:rsid w:val="0091407D"/>
    <w:rsid w:val="009141C3"/>
    <w:rsid w:val="00914E47"/>
    <w:rsid w:val="00920C85"/>
    <w:rsid w:val="00922FCB"/>
    <w:rsid w:val="0092507F"/>
    <w:rsid w:val="00925B0B"/>
    <w:rsid w:val="009315B9"/>
    <w:rsid w:val="00932E10"/>
    <w:rsid w:val="00933FAE"/>
    <w:rsid w:val="0093561D"/>
    <w:rsid w:val="00937924"/>
    <w:rsid w:val="00940E1B"/>
    <w:rsid w:val="00941EC7"/>
    <w:rsid w:val="00941F64"/>
    <w:rsid w:val="00941FBB"/>
    <w:rsid w:val="009430FC"/>
    <w:rsid w:val="00943F4D"/>
    <w:rsid w:val="00944983"/>
    <w:rsid w:val="009455B8"/>
    <w:rsid w:val="00945BB0"/>
    <w:rsid w:val="00946306"/>
    <w:rsid w:val="0094679B"/>
    <w:rsid w:val="00946840"/>
    <w:rsid w:val="009475E6"/>
    <w:rsid w:val="009529E0"/>
    <w:rsid w:val="00954040"/>
    <w:rsid w:val="00955418"/>
    <w:rsid w:val="0096051C"/>
    <w:rsid w:val="00961F57"/>
    <w:rsid w:val="009625C1"/>
    <w:rsid w:val="00962E3B"/>
    <w:rsid w:val="00962FEB"/>
    <w:rsid w:val="00963333"/>
    <w:rsid w:val="00963DB6"/>
    <w:rsid w:val="00964869"/>
    <w:rsid w:val="00966398"/>
    <w:rsid w:val="00967657"/>
    <w:rsid w:val="00967A60"/>
    <w:rsid w:val="00971562"/>
    <w:rsid w:val="009717D5"/>
    <w:rsid w:val="00973554"/>
    <w:rsid w:val="00973692"/>
    <w:rsid w:val="00974305"/>
    <w:rsid w:val="00974BF5"/>
    <w:rsid w:val="00974C23"/>
    <w:rsid w:val="00974CD5"/>
    <w:rsid w:val="009776B6"/>
    <w:rsid w:val="009779D4"/>
    <w:rsid w:val="009822B8"/>
    <w:rsid w:val="00984067"/>
    <w:rsid w:val="009849F1"/>
    <w:rsid w:val="00985CFC"/>
    <w:rsid w:val="0098678A"/>
    <w:rsid w:val="00990125"/>
    <w:rsid w:val="00990D03"/>
    <w:rsid w:val="00991CEB"/>
    <w:rsid w:val="00992849"/>
    <w:rsid w:val="009946A0"/>
    <w:rsid w:val="00995DE2"/>
    <w:rsid w:val="009967C4"/>
    <w:rsid w:val="0099726C"/>
    <w:rsid w:val="009A058A"/>
    <w:rsid w:val="009A16EA"/>
    <w:rsid w:val="009A6EBD"/>
    <w:rsid w:val="009B0D90"/>
    <w:rsid w:val="009B2164"/>
    <w:rsid w:val="009B5523"/>
    <w:rsid w:val="009B734A"/>
    <w:rsid w:val="009B7939"/>
    <w:rsid w:val="009C43C5"/>
    <w:rsid w:val="009C4696"/>
    <w:rsid w:val="009C5553"/>
    <w:rsid w:val="009C5860"/>
    <w:rsid w:val="009C5C0C"/>
    <w:rsid w:val="009C62BB"/>
    <w:rsid w:val="009C6ABE"/>
    <w:rsid w:val="009D056D"/>
    <w:rsid w:val="009D307A"/>
    <w:rsid w:val="009D3C70"/>
    <w:rsid w:val="009D4294"/>
    <w:rsid w:val="009D56DE"/>
    <w:rsid w:val="009D6337"/>
    <w:rsid w:val="009D6913"/>
    <w:rsid w:val="009D759B"/>
    <w:rsid w:val="009E39B1"/>
    <w:rsid w:val="009E4569"/>
    <w:rsid w:val="009E4C4C"/>
    <w:rsid w:val="009E5A66"/>
    <w:rsid w:val="009F7594"/>
    <w:rsid w:val="009F7BEA"/>
    <w:rsid w:val="009F7F88"/>
    <w:rsid w:val="00A014B9"/>
    <w:rsid w:val="00A0370F"/>
    <w:rsid w:val="00A03A2F"/>
    <w:rsid w:val="00A0594B"/>
    <w:rsid w:val="00A07AE3"/>
    <w:rsid w:val="00A10220"/>
    <w:rsid w:val="00A12BC8"/>
    <w:rsid w:val="00A13A9E"/>
    <w:rsid w:val="00A14BF3"/>
    <w:rsid w:val="00A16031"/>
    <w:rsid w:val="00A1689D"/>
    <w:rsid w:val="00A17432"/>
    <w:rsid w:val="00A1783A"/>
    <w:rsid w:val="00A179A0"/>
    <w:rsid w:val="00A20CD0"/>
    <w:rsid w:val="00A226B4"/>
    <w:rsid w:val="00A22C89"/>
    <w:rsid w:val="00A26147"/>
    <w:rsid w:val="00A404E8"/>
    <w:rsid w:val="00A405F1"/>
    <w:rsid w:val="00A415BE"/>
    <w:rsid w:val="00A435CF"/>
    <w:rsid w:val="00A43F0B"/>
    <w:rsid w:val="00A44D3C"/>
    <w:rsid w:val="00A45EA5"/>
    <w:rsid w:val="00A46BA6"/>
    <w:rsid w:val="00A46F5A"/>
    <w:rsid w:val="00A47D0C"/>
    <w:rsid w:val="00A5143C"/>
    <w:rsid w:val="00A517D9"/>
    <w:rsid w:val="00A518AD"/>
    <w:rsid w:val="00A55659"/>
    <w:rsid w:val="00A5711F"/>
    <w:rsid w:val="00A60238"/>
    <w:rsid w:val="00A61408"/>
    <w:rsid w:val="00A6466E"/>
    <w:rsid w:val="00A65992"/>
    <w:rsid w:val="00A659A2"/>
    <w:rsid w:val="00A70527"/>
    <w:rsid w:val="00A713D2"/>
    <w:rsid w:val="00A77A82"/>
    <w:rsid w:val="00A806F4"/>
    <w:rsid w:val="00A8138F"/>
    <w:rsid w:val="00A81B7B"/>
    <w:rsid w:val="00A829B4"/>
    <w:rsid w:val="00A830AD"/>
    <w:rsid w:val="00A83326"/>
    <w:rsid w:val="00A8419D"/>
    <w:rsid w:val="00A845D5"/>
    <w:rsid w:val="00A85437"/>
    <w:rsid w:val="00A857F3"/>
    <w:rsid w:val="00A87295"/>
    <w:rsid w:val="00A8775C"/>
    <w:rsid w:val="00A87817"/>
    <w:rsid w:val="00A904E5"/>
    <w:rsid w:val="00A9171D"/>
    <w:rsid w:val="00A919BE"/>
    <w:rsid w:val="00A948C3"/>
    <w:rsid w:val="00A952F8"/>
    <w:rsid w:val="00A9569F"/>
    <w:rsid w:val="00A96C9B"/>
    <w:rsid w:val="00A97F2C"/>
    <w:rsid w:val="00AA187B"/>
    <w:rsid w:val="00AA193D"/>
    <w:rsid w:val="00AA19D9"/>
    <w:rsid w:val="00AA6C32"/>
    <w:rsid w:val="00AB076B"/>
    <w:rsid w:val="00AB0F4E"/>
    <w:rsid w:val="00AB1BD5"/>
    <w:rsid w:val="00AB1E8B"/>
    <w:rsid w:val="00AB3689"/>
    <w:rsid w:val="00AB4D06"/>
    <w:rsid w:val="00AB51EF"/>
    <w:rsid w:val="00AB5E04"/>
    <w:rsid w:val="00AB6E7E"/>
    <w:rsid w:val="00AC0C4E"/>
    <w:rsid w:val="00AC1133"/>
    <w:rsid w:val="00AC295E"/>
    <w:rsid w:val="00AC3809"/>
    <w:rsid w:val="00AC5097"/>
    <w:rsid w:val="00AC5D76"/>
    <w:rsid w:val="00AC6194"/>
    <w:rsid w:val="00AD5842"/>
    <w:rsid w:val="00AD5A30"/>
    <w:rsid w:val="00AD6FD2"/>
    <w:rsid w:val="00AD793C"/>
    <w:rsid w:val="00AE0089"/>
    <w:rsid w:val="00AE0D2B"/>
    <w:rsid w:val="00AE23FB"/>
    <w:rsid w:val="00AE2A72"/>
    <w:rsid w:val="00AE4471"/>
    <w:rsid w:val="00AE5E24"/>
    <w:rsid w:val="00AF0857"/>
    <w:rsid w:val="00AF12BC"/>
    <w:rsid w:val="00AF165E"/>
    <w:rsid w:val="00AF1CE0"/>
    <w:rsid w:val="00AF4CC9"/>
    <w:rsid w:val="00AF5181"/>
    <w:rsid w:val="00B01484"/>
    <w:rsid w:val="00B015D9"/>
    <w:rsid w:val="00B0359A"/>
    <w:rsid w:val="00B04287"/>
    <w:rsid w:val="00B04E95"/>
    <w:rsid w:val="00B0541B"/>
    <w:rsid w:val="00B05CE8"/>
    <w:rsid w:val="00B07988"/>
    <w:rsid w:val="00B07B46"/>
    <w:rsid w:val="00B10385"/>
    <w:rsid w:val="00B1366D"/>
    <w:rsid w:val="00B17311"/>
    <w:rsid w:val="00B20938"/>
    <w:rsid w:val="00B2156B"/>
    <w:rsid w:val="00B21594"/>
    <w:rsid w:val="00B226D7"/>
    <w:rsid w:val="00B232E5"/>
    <w:rsid w:val="00B23C34"/>
    <w:rsid w:val="00B248DC"/>
    <w:rsid w:val="00B24C88"/>
    <w:rsid w:val="00B25236"/>
    <w:rsid w:val="00B26266"/>
    <w:rsid w:val="00B26893"/>
    <w:rsid w:val="00B27FC5"/>
    <w:rsid w:val="00B302B0"/>
    <w:rsid w:val="00B31B19"/>
    <w:rsid w:val="00B33022"/>
    <w:rsid w:val="00B37480"/>
    <w:rsid w:val="00B405D0"/>
    <w:rsid w:val="00B412D3"/>
    <w:rsid w:val="00B41F9E"/>
    <w:rsid w:val="00B43ED7"/>
    <w:rsid w:val="00B44E0A"/>
    <w:rsid w:val="00B450AC"/>
    <w:rsid w:val="00B46134"/>
    <w:rsid w:val="00B47A9A"/>
    <w:rsid w:val="00B47FF3"/>
    <w:rsid w:val="00B50E77"/>
    <w:rsid w:val="00B51021"/>
    <w:rsid w:val="00B53207"/>
    <w:rsid w:val="00B5344A"/>
    <w:rsid w:val="00B53664"/>
    <w:rsid w:val="00B55812"/>
    <w:rsid w:val="00B57792"/>
    <w:rsid w:val="00B6039A"/>
    <w:rsid w:val="00B62177"/>
    <w:rsid w:val="00B621FC"/>
    <w:rsid w:val="00B6369B"/>
    <w:rsid w:val="00B648D5"/>
    <w:rsid w:val="00B649B5"/>
    <w:rsid w:val="00B64B99"/>
    <w:rsid w:val="00B67DC0"/>
    <w:rsid w:val="00B7011E"/>
    <w:rsid w:val="00B71C31"/>
    <w:rsid w:val="00B7272F"/>
    <w:rsid w:val="00B72B73"/>
    <w:rsid w:val="00B730A2"/>
    <w:rsid w:val="00B73E63"/>
    <w:rsid w:val="00B74360"/>
    <w:rsid w:val="00B77051"/>
    <w:rsid w:val="00B80251"/>
    <w:rsid w:val="00B8065E"/>
    <w:rsid w:val="00B8145A"/>
    <w:rsid w:val="00B81725"/>
    <w:rsid w:val="00B837F6"/>
    <w:rsid w:val="00B843F8"/>
    <w:rsid w:val="00B845F9"/>
    <w:rsid w:val="00B858B6"/>
    <w:rsid w:val="00B85F9A"/>
    <w:rsid w:val="00B9043C"/>
    <w:rsid w:val="00B93087"/>
    <w:rsid w:val="00B936F0"/>
    <w:rsid w:val="00B93AE5"/>
    <w:rsid w:val="00B9420C"/>
    <w:rsid w:val="00B94EF0"/>
    <w:rsid w:val="00B94FE9"/>
    <w:rsid w:val="00B97259"/>
    <w:rsid w:val="00BA17AD"/>
    <w:rsid w:val="00BA1F6C"/>
    <w:rsid w:val="00BA31DB"/>
    <w:rsid w:val="00BA59DB"/>
    <w:rsid w:val="00BA75C4"/>
    <w:rsid w:val="00BB1621"/>
    <w:rsid w:val="00BB17C8"/>
    <w:rsid w:val="00BB2E63"/>
    <w:rsid w:val="00BB3FD1"/>
    <w:rsid w:val="00BB445A"/>
    <w:rsid w:val="00BB6C49"/>
    <w:rsid w:val="00BB7501"/>
    <w:rsid w:val="00BB7956"/>
    <w:rsid w:val="00BC03BD"/>
    <w:rsid w:val="00BC096A"/>
    <w:rsid w:val="00BC3D1E"/>
    <w:rsid w:val="00BC418E"/>
    <w:rsid w:val="00BC454A"/>
    <w:rsid w:val="00BC6CA6"/>
    <w:rsid w:val="00BD0B95"/>
    <w:rsid w:val="00BD222D"/>
    <w:rsid w:val="00BD59B0"/>
    <w:rsid w:val="00BD68A9"/>
    <w:rsid w:val="00BD7619"/>
    <w:rsid w:val="00BE0D22"/>
    <w:rsid w:val="00BE1487"/>
    <w:rsid w:val="00BE1811"/>
    <w:rsid w:val="00BE240A"/>
    <w:rsid w:val="00BE250A"/>
    <w:rsid w:val="00BE28B9"/>
    <w:rsid w:val="00BE324D"/>
    <w:rsid w:val="00BE730E"/>
    <w:rsid w:val="00BE78A0"/>
    <w:rsid w:val="00BE7D2B"/>
    <w:rsid w:val="00BF0446"/>
    <w:rsid w:val="00BF3047"/>
    <w:rsid w:val="00BF356F"/>
    <w:rsid w:val="00BF4FDC"/>
    <w:rsid w:val="00BF511E"/>
    <w:rsid w:val="00BF7407"/>
    <w:rsid w:val="00C00B6C"/>
    <w:rsid w:val="00C03D96"/>
    <w:rsid w:val="00C06920"/>
    <w:rsid w:val="00C06A6B"/>
    <w:rsid w:val="00C07ED6"/>
    <w:rsid w:val="00C10DFF"/>
    <w:rsid w:val="00C12BE2"/>
    <w:rsid w:val="00C12CDB"/>
    <w:rsid w:val="00C12D59"/>
    <w:rsid w:val="00C13D24"/>
    <w:rsid w:val="00C15DEF"/>
    <w:rsid w:val="00C160C9"/>
    <w:rsid w:val="00C16AAB"/>
    <w:rsid w:val="00C1795D"/>
    <w:rsid w:val="00C205DB"/>
    <w:rsid w:val="00C22AEA"/>
    <w:rsid w:val="00C232C5"/>
    <w:rsid w:val="00C26489"/>
    <w:rsid w:val="00C26E1A"/>
    <w:rsid w:val="00C32AA0"/>
    <w:rsid w:val="00C32DE8"/>
    <w:rsid w:val="00C3352E"/>
    <w:rsid w:val="00C33C2C"/>
    <w:rsid w:val="00C3686D"/>
    <w:rsid w:val="00C43B4A"/>
    <w:rsid w:val="00C43CCF"/>
    <w:rsid w:val="00C44A68"/>
    <w:rsid w:val="00C46D91"/>
    <w:rsid w:val="00C47DED"/>
    <w:rsid w:val="00C50C13"/>
    <w:rsid w:val="00C50ED7"/>
    <w:rsid w:val="00C52F24"/>
    <w:rsid w:val="00C573F7"/>
    <w:rsid w:val="00C618D6"/>
    <w:rsid w:val="00C63E79"/>
    <w:rsid w:val="00C6483E"/>
    <w:rsid w:val="00C7116A"/>
    <w:rsid w:val="00C71603"/>
    <w:rsid w:val="00C747CA"/>
    <w:rsid w:val="00C76512"/>
    <w:rsid w:val="00C76566"/>
    <w:rsid w:val="00C765ED"/>
    <w:rsid w:val="00C76FA0"/>
    <w:rsid w:val="00C81615"/>
    <w:rsid w:val="00C82DBC"/>
    <w:rsid w:val="00C82F46"/>
    <w:rsid w:val="00C849B6"/>
    <w:rsid w:val="00C85044"/>
    <w:rsid w:val="00C92E2B"/>
    <w:rsid w:val="00C943CF"/>
    <w:rsid w:val="00C944E9"/>
    <w:rsid w:val="00C95F8E"/>
    <w:rsid w:val="00C972C8"/>
    <w:rsid w:val="00C973F0"/>
    <w:rsid w:val="00CA0A9B"/>
    <w:rsid w:val="00CA1D3A"/>
    <w:rsid w:val="00CA3520"/>
    <w:rsid w:val="00CA3F09"/>
    <w:rsid w:val="00CA43F0"/>
    <w:rsid w:val="00CA45FB"/>
    <w:rsid w:val="00CA5440"/>
    <w:rsid w:val="00CA5846"/>
    <w:rsid w:val="00CA6C26"/>
    <w:rsid w:val="00CB061B"/>
    <w:rsid w:val="00CB1093"/>
    <w:rsid w:val="00CB11DD"/>
    <w:rsid w:val="00CB12F8"/>
    <w:rsid w:val="00CB2253"/>
    <w:rsid w:val="00CB2F1E"/>
    <w:rsid w:val="00CB46C9"/>
    <w:rsid w:val="00CB68F3"/>
    <w:rsid w:val="00CB6975"/>
    <w:rsid w:val="00CB7BFA"/>
    <w:rsid w:val="00CC09D6"/>
    <w:rsid w:val="00CC0D3A"/>
    <w:rsid w:val="00CC1D0D"/>
    <w:rsid w:val="00CC2C65"/>
    <w:rsid w:val="00CC45CB"/>
    <w:rsid w:val="00CC4B88"/>
    <w:rsid w:val="00CC4F55"/>
    <w:rsid w:val="00CC5258"/>
    <w:rsid w:val="00CC583A"/>
    <w:rsid w:val="00CC5B76"/>
    <w:rsid w:val="00CC7857"/>
    <w:rsid w:val="00CD0860"/>
    <w:rsid w:val="00CD2C6D"/>
    <w:rsid w:val="00CD2F01"/>
    <w:rsid w:val="00CD3B2E"/>
    <w:rsid w:val="00CD5B84"/>
    <w:rsid w:val="00CD5BF4"/>
    <w:rsid w:val="00CD5D49"/>
    <w:rsid w:val="00CD725A"/>
    <w:rsid w:val="00CD7497"/>
    <w:rsid w:val="00CD79CA"/>
    <w:rsid w:val="00CD7C8C"/>
    <w:rsid w:val="00CE1405"/>
    <w:rsid w:val="00CE5791"/>
    <w:rsid w:val="00CE58E8"/>
    <w:rsid w:val="00CE5C25"/>
    <w:rsid w:val="00CE668E"/>
    <w:rsid w:val="00CF05A7"/>
    <w:rsid w:val="00CF0B01"/>
    <w:rsid w:val="00CF313D"/>
    <w:rsid w:val="00CF35CD"/>
    <w:rsid w:val="00CF4D0C"/>
    <w:rsid w:val="00CF65A1"/>
    <w:rsid w:val="00CF6DC6"/>
    <w:rsid w:val="00D01C2B"/>
    <w:rsid w:val="00D02158"/>
    <w:rsid w:val="00D02B1B"/>
    <w:rsid w:val="00D03011"/>
    <w:rsid w:val="00D0322E"/>
    <w:rsid w:val="00D0561A"/>
    <w:rsid w:val="00D06676"/>
    <w:rsid w:val="00D0698A"/>
    <w:rsid w:val="00D072A7"/>
    <w:rsid w:val="00D112E9"/>
    <w:rsid w:val="00D1158E"/>
    <w:rsid w:val="00D11D27"/>
    <w:rsid w:val="00D11DCE"/>
    <w:rsid w:val="00D11F7D"/>
    <w:rsid w:val="00D139AE"/>
    <w:rsid w:val="00D13C0D"/>
    <w:rsid w:val="00D1461E"/>
    <w:rsid w:val="00D1611E"/>
    <w:rsid w:val="00D1707B"/>
    <w:rsid w:val="00D23862"/>
    <w:rsid w:val="00D26EA4"/>
    <w:rsid w:val="00D273BD"/>
    <w:rsid w:val="00D279AE"/>
    <w:rsid w:val="00D27EE8"/>
    <w:rsid w:val="00D301DA"/>
    <w:rsid w:val="00D364E9"/>
    <w:rsid w:val="00D406F8"/>
    <w:rsid w:val="00D438E0"/>
    <w:rsid w:val="00D43F18"/>
    <w:rsid w:val="00D44761"/>
    <w:rsid w:val="00D447C3"/>
    <w:rsid w:val="00D4565F"/>
    <w:rsid w:val="00D459AD"/>
    <w:rsid w:val="00D47D26"/>
    <w:rsid w:val="00D504E1"/>
    <w:rsid w:val="00D55ECA"/>
    <w:rsid w:val="00D55FDB"/>
    <w:rsid w:val="00D560D6"/>
    <w:rsid w:val="00D56841"/>
    <w:rsid w:val="00D61157"/>
    <w:rsid w:val="00D61716"/>
    <w:rsid w:val="00D63379"/>
    <w:rsid w:val="00D65799"/>
    <w:rsid w:val="00D7001E"/>
    <w:rsid w:val="00D70F2E"/>
    <w:rsid w:val="00D71538"/>
    <w:rsid w:val="00D71CDE"/>
    <w:rsid w:val="00D72612"/>
    <w:rsid w:val="00D72BA9"/>
    <w:rsid w:val="00D7315B"/>
    <w:rsid w:val="00D7380B"/>
    <w:rsid w:val="00D73F2E"/>
    <w:rsid w:val="00D7410E"/>
    <w:rsid w:val="00D767F8"/>
    <w:rsid w:val="00D77CB6"/>
    <w:rsid w:val="00D81745"/>
    <w:rsid w:val="00D81C0E"/>
    <w:rsid w:val="00D829B5"/>
    <w:rsid w:val="00D83249"/>
    <w:rsid w:val="00D85348"/>
    <w:rsid w:val="00D85FB5"/>
    <w:rsid w:val="00D8602B"/>
    <w:rsid w:val="00D86CBF"/>
    <w:rsid w:val="00D91BDF"/>
    <w:rsid w:val="00D920D1"/>
    <w:rsid w:val="00D93D18"/>
    <w:rsid w:val="00D93F35"/>
    <w:rsid w:val="00D954DD"/>
    <w:rsid w:val="00D95555"/>
    <w:rsid w:val="00D96970"/>
    <w:rsid w:val="00DA0FD7"/>
    <w:rsid w:val="00DA1C5A"/>
    <w:rsid w:val="00DA2889"/>
    <w:rsid w:val="00DA5CFE"/>
    <w:rsid w:val="00DA5F68"/>
    <w:rsid w:val="00DB339D"/>
    <w:rsid w:val="00DB3DE6"/>
    <w:rsid w:val="00DC139A"/>
    <w:rsid w:val="00DC3CB0"/>
    <w:rsid w:val="00DC46D0"/>
    <w:rsid w:val="00DC4962"/>
    <w:rsid w:val="00DC58C8"/>
    <w:rsid w:val="00DD016A"/>
    <w:rsid w:val="00DD037B"/>
    <w:rsid w:val="00DD0D2D"/>
    <w:rsid w:val="00DD0F52"/>
    <w:rsid w:val="00DD1C1C"/>
    <w:rsid w:val="00DD23B4"/>
    <w:rsid w:val="00DD2DB4"/>
    <w:rsid w:val="00DD3EF1"/>
    <w:rsid w:val="00DD4762"/>
    <w:rsid w:val="00DD4A29"/>
    <w:rsid w:val="00DD70CF"/>
    <w:rsid w:val="00DD7735"/>
    <w:rsid w:val="00DE3F91"/>
    <w:rsid w:val="00DE4C0F"/>
    <w:rsid w:val="00DE618E"/>
    <w:rsid w:val="00DE764E"/>
    <w:rsid w:val="00DF0567"/>
    <w:rsid w:val="00DF5A4D"/>
    <w:rsid w:val="00E0589E"/>
    <w:rsid w:val="00E121AE"/>
    <w:rsid w:val="00E16238"/>
    <w:rsid w:val="00E1707F"/>
    <w:rsid w:val="00E1711C"/>
    <w:rsid w:val="00E17223"/>
    <w:rsid w:val="00E2763B"/>
    <w:rsid w:val="00E3046A"/>
    <w:rsid w:val="00E30A99"/>
    <w:rsid w:val="00E30BAC"/>
    <w:rsid w:val="00E3167E"/>
    <w:rsid w:val="00E321C0"/>
    <w:rsid w:val="00E333F1"/>
    <w:rsid w:val="00E3400B"/>
    <w:rsid w:val="00E352F9"/>
    <w:rsid w:val="00E36C4F"/>
    <w:rsid w:val="00E370D6"/>
    <w:rsid w:val="00E40844"/>
    <w:rsid w:val="00E40A58"/>
    <w:rsid w:val="00E42321"/>
    <w:rsid w:val="00E42764"/>
    <w:rsid w:val="00E4505B"/>
    <w:rsid w:val="00E45B24"/>
    <w:rsid w:val="00E45EBF"/>
    <w:rsid w:val="00E46C72"/>
    <w:rsid w:val="00E47CCA"/>
    <w:rsid w:val="00E53001"/>
    <w:rsid w:val="00E546F3"/>
    <w:rsid w:val="00E54EE8"/>
    <w:rsid w:val="00E553D1"/>
    <w:rsid w:val="00E55B80"/>
    <w:rsid w:val="00E56098"/>
    <w:rsid w:val="00E5718E"/>
    <w:rsid w:val="00E60AEB"/>
    <w:rsid w:val="00E66AB9"/>
    <w:rsid w:val="00E67E42"/>
    <w:rsid w:val="00E7000F"/>
    <w:rsid w:val="00E71464"/>
    <w:rsid w:val="00E719BC"/>
    <w:rsid w:val="00E72B66"/>
    <w:rsid w:val="00E72EC0"/>
    <w:rsid w:val="00E75EFF"/>
    <w:rsid w:val="00E763FA"/>
    <w:rsid w:val="00E76F82"/>
    <w:rsid w:val="00E76F85"/>
    <w:rsid w:val="00E7774F"/>
    <w:rsid w:val="00E8206A"/>
    <w:rsid w:val="00E83FF6"/>
    <w:rsid w:val="00E84399"/>
    <w:rsid w:val="00E843CE"/>
    <w:rsid w:val="00E8625A"/>
    <w:rsid w:val="00E863D9"/>
    <w:rsid w:val="00E86449"/>
    <w:rsid w:val="00E86F76"/>
    <w:rsid w:val="00E87DBF"/>
    <w:rsid w:val="00E908BF"/>
    <w:rsid w:val="00E9447D"/>
    <w:rsid w:val="00E9464E"/>
    <w:rsid w:val="00E95F3E"/>
    <w:rsid w:val="00E96CC4"/>
    <w:rsid w:val="00E97658"/>
    <w:rsid w:val="00EA139D"/>
    <w:rsid w:val="00EA24CB"/>
    <w:rsid w:val="00EA2507"/>
    <w:rsid w:val="00EA2AA5"/>
    <w:rsid w:val="00EA2ACA"/>
    <w:rsid w:val="00EA3318"/>
    <w:rsid w:val="00EA4853"/>
    <w:rsid w:val="00EA4E81"/>
    <w:rsid w:val="00EA61A9"/>
    <w:rsid w:val="00EA66A0"/>
    <w:rsid w:val="00EA75F9"/>
    <w:rsid w:val="00EB38A1"/>
    <w:rsid w:val="00EB395A"/>
    <w:rsid w:val="00EB45F3"/>
    <w:rsid w:val="00EB4854"/>
    <w:rsid w:val="00EB6603"/>
    <w:rsid w:val="00EB69F2"/>
    <w:rsid w:val="00EC2E82"/>
    <w:rsid w:val="00EC3EFB"/>
    <w:rsid w:val="00EC4C52"/>
    <w:rsid w:val="00EC5FE8"/>
    <w:rsid w:val="00EC7392"/>
    <w:rsid w:val="00EC7DE0"/>
    <w:rsid w:val="00ED1583"/>
    <w:rsid w:val="00ED22C7"/>
    <w:rsid w:val="00ED28F2"/>
    <w:rsid w:val="00ED4994"/>
    <w:rsid w:val="00ED6034"/>
    <w:rsid w:val="00ED6DE7"/>
    <w:rsid w:val="00ED7F82"/>
    <w:rsid w:val="00EE0271"/>
    <w:rsid w:val="00EE1310"/>
    <w:rsid w:val="00EE4EB1"/>
    <w:rsid w:val="00EE5247"/>
    <w:rsid w:val="00EE6CBC"/>
    <w:rsid w:val="00EE74C7"/>
    <w:rsid w:val="00EE7B90"/>
    <w:rsid w:val="00EE7F5D"/>
    <w:rsid w:val="00EF08DE"/>
    <w:rsid w:val="00EF0B0E"/>
    <w:rsid w:val="00EF1EB3"/>
    <w:rsid w:val="00EF3C9F"/>
    <w:rsid w:val="00EF527E"/>
    <w:rsid w:val="00EF5EEA"/>
    <w:rsid w:val="00EF630D"/>
    <w:rsid w:val="00EF7D20"/>
    <w:rsid w:val="00F00680"/>
    <w:rsid w:val="00F00EF0"/>
    <w:rsid w:val="00F017EB"/>
    <w:rsid w:val="00F03758"/>
    <w:rsid w:val="00F0748E"/>
    <w:rsid w:val="00F0781F"/>
    <w:rsid w:val="00F12627"/>
    <w:rsid w:val="00F12890"/>
    <w:rsid w:val="00F13B15"/>
    <w:rsid w:val="00F148BE"/>
    <w:rsid w:val="00F1558C"/>
    <w:rsid w:val="00F15E25"/>
    <w:rsid w:val="00F17659"/>
    <w:rsid w:val="00F17F95"/>
    <w:rsid w:val="00F211FD"/>
    <w:rsid w:val="00F23FCC"/>
    <w:rsid w:val="00F249A7"/>
    <w:rsid w:val="00F26429"/>
    <w:rsid w:val="00F26AA7"/>
    <w:rsid w:val="00F27975"/>
    <w:rsid w:val="00F309FF"/>
    <w:rsid w:val="00F30E42"/>
    <w:rsid w:val="00F323A0"/>
    <w:rsid w:val="00F34054"/>
    <w:rsid w:val="00F34342"/>
    <w:rsid w:val="00F35CF6"/>
    <w:rsid w:val="00F35D97"/>
    <w:rsid w:val="00F3602A"/>
    <w:rsid w:val="00F40177"/>
    <w:rsid w:val="00F4596C"/>
    <w:rsid w:val="00F47647"/>
    <w:rsid w:val="00F47CAA"/>
    <w:rsid w:val="00F509C3"/>
    <w:rsid w:val="00F51309"/>
    <w:rsid w:val="00F51B15"/>
    <w:rsid w:val="00F55397"/>
    <w:rsid w:val="00F56457"/>
    <w:rsid w:val="00F57595"/>
    <w:rsid w:val="00F57970"/>
    <w:rsid w:val="00F60E7C"/>
    <w:rsid w:val="00F63E44"/>
    <w:rsid w:val="00F645BC"/>
    <w:rsid w:val="00F6687A"/>
    <w:rsid w:val="00F67D16"/>
    <w:rsid w:val="00F73D00"/>
    <w:rsid w:val="00F7424F"/>
    <w:rsid w:val="00F75C3A"/>
    <w:rsid w:val="00F76AEF"/>
    <w:rsid w:val="00F803A2"/>
    <w:rsid w:val="00F80FAF"/>
    <w:rsid w:val="00F82490"/>
    <w:rsid w:val="00F84DD8"/>
    <w:rsid w:val="00F86566"/>
    <w:rsid w:val="00F87B42"/>
    <w:rsid w:val="00F92448"/>
    <w:rsid w:val="00F9490D"/>
    <w:rsid w:val="00F94E83"/>
    <w:rsid w:val="00F94FCB"/>
    <w:rsid w:val="00F9668F"/>
    <w:rsid w:val="00F9791C"/>
    <w:rsid w:val="00FA0879"/>
    <w:rsid w:val="00FA5A6F"/>
    <w:rsid w:val="00FA648A"/>
    <w:rsid w:val="00FA6709"/>
    <w:rsid w:val="00FB495A"/>
    <w:rsid w:val="00FC06E3"/>
    <w:rsid w:val="00FC3110"/>
    <w:rsid w:val="00FC50F2"/>
    <w:rsid w:val="00FD046D"/>
    <w:rsid w:val="00FD0553"/>
    <w:rsid w:val="00FD4856"/>
    <w:rsid w:val="00FD6079"/>
    <w:rsid w:val="00FD6F86"/>
    <w:rsid w:val="00FD7193"/>
    <w:rsid w:val="00FD7563"/>
    <w:rsid w:val="00FE0B28"/>
    <w:rsid w:val="00FE1ECF"/>
    <w:rsid w:val="00FE20AF"/>
    <w:rsid w:val="00FE3C8B"/>
    <w:rsid w:val="00FE50C9"/>
    <w:rsid w:val="00FE54F4"/>
    <w:rsid w:val="00FE6E51"/>
    <w:rsid w:val="00FE7ACF"/>
    <w:rsid w:val="00FF06C8"/>
    <w:rsid w:val="00FF0E07"/>
    <w:rsid w:val="00FF1052"/>
    <w:rsid w:val="00FF1153"/>
    <w:rsid w:val="00FF1BF3"/>
    <w:rsid w:val="00FF4116"/>
    <w:rsid w:val="00FF5FC9"/>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F52AD"/>
  <w15:chartTrackingRefBased/>
  <w15:docId w15:val="{55BEE5E6-65AE-4A3F-AE1B-13222A26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FBE"/>
    <w:pPr>
      <w:spacing w:after="240" w:line="276" w:lineRule="auto"/>
      <w:jc w:val="both"/>
    </w:pPr>
    <w:rPr>
      <w:lang w:val="en-US"/>
    </w:rPr>
  </w:style>
  <w:style w:type="paragraph" w:styleId="Titre1">
    <w:name w:val="heading 1"/>
    <w:basedOn w:val="Normal"/>
    <w:next w:val="Normal"/>
    <w:link w:val="Titre1Car"/>
    <w:uiPriority w:val="9"/>
    <w:qFormat/>
    <w:rsid w:val="00453993"/>
    <w:pPr>
      <w:keepNext/>
      <w:keepLines/>
      <w:spacing w:before="240" w:after="0"/>
      <w:jc w:val="center"/>
      <w:outlineLvl w:val="0"/>
    </w:pPr>
    <w:rPr>
      <w:rFonts w:asciiTheme="majorHAnsi" w:eastAsiaTheme="majorEastAsia" w:hAnsiTheme="majorHAnsi" w:cstheme="majorBidi"/>
      <w:b/>
      <w:sz w:val="32"/>
      <w:szCs w:val="32"/>
    </w:rPr>
  </w:style>
  <w:style w:type="paragraph" w:styleId="Titre2">
    <w:name w:val="heading 2"/>
    <w:basedOn w:val="Normal"/>
    <w:next w:val="Normal"/>
    <w:link w:val="Titre2Car"/>
    <w:uiPriority w:val="9"/>
    <w:unhideWhenUsed/>
    <w:qFormat/>
    <w:rsid w:val="00967A60"/>
    <w:pPr>
      <w:outlineLvl w:val="1"/>
    </w:pPr>
    <w:rPr>
      <w:b/>
      <w:sz w:val="24"/>
    </w:rPr>
  </w:style>
  <w:style w:type="paragraph" w:styleId="Titre3">
    <w:name w:val="heading 3"/>
    <w:basedOn w:val="Normal"/>
    <w:next w:val="Normal"/>
    <w:link w:val="Titre3Car"/>
    <w:uiPriority w:val="9"/>
    <w:unhideWhenUsed/>
    <w:qFormat/>
    <w:rsid w:val="00786FDE"/>
    <w:pPr>
      <w:outlineLvl w:val="2"/>
    </w:pPr>
    <w:rPr>
      <w:b/>
      <w:i/>
    </w:rPr>
  </w:style>
  <w:style w:type="paragraph" w:styleId="Titre4">
    <w:name w:val="heading 4"/>
    <w:basedOn w:val="Titre3"/>
    <w:next w:val="Normal"/>
    <w:link w:val="Titre4Car"/>
    <w:uiPriority w:val="9"/>
    <w:unhideWhenUsed/>
    <w:qFormat/>
    <w:rsid w:val="000A739B"/>
    <w:pPr>
      <w:outlineLvl w:val="3"/>
    </w:pPr>
    <w:rPr>
      <w:rFonts w:cstheme="minorHAns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67A60"/>
    <w:rPr>
      <w:b/>
      <w:sz w:val="24"/>
    </w:rPr>
  </w:style>
  <w:style w:type="character" w:customStyle="1" w:styleId="Titre3Car">
    <w:name w:val="Titre 3 Car"/>
    <w:basedOn w:val="Policepardfaut"/>
    <w:link w:val="Titre3"/>
    <w:uiPriority w:val="9"/>
    <w:rsid w:val="00786FDE"/>
    <w:rPr>
      <w:b/>
      <w:i/>
      <w:lang w:val="en-US"/>
    </w:rPr>
  </w:style>
  <w:style w:type="character" w:styleId="Marquedecommentaire">
    <w:name w:val="annotation reference"/>
    <w:basedOn w:val="Policepardfaut"/>
    <w:uiPriority w:val="99"/>
    <w:semiHidden/>
    <w:unhideWhenUsed/>
    <w:rsid w:val="00756489"/>
    <w:rPr>
      <w:sz w:val="16"/>
      <w:szCs w:val="16"/>
    </w:rPr>
  </w:style>
  <w:style w:type="paragraph" w:styleId="Commentaire">
    <w:name w:val="annotation text"/>
    <w:basedOn w:val="Normal"/>
    <w:link w:val="CommentaireCar"/>
    <w:uiPriority w:val="99"/>
    <w:unhideWhenUsed/>
    <w:rsid w:val="00756489"/>
    <w:pPr>
      <w:spacing w:line="240" w:lineRule="auto"/>
    </w:pPr>
    <w:rPr>
      <w:sz w:val="20"/>
      <w:szCs w:val="20"/>
    </w:rPr>
  </w:style>
  <w:style w:type="character" w:customStyle="1" w:styleId="CommentaireCar">
    <w:name w:val="Commentaire Car"/>
    <w:basedOn w:val="Policepardfaut"/>
    <w:link w:val="Commentaire"/>
    <w:uiPriority w:val="99"/>
    <w:rsid w:val="00756489"/>
    <w:rPr>
      <w:sz w:val="20"/>
      <w:szCs w:val="20"/>
    </w:rPr>
  </w:style>
  <w:style w:type="paragraph" w:styleId="Objetducommentaire">
    <w:name w:val="annotation subject"/>
    <w:basedOn w:val="Commentaire"/>
    <w:next w:val="Commentaire"/>
    <w:link w:val="ObjetducommentaireCar"/>
    <w:uiPriority w:val="99"/>
    <w:semiHidden/>
    <w:unhideWhenUsed/>
    <w:rsid w:val="00756489"/>
    <w:rPr>
      <w:b/>
      <w:bCs/>
    </w:rPr>
  </w:style>
  <w:style w:type="character" w:customStyle="1" w:styleId="ObjetducommentaireCar">
    <w:name w:val="Objet du commentaire Car"/>
    <w:basedOn w:val="CommentaireCar"/>
    <w:link w:val="Objetducommentaire"/>
    <w:uiPriority w:val="99"/>
    <w:semiHidden/>
    <w:rsid w:val="00756489"/>
    <w:rPr>
      <w:b/>
      <w:bCs/>
      <w:sz w:val="20"/>
      <w:szCs w:val="20"/>
    </w:rPr>
  </w:style>
  <w:style w:type="paragraph" w:styleId="Textedebulles">
    <w:name w:val="Balloon Text"/>
    <w:basedOn w:val="Normal"/>
    <w:link w:val="TextedebullesCar"/>
    <w:uiPriority w:val="99"/>
    <w:semiHidden/>
    <w:unhideWhenUsed/>
    <w:rsid w:val="0075648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56489"/>
    <w:rPr>
      <w:rFonts w:ascii="Segoe UI" w:hAnsi="Segoe UI" w:cs="Segoe UI"/>
      <w:sz w:val="18"/>
      <w:szCs w:val="18"/>
    </w:rPr>
  </w:style>
  <w:style w:type="paragraph" w:styleId="Titre">
    <w:name w:val="Title"/>
    <w:basedOn w:val="Normal"/>
    <w:next w:val="Normal"/>
    <w:link w:val="TitreCar"/>
    <w:uiPriority w:val="10"/>
    <w:qFormat/>
    <w:rsid w:val="00790F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90FBE"/>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453993"/>
    <w:rPr>
      <w:rFonts w:asciiTheme="majorHAnsi" w:eastAsiaTheme="majorEastAsia" w:hAnsiTheme="majorHAnsi" w:cstheme="majorBidi"/>
      <w:b/>
      <w:sz w:val="32"/>
      <w:szCs w:val="32"/>
      <w:lang w:val="en-US"/>
    </w:rPr>
  </w:style>
  <w:style w:type="paragraph" w:styleId="Paragraphedeliste">
    <w:name w:val="List Paragraph"/>
    <w:basedOn w:val="Normal"/>
    <w:uiPriority w:val="34"/>
    <w:qFormat/>
    <w:rsid w:val="000545E6"/>
    <w:pPr>
      <w:ind w:left="720"/>
      <w:contextualSpacing/>
    </w:pPr>
  </w:style>
  <w:style w:type="character" w:styleId="Textedelespacerserv">
    <w:name w:val="Placeholder Text"/>
    <w:basedOn w:val="Policepardfaut"/>
    <w:uiPriority w:val="99"/>
    <w:semiHidden/>
    <w:rsid w:val="00397D5A"/>
    <w:rPr>
      <w:color w:val="808080"/>
    </w:rPr>
  </w:style>
  <w:style w:type="table" w:styleId="Grilledutableau">
    <w:name w:val="Table Grid"/>
    <w:basedOn w:val="TableauNormal"/>
    <w:uiPriority w:val="39"/>
    <w:rsid w:val="00FD7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D6704"/>
    <w:rPr>
      <w:color w:val="0563C1" w:themeColor="hyperlink"/>
      <w:u w:val="single"/>
    </w:rPr>
  </w:style>
  <w:style w:type="character" w:styleId="Mentionnonrsolue">
    <w:name w:val="Unresolved Mention"/>
    <w:basedOn w:val="Policepardfaut"/>
    <w:uiPriority w:val="99"/>
    <w:semiHidden/>
    <w:unhideWhenUsed/>
    <w:rsid w:val="003C4352"/>
    <w:rPr>
      <w:color w:val="605E5C"/>
      <w:shd w:val="clear" w:color="auto" w:fill="E1DFDD"/>
    </w:rPr>
  </w:style>
  <w:style w:type="paragraph" w:styleId="En-tte">
    <w:name w:val="header"/>
    <w:basedOn w:val="Normal"/>
    <w:link w:val="En-tteCar"/>
    <w:uiPriority w:val="99"/>
    <w:unhideWhenUsed/>
    <w:rsid w:val="0014040E"/>
    <w:pPr>
      <w:tabs>
        <w:tab w:val="center" w:pos="4513"/>
        <w:tab w:val="right" w:pos="9026"/>
      </w:tabs>
      <w:spacing w:after="0" w:line="240" w:lineRule="auto"/>
    </w:pPr>
  </w:style>
  <w:style w:type="character" w:customStyle="1" w:styleId="En-tteCar">
    <w:name w:val="En-tête Car"/>
    <w:basedOn w:val="Policepardfaut"/>
    <w:link w:val="En-tte"/>
    <w:uiPriority w:val="99"/>
    <w:rsid w:val="0014040E"/>
  </w:style>
  <w:style w:type="paragraph" w:styleId="Pieddepage">
    <w:name w:val="footer"/>
    <w:basedOn w:val="Normal"/>
    <w:link w:val="PieddepageCar"/>
    <w:uiPriority w:val="99"/>
    <w:unhideWhenUsed/>
    <w:rsid w:val="0014040E"/>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14040E"/>
  </w:style>
  <w:style w:type="paragraph" w:styleId="Rvision">
    <w:name w:val="Revision"/>
    <w:hidden/>
    <w:uiPriority w:val="99"/>
    <w:semiHidden/>
    <w:rsid w:val="00087D4D"/>
    <w:pPr>
      <w:spacing w:after="0" w:line="240" w:lineRule="auto"/>
    </w:pPr>
  </w:style>
  <w:style w:type="paragraph" w:styleId="Bibliographie">
    <w:name w:val="Bibliography"/>
    <w:basedOn w:val="Normal"/>
    <w:next w:val="Normal"/>
    <w:uiPriority w:val="37"/>
    <w:unhideWhenUsed/>
    <w:rsid w:val="00DD2DB4"/>
    <w:pPr>
      <w:tabs>
        <w:tab w:val="left" w:pos="504"/>
      </w:tabs>
      <w:spacing w:after="0" w:line="240" w:lineRule="auto"/>
      <w:ind w:left="504" w:hanging="504"/>
    </w:pPr>
  </w:style>
  <w:style w:type="paragraph" w:customStyle="1" w:styleId="Figureref">
    <w:name w:val="Figure_ref"/>
    <w:basedOn w:val="Normal"/>
    <w:link w:val="FigurerefCar"/>
    <w:qFormat/>
    <w:rsid w:val="0013262A"/>
    <w:rPr>
      <w:b/>
      <w:color w:val="4472C4" w:themeColor="accent1"/>
    </w:rPr>
  </w:style>
  <w:style w:type="character" w:customStyle="1" w:styleId="FigurerefCar">
    <w:name w:val="Figure_ref Car"/>
    <w:basedOn w:val="Policepardfaut"/>
    <w:link w:val="Figureref"/>
    <w:rsid w:val="0013262A"/>
    <w:rPr>
      <w:b/>
      <w:color w:val="4472C4" w:themeColor="accent1"/>
      <w:lang w:val="en-US"/>
    </w:rPr>
  </w:style>
  <w:style w:type="paragraph" w:customStyle="1" w:styleId="pf0">
    <w:name w:val="pf0"/>
    <w:basedOn w:val="Normal"/>
    <w:rsid w:val="00095011"/>
    <w:pPr>
      <w:spacing w:before="100" w:beforeAutospacing="1" w:after="100" w:afterAutospacing="1" w:line="240" w:lineRule="auto"/>
      <w:ind w:left="300"/>
      <w:jc w:val="left"/>
    </w:pPr>
    <w:rPr>
      <w:rFonts w:ascii="Times New Roman" w:eastAsia="Times New Roman" w:hAnsi="Times New Roman" w:cs="Times New Roman"/>
      <w:sz w:val="24"/>
      <w:szCs w:val="24"/>
      <w:lang w:val="fr-FR" w:eastAsia="fr-FR"/>
    </w:rPr>
  </w:style>
  <w:style w:type="character" w:customStyle="1" w:styleId="cf01">
    <w:name w:val="cf01"/>
    <w:basedOn w:val="Policepardfaut"/>
    <w:rsid w:val="00095011"/>
    <w:rPr>
      <w:rFonts w:ascii="Segoe UI" w:hAnsi="Segoe UI" w:cs="Segoe UI" w:hint="default"/>
      <w:sz w:val="18"/>
      <w:szCs w:val="18"/>
    </w:rPr>
  </w:style>
  <w:style w:type="character" w:styleId="lev">
    <w:name w:val="Strong"/>
    <w:basedOn w:val="Policepardfaut"/>
    <w:uiPriority w:val="22"/>
    <w:qFormat/>
    <w:rsid w:val="00AF5181"/>
    <w:rPr>
      <w:b/>
      <w:bCs/>
    </w:rPr>
  </w:style>
  <w:style w:type="paragraph" w:styleId="NormalWeb">
    <w:name w:val="Normal (Web)"/>
    <w:basedOn w:val="Normal"/>
    <w:uiPriority w:val="99"/>
    <w:unhideWhenUsed/>
    <w:rsid w:val="00CC4B88"/>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referencesnote">
    <w:name w:val="references__note"/>
    <w:basedOn w:val="Policepardfaut"/>
    <w:rsid w:val="00304087"/>
  </w:style>
  <w:style w:type="character" w:customStyle="1" w:styleId="referencesauthors">
    <w:name w:val="references__authors"/>
    <w:basedOn w:val="Policepardfaut"/>
    <w:rsid w:val="00304087"/>
  </w:style>
  <w:style w:type="character" w:customStyle="1" w:styleId="referencesarticle-title">
    <w:name w:val="references__article-title"/>
    <w:basedOn w:val="Policepardfaut"/>
    <w:rsid w:val="00304087"/>
  </w:style>
  <w:style w:type="character" w:customStyle="1" w:styleId="referencesyear">
    <w:name w:val="references__year"/>
    <w:basedOn w:val="Policepardfaut"/>
    <w:rsid w:val="00304087"/>
  </w:style>
  <w:style w:type="character" w:customStyle="1" w:styleId="ref-doi">
    <w:name w:val="ref-doi"/>
    <w:basedOn w:val="Policepardfaut"/>
    <w:rsid w:val="00304087"/>
  </w:style>
  <w:style w:type="character" w:customStyle="1" w:styleId="Titre4Car">
    <w:name w:val="Titre 4 Car"/>
    <w:basedOn w:val="Policepardfaut"/>
    <w:link w:val="Titre4"/>
    <w:uiPriority w:val="9"/>
    <w:rsid w:val="000A739B"/>
    <w:rPr>
      <w:rFonts w:cstheme="minorHAnsi"/>
      <w:b/>
      <w:i/>
      <w:lang w:val="en-US"/>
    </w:rPr>
  </w:style>
  <w:style w:type="character" w:styleId="Lienhypertextesuivivisit">
    <w:name w:val="FollowedHyperlink"/>
    <w:basedOn w:val="Policepardfaut"/>
    <w:uiPriority w:val="99"/>
    <w:semiHidden/>
    <w:unhideWhenUsed/>
    <w:rsid w:val="002F47B7"/>
    <w:rPr>
      <w:color w:val="954F72" w:themeColor="followedHyperlink"/>
      <w:u w:val="single"/>
    </w:rPr>
  </w:style>
  <w:style w:type="paragraph" w:styleId="Sansinterligne">
    <w:name w:val="No Spacing"/>
    <w:uiPriority w:val="1"/>
    <w:qFormat/>
    <w:rsid w:val="00807980"/>
    <w:pPr>
      <w:spacing w:after="0" w:line="240" w:lineRule="auto"/>
      <w:jc w:val="both"/>
    </w:pPr>
    <w:rPr>
      <w:lang w:val="en-US"/>
    </w:rPr>
  </w:style>
  <w:style w:type="character" w:styleId="Numrodeligne">
    <w:name w:val="line number"/>
    <w:basedOn w:val="Policepardfaut"/>
    <w:uiPriority w:val="99"/>
    <w:semiHidden/>
    <w:unhideWhenUsed/>
    <w:rsid w:val="00D93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664859">
      <w:bodyDiv w:val="1"/>
      <w:marLeft w:val="0"/>
      <w:marRight w:val="0"/>
      <w:marTop w:val="0"/>
      <w:marBottom w:val="0"/>
      <w:divBdr>
        <w:top w:val="none" w:sz="0" w:space="0" w:color="auto"/>
        <w:left w:val="none" w:sz="0" w:space="0" w:color="auto"/>
        <w:bottom w:val="none" w:sz="0" w:space="0" w:color="auto"/>
        <w:right w:val="none" w:sz="0" w:space="0" w:color="auto"/>
      </w:divBdr>
    </w:div>
    <w:div w:id="286543042">
      <w:bodyDiv w:val="1"/>
      <w:marLeft w:val="0"/>
      <w:marRight w:val="0"/>
      <w:marTop w:val="0"/>
      <w:marBottom w:val="0"/>
      <w:divBdr>
        <w:top w:val="none" w:sz="0" w:space="0" w:color="auto"/>
        <w:left w:val="none" w:sz="0" w:space="0" w:color="auto"/>
        <w:bottom w:val="none" w:sz="0" w:space="0" w:color="auto"/>
        <w:right w:val="none" w:sz="0" w:space="0" w:color="auto"/>
      </w:divBdr>
    </w:div>
    <w:div w:id="354312717">
      <w:bodyDiv w:val="1"/>
      <w:marLeft w:val="0"/>
      <w:marRight w:val="0"/>
      <w:marTop w:val="0"/>
      <w:marBottom w:val="0"/>
      <w:divBdr>
        <w:top w:val="none" w:sz="0" w:space="0" w:color="auto"/>
        <w:left w:val="none" w:sz="0" w:space="0" w:color="auto"/>
        <w:bottom w:val="none" w:sz="0" w:space="0" w:color="auto"/>
        <w:right w:val="none" w:sz="0" w:space="0" w:color="auto"/>
      </w:divBdr>
    </w:div>
    <w:div w:id="395058711">
      <w:bodyDiv w:val="1"/>
      <w:marLeft w:val="0"/>
      <w:marRight w:val="0"/>
      <w:marTop w:val="0"/>
      <w:marBottom w:val="0"/>
      <w:divBdr>
        <w:top w:val="none" w:sz="0" w:space="0" w:color="auto"/>
        <w:left w:val="none" w:sz="0" w:space="0" w:color="auto"/>
        <w:bottom w:val="none" w:sz="0" w:space="0" w:color="auto"/>
        <w:right w:val="none" w:sz="0" w:space="0" w:color="auto"/>
      </w:divBdr>
    </w:div>
    <w:div w:id="620650167">
      <w:bodyDiv w:val="1"/>
      <w:marLeft w:val="0"/>
      <w:marRight w:val="0"/>
      <w:marTop w:val="0"/>
      <w:marBottom w:val="0"/>
      <w:divBdr>
        <w:top w:val="none" w:sz="0" w:space="0" w:color="auto"/>
        <w:left w:val="none" w:sz="0" w:space="0" w:color="auto"/>
        <w:bottom w:val="none" w:sz="0" w:space="0" w:color="auto"/>
        <w:right w:val="none" w:sz="0" w:space="0" w:color="auto"/>
      </w:divBdr>
    </w:div>
    <w:div w:id="1119303879">
      <w:bodyDiv w:val="1"/>
      <w:marLeft w:val="0"/>
      <w:marRight w:val="0"/>
      <w:marTop w:val="0"/>
      <w:marBottom w:val="0"/>
      <w:divBdr>
        <w:top w:val="none" w:sz="0" w:space="0" w:color="auto"/>
        <w:left w:val="none" w:sz="0" w:space="0" w:color="auto"/>
        <w:bottom w:val="none" w:sz="0" w:space="0" w:color="auto"/>
        <w:right w:val="none" w:sz="0" w:space="0" w:color="auto"/>
      </w:divBdr>
    </w:div>
    <w:div w:id="1144541179">
      <w:bodyDiv w:val="1"/>
      <w:marLeft w:val="0"/>
      <w:marRight w:val="0"/>
      <w:marTop w:val="0"/>
      <w:marBottom w:val="0"/>
      <w:divBdr>
        <w:top w:val="none" w:sz="0" w:space="0" w:color="auto"/>
        <w:left w:val="none" w:sz="0" w:space="0" w:color="auto"/>
        <w:bottom w:val="none" w:sz="0" w:space="0" w:color="auto"/>
        <w:right w:val="none" w:sz="0" w:space="0" w:color="auto"/>
      </w:divBdr>
    </w:div>
    <w:div w:id="1215308934">
      <w:bodyDiv w:val="1"/>
      <w:marLeft w:val="0"/>
      <w:marRight w:val="0"/>
      <w:marTop w:val="0"/>
      <w:marBottom w:val="0"/>
      <w:divBdr>
        <w:top w:val="none" w:sz="0" w:space="0" w:color="auto"/>
        <w:left w:val="none" w:sz="0" w:space="0" w:color="auto"/>
        <w:bottom w:val="none" w:sz="0" w:space="0" w:color="auto"/>
        <w:right w:val="none" w:sz="0" w:space="0" w:color="auto"/>
      </w:divBdr>
    </w:div>
    <w:div w:id="1297179565">
      <w:bodyDiv w:val="1"/>
      <w:marLeft w:val="0"/>
      <w:marRight w:val="0"/>
      <w:marTop w:val="0"/>
      <w:marBottom w:val="0"/>
      <w:divBdr>
        <w:top w:val="none" w:sz="0" w:space="0" w:color="auto"/>
        <w:left w:val="none" w:sz="0" w:space="0" w:color="auto"/>
        <w:bottom w:val="none" w:sz="0" w:space="0" w:color="auto"/>
        <w:right w:val="none" w:sz="0" w:space="0" w:color="auto"/>
      </w:divBdr>
    </w:div>
    <w:div w:id="1298610445">
      <w:bodyDiv w:val="1"/>
      <w:marLeft w:val="0"/>
      <w:marRight w:val="0"/>
      <w:marTop w:val="0"/>
      <w:marBottom w:val="0"/>
      <w:divBdr>
        <w:top w:val="none" w:sz="0" w:space="0" w:color="auto"/>
        <w:left w:val="none" w:sz="0" w:space="0" w:color="auto"/>
        <w:bottom w:val="none" w:sz="0" w:space="0" w:color="auto"/>
        <w:right w:val="none" w:sz="0" w:space="0" w:color="auto"/>
      </w:divBdr>
    </w:div>
    <w:div w:id="1498956615">
      <w:bodyDiv w:val="1"/>
      <w:marLeft w:val="0"/>
      <w:marRight w:val="0"/>
      <w:marTop w:val="0"/>
      <w:marBottom w:val="0"/>
      <w:divBdr>
        <w:top w:val="none" w:sz="0" w:space="0" w:color="auto"/>
        <w:left w:val="none" w:sz="0" w:space="0" w:color="auto"/>
        <w:bottom w:val="none" w:sz="0" w:space="0" w:color="auto"/>
        <w:right w:val="none" w:sz="0" w:space="0" w:color="auto"/>
      </w:divBdr>
    </w:div>
    <w:div w:id="1842430169">
      <w:bodyDiv w:val="1"/>
      <w:marLeft w:val="0"/>
      <w:marRight w:val="0"/>
      <w:marTop w:val="0"/>
      <w:marBottom w:val="0"/>
      <w:divBdr>
        <w:top w:val="none" w:sz="0" w:space="0" w:color="auto"/>
        <w:left w:val="none" w:sz="0" w:space="0" w:color="auto"/>
        <w:bottom w:val="none" w:sz="0" w:space="0" w:color="auto"/>
        <w:right w:val="none" w:sz="0" w:space="0" w:color="auto"/>
      </w:divBdr>
    </w:div>
    <w:div w:id="1895773344">
      <w:bodyDiv w:val="1"/>
      <w:marLeft w:val="0"/>
      <w:marRight w:val="0"/>
      <w:marTop w:val="0"/>
      <w:marBottom w:val="0"/>
      <w:divBdr>
        <w:top w:val="none" w:sz="0" w:space="0" w:color="auto"/>
        <w:left w:val="none" w:sz="0" w:space="0" w:color="auto"/>
        <w:bottom w:val="none" w:sz="0" w:space="0" w:color="auto"/>
        <w:right w:val="none" w:sz="0" w:space="0" w:color="auto"/>
      </w:divBdr>
    </w:div>
    <w:div w:id="200123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as.clairis@epfl.ch" TargetMode="External"/><Relationship Id="rId13" Type="http://schemas.openxmlformats.org/officeDocument/2006/relationships/image" Target="media/image2.tiff"/><Relationship Id="rId18" Type="http://schemas.openxmlformats.org/officeDocument/2006/relationships/image" Target="media/image7.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tiff"/><Relationship Id="rId7" Type="http://schemas.openxmlformats.org/officeDocument/2006/relationships/endnotes" Target="endnotes.xml"/><Relationship Id="rId12" Type="http://schemas.openxmlformats.org/officeDocument/2006/relationships/image" Target="media/image1.tiff"/><Relationship Id="rId17" Type="http://schemas.openxmlformats.org/officeDocument/2006/relationships/image" Target="media/image6.tif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urovault.org/collections/1702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image" Target="media/image12.tiff"/><Relationship Id="rId10" Type="http://schemas.openxmlformats.org/officeDocument/2006/relationships/hyperlink" Target="https://mbb-team.github.io/VBA-toolbox/" TargetMode="External"/><Relationship Id="rId19" Type="http://schemas.openxmlformats.org/officeDocument/2006/relationships/image" Target="media/image8.tiff"/><Relationship Id="rId4" Type="http://schemas.openxmlformats.org/officeDocument/2006/relationships/settings" Target="settings.xml"/><Relationship Id="rId9" Type="http://schemas.openxmlformats.org/officeDocument/2006/relationships/hyperlink" Target="mailto:carmen.sandi@epfl.ch" TargetMode="External"/><Relationship Id="rId14" Type="http://schemas.openxmlformats.org/officeDocument/2006/relationships/image" Target="media/image3.tiff"/><Relationship Id="rId22" Type="http://schemas.openxmlformats.org/officeDocument/2006/relationships/image" Target="media/image1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B33FF-E329-4F34-925D-5563224DA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2789</TotalTime>
  <Pages>28</Pages>
  <Words>21656</Words>
  <Characters>119111</Characters>
  <Application>Microsoft Office Word</Application>
  <DocSecurity>0</DocSecurity>
  <Lines>992</Lines>
  <Paragraphs>280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Clairis Nicolas</dc:creator>
  <cp:keywords/>
  <dc:description/>
  <cp:lastModifiedBy>Nicolas Clairis</cp:lastModifiedBy>
  <cp:revision>377</cp:revision>
  <cp:lastPrinted>2024-02-08T17:47:00Z</cp:lastPrinted>
  <dcterms:created xsi:type="dcterms:W3CDTF">2024-03-13T08:38:00Z</dcterms:created>
  <dcterms:modified xsi:type="dcterms:W3CDTF">2024-08-28T16:18:00Z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id="U1juNWln"/&gt;&lt;style id="http://www.zotero.org/styles/molecular-psychiatry" hasBibliography="1" bibliographyStyleHasBeenSet="1"/&gt;&lt;prefs&gt;&lt;pref name="fieldType" value="Field"/&gt;&lt;/prefs&gt;&lt;/data&gt;</vt:lpwstr>
  </property>
</Properties>
</file>