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BAC157" w14:textId="587F0058" w:rsidR="00EB0F29" w:rsidRPr="00EB0F29" w:rsidRDefault="00EB0F29" w:rsidP="00EB0F29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EB0F29">
        <w:rPr>
          <w:rFonts w:ascii="Arial" w:hAnsi="Arial" w:cs="Arial"/>
          <w:b/>
          <w:bCs/>
          <w:sz w:val="24"/>
          <w:szCs w:val="24"/>
        </w:rPr>
        <w:t xml:space="preserve">Hippocampal area CA2 activity supports social investigation following an acute social </w:t>
      </w:r>
      <w:proofErr w:type="spellStart"/>
      <w:r w:rsidRPr="00EB0F29">
        <w:rPr>
          <w:rFonts w:ascii="Arial" w:hAnsi="Arial" w:cs="Arial"/>
          <w:b/>
          <w:bCs/>
          <w:sz w:val="24"/>
          <w:szCs w:val="24"/>
        </w:rPr>
        <w:t>stress</w:t>
      </w:r>
      <w:r>
        <w:rPr>
          <w:rFonts w:ascii="Arial" w:hAnsi="Arial" w:cs="Arial"/>
          <w:b/>
          <w:bCs/>
          <w:sz w:val="24"/>
          <w:szCs w:val="24"/>
        </w:rPr>
        <w:t>_Supplemental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data</w:t>
      </w:r>
    </w:p>
    <w:p w14:paraId="0897F5F5" w14:textId="77777777" w:rsidR="00EB0F29" w:rsidRPr="00EB0F29" w:rsidRDefault="00EB0F29" w:rsidP="00EB0F29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48C37931" w14:textId="77777777" w:rsidR="00EB0F29" w:rsidRPr="00EB0F29" w:rsidRDefault="00EB0F29" w:rsidP="00EB0F29">
      <w:pPr>
        <w:jc w:val="both"/>
        <w:rPr>
          <w:rFonts w:ascii="Arial" w:hAnsi="Arial" w:cs="Arial"/>
        </w:rPr>
      </w:pPr>
      <w:r w:rsidRPr="00EB0F29">
        <w:rPr>
          <w:rFonts w:ascii="Arial" w:hAnsi="Arial" w:cs="Arial"/>
        </w:rPr>
        <w:t>Daniel Radzicki</w:t>
      </w:r>
      <w:r w:rsidRPr="00EB0F29">
        <w:rPr>
          <w:rFonts w:ascii="Arial" w:hAnsi="Arial" w:cs="Arial"/>
          <w:vertAlign w:val="superscript"/>
        </w:rPr>
        <w:t>1</w:t>
      </w:r>
      <w:r w:rsidRPr="00EB0F29">
        <w:rPr>
          <w:rFonts w:ascii="Arial" w:hAnsi="Arial" w:cs="Arial"/>
        </w:rPr>
        <w:t>, Katharine E. McCann</w:t>
      </w:r>
      <w:r w:rsidRPr="00EB0F29">
        <w:rPr>
          <w:rFonts w:ascii="Arial" w:hAnsi="Arial" w:cs="Arial"/>
          <w:vertAlign w:val="superscript"/>
        </w:rPr>
        <w:t>1, 2</w:t>
      </w:r>
      <w:r w:rsidRPr="00EB0F29">
        <w:rPr>
          <w:rFonts w:ascii="Arial" w:hAnsi="Arial" w:cs="Arial"/>
        </w:rPr>
        <w:t>, Georgia M. Alexander</w:t>
      </w:r>
      <w:r w:rsidRPr="00EB0F29">
        <w:rPr>
          <w:rFonts w:ascii="Arial" w:hAnsi="Arial" w:cs="Arial"/>
          <w:vertAlign w:val="superscript"/>
        </w:rPr>
        <w:t>1</w:t>
      </w:r>
      <w:r w:rsidRPr="00EB0F29">
        <w:rPr>
          <w:rFonts w:ascii="Arial" w:hAnsi="Arial" w:cs="Arial"/>
        </w:rPr>
        <w:t>, Serena M. Dudek</w:t>
      </w:r>
      <w:r w:rsidRPr="00EB0F29">
        <w:rPr>
          <w:rFonts w:ascii="Arial" w:hAnsi="Arial" w:cs="Arial"/>
          <w:vertAlign w:val="superscript"/>
        </w:rPr>
        <w:t xml:space="preserve">1 </w:t>
      </w:r>
      <w:r w:rsidRPr="00EB0F29">
        <w:rPr>
          <w:rFonts w:ascii="Arial" w:hAnsi="Arial" w:cs="Arial"/>
        </w:rPr>
        <w:t>*</w:t>
      </w:r>
    </w:p>
    <w:p w14:paraId="0E0D27B1" w14:textId="77777777" w:rsidR="00EB0F29" w:rsidRPr="00EB0F29" w:rsidRDefault="00EB0F29" w:rsidP="00EB0F29">
      <w:pPr>
        <w:jc w:val="both"/>
        <w:rPr>
          <w:rFonts w:ascii="Arial" w:hAnsi="Arial" w:cs="Arial"/>
          <w:i/>
          <w:iCs/>
          <w:sz w:val="24"/>
          <w:szCs w:val="24"/>
        </w:rPr>
      </w:pPr>
    </w:p>
    <w:p w14:paraId="29B87171" w14:textId="77777777" w:rsidR="00EB0F29" w:rsidRPr="00EB0F29" w:rsidRDefault="00EB0F29" w:rsidP="00EB0F29">
      <w:pPr>
        <w:jc w:val="both"/>
        <w:rPr>
          <w:rFonts w:ascii="Arial" w:hAnsi="Arial" w:cs="Arial"/>
          <w:i/>
          <w:iCs/>
          <w:sz w:val="24"/>
          <w:szCs w:val="24"/>
        </w:rPr>
      </w:pPr>
    </w:p>
    <w:p w14:paraId="23E4C21C" w14:textId="77777777" w:rsidR="00EB0F29" w:rsidRPr="00EB0F29" w:rsidRDefault="00EB0F29" w:rsidP="00EB0F29">
      <w:pPr>
        <w:jc w:val="both"/>
        <w:rPr>
          <w:rFonts w:ascii="Arial" w:hAnsi="Arial" w:cs="Arial"/>
          <w:i/>
          <w:iCs/>
          <w:sz w:val="24"/>
          <w:szCs w:val="24"/>
        </w:rPr>
      </w:pPr>
    </w:p>
    <w:p w14:paraId="19F77FA5" w14:textId="77777777" w:rsidR="00EB0F29" w:rsidRPr="00EB0F29" w:rsidRDefault="00EB0F29" w:rsidP="00EB0F29">
      <w:pPr>
        <w:contextualSpacing/>
        <w:jc w:val="both"/>
        <w:rPr>
          <w:rFonts w:ascii="Arial" w:hAnsi="Arial" w:cs="Arial"/>
          <w:i/>
          <w:iCs/>
        </w:rPr>
      </w:pPr>
      <w:r w:rsidRPr="00EB0F29">
        <w:rPr>
          <w:rFonts w:ascii="Arial" w:hAnsi="Arial" w:cs="Arial"/>
          <w:vertAlign w:val="superscript"/>
        </w:rPr>
        <w:t xml:space="preserve">1 </w:t>
      </w:r>
      <w:r w:rsidRPr="00EB0F29">
        <w:rPr>
          <w:rFonts w:ascii="Arial" w:hAnsi="Arial" w:cs="Arial"/>
          <w:i/>
          <w:iCs/>
        </w:rPr>
        <w:t>Neurobiology Laboratory, National Institute of Environmental Health Sciences, National Institute of Health, Research Triangle Park, North Carolina, 27713, USA</w:t>
      </w:r>
    </w:p>
    <w:p w14:paraId="46E89DC1" w14:textId="77777777" w:rsidR="00EB0F29" w:rsidRPr="00EB0F29" w:rsidRDefault="00EB0F29" w:rsidP="00EB0F29">
      <w:pPr>
        <w:contextualSpacing/>
        <w:jc w:val="both"/>
        <w:rPr>
          <w:rFonts w:ascii="Arial" w:hAnsi="Arial" w:cs="Arial"/>
          <w:i/>
          <w:iCs/>
        </w:rPr>
      </w:pPr>
    </w:p>
    <w:p w14:paraId="64F8D385" w14:textId="77777777" w:rsidR="00EB0F29" w:rsidRPr="00EB0F29" w:rsidRDefault="00EB0F29" w:rsidP="00EB0F29">
      <w:pPr>
        <w:contextualSpacing/>
        <w:jc w:val="both"/>
        <w:rPr>
          <w:rFonts w:ascii="Arial" w:hAnsi="Arial" w:cs="Arial"/>
          <w:i/>
          <w:iCs/>
        </w:rPr>
      </w:pPr>
      <w:r w:rsidRPr="00EB0F29">
        <w:rPr>
          <w:rFonts w:ascii="Arial" w:hAnsi="Arial" w:cs="Arial"/>
          <w:vertAlign w:val="superscript"/>
        </w:rPr>
        <w:t xml:space="preserve">2 </w:t>
      </w:r>
      <w:r w:rsidRPr="00EB0F29">
        <w:rPr>
          <w:rFonts w:ascii="Arial" w:hAnsi="Arial" w:cs="Arial"/>
          <w:i/>
          <w:iCs/>
        </w:rPr>
        <w:t>Current address: Neuroscience Undergraduate Program and School of Psychology, Georgia Institute of Technology, Atlanta, Georgia, 30332, USA</w:t>
      </w:r>
    </w:p>
    <w:p w14:paraId="38D7906D" w14:textId="77777777" w:rsidR="00EB0F29" w:rsidRPr="00EB0F29" w:rsidRDefault="00EB0F29" w:rsidP="00EB0F29">
      <w:pPr>
        <w:contextualSpacing/>
        <w:jc w:val="both"/>
        <w:rPr>
          <w:rFonts w:ascii="Arial" w:hAnsi="Arial" w:cs="Arial"/>
          <w:i/>
          <w:iCs/>
        </w:rPr>
      </w:pPr>
    </w:p>
    <w:p w14:paraId="40CC69C8" w14:textId="1A40EC88" w:rsidR="00EB0F29" w:rsidRDefault="00EB0F29" w:rsidP="00EB0F29">
      <w:pPr>
        <w:jc w:val="both"/>
        <w:rPr>
          <w:rFonts w:ascii="Arial" w:hAnsi="Arial" w:cs="Arial"/>
        </w:rPr>
      </w:pPr>
      <w:r w:rsidRPr="00EB0F29">
        <w:rPr>
          <w:rFonts w:ascii="Arial" w:hAnsi="Arial" w:cs="Arial"/>
          <w:sz w:val="24"/>
          <w:szCs w:val="24"/>
          <w:vertAlign w:val="superscript"/>
        </w:rPr>
        <w:t>*</w:t>
      </w:r>
      <w:r w:rsidRPr="00EB0F29">
        <w:rPr>
          <w:rFonts w:ascii="Arial" w:hAnsi="Arial" w:cs="Arial"/>
          <w:sz w:val="24"/>
          <w:szCs w:val="24"/>
        </w:rPr>
        <w:t xml:space="preserve"> </w:t>
      </w:r>
      <w:r w:rsidRPr="00EB0F29">
        <w:rPr>
          <w:rFonts w:ascii="Arial" w:hAnsi="Arial" w:cs="Arial"/>
        </w:rPr>
        <w:t>Corresponding author</w:t>
      </w:r>
    </w:p>
    <w:p w14:paraId="47BEDE38" w14:textId="77777777" w:rsidR="00EB0F29" w:rsidRDefault="00EB0F29">
      <w:pPr>
        <w:spacing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C35EC67" w14:textId="402F0B9F" w:rsidR="00EB0F29" w:rsidRDefault="00EB0F29" w:rsidP="00EB0F29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</w:rPr>
        <w:lastRenderedPageBreak/>
        <w:drawing>
          <wp:inline distT="0" distB="0" distL="0" distR="0" wp14:anchorId="7762C235" wp14:editId="3BD209F1">
            <wp:extent cx="4537881" cy="4777380"/>
            <wp:effectExtent l="0" t="0" r="0" b="0"/>
            <wp:docPr id="7661016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3783" cy="4794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7A9E80" w14:textId="77777777" w:rsidR="00EB0F29" w:rsidRDefault="00EB0F29" w:rsidP="00EB0F29">
      <w:pPr>
        <w:rPr>
          <w:rFonts w:ascii="Arial" w:hAnsi="Arial" w:cs="Arial"/>
          <w:b/>
          <w:bCs/>
          <w:sz w:val="20"/>
          <w:szCs w:val="20"/>
        </w:rPr>
      </w:pPr>
    </w:p>
    <w:p w14:paraId="5C5D106F" w14:textId="4BBB09FA" w:rsidR="00EB0F29" w:rsidRPr="00DE12FE" w:rsidRDefault="00EB0F29" w:rsidP="00EB0F29">
      <w:pPr>
        <w:rPr>
          <w:rFonts w:ascii="Arial" w:hAnsi="Arial" w:cs="Arial"/>
          <w:noProof/>
        </w:rPr>
      </w:pPr>
      <w:r w:rsidRPr="00481146">
        <w:rPr>
          <w:rFonts w:ascii="Arial" w:hAnsi="Arial" w:cs="Arial"/>
          <w:b/>
          <w:bCs/>
          <w:sz w:val="20"/>
          <w:szCs w:val="20"/>
        </w:rPr>
        <w:t>Supplementary Figure 1</w:t>
      </w:r>
      <w:r w:rsidRPr="00481146">
        <w:rPr>
          <w:rFonts w:ascii="Arial" w:hAnsi="Arial" w:cs="Arial"/>
          <w:sz w:val="20"/>
          <w:szCs w:val="20"/>
        </w:rPr>
        <w:t xml:space="preserve">: Comparison of subject mouse behavioral metrics during day 1 defeat and day 2 avoidance test. </w:t>
      </w:r>
    </w:p>
    <w:p w14:paraId="794C47BD" w14:textId="77777777" w:rsidR="00EB0F29" w:rsidRDefault="00EB0F29" w:rsidP="00EB0F29">
      <w:pPr>
        <w:rPr>
          <w:rFonts w:ascii="Arial" w:hAnsi="Arial" w:cs="Arial"/>
          <w:sz w:val="20"/>
          <w:szCs w:val="20"/>
        </w:rPr>
      </w:pPr>
      <w:r w:rsidRPr="00481146">
        <w:rPr>
          <w:rFonts w:ascii="Arial" w:hAnsi="Arial" w:cs="Arial"/>
          <w:b/>
          <w:bCs/>
          <w:sz w:val="20"/>
          <w:szCs w:val="20"/>
        </w:rPr>
        <w:t>a.</w:t>
      </w:r>
      <w:r w:rsidRPr="00481146">
        <w:rPr>
          <w:rFonts w:ascii="Arial" w:hAnsi="Arial" w:cs="Arial"/>
          <w:sz w:val="20"/>
          <w:szCs w:val="20"/>
        </w:rPr>
        <w:t xml:space="preserve"> No significant correlation was observed between the amount of aggression a subject mouse received during the defeat and the amount of avoidance observed 24 hours after defeat (N=12 defeated mice, R</w:t>
      </w:r>
      <w:r w:rsidRPr="00481146">
        <w:rPr>
          <w:rFonts w:ascii="Arial" w:hAnsi="Arial" w:cs="Arial"/>
          <w:sz w:val="20"/>
          <w:szCs w:val="20"/>
          <w:vertAlign w:val="superscript"/>
        </w:rPr>
        <w:t>2</w:t>
      </w:r>
      <w:r w:rsidRPr="00481146">
        <w:rPr>
          <w:rFonts w:ascii="Arial" w:hAnsi="Arial" w:cs="Arial"/>
          <w:sz w:val="20"/>
          <w:szCs w:val="20"/>
        </w:rPr>
        <w:t xml:space="preserve">=0.2573, </w:t>
      </w:r>
      <w:r w:rsidRPr="00481146">
        <w:rPr>
          <w:rFonts w:ascii="Arial" w:hAnsi="Arial" w:cs="Arial"/>
          <w:i/>
          <w:iCs/>
          <w:sz w:val="20"/>
          <w:szCs w:val="20"/>
        </w:rPr>
        <w:t>p</w:t>
      </w:r>
      <w:r w:rsidRPr="00481146">
        <w:rPr>
          <w:rFonts w:ascii="Arial" w:hAnsi="Arial" w:cs="Arial"/>
          <w:sz w:val="20"/>
          <w:szCs w:val="20"/>
        </w:rPr>
        <w:t xml:space="preserve">&gt;0.05). </w:t>
      </w:r>
      <w:r w:rsidRPr="00481146">
        <w:rPr>
          <w:rFonts w:ascii="Arial" w:hAnsi="Arial" w:cs="Arial"/>
          <w:b/>
          <w:bCs/>
          <w:sz w:val="20"/>
          <w:szCs w:val="20"/>
        </w:rPr>
        <w:t>b.</w:t>
      </w:r>
      <w:r w:rsidRPr="00481146">
        <w:rPr>
          <w:rFonts w:ascii="Arial" w:hAnsi="Arial" w:cs="Arial"/>
          <w:sz w:val="20"/>
          <w:szCs w:val="20"/>
        </w:rPr>
        <w:t xml:space="preserve"> No significant correlation was observed between total submissive behavior exhibited by subject mice during defeat and the amount of avoidance observed 24 hours after defeat (N=12 defeated mice, R</w:t>
      </w:r>
      <w:r w:rsidRPr="00481146">
        <w:rPr>
          <w:rFonts w:ascii="Arial" w:hAnsi="Arial" w:cs="Arial"/>
          <w:sz w:val="20"/>
          <w:szCs w:val="20"/>
          <w:vertAlign w:val="superscript"/>
        </w:rPr>
        <w:t>2</w:t>
      </w:r>
      <w:r w:rsidRPr="00481146">
        <w:rPr>
          <w:rFonts w:ascii="Arial" w:hAnsi="Arial" w:cs="Arial"/>
          <w:sz w:val="20"/>
          <w:szCs w:val="20"/>
        </w:rPr>
        <w:t xml:space="preserve">=0.2727, </w:t>
      </w:r>
      <w:r w:rsidRPr="00481146">
        <w:rPr>
          <w:rFonts w:ascii="Arial" w:hAnsi="Arial" w:cs="Arial"/>
          <w:i/>
          <w:iCs/>
          <w:sz w:val="20"/>
          <w:szCs w:val="20"/>
        </w:rPr>
        <w:t>p</w:t>
      </w:r>
      <w:r w:rsidRPr="00481146">
        <w:rPr>
          <w:rFonts w:ascii="Arial" w:hAnsi="Arial" w:cs="Arial"/>
          <w:sz w:val="20"/>
          <w:szCs w:val="20"/>
        </w:rPr>
        <w:t xml:space="preserve">&gt;0.05). </w:t>
      </w:r>
      <w:r w:rsidRPr="00481146">
        <w:rPr>
          <w:rFonts w:ascii="Arial" w:hAnsi="Arial" w:cs="Arial"/>
          <w:b/>
          <w:bCs/>
          <w:sz w:val="20"/>
          <w:szCs w:val="20"/>
        </w:rPr>
        <w:t>c.</w:t>
      </w:r>
      <w:r w:rsidRPr="00481146">
        <w:rPr>
          <w:rFonts w:ascii="Arial" w:hAnsi="Arial" w:cs="Arial"/>
          <w:sz w:val="20"/>
          <w:szCs w:val="20"/>
        </w:rPr>
        <w:t xml:space="preserve"> On average, defeated C57BL/6J mice explored the day 2 arena significantly less than the non-defeated controls during the five-minute avoidance test (No Defeat: 1737.81 ± 253.3 cm vs. Defeat: 1173 ± 99.2 cm, N=6 &amp; 12 mice, respectively, unpaired </w:t>
      </w:r>
      <w:r w:rsidRPr="00481146">
        <w:rPr>
          <w:rFonts w:ascii="Arial" w:hAnsi="Arial" w:cs="Arial"/>
          <w:i/>
          <w:iCs/>
          <w:sz w:val="20"/>
          <w:szCs w:val="20"/>
        </w:rPr>
        <w:t>t-test</w:t>
      </w:r>
      <w:r w:rsidRPr="00481146">
        <w:rPr>
          <w:rFonts w:ascii="Arial" w:hAnsi="Arial" w:cs="Arial"/>
          <w:sz w:val="20"/>
          <w:szCs w:val="20"/>
        </w:rPr>
        <w:t xml:space="preserve"> </w:t>
      </w:r>
      <w:r w:rsidRPr="00481146">
        <w:rPr>
          <w:rFonts w:ascii="Arial" w:hAnsi="Arial" w:cs="Arial"/>
          <w:i/>
          <w:iCs/>
          <w:sz w:val="20"/>
          <w:szCs w:val="20"/>
        </w:rPr>
        <w:t>p</w:t>
      </w:r>
      <w:r w:rsidRPr="00481146">
        <w:rPr>
          <w:rFonts w:ascii="Arial" w:hAnsi="Arial" w:cs="Arial"/>
          <w:sz w:val="20"/>
          <w:szCs w:val="20"/>
        </w:rPr>
        <w:t xml:space="preserve">=0.02). </w:t>
      </w:r>
      <w:r w:rsidRPr="00481146">
        <w:rPr>
          <w:rFonts w:ascii="Arial" w:hAnsi="Arial" w:cs="Arial"/>
          <w:b/>
          <w:bCs/>
          <w:sz w:val="20"/>
          <w:szCs w:val="20"/>
        </w:rPr>
        <w:t>d.</w:t>
      </w:r>
      <w:r w:rsidRPr="00481146">
        <w:rPr>
          <w:rFonts w:ascii="Arial" w:hAnsi="Arial" w:cs="Arial"/>
          <w:sz w:val="20"/>
          <w:szCs w:val="20"/>
        </w:rPr>
        <w:t xml:space="preserve"> Highly avoidant, defeated mice (&gt;200 seconds spent in the far zone) remained avoidant for </w:t>
      </w:r>
      <w:r w:rsidRPr="00ED6781">
        <w:rPr>
          <w:rFonts w:ascii="Arial" w:hAnsi="Arial" w:cs="Arial"/>
          <w:sz w:val="20"/>
          <w:szCs w:val="20"/>
        </w:rPr>
        <w:t>up to three months</w:t>
      </w:r>
      <w:r w:rsidRPr="00ED6781">
        <w:rPr>
          <w:rFonts w:ascii="Arial" w:hAnsi="Arial" w:cs="Arial"/>
          <w:color w:val="FF0000"/>
          <w:sz w:val="20"/>
          <w:szCs w:val="20"/>
        </w:rPr>
        <w:t xml:space="preserve"> </w:t>
      </w:r>
      <w:r w:rsidRPr="00481146">
        <w:rPr>
          <w:rFonts w:ascii="Arial" w:hAnsi="Arial" w:cs="Arial"/>
          <w:sz w:val="20"/>
          <w:szCs w:val="20"/>
        </w:rPr>
        <w:t xml:space="preserve">following a single bout of aSD when exposed to a littermate of the aggressive CD1 when compared to the more investigative, defeated mice (week 0, Defeat-Avoidant: 265.84 ± 10.6 second vs. week 0, Defeat-Investigative: 115.14 ± 19.1 second, N=6 &amp; 6, unpaired </w:t>
      </w:r>
      <w:r w:rsidRPr="00481146">
        <w:rPr>
          <w:rFonts w:ascii="Arial" w:hAnsi="Arial" w:cs="Arial"/>
          <w:i/>
          <w:iCs/>
          <w:sz w:val="20"/>
          <w:szCs w:val="20"/>
        </w:rPr>
        <w:t>t-test</w:t>
      </w:r>
      <w:r w:rsidRPr="00481146">
        <w:rPr>
          <w:rFonts w:ascii="Arial" w:hAnsi="Arial" w:cs="Arial"/>
          <w:sz w:val="20"/>
          <w:szCs w:val="20"/>
        </w:rPr>
        <w:t xml:space="preserve"> p&lt;0.0001). * </w:t>
      </w:r>
      <w:r w:rsidRPr="00481146">
        <w:rPr>
          <w:rFonts w:ascii="Arial" w:hAnsi="Arial" w:cs="Arial"/>
          <w:i/>
          <w:iCs/>
          <w:sz w:val="20"/>
          <w:szCs w:val="20"/>
        </w:rPr>
        <w:t>p&lt;</w:t>
      </w:r>
      <w:r w:rsidRPr="00481146">
        <w:rPr>
          <w:rFonts w:ascii="Arial" w:hAnsi="Arial" w:cs="Arial"/>
          <w:sz w:val="20"/>
          <w:szCs w:val="20"/>
        </w:rPr>
        <w:t>0.05.</w:t>
      </w:r>
    </w:p>
    <w:p w14:paraId="3DB154DA" w14:textId="57110057" w:rsidR="00EB0F29" w:rsidRDefault="00EB0F29">
      <w:pPr>
        <w:spacing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52009102" w14:textId="1DA26908" w:rsidR="00EB0F29" w:rsidRDefault="00EB0F29" w:rsidP="00EB0F29">
      <w:pPr>
        <w:contextualSpacing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</w:rPr>
        <w:lastRenderedPageBreak/>
        <w:drawing>
          <wp:inline distT="0" distB="0" distL="0" distR="0" wp14:anchorId="6AC33C38" wp14:editId="61560386">
            <wp:extent cx="5692087" cy="4135272"/>
            <wp:effectExtent l="0" t="0" r="4445" b="0"/>
            <wp:docPr id="95302060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6376" cy="4138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7357AC" w14:textId="77777777" w:rsidR="00EB0F29" w:rsidRDefault="00EB0F29" w:rsidP="00EB0F29">
      <w:pPr>
        <w:contextualSpacing/>
        <w:rPr>
          <w:rFonts w:ascii="Arial" w:hAnsi="Arial" w:cs="Arial"/>
          <w:b/>
          <w:bCs/>
          <w:sz w:val="20"/>
          <w:szCs w:val="20"/>
        </w:rPr>
      </w:pPr>
    </w:p>
    <w:p w14:paraId="1D84DB89" w14:textId="77777777" w:rsidR="00EB0F29" w:rsidRDefault="00EB0F29" w:rsidP="00EB0F29">
      <w:pPr>
        <w:contextualSpacing/>
        <w:rPr>
          <w:rFonts w:ascii="Arial" w:hAnsi="Arial" w:cs="Arial"/>
          <w:b/>
          <w:bCs/>
          <w:sz w:val="20"/>
          <w:szCs w:val="20"/>
        </w:rPr>
      </w:pPr>
    </w:p>
    <w:p w14:paraId="1147D241" w14:textId="77777777" w:rsidR="00EB0F29" w:rsidRDefault="00EB0F29" w:rsidP="00EB0F29">
      <w:pPr>
        <w:contextualSpacing/>
        <w:rPr>
          <w:rFonts w:ascii="Arial" w:hAnsi="Arial" w:cs="Arial"/>
          <w:b/>
          <w:bCs/>
          <w:sz w:val="20"/>
          <w:szCs w:val="20"/>
        </w:rPr>
      </w:pPr>
    </w:p>
    <w:p w14:paraId="789353FF" w14:textId="0CE6E765" w:rsidR="00EB0F29" w:rsidRPr="00481146" w:rsidRDefault="00EB0F29" w:rsidP="00EB0F29">
      <w:pPr>
        <w:contextualSpacing/>
        <w:rPr>
          <w:rFonts w:ascii="Arial" w:hAnsi="Arial" w:cs="Arial"/>
          <w:sz w:val="20"/>
          <w:szCs w:val="20"/>
        </w:rPr>
      </w:pPr>
      <w:r w:rsidRPr="00481146">
        <w:rPr>
          <w:rFonts w:ascii="Arial" w:hAnsi="Arial" w:cs="Arial"/>
          <w:b/>
          <w:bCs/>
          <w:sz w:val="20"/>
          <w:szCs w:val="20"/>
        </w:rPr>
        <w:t>Supplementary Figure 2</w:t>
      </w:r>
      <w:r w:rsidRPr="00481146">
        <w:rPr>
          <w:rFonts w:ascii="Arial" w:hAnsi="Arial" w:cs="Arial"/>
          <w:sz w:val="20"/>
          <w:szCs w:val="20"/>
        </w:rPr>
        <w:t>: Chemogenetic inactivation of rCA2 after the defeat has no effect on subject avoidance 24 hours post-defeat</w:t>
      </w:r>
      <w:r>
        <w:rPr>
          <w:rFonts w:ascii="Arial" w:hAnsi="Arial" w:cs="Arial"/>
          <w:sz w:val="20"/>
          <w:szCs w:val="20"/>
        </w:rPr>
        <w:t>.</w:t>
      </w:r>
    </w:p>
    <w:p w14:paraId="470A5479" w14:textId="77777777" w:rsidR="00EB0F29" w:rsidRPr="00481146" w:rsidRDefault="00EB0F29" w:rsidP="00EB0F29">
      <w:pPr>
        <w:contextualSpacing/>
        <w:rPr>
          <w:rFonts w:ascii="Arial" w:hAnsi="Arial" w:cs="Arial"/>
          <w:sz w:val="20"/>
          <w:szCs w:val="20"/>
        </w:rPr>
      </w:pPr>
    </w:p>
    <w:p w14:paraId="72578317" w14:textId="77777777" w:rsidR="00EB0F29" w:rsidRPr="00E631C5" w:rsidRDefault="00EB0F29" w:rsidP="00EB0F29">
      <w:pPr>
        <w:contextualSpacing/>
        <w:rPr>
          <w:rFonts w:ascii="Arial" w:hAnsi="Arial" w:cs="Arial"/>
        </w:rPr>
      </w:pPr>
      <w:r w:rsidRPr="00481146">
        <w:rPr>
          <w:rFonts w:ascii="Arial" w:hAnsi="Arial" w:cs="Arial"/>
          <w:b/>
          <w:bCs/>
          <w:sz w:val="20"/>
          <w:szCs w:val="20"/>
        </w:rPr>
        <w:t>a.</w:t>
      </w:r>
      <w:r w:rsidRPr="00481146">
        <w:rPr>
          <w:rFonts w:ascii="Arial" w:hAnsi="Arial" w:cs="Arial"/>
          <w:sz w:val="20"/>
          <w:szCs w:val="20"/>
        </w:rPr>
        <w:t xml:space="preserve"> Acute social defeat experimental timeline. Five mg/kg of clozapine-N-oxide (CNO) was delivered on day 1, immediately following defeat by a CD1 aggressor mouse via IP injection in Amigo2-icreERT2 male mice (16-19wks of age) that either did (Cre+) or did not (Cre-) express cre-recombinase in area CA2 neurons. Twenty-four hours after defeat, day 2, mice were tested for avoidance/investigation in a novel context containing a littermate of the CD1 aggressor mouse. </w:t>
      </w:r>
      <w:r w:rsidRPr="00481146">
        <w:rPr>
          <w:rFonts w:ascii="Arial" w:hAnsi="Arial" w:cs="Arial"/>
          <w:b/>
          <w:bCs/>
          <w:sz w:val="20"/>
          <w:szCs w:val="20"/>
        </w:rPr>
        <w:t>b.</w:t>
      </w:r>
      <w:r w:rsidRPr="00481146">
        <w:rPr>
          <w:rFonts w:ascii="Arial" w:hAnsi="Arial" w:cs="Arial"/>
          <w:sz w:val="20"/>
          <w:szCs w:val="20"/>
        </w:rPr>
        <w:t xml:space="preserve"> Inhibition of area CA2, via the activation of a virally expressed Gi-DREADD construct, immediately following aSD resulted in an avoidance phenotype similar to that of Defeat Cre- animals that received CNO prior to the defeat at 24 hours and significantly lower than Cre+ mice wherein CA2 activity was inhibited during the defeat (data shown are replotted from Figure 2 with additional ‘No Defeat’ animals; Defeat Cre+: 241.64 ± 12.7 seconds vs. Post Cre-: 186.21 ± 18.9 seconds vs. Post Cre+: 176.01 ± 16.6 seconds, N=18, 13, 10, respectively, one-way ANOVA F=16.41 p&lt;0.0001; Defeat Cre+ vs. Post Cre-, Holm-Sidak multiple comparisons test </w:t>
      </w:r>
      <w:r w:rsidRPr="00481146">
        <w:rPr>
          <w:rFonts w:ascii="Arial" w:hAnsi="Arial" w:cs="Arial"/>
          <w:i/>
          <w:iCs/>
          <w:sz w:val="20"/>
          <w:szCs w:val="20"/>
        </w:rPr>
        <w:t>p</w:t>
      </w:r>
      <w:r w:rsidRPr="00481146">
        <w:rPr>
          <w:rFonts w:ascii="Arial" w:hAnsi="Arial" w:cs="Arial"/>
          <w:sz w:val="20"/>
          <w:szCs w:val="20"/>
        </w:rPr>
        <w:t xml:space="preserve">=0.023, Defeat Cre+ vs. Post Cre+, Holm-Sidak </w:t>
      </w:r>
      <w:r w:rsidRPr="00481146">
        <w:rPr>
          <w:rFonts w:ascii="Arial" w:hAnsi="Arial" w:cs="Arial"/>
          <w:i/>
          <w:iCs/>
          <w:sz w:val="20"/>
          <w:szCs w:val="20"/>
        </w:rPr>
        <w:t>p</w:t>
      </w:r>
      <w:r w:rsidRPr="00481146">
        <w:rPr>
          <w:rFonts w:ascii="Arial" w:hAnsi="Arial" w:cs="Arial"/>
          <w:sz w:val="20"/>
          <w:szCs w:val="20"/>
        </w:rPr>
        <w:t xml:space="preserve">=0.016). </w:t>
      </w:r>
      <w:r w:rsidRPr="00481146">
        <w:rPr>
          <w:rFonts w:ascii="Arial" w:hAnsi="Arial" w:cs="Arial"/>
          <w:b/>
          <w:bCs/>
          <w:sz w:val="20"/>
          <w:szCs w:val="20"/>
        </w:rPr>
        <w:t>c.</w:t>
      </w:r>
      <w:r w:rsidRPr="00481146">
        <w:rPr>
          <w:rFonts w:ascii="Arial" w:hAnsi="Arial" w:cs="Arial"/>
          <w:sz w:val="20"/>
          <w:szCs w:val="20"/>
        </w:rPr>
        <w:t xml:space="preserve"> Confirmation that the subject defensive behavior during the defeat was similar in mice given CNO after the defeat and cre- mice given prior to defeat. Defensive submission values, normalized to the amount of aggression received, were equivalent to those of defeated Cre- mice that received CNO prior to defeat (Defeat Cre-: 0.28 ± 0.04 vs. Defeat Cre+: 0.10 ± 0.04 vs. Post Cre-: 0.34 ± 0.07 vs. Post Cre+: 0.31 ± 0.06, N=18, 18, 12, 10 mice, respectively, one-way ANOVA F=5.52 </w:t>
      </w:r>
      <w:r w:rsidRPr="00481146">
        <w:rPr>
          <w:rFonts w:ascii="Arial" w:hAnsi="Arial" w:cs="Arial"/>
          <w:i/>
          <w:iCs/>
          <w:sz w:val="20"/>
          <w:szCs w:val="20"/>
        </w:rPr>
        <w:t>p</w:t>
      </w:r>
      <w:r w:rsidRPr="00481146">
        <w:rPr>
          <w:rFonts w:ascii="Arial" w:hAnsi="Arial" w:cs="Arial"/>
          <w:sz w:val="20"/>
          <w:szCs w:val="20"/>
        </w:rPr>
        <w:t xml:space="preserve">=0.0022; Defeat Cre- vs. Defeat Cre+, Holm-Sidak </w:t>
      </w:r>
      <w:r w:rsidRPr="00481146">
        <w:rPr>
          <w:rFonts w:ascii="Arial" w:hAnsi="Arial" w:cs="Arial"/>
          <w:i/>
          <w:iCs/>
          <w:sz w:val="20"/>
          <w:szCs w:val="20"/>
        </w:rPr>
        <w:t>p</w:t>
      </w:r>
      <w:r w:rsidRPr="00481146">
        <w:rPr>
          <w:rFonts w:ascii="Arial" w:hAnsi="Arial" w:cs="Arial"/>
          <w:sz w:val="20"/>
          <w:szCs w:val="20"/>
        </w:rPr>
        <w:t xml:space="preserve">=0.026, Defeat Cre+ vs. Post Cre-, Holm-Sidak </w:t>
      </w:r>
      <w:r w:rsidRPr="00481146">
        <w:rPr>
          <w:rFonts w:ascii="Arial" w:hAnsi="Arial" w:cs="Arial"/>
          <w:i/>
          <w:iCs/>
          <w:sz w:val="20"/>
          <w:szCs w:val="20"/>
        </w:rPr>
        <w:t>p</w:t>
      </w:r>
      <w:r w:rsidRPr="00481146">
        <w:rPr>
          <w:rFonts w:ascii="Arial" w:hAnsi="Arial" w:cs="Arial"/>
          <w:sz w:val="20"/>
          <w:szCs w:val="20"/>
        </w:rPr>
        <w:t xml:space="preserve">=0.004, Defeat Cre+ vs. Post Cre+, Holm-Sidak </w:t>
      </w:r>
      <w:r w:rsidRPr="00481146">
        <w:rPr>
          <w:rFonts w:ascii="Arial" w:hAnsi="Arial" w:cs="Arial"/>
          <w:i/>
          <w:iCs/>
          <w:sz w:val="20"/>
          <w:szCs w:val="20"/>
        </w:rPr>
        <w:t>p</w:t>
      </w:r>
      <w:r w:rsidRPr="00481146">
        <w:rPr>
          <w:rFonts w:ascii="Arial" w:hAnsi="Arial" w:cs="Arial"/>
          <w:sz w:val="20"/>
          <w:szCs w:val="20"/>
        </w:rPr>
        <w:t xml:space="preserve">=0.026). * </w:t>
      </w:r>
      <w:r w:rsidRPr="00481146">
        <w:rPr>
          <w:rFonts w:ascii="Arial" w:hAnsi="Arial" w:cs="Arial"/>
          <w:i/>
          <w:iCs/>
          <w:sz w:val="20"/>
          <w:szCs w:val="20"/>
        </w:rPr>
        <w:t>p&lt;</w:t>
      </w:r>
      <w:r w:rsidRPr="00481146">
        <w:rPr>
          <w:rFonts w:ascii="Arial" w:hAnsi="Arial" w:cs="Arial"/>
          <w:sz w:val="20"/>
          <w:szCs w:val="20"/>
        </w:rPr>
        <w:t xml:space="preserve">0.05, ** </w:t>
      </w:r>
      <w:r w:rsidRPr="00481146">
        <w:rPr>
          <w:rFonts w:ascii="Arial" w:hAnsi="Arial" w:cs="Arial"/>
          <w:i/>
          <w:iCs/>
          <w:sz w:val="20"/>
          <w:szCs w:val="20"/>
        </w:rPr>
        <w:t>p</w:t>
      </w:r>
      <w:r w:rsidRPr="00481146">
        <w:rPr>
          <w:rFonts w:ascii="Arial" w:hAnsi="Arial" w:cs="Arial"/>
          <w:sz w:val="20"/>
          <w:szCs w:val="20"/>
        </w:rPr>
        <w:t>&lt;0.01.</w:t>
      </w:r>
      <w:r>
        <w:rPr>
          <w:rFonts w:ascii="Arial" w:hAnsi="Arial" w:cs="Arial"/>
        </w:rPr>
        <w:t xml:space="preserve"> </w:t>
      </w:r>
      <w:r w:rsidRPr="003303E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</w:t>
      </w:r>
    </w:p>
    <w:p w14:paraId="4246FEF1" w14:textId="77777777" w:rsidR="00EB0F29" w:rsidRPr="006913D5" w:rsidRDefault="00EB0F29" w:rsidP="00EB0F29">
      <w:pPr>
        <w:rPr>
          <w:rFonts w:ascii="Arial" w:hAnsi="Arial" w:cs="Arial"/>
          <w:sz w:val="20"/>
          <w:szCs w:val="20"/>
        </w:rPr>
      </w:pPr>
    </w:p>
    <w:p w14:paraId="7E69208E" w14:textId="0B59C2CF" w:rsidR="00EB0F29" w:rsidRDefault="00EB0F29">
      <w:pPr>
        <w:spacing w:line="259" w:lineRule="auto"/>
        <w:rPr>
          <w:rFonts w:ascii="Arial" w:hAnsi="Arial" w:cs="Arial"/>
          <w:b/>
          <w:bCs/>
          <w:noProof/>
        </w:rPr>
      </w:pPr>
      <w:r>
        <w:rPr>
          <w:rFonts w:ascii="Arial" w:hAnsi="Arial" w:cs="Arial"/>
          <w:b/>
          <w:bCs/>
          <w:noProof/>
        </w:rPr>
        <w:br w:type="page"/>
      </w:r>
    </w:p>
    <w:p w14:paraId="66D7325F" w14:textId="2FA8DE55" w:rsidR="00EB0F29" w:rsidRDefault="00EB0F29" w:rsidP="00EB0F29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</w:rPr>
        <w:lastRenderedPageBreak/>
        <w:drawing>
          <wp:inline distT="0" distB="0" distL="0" distR="0" wp14:anchorId="33CBDFD1" wp14:editId="6056144F">
            <wp:extent cx="5943600" cy="3357245"/>
            <wp:effectExtent l="0" t="0" r="0" b="0"/>
            <wp:docPr id="59470347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57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B09BDF" w14:textId="77777777" w:rsidR="00EB0F29" w:rsidRDefault="00EB0F29" w:rsidP="00EB0F29">
      <w:pPr>
        <w:rPr>
          <w:rFonts w:ascii="Arial" w:hAnsi="Arial" w:cs="Arial"/>
          <w:b/>
          <w:bCs/>
          <w:sz w:val="20"/>
          <w:szCs w:val="20"/>
        </w:rPr>
      </w:pPr>
    </w:p>
    <w:p w14:paraId="74744738" w14:textId="77777777" w:rsidR="00EB0F29" w:rsidRDefault="00EB0F29" w:rsidP="00EB0F29">
      <w:pPr>
        <w:rPr>
          <w:rFonts w:ascii="Arial" w:hAnsi="Arial" w:cs="Arial"/>
          <w:b/>
          <w:bCs/>
          <w:sz w:val="20"/>
          <w:szCs w:val="20"/>
        </w:rPr>
      </w:pPr>
    </w:p>
    <w:p w14:paraId="5C2E855E" w14:textId="77777777" w:rsidR="00EB0F29" w:rsidRDefault="00EB0F29" w:rsidP="00EB0F29">
      <w:pPr>
        <w:rPr>
          <w:rFonts w:ascii="Arial" w:hAnsi="Arial" w:cs="Arial"/>
          <w:b/>
          <w:bCs/>
          <w:sz w:val="20"/>
          <w:szCs w:val="20"/>
        </w:rPr>
      </w:pPr>
    </w:p>
    <w:p w14:paraId="3FF2F47B" w14:textId="2BDD19AB" w:rsidR="00EB0F29" w:rsidRPr="00481146" w:rsidRDefault="00EB0F29" w:rsidP="00EB0F29">
      <w:pPr>
        <w:rPr>
          <w:rFonts w:ascii="Arial" w:hAnsi="Arial" w:cs="Arial"/>
          <w:color w:val="FF0000"/>
          <w:sz w:val="20"/>
          <w:szCs w:val="20"/>
        </w:rPr>
      </w:pPr>
      <w:r w:rsidRPr="00481146">
        <w:rPr>
          <w:rFonts w:ascii="Arial" w:hAnsi="Arial" w:cs="Arial"/>
          <w:b/>
          <w:bCs/>
          <w:sz w:val="20"/>
          <w:szCs w:val="20"/>
        </w:rPr>
        <w:t>Supplementary Figure 3</w:t>
      </w:r>
      <w:r w:rsidRPr="00481146">
        <w:rPr>
          <w:rFonts w:ascii="Arial" w:hAnsi="Arial" w:cs="Arial"/>
          <w:sz w:val="20"/>
          <w:szCs w:val="20"/>
        </w:rPr>
        <w:t>: Avoidance is specific to the acute defeat stressor.</w:t>
      </w:r>
      <w:r w:rsidRPr="00481146">
        <w:rPr>
          <w:rFonts w:ascii="Arial" w:hAnsi="Arial" w:cs="Arial"/>
          <w:color w:val="FF0000"/>
          <w:sz w:val="20"/>
          <w:szCs w:val="20"/>
        </w:rPr>
        <w:t xml:space="preserve">    </w:t>
      </w:r>
    </w:p>
    <w:p w14:paraId="6699F8A9" w14:textId="77777777" w:rsidR="00EB0F29" w:rsidRDefault="00EB0F29" w:rsidP="00EB0F29">
      <w:pPr>
        <w:rPr>
          <w:rFonts w:ascii="Arial" w:hAnsi="Arial" w:cs="Arial"/>
          <w:sz w:val="20"/>
          <w:szCs w:val="20"/>
        </w:rPr>
      </w:pPr>
      <w:r w:rsidRPr="00481146">
        <w:rPr>
          <w:rFonts w:ascii="Arial" w:hAnsi="Arial" w:cs="Arial"/>
          <w:b/>
          <w:bCs/>
          <w:sz w:val="20"/>
          <w:szCs w:val="20"/>
        </w:rPr>
        <w:t>a.</w:t>
      </w:r>
      <w:r w:rsidRPr="00481146">
        <w:rPr>
          <w:rFonts w:ascii="Arial" w:hAnsi="Arial" w:cs="Arial"/>
          <w:sz w:val="20"/>
          <w:szCs w:val="20"/>
        </w:rPr>
        <w:t xml:space="preserve"> Experimental timeline for a subset of animals in which the aSD stressor was replaced </w:t>
      </w:r>
      <w:r w:rsidRPr="002C54B8">
        <w:rPr>
          <w:rFonts w:ascii="Arial" w:hAnsi="Arial" w:cs="Arial"/>
          <w:sz w:val="20"/>
          <w:szCs w:val="20"/>
        </w:rPr>
        <w:t xml:space="preserve">with a fear conditioning protocol involving five tone-shock pairings on day 1, </w:t>
      </w:r>
      <w:r w:rsidRPr="00310003">
        <w:rPr>
          <w:rFonts w:ascii="Arial" w:hAnsi="Arial" w:cs="Arial"/>
          <w:sz w:val="20"/>
          <w:szCs w:val="20"/>
        </w:rPr>
        <w:t xml:space="preserve">followed by a day 2 avoidance </w:t>
      </w:r>
      <w:r w:rsidRPr="00481146">
        <w:rPr>
          <w:rFonts w:ascii="Arial" w:hAnsi="Arial" w:cs="Arial"/>
          <w:sz w:val="20"/>
          <w:szCs w:val="20"/>
        </w:rPr>
        <w:t xml:space="preserve">test and screening for the acquisition of contextual fear. </w:t>
      </w:r>
      <w:r w:rsidRPr="00481146">
        <w:rPr>
          <w:rFonts w:ascii="Arial" w:hAnsi="Arial" w:cs="Arial"/>
          <w:b/>
          <w:bCs/>
          <w:sz w:val="20"/>
          <w:szCs w:val="20"/>
        </w:rPr>
        <w:t>b.</w:t>
      </w:r>
      <w:r w:rsidRPr="00481146">
        <w:rPr>
          <w:rFonts w:ascii="Arial" w:hAnsi="Arial" w:cs="Arial"/>
          <w:sz w:val="20"/>
          <w:szCs w:val="20"/>
        </w:rPr>
        <w:t xml:space="preserve"> Wildtype mice showed a graded increase percent time spent freezing during the administration of five 0.6 mA footshocks at 30 second </w:t>
      </w:r>
      <w:r w:rsidRPr="00A575C0">
        <w:rPr>
          <w:rFonts w:ascii="Arial" w:hAnsi="Arial" w:cs="Arial"/>
          <w:sz w:val="20"/>
          <w:szCs w:val="20"/>
        </w:rPr>
        <w:t xml:space="preserve">intervals (interevent interval 1: 22.2 ± 4.4 % freezing vs. interval 5: 75.3 ± 3.0%, N=11 mice tested). </w:t>
      </w:r>
      <w:r w:rsidRPr="00A575C0">
        <w:rPr>
          <w:rFonts w:ascii="Arial" w:hAnsi="Arial" w:cs="Arial"/>
          <w:b/>
          <w:bCs/>
          <w:sz w:val="20"/>
          <w:szCs w:val="20"/>
        </w:rPr>
        <w:t>c.</w:t>
      </w:r>
      <w:r w:rsidRPr="00A575C0">
        <w:rPr>
          <w:rFonts w:ascii="Arial" w:hAnsi="Arial" w:cs="Arial"/>
          <w:sz w:val="20"/>
          <w:szCs w:val="20"/>
        </w:rPr>
        <w:t xml:space="preserve"> Twenty-four hours later, mice that underwent fear conditioning continued to exhibit freezing behavior when placed back in the day 1 context (minute 1: 48.2 ± 4.0% versus minute 8: 46.3 ± 6.5%, N=11 total mice tested). </w:t>
      </w:r>
      <w:r w:rsidRPr="00A575C0">
        <w:rPr>
          <w:rFonts w:ascii="Arial" w:hAnsi="Arial" w:cs="Arial"/>
          <w:b/>
          <w:bCs/>
          <w:sz w:val="20"/>
          <w:szCs w:val="20"/>
        </w:rPr>
        <w:t>d.</w:t>
      </w:r>
      <w:r w:rsidRPr="00A575C0">
        <w:rPr>
          <w:rFonts w:ascii="Arial" w:hAnsi="Arial" w:cs="Arial"/>
          <w:sz w:val="20"/>
          <w:szCs w:val="20"/>
        </w:rPr>
        <w:t xml:space="preserve"> Twenty-four </w:t>
      </w:r>
      <w:r w:rsidRPr="00481146">
        <w:rPr>
          <w:rFonts w:ascii="Arial" w:hAnsi="Arial" w:cs="Arial"/>
          <w:sz w:val="20"/>
          <w:szCs w:val="20"/>
        </w:rPr>
        <w:t xml:space="preserve">hours after the administration of a non-social stressor (i.e. footshocks), shock conditioned mice spent a comparable amount of time in the far zone as the no defeat control animals and significantly less time than wild type, defeated mice (No Defeat controls: 114.84 ± 4.8 seconds vs. Defeat: 190.49 ± 25.0 seconds vs. Shock Conditioned: 122.08 ± 18.0 seconds, N=28, 12, 11 mice, respectively one-way ANOVA F=9.47 p=0.0003; No Defeat vs. Defeat, Holm-Sidak multiple comparisons test </w:t>
      </w:r>
      <w:r w:rsidRPr="00481146">
        <w:rPr>
          <w:rFonts w:ascii="Arial" w:hAnsi="Arial" w:cs="Arial"/>
          <w:i/>
          <w:iCs/>
          <w:sz w:val="20"/>
          <w:szCs w:val="20"/>
        </w:rPr>
        <w:t>p</w:t>
      </w:r>
      <w:r w:rsidRPr="00481146">
        <w:rPr>
          <w:rFonts w:ascii="Arial" w:hAnsi="Arial" w:cs="Arial"/>
          <w:sz w:val="20"/>
          <w:szCs w:val="20"/>
        </w:rPr>
        <w:t xml:space="preserve">=0.0003; Defeat vs. Shock Conditioned, Holm-Sidak </w:t>
      </w:r>
      <w:r w:rsidRPr="00481146">
        <w:rPr>
          <w:rFonts w:ascii="Arial" w:hAnsi="Arial" w:cs="Arial"/>
          <w:i/>
          <w:iCs/>
          <w:sz w:val="20"/>
          <w:szCs w:val="20"/>
        </w:rPr>
        <w:t>p</w:t>
      </w:r>
      <w:r w:rsidRPr="00481146">
        <w:rPr>
          <w:rFonts w:ascii="Arial" w:hAnsi="Arial" w:cs="Arial"/>
          <w:sz w:val="20"/>
          <w:szCs w:val="20"/>
        </w:rPr>
        <w:t xml:space="preserve">=0.0063). </w:t>
      </w:r>
      <w:r w:rsidRPr="00481146">
        <w:rPr>
          <w:rFonts w:ascii="Arial" w:hAnsi="Arial" w:cs="Arial"/>
          <w:b/>
          <w:bCs/>
          <w:sz w:val="20"/>
          <w:szCs w:val="20"/>
        </w:rPr>
        <w:t xml:space="preserve">e. </w:t>
      </w:r>
      <w:r w:rsidRPr="00481146">
        <w:rPr>
          <w:rFonts w:ascii="Arial" w:hAnsi="Arial" w:cs="Arial"/>
          <w:sz w:val="20"/>
          <w:szCs w:val="20"/>
        </w:rPr>
        <w:t xml:space="preserve">Experimental timeline for a subset of animals that were socially defeated by a CD1 aggressor mouse on day 1 and then allowed to investigate a novel, age matched male conspecific (C57BL/6J) on day 2. </w:t>
      </w:r>
      <w:r w:rsidRPr="00481146">
        <w:rPr>
          <w:rFonts w:ascii="Arial" w:hAnsi="Arial" w:cs="Arial"/>
          <w:b/>
          <w:bCs/>
          <w:sz w:val="20"/>
          <w:szCs w:val="20"/>
        </w:rPr>
        <w:t>f.</w:t>
      </w:r>
      <w:r w:rsidRPr="0048114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When compared to non-defeat control mice, s</w:t>
      </w:r>
      <w:r w:rsidRPr="00481146">
        <w:rPr>
          <w:rFonts w:ascii="Arial" w:hAnsi="Arial" w:cs="Arial"/>
          <w:sz w:val="20"/>
          <w:szCs w:val="20"/>
        </w:rPr>
        <w:t xml:space="preserve">ocially defeated mice spent an equivalent amount of time in the far zone of a novel arena when allowed to interact with a novel, conspecific 24 hours after being defeated by a CD1 aggressor (No Defeat: 126.70 ± 8.4 seconds spent in the far zone vs. Defeat Cre-: 129.19 ± 11.5, N=5, 8 mice, respectively, unpaired </w:t>
      </w:r>
      <w:r w:rsidRPr="00481146">
        <w:rPr>
          <w:rFonts w:ascii="Arial" w:hAnsi="Arial" w:cs="Arial"/>
          <w:i/>
          <w:iCs/>
          <w:sz w:val="20"/>
          <w:szCs w:val="20"/>
        </w:rPr>
        <w:t>t-test p</w:t>
      </w:r>
      <w:r w:rsidRPr="00481146">
        <w:rPr>
          <w:rFonts w:ascii="Arial" w:hAnsi="Arial" w:cs="Arial"/>
          <w:sz w:val="20"/>
          <w:szCs w:val="20"/>
        </w:rPr>
        <w:t xml:space="preserve">=0.88). * </w:t>
      </w:r>
      <w:r w:rsidRPr="00481146">
        <w:rPr>
          <w:rFonts w:ascii="Arial" w:hAnsi="Arial" w:cs="Arial"/>
          <w:i/>
          <w:iCs/>
          <w:sz w:val="20"/>
          <w:szCs w:val="20"/>
        </w:rPr>
        <w:t>p&lt;</w:t>
      </w:r>
      <w:r w:rsidRPr="00481146">
        <w:rPr>
          <w:rFonts w:ascii="Arial" w:hAnsi="Arial" w:cs="Arial"/>
          <w:sz w:val="20"/>
          <w:szCs w:val="20"/>
        </w:rPr>
        <w:t xml:space="preserve">0.05, ** </w:t>
      </w:r>
      <w:r w:rsidRPr="00481146">
        <w:rPr>
          <w:rFonts w:ascii="Arial" w:hAnsi="Arial" w:cs="Arial"/>
          <w:i/>
          <w:iCs/>
          <w:sz w:val="20"/>
          <w:szCs w:val="20"/>
        </w:rPr>
        <w:t>p</w:t>
      </w:r>
      <w:r w:rsidRPr="00481146">
        <w:rPr>
          <w:rFonts w:ascii="Arial" w:hAnsi="Arial" w:cs="Arial"/>
          <w:sz w:val="20"/>
          <w:szCs w:val="20"/>
        </w:rPr>
        <w:t xml:space="preserve">&lt;0.01.  </w:t>
      </w:r>
    </w:p>
    <w:p w14:paraId="56EE90D8" w14:textId="19379E44" w:rsidR="00EB0F29" w:rsidRDefault="00EB0F29">
      <w:pPr>
        <w:spacing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05BF4A7C" w14:textId="5BB7C528" w:rsidR="00EB0F29" w:rsidRPr="00481146" w:rsidRDefault="00EB0F29" w:rsidP="00EB0F2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0F9BBDBB" wp14:editId="43A65D4C">
            <wp:extent cx="6175612" cy="3428326"/>
            <wp:effectExtent l="0" t="0" r="0" b="0"/>
            <wp:docPr id="85661165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3827" cy="3438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9345B6" w14:textId="77777777" w:rsidR="00EB0F29" w:rsidRDefault="00EB0F29" w:rsidP="00EB0F29">
      <w:pPr>
        <w:rPr>
          <w:rFonts w:ascii="Arial" w:hAnsi="Arial" w:cs="Arial"/>
          <w:b/>
          <w:bCs/>
          <w:noProof/>
        </w:rPr>
      </w:pPr>
    </w:p>
    <w:p w14:paraId="2583B266" w14:textId="77777777" w:rsidR="00EB0F29" w:rsidRPr="00481146" w:rsidRDefault="00EB0F29" w:rsidP="00EB0F29">
      <w:pPr>
        <w:rPr>
          <w:rFonts w:ascii="Arial" w:hAnsi="Arial" w:cs="Arial"/>
          <w:sz w:val="20"/>
          <w:szCs w:val="20"/>
        </w:rPr>
      </w:pPr>
      <w:r w:rsidRPr="00481146">
        <w:rPr>
          <w:rFonts w:ascii="Arial" w:hAnsi="Arial" w:cs="Arial"/>
          <w:b/>
          <w:bCs/>
          <w:sz w:val="20"/>
          <w:szCs w:val="20"/>
        </w:rPr>
        <w:t>Supplementary Figure 4:</w:t>
      </w:r>
      <w:r w:rsidRPr="00481146">
        <w:rPr>
          <w:rFonts w:ascii="Arial" w:hAnsi="Arial" w:cs="Arial"/>
          <w:sz w:val="20"/>
          <w:szCs w:val="20"/>
        </w:rPr>
        <w:t xml:space="preserve"> Rostral CA2 axons target the caudal hippocampus in cre+ Amigo2-icreERT2 mice</w:t>
      </w:r>
      <w:r>
        <w:rPr>
          <w:rFonts w:ascii="Arial" w:hAnsi="Arial" w:cs="Arial"/>
          <w:sz w:val="20"/>
          <w:szCs w:val="20"/>
        </w:rPr>
        <w:t>.</w:t>
      </w:r>
    </w:p>
    <w:p w14:paraId="485FA748" w14:textId="77777777" w:rsidR="00EB0F29" w:rsidRPr="00481146" w:rsidRDefault="00EB0F29" w:rsidP="00EB0F29">
      <w:pPr>
        <w:rPr>
          <w:rFonts w:ascii="Arial" w:hAnsi="Arial" w:cs="Arial"/>
          <w:sz w:val="20"/>
          <w:szCs w:val="20"/>
        </w:rPr>
      </w:pPr>
      <w:r w:rsidRPr="00481146">
        <w:rPr>
          <w:rFonts w:ascii="Arial" w:hAnsi="Arial" w:cs="Arial"/>
          <w:b/>
          <w:bCs/>
          <w:sz w:val="20"/>
          <w:szCs w:val="20"/>
        </w:rPr>
        <w:t>a1.</w:t>
      </w:r>
      <w:r w:rsidRPr="00481146">
        <w:rPr>
          <w:rFonts w:ascii="Arial" w:hAnsi="Arial" w:cs="Arial"/>
          <w:sz w:val="20"/>
          <w:szCs w:val="20"/>
        </w:rPr>
        <w:t xml:space="preserve"> Intracranial injection of 500 µl of a cre-recombinase dependent virus containing channelrhodopsin and an EYFP tag were delivered into the rostrodorsal CA2 (rCA2) of an Amigo2-icreERT2 mouse. </w:t>
      </w:r>
      <w:r w:rsidRPr="00481146">
        <w:rPr>
          <w:rFonts w:ascii="Arial" w:hAnsi="Arial" w:cs="Arial"/>
          <w:b/>
          <w:bCs/>
          <w:sz w:val="20"/>
          <w:szCs w:val="20"/>
        </w:rPr>
        <w:t>a2.</w:t>
      </w:r>
      <w:r w:rsidRPr="00481146">
        <w:rPr>
          <w:rFonts w:ascii="Arial" w:hAnsi="Arial" w:cs="Arial"/>
          <w:sz w:val="20"/>
          <w:szCs w:val="20"/>
        </w:rPr>
        <w:t xml:space="preserve"> Coronal sections showing the channelrhoposin/EYFP+ (green), cell-type specific expression pattern in rCA2 in an Amigo2-iERT2-cre+ mouse (scale bar = 100 µm). </w:t>
      </w:r>
      <w:r w:rsidRPr="00481146">
        <w:rPr>
          <w:rFonts w:ascii="Arial" w:hAnsi="Arial" w:cs="Arial"/>
          <w:b/>
          <w:bCs/>
          <w:sz w:val="20"/>
          <w:szCs w:val="20"/>
        </w:rPr>
        <w:t xml:space="preserve">b1-b4. </w:t>
      </w:r>
      <w:r w:rsidRPr="00481146">
        <w:rPr>
          <w:rFonts w:ascii="Arial" w:hAnsi="Arial" w:cs="Arial"/>
          <w:sz w:val="20"/>
          <w:szCs w:val="20"/>
        </w:rPr>
        <w:t xml:space="preserve">EYFP+ axons originating from rCA2 neurons were present in the more dorsal and intermediate extents of caudal hippocampus. The EYFP+ axons were largely absent from the more ventral regions of the cCA1 region (scale bars = 100 µm).  </w:t>
      </w:r>
    </w:p>
    <w:p w14:paraId="7682FD6B" w14:textId="18A13FCA" w:rsidR="00EB0F29" w:rsidRDefault="00EB0F29">
      <w:pPr>
        <w:spacing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D18D88F" w14:textId="3740CD24" w:rsidR="00EB0F29" w:rsidRDefault="00EB0F29" w:rsidP="00EB0F29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047D20DB" wp14:editId="3C66826D">
            <wp:extent cx="5592023" cy="4237630"/>
            <wp:effectExtent l="0" t="0" r="0" b="0"/>
            <wp:docPr id="17074410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386" cy="4247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1F3F6E" w14:textId="77777777" w:rsidR="00EB0F29" w:rsidRDefault="00EB0F29" w:rsidP="00EB0F29">
      <w:pPr>
        <w:jc w:val="both"/>
        <w:rPr>
          <w:rFonts w:ascii="Arial" w:hAnsi="Arial" w:cs="Arial"/>
        </w:rPr>
      </w:pPr>
    </w:p>
    <w:p w14:paraId="12718E2D" w14:textId="77777777" w:rsidR="00EB0F29" w:rsidRDefault="00EB0F29" w:rsidP="00EB0F29">
      <w:pPr>
        <w:jc w:val="both"/>
        <w:rPr>
          <w:rFonts w:ascii="Arial" w:hAnsi="Arial" w:cs="Arial"/>
        </w:rPr>
      </w:pPr>
    </w:p>
    <w:p w14:paraId="53752FFA" w14:textId="77777777" w:rsidR="00EB0F29" w:rsidRPr="00481146" w:rsidRDefault="00EB0F29" w:rsidP="00EB0F29">
      <w:pPr>
        <w:rPr>
          <w:rFonts w:ascii="Arial" w:hAnsi="Arial" w:cs="Arial"/>
          <w:sz w:val="20"/>
          <w:szCs w:val="20"/>
        </w:rPr>
      </w:pPr>
      <w:r w:rsidRPr="00481146">
        <w:rPr>
          <w:rFonts w:ascii="Arial" w:hAnsi="Arial" w:cs="Arial"/>
          <w:b/>
          <w:bCs/>
          <w:sz w:val="20"/>
          <w:szCs w:val="20"/>
        </w:rPr>
        <w:t>Supplementary Figure 5:</w:t>
      </w:r>
      <w:r w:rsidRPr="00481146">
        <w:rPr>
          <w:rFonts w:ascii="Arial" w:hAnsi="Arial" w:cs="Arial"/>
          <w:sz w:val="20"/>
          <w:szCs w:val="20"/>
        </w:rPr>
        <w:t xml:space="preserve"> Intrinsic properties of CA1 projection neurons are similar along the D-V axis of the caudal hippocampus (cHPC).</w:t>
      </w:r>
    </w:p>
    <w:p w14:paraId="51BE617C" w14:textId="77777777" w:rsidR="00EB0F29" w:rsidRPr="00481146" w:rsidRDefault="00EB0F29" w:rsidP="00EB0F29">
      <w:pPr>
        <w:rPr>
          <w:rFonts w:ascii="Arial" w:hAnsi="Arial" w:cs="Arial"/>
          <w:sz w:val="20"/>
          <w:szCs w:val="20"/>
        </w:rPr>
      </w:pPr>
      <w:r w:rsidRPr="00481146">
        <w:rPr>
          <w:rFonts w:ascii="Arial" w:hAnsi="Arial" w:cs="Arial"/>
          <w:b/>
          <w:bCs/>
          <w:sz w:val="20"/>
          <w:szCs w:val="20"/>
        </w:rPr>
        <w:t>a.</w:t>
      </w:r>
      <w:r w:rsidRPr="00481146">
        <w:rPr>
          <w:rFonts w:ascii="Arial" w:hAnsi="Arial" w:cs="Arial"/>
          <w:sz w:val="20"/>
          <w:szCs w:val="20"/>
        </w:rPr>
        <w:t xml:space="preserve"> Min/max plots showing the intrinsic membrane potential (V</w:t>
      </w:r>
      <w:r w:rsidRPr="00481146">
        <w:rPr>
          <w:rFonts w:ascii="Arial" w:hAnsi="Arial" w:cs="Arial"/>
          <w:sz w:val="20"/>
          <w:szCs w:val="20"/>
          <w:vertAlign w:val="subscript"/>
        </w:rPr>
        <w:t>m</w:t>
      </w:r>
      <w:r w:rsidRPr="00481146">
        <w:rPr>
          <w:rFonts w:ascii="Arial" w:hAnsi="Arial" w:cs="Arial"/>
          <w:sz w:val="20"/>
          <w:szCs w:val="20"/>
        </w:rPr>
        <w:t>) of cCA1 pyramidal neurons. The average V</w:t>
      </w:r>
      <w:r w:rsidRPr="00481146">
        <w:rPr>
          <w:rFonts w:ascii="Arial" w:hAnsi="Arial" w:cs="Arial"/>
          <w:sz w:val="20"/>
          <w:szCs w:val="20"/>
          <w:vertAlign w:val="subscript"/>
        </w:rPr>
        <w:t>m</w:t>
      </w:r>
      <w:r w:rsidRPr="00481146">
        <w:rPr>
          <w:rFonts w:ascii="Arial" w:hAnsi="Arial" w:cs="Arial"/>
          <w:sz w:val="20"/>
          <w:szCs w:val="20"/>
        </w:rPr>
        <w:t xml:space="preserve"> of dorsal and intermediate CA1 pyramidal neurons were not significantly different, while intermediate CA1 neurons had a significantly more hyperpolarized membrane potential than ventral cHPC neurons Dorsal: -64.58 ± 0.73 mV vs. Intermediate: -64.95 ± 0.53 mV vs. Ventral: -62.43 ± 0.72 mV, n=16, 31 and 12 cells, from 11, 17, and 7 mice, respectively, one-way ANOVA F=3.468 p=0.038; Dorsal vs. Intermediate, Holm-Sidak </w:t>
      </w:r>
      <w:r w:rsidRPr="00481146">
        <w:rPr>
          <w:rFonts w:ascii="Arial" w:hAnsi="Arial" w:cs="Arial"/>
          <w:i/>
          <w:iCs/>
          <w:sz w:val="20"/>
          <w:szCs w:val="20"/>
        </w:rPr>
        <w:t>p</w:t>
      </w:r>
      <w:r w:rsidRPr="00481146">
        <w:rPr>
          <w:rFonts w:ascii="Arial" w:hAnsi="Arial" w:cs="Arial"/>
          <w:sz w:val="20"/>
          <w:szCs w:val="20"/>
        </w:rPr>
        <w:t xml:space="preserve">=0.67; Dorsal vs. Ventral, Holm-Sidak </w:t>
      </w:r>
      <w:r w:rsidRPr="00481146">
        <w:rPr>
          <w:rFonts w:ascii="Arial" w:hAnsi="Arial" w:cs="Arial"/>
          <w:i/>
          <w:iCs/>
          <w:sz w:val="20"/>
          <w:szCs w:val="20"/>
        </w:rPr>
        <w:t>p</w:t>
      </w:r>
      <w:r w:rsidRPr="00481146">
        <w:rPr>
          <w:rFonts w:ascii="Arial" w:hAnsi="Arial" w:cs="Arial"/>
          <w:sz w:val="20"/>
          <w:szCs w:val="20"/>
        </w:rPr>
        <w:t xml:space="preserve">=0.11; Intermediate vs. Ventral, Holm-Sidak </w:t>
      </w:r>
      <w:r w:rsidRPr="00481146">
        <w:rPr>
          <w:rFonts w:ascii="Arial" w:hAnsi="Arial" w:cs="Arial"/>
          <w:i/>
          <w:iCs/>
          <w:sz w:val="20"/>
          <w:szCs w:val="20"/>
        </w:rPr>
        <w:t>p</w:t>
      </w:r>
      <w:r w:rsidRPr="00481146">
        <w:rPr>
          <w:rFonts w:ascii="Arial" w:hAnsi="Arial" w:cs="Arial"/>
          <w:sz w:val="20"/>
          <w:szCs w:val="20"/>
        </w:rPr>
        <w:t xml:space="preserve">=0.0.035). </w:t>
      </w:r>
      <w:r w:rsidRPr="00481146">
        <w:rPr>
          <w:rFonts w:ascii="Arial" w:hAnsi="Arial" w:cs="Arial"/>
          <w:b/>
          <w:bCs/>
          <w:sz w:val="20"/>
          <w:szCs w:val="20"/>
        </w:rPr>
        <w:t>b.</w:t>
      </w:r>
      <w:r w:rsidRPr="00481146">
        <w:rPr>
          <w:rFonts w:ascii="Arial" w:hAnsi="Arial" w:cs="Arial"/>
          <w:sz w:val="20"/>
          <w:szCs w:val="20"/>
        </w:rPr>
        <w:t xml:space="preserve"> cCA1 neurons exhibited similar input/output curves in response to 500 ms steps of depolarizing current (action potentials (APs) elicited with 400 pA current injections; Dorsal: 18.0 ± 0.91 APs vs. Intermediate: 15.5 ± 1.95 APs vs. Ventral: 15.4 ± 2.32 APs, 9 cells from 6 mice, 8 cells from 8 mice, 8 cells from 7 mice, respectively, scale bars = 20 mV x 100 ms). </w:t>
      </w:r>
      <w:r w:rsidRPr="00481146">
        <w:rPr>
          <w:rFonts w:ascii="Arial" w:hAnsi="Arial" w:cs="Arial"/>
          <w:b/>
          <w:bCs/>
          <w:sz w:val="20"/>
          <w:szCs w:val="20"/>
        </w:rPr>
        <w:t>c.</w:t>
      </w:r>
      <w:r w:rsidRPr="00481146">
        <w:rPr>
          <w:rFonts w:ascii="Arial" w:hAnsi="Arial" w:cs="Arial"/>
          <w:sz w:val="20"/>
          <w:szCs w:val="20"/>
        </w:rPr>
        <w:t xml:space="preserve"> The voltage sag ratio following a 500 ms hyperpolarizing current injection, a measure of Ih current activation, did not significantly differ in CA1 neurons along the dorsal-intermediate-ventral axis of cHPC (Dorsal: 0.87 ± 0.01 vs. Intermediate: 0.87 ± 0.01 vs. Ventral: 0.89 ± 0.01, n=15, 17 and 9 cells, respectively, scale bars = 20 mV x 100 ms)). </w:t>
      </w:r>
      <w:r w:rsidRPr="00481146">
        <w:rPr>
          <w:rFonts w:ascii="Arial" w:hAnsi="Arial" w:cs="Arial"/>
          <w:b/>
          <w:bCs/>
          <w:sz w:val="20"/>
          <w:szCs w:val="20"/>
        </w:rPr>
        <w:t>d.</w:t>
      </w:r>
      <w:r w:rsidRPr="00481146">
        <w:rPr>
          <w:rFonts w:ascii="Arial" w:hAnsi="Arial" w:cs="Arial"/>
          <w:sz w:val="20"/>
          <w:szCs w:val="20"/>
        </w:rPr>
        <w:t xml:space="preserve"> Neurons that received excitatory synaptic input from rostral CA2 are predominately negative for calbindin (Calbindin+ = 3 cells vs. Calbindin- = 22 cells). * </w:t>
      </w:r>
      <w:r w:rsidRPr="00481146">
        <w:rPr>
          <w:rFonts w:ascii="Arial" w:hAnsi="Arial" w:cs="Arial"/>
          <w:i/>
          <w:iCs/>
          <w:sz w:val="20"/>
          <w:szCs w:val="20"/>
        </w:rPr>
        <w:t>p&lt;</w:t>
      </w:r>
      <w:r w:rsidRPr="00481146">
        <w:rPr>
          <w:rFonts w:ascii="Arial" w:hAnsi="Arial" w:cs="Arial"/>
          <w:sz w:val="20"/>
          <w:szCs w:val="20"/>
        </w:rPr>
        <w:t>0.05.</w:t>
      </w:r>
    </w:p>
    <w:p w14:paraId="16E15CC0" w14:textId="0FAEBFD2" w:rsidR="00EB0F29" w:rsidRDefault="00EB0F29">
      <w:pPr>
        <w:spacing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E0192BD" w14:textId="6AD665D2" w:rsidR="00EB0F29" w:rsidRDefault="00EB0F29" w:rsidP="00EB0F29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3ED45C94" wp14:editId="577EF414">
            <wp:extent cx="4872260" cy="4810836"/>
            <wp:effectExtent l="0" t="0" r="0" b="0"/>
            <wp:docPr id="53071487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007" cy="4812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D74A6A" w14:textId="77777777" w:rsidR="00EB0F29" w:rsidRDefault="00EB0F29" w:rsidP="00EB0F29">
      <w:pPr>
        <w:jc w:val="both"/>
        <w:rPr>
          <w:rFonts w:ascii="Arial" w:hAnsi="Arial" w:cs="Arial"/>
        </w:rPr>
      </w:pPr>
    </w:p>
    <w:p w14:paraId="267F1D8A" w14:textId="77777777" w:rsidR="00EB0F29" w:rsidRDefault="00EB0F29" w:rsidP="00EB0F29">
      <w:pPr>
        <w:jc w:val="both"/>
        <w:rPr>
          <w:rFonts w:ascii="Arial" w:hAnsi="Arial" w:cs="Arial"/>
        </w:rPr>
      </w:pPr>
    </w:p>
    <w:p w14:paraId="2C0229AF" w14:textId="77777777" w:rsidR="00EB0F29" w:rsidRPr="00A575C0" w:rsidRDefault="00EB0F29" w:rsidP="00EB0F29">
      <w:pPr>
        <w:rPr>
          <w:rFonts w:ascii="Arial" w:hAnsi="Arial" w:cs="Arial"/>
          <w:sz w:val="20"/>
          <w:szCs w:val="20"/>
        </w:rPr>
      </w:pPr>
      <w:r w:rsidRPr="00497166">
        <w:rPr>
          <w:rFonts w:ascii="Arial" w:hAnsi="Arial" w:cs="Arial"/>
          <w:b/>
          <w:bCs/>
          <w:sz w:val="20"/>
          <w:szCs w:val="20"/>
        </w:rPr>
        <w:t>Supplementary Figure 6</w:t>
      </w:r>
      <w:r>
        <w:rPr>
          <w:rFonts w:ascii="Arial" w:hAnsi="Arial" w:cs="Arial"/>
          <w:sz w:val="20"/>
          <w:szCs w:val="20"/>
        </w:rPr>
        <w:t xml:space="preserve">: </w:t>
      </w:r>
      <w:r w:rsidRPr="00A575C0">
        <w:rPr>
          <w:rFonts w:ascii="Arial" w:hAnsi="Arial" w:cs="Arial"/>
          <w:sz w:val="20"/>
          <w:szCs w:val="20"/>
        </w:rPr>
        <w:t>Gq-DREADD mediated activation of CA2 neurons modulates cFos levels in the caudal hippocampus.</w:t>
      </w:r>
    </w:p>
    <w:p w14:paraId="6A05F111" w14:textId="77777777" w:rsidR="00EB0F29" w:rsidRDefault="00EB0F29" w:rsidP="00EB0F29">
      <w:pPr>
        <w:rPr>
          <w:rFonts w:ascii="Arial" w:hAnsi="Arial" w:cs="Arial"/>
          <w:sz w:val="20"/>
          <w:szCs w:val="20"/>
        </w:rPr>
      </w:pPr>
      <w:r w:rsidRPr="00A575C0">
        <w:rPr>
          <w:rFonts w:ascii="Arial" w:hAnsi="Arial" w:cs="Arial"/>
          <w:sz w:val="20"/>
          <w:szCs w:val="20"/>
        </w:rPr>
        <w:t>a. Coronal sections from the caudal hippocampus of cre- (top) and cre+ (bottom) Amigo2-icreERT2 mice immunohistochemically stained for the IEG cFos (scale bars = 500 µm). b</w:t>
      </w:r>
      <w:r w:rsidRPr="00A575C0">
        <w:rPr>
          <w:rFonts w:ascii="Arial" w:hAnsi="Arial" w:cs="Arial"/>
          <w:b/>
          <w:bCs/>
          <w:sz w:val="20"/>
          <w:szCs w:val="20"/>
        </w:rPr>
        <w:t>.</w:t>
      </w:r>
      <w:r w:rsidRPr="00A575C0">
        <w:rPr>
          <w:rFonts w:ascii="Arial" w:hAnsi="Arial" w:cs="Arial"/>
          <w:sz w:val="20"/>
          <w:szCs w:val="20"/>
        </w:rPr>
        <w:t xml:space="preserve"> </w:t>
      </w:r>
      <w:r w:rsidRPr="00A575C0">
        <w:rPr>
          <w:rFonts w:ascii="Arial" w:hAnsi="Arial" w:cs="Arial"/>
          <w:i/>
          <w:iCs/>
          <w:sz w:val="20"/>
          <w:szCs w:val="20"/>
        </w:rPr>
        <w:t xml:space="preserve">in vivo </w:t>
      </w:r>
      <w:r w:rsidRPr="00A575C0">
        <w:rPr>
          <w:rFonts w:ascii="Arial" w:hAnsi="Arial" w:cs="Arial"/>
          <w:sz w:val="20"/>
          <w:szCs w:val="20"/>
        </w:rPr>
        <w:t xml:space="preserve">activation of area CA2 via bilateral expression of Gq-DREADDs causes a significant increase in cFos expression along the entirety of the caudal CA1 region of cre+ mice compared to cre- mice (cHPC: two-way ANOVA, between groups F= 6.62, p&lt;0.0001, within groups F=64.46, p&lt;0.0001) (cCA1 total: cre-: 4.9 ± 1.77 cFos+ cells vs. cre+: 175.00 ± 33.4 cFos+ cells, 10 hemispheres from 5 animals and 10 hemispheres from 6 animals, respectively, unpaired </w:t>
      </w:r>
      <w:r w:rsidRPr="00A575C0">
        <w:rPr>
          <w:rFonts w:ascii="Arial" w:hAnsi="Arial" w:cs="Arial"/>
          <w:i/>
          <w:iCs/>
          <w:sz w:val="20"/>
          <w:szCs w:val="20"/>
        </w:rPr>
        <w:t>t-test</w:t>
      </w:r>
      <w:r w:rsidRPr="00A575C0">
        <w:rPr>
          <w:rFonts w:ascii="Arial" w:hAnsi="Arial" w:cs="Arial"/>
          <w:sz w:val="20"/>
          <w:szCs w:val="20"/>
        </w:rPr>
        <w:t xml:space="preserve"> p&lt;0.0001). The significant increase in cFos+ staining is observable within the dorsal, intermediate, and ventral cCA1 subregions (cCA1d: cre-: 1.5 ± 0.6 cFos+ cells vs. cre+: 37.2 ± 5.4 cFos+ cells, p&lt;0.0001 :: cCA1i: cre-: 1.7 ± 0.8 vs. cre+: 50.0 ± 15.4, p=0.0024 :: cCA1v: cre-: 1.7 ± 0.6 vs. cre+: 81.9 ± 18.6, p=0.0004), as well as, with area CA3 (cCA3: cre-: 1.2 ± 0.7 vs. cre+: 54.6 ± 12.1, p=0.0003). Within the cre+ group, following activation of CA2 neurons, the ventral subregion of cCA1 exhibited significantly higher levels of cFos staining when compared to more dorsal regions (cCA1v: 81.9 ±18.6 vs. cCA1d: 37.2 ± 5.4 cFos+ cells, p=0.03). * </w:t>
      </w:r>
      <w:r w:rsidRPr="00A575C0">
        <w:rPr>
          <w:rFonts w:ascii="Arial" w:hAnsi="Arial" w:cs="Arial"/>
          <w:i/>
          <w:iCs/>
          <w:sz w:val="20"/>
          <w:szCs w:val="20"/>
        </w:rPr>
        <w:t>p&lt;</w:t>
      </w:r>
      <w:r w:rsidRPr="00A575C0">
        <w:rPr>
          <w:rFonts w:ascii="Arial" w:hAnsi="Arial" w:cs="Arial"/>
          <w:sz w:val="20"/>
          <w:szCs w:val="20"/>
        </w:rPr>
        <w:t xml:space="preserve">0.05, ** </w:t>
      </w:r>
      <w:r w:rsidRPr="00A575C0">
        <w:rPr>
          <w:rFonts w:ascii="Arial" w:hAnsi="Arial" w:cs="Arial"/>
          <w:i/>
          <w:iCs/>
          <w:sz w:val="20"/>
          <w:szCs w:val="20"/>
        </w:rPr>
        <w:t>p</w:t>
      </w:r>
      <w:r w:rsidRPr="00A575C0">
        <w:rPr>
          <w:rFonts w:ascii="Arial" w:hAnsi="Arial" w:cs="Arial"/>
          <w:sz w:val="20"/>
          <w:szCs w:val="20"/>
        </w:rPr>
        <w:t xml:space="preserve">&lt;0.01, *** </w:t>
      </w:r>
      <w:r w:rsidRPr="00A575C0">
        <w:rPr>
          <w:rFonts w:ascii="Arial" w:hAnsi="Arial" w:cs="Arial"/>
          <w:i/>
          <w:iCs/>
          <w:sz w:val="20"/>
          <w:szCs w:val="20"/>
        </w:rPr>
        <w:t>p</w:t>
      </w:r>
      <w:r w:rsidRPr="00A575C0">
        <w:rPr>
          <w:rFonts w:ascii="Arial" w:hAnsi="Arial" w:cs="Arial"/>
          <w:sz w:val="20"/>
          <w:szCs w:val="20"/>
        </w:rPr>
        <w:t xml:space="preserve">&lt;0.001, **** </w:t>
      </w:r>
      <w:r w:rsidRPr="00A575C0">
        <w:rPr>
          <w:rFonts w:ascii="Arial" w:hAnsi="Arial" w:cs="Arial"/>
          <w:i/>
          <w:iCs/>
          <w:sz w:val="20"/>
          <w:szCs w:val="20"/>
        </w:rPr>
        <w:t>p</w:t>
      </w:r>
      <w:r w:rsidRPr="00A575C0">
        <w:rPr>
          <w:rFonts w:ascii="Arial" w:hAnsi="Arial" w:cs="Arial"/>
          <w:sz w:val="20"/>
          <w:szCs w:val="20"/>
        </w:rPr>
        <w:t>&lt;0.0001.</w:t>
      </w:r>
    </w:p>
    <w:p w14:paraId="63D5C9CA" w14:textId="77777777" w:rsidR="0079756B" w:rsidRPr="00EB0F29" w:rsidRDefault="0079756B">
      <w:pPr>
        <w:rPr>
          <w:rFonts w:ascii="Arial" w:hAnsi="Arial" w:cs="Arial"/>
        </w:rPr>
      </w:pPr>
    </w:p>
    <w:sectPr w:rsidR="0079756B" w:rsidRPr="00EB0F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F29"/>
    <w:rsid w:val="00020B69"/>
    <w:rsid w:val="002C4615"/>
    <w:rsid w:val="0052038C"/>
    <w:rsid w:val="0079756B"/>
    <w:rsid w:val="00EB0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821A66"/>
  <w15:chartTrackingRefBased/>
  <w15:docId w15:val="{FBA99F57-5F3F-4382-8148-56AFBC703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0F29"/>
    <w:pPr>
      <w:spacing w:line="240" w:lineRule="auto"/>
    </w:pPr>
    <w:rPr>
      <w:rFonts w:ascii="Calibri" w:hAnsi="Calibri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theme" Target="theme/theme1.xml"/><Relationship Id="rId5" Type="http://schemas.openxmlformats.org/officeDocument/2006/relationships/image" Target="media/image2.tiff"/><Relationship Id="rId10" Type="http://schemas.openxmlformats.org/officeDocument/2006/relationships/fontTable" Target="fontTable.xml"/><Relationship Id="rId4" Type="http://schemas.openxmlformats.org/officeDocument/2006/relationships/image" Target="media/image1.tiff"/><Relationship Id="rId9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1417</Words>
  <Characters>8082</Characters>
  <Application>Microsoft Office Word</Application>
  <DocSecurity>0</DocSecurity>
  <Lines>67</Lines>
  <Paragraphs>18</Paragraphs>
  <ScaleCrop>false</ScaleCrop>
  <Company>NIEHS</Company>
  <LinksUpToDate>false</LinksUpToDate>
  <CharactersWithSpaces>9481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Radzicki, Daniel (NIH/NIEHS) [E]</dc:creator>
  <cp:keywords/>
  <dc:description/>
  <cp:lastModifiedBy>Dudek, Serena (NIH/NIEHS) [E]</cp:lastModifiedBy>
  <cp:revision>3</cp:revision>
  <dcterms:created xsi:type="dcterms:W3CDTF">2024-11-01T20:02:00Z</dcterms:created>
  <dcterms:modified xsi:type="dcterms:W3CDTF">2024-11-01T20:02:00Z</dcterms:modified>
</cp:coreProperties>
</file>