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F63CD" w14:textId="77777777" w:rsidR="00086C9F" w:rsidRPr="00086C9F" w:rsidRDefault="00086C9F" w:rsidP="00086C9F">
      <w:pPr>
        <w:pStyle w:val="Heading1"/>
        <w:jc w:val="center"/>
        <w:rPr>
          <w:rFonts w:ascii="Arial" w:hAnsi="Arial" w:cs="Arial"/>
          <w:b/>
          <w:bCs/>
          <w:color w:val="auto"/>
          <w:sz w:val="44"/>
          <w:szCs w:val="44"/>
          <w:u w:val="single"/>
        </w:rPr>
      </w:pPr>
      <w:bookmarkStart w:id="0" w:name="_Toc68593400"/>
      <w:bookmarkStart w:id="1" w:name="_Toc140221228"/>
      <w:r w:rsidRPr="00086C9F">
        <w:rPr>
          <w:rFonts w:ascii="Arial" w:hAnsi="Arial" w:cs="Arial"/>
          <w:b/>
          <w:bCs/>
          <w:color w:val="auto"/>
          <w:sz w:val="44"/>
          <w:szCs w:val="44"/>
          <w:u w:val="single"/>
        </w:rPr>
        <w:t>Genetic and environment influences on childhood victimization: a systematic review</w:t>
      </w:r>
      <w:bookmarkEnd w:id="0"/>
      <w:bookmarkEnd w:id="1"/>
      <w:r w:rsidRPr="00086C9F">
        <w:rPr>
          <w:rFonts w:ascii="Arial" w:hAnsi="Arial" w:cs="Arial"/>
          <w:b/>
          <w:bCs/>
          <w:color w:val="auto"/>
          <w:sz w:val="44"/>
          <w:szCs w:val="44"/>
          <w:u w:val="single"/>
        </w:rPr>
        <w:t xml:space="preserve"> and meta-analysis</w:t>
      </w:r>
    </w:p>
    <w:p w14:paraId="55448364" w14:textId="77777777" w:rsidR="00086C9F" w:rsidRPr="00086C9F" w:rsidRDefault="00086C9F" w:rsidP="00086C9F">
      <w:pPr>
        <w:spacing w:line="480" w:lineRule="auto"/>
        <w:rPr>
          <w:rFonts w:cs="Arial"/>
          <w:lang w:val="en-GB"/>
        </w:rPr>
      </w:pPr>
    </w:p>
    <w:p w14:paraId="40717DF4" w14:textId="1538D3F9" w:rsidR="00086C9F" w:rsidRPr="00086C9F" w:rsidRDefault="00086C9F" w:rsidP="00086C9F">
      <w:pPr>
        <w:widowControl w:val="0"/>
        <w:autoSpaceDE w:val="0"/>
        <w:autoSpaceDN w:val="0"/>
        <w:adjustRightInd w:val="0"/>
        <w:jc w:val="center"/>
        <w:rPr>
          <w:rFonts w:cs="Arial"/>
          <w:szCs w:val="22"/>
          <w:lang w:val="en-GB"/>
        </w:rPr>
      </w:pPr>
      <w:r w:rsidRPr="00086C9F">
        <w:rPr>
          <w:rFonts w:cs="Arial"/>
          <w:bCs/>
          <w:szCs w:val="22"/>
        </w:rPr>
        <w:t xml:space="preserve">Tarik Dahoun, Alicia Peel, </w:t>
      </w:r>
      <w:r w:rsidRPr="00086C9F">
        <w:rPr>
          <w:rFonts w:cs="Arial"/>
          <w:szCs w:val="22"/>
        </w:rPr>
        <w:t>Jessie Baldwin, Oonagh Coleman, Stephanie J. Lewis</w:t>
      </w:r>
      <w:r w:rsidRPr="00086C9F">
        <w:rPr>
          <w:rFonts w:cs="Arial"/>
          <w:szCs w:val="22"/>
          <w:lang w:val="en-GB"/>
        </w:rPr>
        <w:t xml:space="preserve">, </w:t>
      </w:r>
      <w:r w:rsidRPr="00086C9F">
        <w:rPr>
          <w:rFonts w:cs="Arial"/>
          <w:szCs w:val="22"/>
        </w:rPr>
        <w:t>Jasmin Wertz</w:t>
      </w:r>
      <w:r w:rsidRPr="00086C9F">
        <w:rPr>
          <w:rFonts w:cs="Arial"/>
          <w:szCs w:val="22"/>
          <w:lang w:val="en-GB"/>
        </w:rPr>
        <w:t xml:space="preserve">, </w:t>
      </w:r>
      <w:r w:rsidRPr="00086C9F">
        <w:rPr>
          <w:rFonts w:cs="Arial"/>
          <w:bCs/>
          <w:szCs w:val="22"/>
        </w:rPr>
        <w:t>Frühling Rijsdijk, Andrea Danese</w:t>
      </w:r>
    </w:p>
    <w:p w14:paraId="28C6CDFC" w14:textId="77777777" w:rsidR="005E125A" w:rsidRDefault="005E125A"/>
    <w:p w14:paraId="3EBB4719" w14:textId="77777777" w:rsidR="00086C9F" w:rsidRDefault="00086C9F"/>
    <w:p w14:paraId="65DDF3A7" w14:textId="77777777" w:rsidR="00086C9F" w:rsidRDefault="00086C9F"/>
    <w:p w14:paraId="3E2BFC9C" w14:textId="77777777" w:rsidR="00086C9F" w:rsidRDefault="00086C9F"/>
    <w:p w14:paraId="2754ABED" w14:textId="3527A7AB" w:rsidR="00DF7AFB" w:rsidRDefault="00DF7AFB">
      <w:pPr>
        <w:jc w:val="left"/>
      </w:pPr>
      <w:r>
        <w:br w:type="page"/>
      </w:r>
    </w:p>
    <w:p w14:paraId="0A639749" w14:textId="5C2B1C5E" w:rsidR="00DF7AFB" w:rsidRPr="002E67DC" w:rsidRDefault="00DF7AFB" w:rsidP="00DF7AFB">
      <w:pPr>
        <w:spacing w:line="480" w:lineRule="auto"/>
        <w:jc w:val="left"/>
        <w:rPr>
          <w:b/>
          <w:bCs/>
        </w:rPr>
      </w:pPr>
      <w:r w:rsidRPr="002E67DC">
        <w:rPr>
          <w:b/>
          <w:bCs/>
        </w:rPr>
        <w:lastRenderedPageBreak/>
        <w:t>Deviations from pre-registered protocol</w:t>
      </w:r>
    </w:p>
    <w:p w14:paraId="29AF7DA6" w14:textId="77777777" w:rsidR="00DF7AFB" w:rsidRDefault="00DF7AFB" w:rsidP="00DF7AFB">
      <w:pPr>
        <w:spacing w:line="480" w:lineRule="auto"/>
        <w:jc w:val="left"/>
      </w:pPr>
    </w:p>
    <w:p w14:paraId="4C7410A3" w14:textId="77777777" w:rsidR="00DF7AFB" w:rsidRDefault="00DF7AFB" w:rsidP="00DF7AFB">
      <w:pPr>
        <w:spacing w:line="480" w:lineRule="auto"/>
        <w:jc w:val="left"/>
      </w:pPr>
      <w:r>
        <w:t>We want to highlight two deviations from our registered protocol.</w:t>
      </w:r>
    </w:p>
    <w:p w14:paraId="1BAF140F" w14:textId="77777777" w:rsidR="00DF7AFB" w:rsidRDefault="00DF7AFB" w:rsidP="00DF7AFB">
      <w:pPr>
        <w:spacing w:line="480" w:lineRule="auto"/>
        <w:jc w:val="left"/>
      </w:pPr>
    </w:p>
    <w:p w14:paraId="26A14AEF" w14:textId="6B3FDE5D" w:rsidR="00DF7AFB" w:rsidRDefault="00DF7AFB" w:rsidP="00DF7AFB">
      <w:pPr>
        <w:spacing w:line="480" w:lineRule="auto"/>
        <w:jc w:val="left"/>
      </w:pPr>
      <w:r w:rsidRPr="002E67DC">
        <w:rPr>
          <w:u w:val="single"/>
        </w:rPr>
        <w:t>Search results</w:t>
      </w:r>
      <w:r>
        <w:t xml:space="preserve">. In our registered protocol, we were intentionally over-inclusive regarding the search terms to ensure that we could identify all studies related to genetic and environmental influences on childhood victimization. In particular, we included search terms to identify SNP-based heritability studies, extended family design studies, and adoption studies. As a result, in addition to classical twin design studies, we also identified 3 studies from 2 cohorts focusing SNP-based heritability (Bolhuis et al, 2021, Eur Child Adolesc Psychiatry </w:t>
      </w:r>
      <w:hyperlink r:id="rId6" w:history="1">
        <w:r w:rsidRPr="007B29DC">
          <w:rPr>
            <w:rStyle w:val="Hyperlink"/>
          </w:rPr>
          <w:t>https://link.springer.com/article/10.1007/s00787-021-01727-4</w:t>
        </w:r>
      </w:hyperlink>
      <w:r>
        <w:t xml:space="preserve">; Dalvie et al, 2020, Transl Psychiatry: </w:t>
      </w:r>
      <w:hyperlink r:id="rId7" w:history="1">
        <w:r w:rsidRPr="007B29DC">
          <w:rPr>
            <w:rStyle w:val="Hyperlink"/>
          </w:rPr>
          <w:t>https://www.nature.com/articles/s41398-020-0706-0</w:t>
        </w:r>
      </w:hyperlink>
      <w:r>
        <w:t xml:space="preserve">; Warrier et al, 2021, Lancet Psychiatry: </w:t>
      </w:r>
      <w:hyperlink r:id="rId8" w:history="1">
        <w:r w:rsidRPr="007B29DC">
          <w:rPr>
            <w:rStyle w:val="Hyperlink"/>
          </w:rPr>
          <w:t>https://www.thelancet.com/journals/lanpsy/article/PIIS2215-0366(20)30569-1/fulltext</w:t>
        </w:r>
      </w:hyperlink>
      <w:r>
        <w:t xml:space="preserve">); 3 studies from two cohorts on extended family designs (Pittner, 2019, Dev Psychopathol: </w:t>
      </w:r>
      <w:hyperlink r:id="rId9" w:history="1">
        <w:r w:rsidRPr="007B29DC">
          <w:rPr>
            <w:rStyle w:val="Hyperlink"/>
          </w:rPr>
          <w:t>https://www.cambridge.org/core/journals/development-and-psychopathology/article/abs/genetic-and-environmental-etiology-of-child-maltreatment-in-a-parentbased-extended-family-design/09BB06134CE8DFC11FCD3B20A4B15D74</w:t>
        </w:r>
      </w:hyperlink>
      <w:r>
        <w:t xml:space="preserve">; Pittner, 2020, Child Maltreatment: </w:t>
      </w:r>
      <w:hyperlink r:id="rId10" w:history="1">
        <w:r w:rsidRPr="007B29DC">
          <w:rPr>
            <w:rStyle w:val="Hyperlink"/>
          </w:rPr>
          <w:t>https://journals.sagepub.com/doi/full/10.1177/1077559519888587</w:t>
        </w:r>
      </w:hyperlink>
      <w:r>
        <w:t xml:space="preserve">; Warrier et al, 2021, Lancet Psychiatry: </w:t>
      </w:r>
      <w:hyperlink r:id="rId11" w:history="1">
        <w:r w:rsidRPr="007B29DC">
          <w:rPr>
            <w:rStyle w:val="Hyperlink"/>
          </w:rPr>
          <w:t>https://www.thelancet.com/journals/lanpsy/article/PIIS2215-0366(20)30569-1/fulltext</w:t>
        </w:r>
      </w:hyperlink>
      <w:r>
        <w:t xml:space="preserve">); but no adoption studies. Because of the very low number of studies with alternative designs identified, we only pursued a quantitative summary (meta-analysis) for classical twin design studies. </w:t>
      </w:r>
    </w:p>
    <w:p w14:paraId="14C4713E" w14:textId="77777777" w:rsidR="00DF7AFB" w:rsidRDefault="00DF7AFB" w:rsidP="00DF7AFB">
      <w:pPr>
        <w:spacing w:line="480" w:lineRule="auto"/>
        <w:jc w:val="left"/>
      </w:pPr>
    </w:p>
    <w:p w14:paraId="4D5818D2" w14:textId="6C9CB045" w:rsidR="00086C9F" w:rsidRDefault="00DF7AFB" w:rsidP="00DF7AFB">
      <w:pPr>
        <w:spacing w:line="480" w:lineRule="auto"/>
        <w:jc w:val="left"/>
      </w:pPr>
      <w:r w:rsidRPr="002E67DC">
        <w:rPr>
          <w:u w:val="single"/>
        </w:rPr>
        <w:t>Quality assessment</w:t>
      </w:r>
      <w:r>
        <w:t xml:space="preserve">. In our registered protocol, we had planned to examine study quality through the Newcastle-Ottawa Scale (NOS) for observational / cohort studies. However, it became clear that this often-used instrument was not appropriate for our specific circumstances: for example, non-exposed participants were selected from the same </w:t>
      </w:r>
      <w:r>
        <w:lastRenderedPageBreak/>
        <w:t>population (the same family) as exposed participants; comparability of exposed/unexposed participants was irrelevant our analyses did not focus on associations between exposure and outcome but on decomposition of univariate ACE parameters. As such, the full NOS was unable to discriminate quality across the studies identified. Therefore, we have extracted two key variables that are both informative and varying within the set of studies identified: the population representativeness of the samples (whether the sample was broadly population representative and included &gt;60% of the targeted or baseline sampling frame) and the validation of the childhood victimization measures (i.e., whether the measure</w:t>
      </w:r>
      <w:r w:rsidR="00AF0AE2">
        <w:t xml:space="preserve"> was validated in previous studies</w:t>
      </w:r>
      <w:r>
        <w:t>). Details of this quality assessment exercise are reported below.</w:t>
      </w:r>
    </w:p>
    <w:p w14:paraId="6DBB081C" w14:textId="77777777" w:rsidR="00DF7AFB" w:rsidRDefault="00DF7AFB" w:rsidP="00DF7AFB">
      <w:pPr>
        <w:spacing w:line="480" w:lineRule="auto"/>
        <w:jc w:val="left"/>
      </w:pPr>
    </w:p>
    <w:p w14:paraId="2E4BF74E" w14:textId="335B3178" w:rsidR="00DF7AFB" w:rsidRDefault="00DF7AFB">
      <w:pPr>
        <w:jc w:val="left"/>
      </w:pPr>
      <w:r>
        <w:br w:type="page"/>
      </w:r>
    </w:p>
    <w:p w14:paraId="4C85A308" w14:textId="576A6B12" w:rsidR="00DF7AFB" w:rsidRPr="002E67DC" w:rsidRDefault="002E67DC" w:rsidP="00DF7AFB">
      <w:pPr>
        <w:spacing w:line="480" w:lineRule="auto"/>
        <w:jc w:val="left"/>
      </w:pPr>
      <w:r w:rsidRPr="002E67DC">
        <w:rPr>
          <w:b/>
          <w:bCs/>
        </w:rPr>
        <w:lastRenderedPageBreak/>
        <w:t>Table S1.</w:t>
      </w:r>
      <w:r w:rsidRPr="002E67DC">
        <w:t xml:space="preserve"> </w:t>
      </w:r>
      <w:r w:rsidR="00DF7AFB" w:rsidRPr="002E67DC">
        <w:t xml:space="preserve">Quality assessment </w:t>
      </w:r>
    </w:p>
    <w:p w14:paraId="71E63586" w14:textId="77777777" w:rsidR="00DF7AFB" w:rsidRDefault="00DF7AFB" w:rsidP="00DF7AFB">
      <w:pPr>
        <w:spacing w:line="480" w:lineRule="auto"/>
        <w:jc w:val="left"/>
        <w:rPr>
          <w:b/>
          <w:bCs/>
        </w:rPr>
      </w:pPr>
    </w:p>
    <w:tbl>
      <w:tblPr>
        <w:tblStyle w:val="TableGrid"/>
        <w:tblW w:w="9067" w:type="dxa"/>
        <w:tblLayout w:type="fixed"/>
        <w:tblLook w:val="04A0" w:firstRow="1" w:lastRow="0" w:firstColumn="1" w:lastColumn="0" w:noHBand="0" w:noVBand="1"/>
      </w:tblPr>
      <w:tblGrid>
        <w:gridCol w:w="1336"/>
        <w:gridCol w:w="2345"/>
        <w:gridCol w:w="850"/>
        <w:gridCol w:w="4536"/>
      </w:tblGrid>
      <w:tr w:rsidR="00301072" w:rsidRPr="0086374E" w14:paraId="19D79E66" w14:textId="77777777" w:rsidTr="00CA1E26">
        <w:tc>
          <w:tcPr>
            <w:tcW w:w="1336" w:type="dxa"/>
          </w:tcPr>
          <w:p w14:paraId="0542216C" w14:textId="309DD57C" w:rsidR="00301072" w:rsidRPr="0086374E" w:rsidRDefault="00301072" w:rsidP="0002243B">
            <w:pPr>
              <w:jc w:val="left"/>
              <w:rPr>
                <w:b/>
                <w:bCs/>
              </w:rPr>
            </w:pPr>
            <w:r w:rsidRPr="0086374E">
              <w:rPr>
                <w:b/>
                <w:bCs/>
              </w:rPr>
              <w:t>Study</w:t>
            </w:r>
          </w:p>
        </w:tc>
        <w:tc>
          <w:tcPr>
            <w:tcW w:w="2345" w:type="dxa"/>
          </w:tcPr>
          <w:p w14:paraId="5508DB5D" w14:textId="19A0788E" w:rsidR="00301072" w:rsidRPr="0086374E" w:rsidRDefault="00301072" w:rsidP="0002243B">
            <w:pPr>
              <w:jc w:val="left"/>
              <w:rPr>
                <w:b/>
                <w:bCs/>
              </w:rPr>
            </w:pPr>
            <w:r w:rsidRPr="0086374E">
              <w:rPr>
                <w:b/>
                <w:bCs/>
              </w:rPr>
              <w:t>Representativeness of the sample</w:t>
            </w:r>
          </w:p>
        </w:tc>
        <w:tc>
          <w:tcPr>
            <w:tcW w:w="5386" w:type="dxa"/>
            <w:gridSpan w:val="2"/>
          </w:tcPr>
          <w:p w14:paraId="3FBE40D6" w14:textId="77777777" w:rsidR="00301072" w:rsidRPr="0086374E" w:rsidRDefault="00301072" w:rsidP="00301072">
            <w:pPr>
              <w:jc w:val="left"/>
              <w:rPr>
                <w:b/>
                <w:bCs/>
              </w:rPr>
            </w:pPr>
            <w:r w:rsidRPr="0086374E">
              <w:rPr>
                <w:b/>
                <w:bCs/>
              </w:rPr>
              <w:t>Validation of the child victimization measure</w:t>
            </w:r>
          </w:p>
          <w:p w14:paraId="21CB931E" w14:textId="4F2636C6" w:rsidR="00301072" w:rsidRPr="0086374E" w:rsidRDefault="00301072" w:rsidP="0002243B">
            <w:pPr>
              <w:jc w:val="left"/>
              <w:rPr>
                <w:b/>
                <w:bCs/>
              </w:rPr>
            </w:pPr>
          </w:p>
        </w:tc>
      </w:tr>
      <w:tr w:rsidR="00301072" w:rsidRPr="0086374E" w14:paraId="116EBB34" w14:textId="77777777" w:rsidTr="00301072">
        <w:tc>
          <w:tcPr>
            <w:tcW w:w="1336" w:type="dxa"/>
          </w:tcPr>
          <w:p w14:paraId="479FF7A7" w14:textId="77777777" w:rsidR="00301072" w:rsidRPr="0086374E" w:rsidRDefault="00301072" w:rsidP="00DF7AFB">
            <w:pPr>
              <w:jc w:val="left"/>
              <w:rPr>
                <w:b/>
                <w:bCs/>
              </w:rPr>
            </w:pPr>
          </w:p>
        </w:tc>
        <w:tc>
          <w:tcPr>
            <w:tcW w:w="2345" w:type="dxa"/>
          </w:tcPr>
          <w:p w14:paraId="5EECA998" w14:textId="3ECEA418" w:rsidR="00301072" w:rsidRPr="0086374E" w:rsidRDefault="00301072" w:rsidP="00DF7AFB">
            <w:pPr>
              <w:jc w:val="left"/>
              <w:rPr>
                <w:b/>
                <w:bCs/>
              </w:rPr>
            </w:pPr>
            <w:r w:rsidRPr="0086374E">
              <w:rPr>
                <w:b/>
                <w:bCs/>
              </w:rPr>
              <w:t>Score</w:t>
            </w:r>
          </w:p>
        </w:tc>
        <w:tc>
          <w:tcPr>
            <w:tcW w:w="850" w:type="dxa"/>
          </w:tcPr>
          <w:p w14:paraId="181D6364" w14:textId="2E1A7648" w:rsidR="00301072" w:rsidRPr="0086374E" w:rsidRDefault="00301072" w:rsidP="00DF7AFB">
            <w:pPr>
              <w:jc w:val="left"/>
              <w:rPr>
                <w:b/>
                <w:bCs/>
              </w:rPr>
            </w:pPr>
            <w:r w:rsidRPr="0086374E">
              <w:rPr>
                <w:b/>
                <w:bCs/>
              </w:rPr>
              <w:t>Score</w:t>
            </w:r>
          </w:p>
        </w:tc>
        <w:tc>
          <w:tcPr>
            <w:tcW w:w="4536" w:type="dxa"/>
          </w:tcPr>
          <w:p w14:paraId="3A7ABB43" w14:textId="32239048" w:rsidR="00301072" w:rsidRPr="0086374E" w:rsidRDefault="00301072" w:rsidP="00DF7AFB">
            <w:pPr>
              <w:jc w:val="left"/>
              <w:rPr>
                <w:b/>
                <w:bCs/>
              </w:rPr>
            </w:pPr>
            <w:r>
              <w:rPr>
                <w:b/>
                <w:bCs/>
              </w:rPr>
              <w:t>Measure d</w:t>
            </w:r>
            <w:r w:rsidRPr="0086374E">
              <w:rPr>
                <w:b/>
                <w:bCs/>
              </w:rPr>
              <w:t>etails</w:t>
            </w:r>
          </w:p>
        </w:tc>
      </w:tr>
      <w:tr w:rsidR="00301072" w14:paraId="7030D64F" w14:textId="77777777" w:rsidTr="00301072">
        <w:tc>
          <w:tcPr>
            <w:tcW w:w="1336" w:type="dxa"/>
            <w:vAlign w:val="bottom"/>
          </w:tcPr>
          <w:p w14:paraId="601086C4" w14:textId="5D8C0EED" w:rsidR="00301072" w:rsidRDefault="00301072" w:rsidP="00395C67">
            <w:pPr>
              <w:jc w:val="left"/>
            </w:pPr>
            <w:r>
              <w:rPr>
                <w:rFonts w:ascii="Calibri" w:hAnsi="Calibri" w:cs="Calibri"/>
                <w:color w:val="000000"/>
              </w:rPr>
              <w:t>Boivin 2013</w:t>
            </w:r>
          </w:p>
        </w:tc>
        <w:tc>
          <w:tcPr>
            <w:tcW w:w="2345" w:type="dxa"/>
          </w:tcPr>
          <w:p w14:paraId="750EF4FA" w14:textId="7BC3A677" w:rsidR="00301072" w:rsidRDefault="00301072" w:rsidP="00395C67">
            <w:pPr>
              <w:jc w:val="left"/>
            </w:pPr>
            <w:r>
              <w:t>1</w:t>
            </w:r>
          </w:p>
        </w:tc>
        <w:tc>
          <w:tcPr>
            <w:tcW w:w="850" w:type="dxa"/>
            <w:vAlign w:val="bottom"/>
          </w:tcPr>
          <w:p w14:paraId="7679032C" w14:textId="34266380" w:rsidR="00301072" w:rsidRDefault="00301072" w:rsidP="00395C67">
            <w:pPr>
              <w:jc w:val="left"/>
            </w:pPr>
            <w:r>
              <w:rPr>
                <w:rFonts w:ascii="Calibri" w:hAnsi="Calibri" w:cs="Calibri"/>
                <w:color w:val="000000"/>
              </w:rPr>
              <w:t>1</w:t>
            </w:r>
          </w:p>
        </w:tc>
        <w:tc>
          <w:tcPr>
            <w:tcW w:w="4536" w:type="dxa"/>
            <w:vAlign w:val="bottom"/>
          </w:tcPr>
          <w:p w14:paraId="1B7B9C88" w14:textId="11C95B3C" w:rsidR="00301072" w:rsidRDefault="00301072" w:rsidP="00395C67">
            <w:pPr>
              <w:jc w:val="left"/>
            </w:pPr>
            <w:r>
              <w:rPr>
                <w:rFonts w:ascii="Calibri" w:hAnsi="Calibri" w:cs="Calibri"/>
                <w:color w:val="000000"/>
              </w:rPr>
              <w:t>Peer nomination system</w:t>
            </w:r>
          </w:p>
        </w:tc>
      </w:tr>
      <w:tr w:rsidR="00301072" w14:paraId="0BE62A7E" w14:textId="77777777" w:rsidTr="00301072">
        <w:tc>
          <w:tcPr>
            <w:tcW w:w="1336" w:type="dxa"/>
            <w:vAlign w:val="bottom"/>
          </w:tcPr>
          <w:p w14:paraId="1C9A8ACA" w14:textId="1ADCA317" w:rsidR="00301072" w:rsidRDefault="00301072" w:rsidP="00395C67">
            <w:pPr>
              <w:jc w:val="left"/>
            </w:pPr>
            <w:r>
              <w:rPr>
                <w:rFonts w:ascii="Calibri" w:hAnsi="Calibri" w:cs="Calibri"/>
                <w:color w:val="000000"/>
              </w:rPr>
              <w:t>Bornovalova 2015</w:t>
            </w:r>
          </w:p>
        </w:tc>
        <w:tc>
          <w:tcPr>
            <w:tcW w:w="2345" w:type="dxa"/>
          </w:tcPr>
          <w:p w14:paraId="6FCB250C" w14:textId="1BD62FCC" w:rsidR="00301072" w:rsidRDefault="00301072" w:rsidP="00395C67">
            <w:pPr>
              <w:jc w:val="left"/>
            </w:pPr>
            <w:r>
              <w:t>1</w:t>
            </w:r>
          </w:p>
        </w:tc>
        <w:tc>
          <w:tcPr>
            <w:tcW w:w="850" w:type="dxa"/>
            <w:vAlign w:val="bottom"/>
          </w:tcPr>
          <w:p w14:paraId="7AAD50BC" w14:textId="5FC43378" w:rsidR="00301072" w:rsidRDefault="00301072" w:rsidP="00395C67">
            <w:pPr>
              <w:jc w:val="left"/>
            </w:pPr>
            <w:r>
              <w:rPr>
                <w:rFonts w:ascii="Calibri" w:hAnsi="Calibri" w:cs="Calibri"/>
                <w:color w:val="000000"/>
              </w:rPr>
              <w:t>1</w:t>
            </w:r>
          </w:p>
        </w:tc>
        <w:tc>
          <w:tcPr>
            <w:tcW w:w="4536" w:type="dxa"/>
            <w:vAlign w:val="bottom"/>
          </w:tcPr>
          <w:p w14:paraId="65FF3D79" w14:textId="25BF9791" w:rsidR="00301072" w:rsidRDefault="00301072" w:rsidP="00395C67">
            <w:pPr>
              <w:jc w:val="left"/>
            </w:pPr>
            <w:r>
              <w:rPr>
                <w:rFonts w:ascii="Calibri" w:hAnsi="Calibri" w:cs="Calibri"/>
                <w:color w:val="000000"/>
              </w:rPr>
              <w:t>Trauma Assessment for Adults (TAA), Childhood Experiences Questionnaire (CEQ)</w:t>
            </w:r>
          </w:p>
        </w:tc>
      </w:tr>
      <w:tr w:rsidR="00301072" w14:paraId="0B576BE9" w14:textId="77777777" w:rsidTr="00301072">
        <w:tc>
          <w:tcPr>
            <w:tcW w:w="1336" w:type="dxa"/>
            <w:vAlign w:val="bottom"/>
          </w:tcPr>
          <w:p w14:paraId="17F8EDF5" w14:textId="1D6962C1" w:rsidR="00301072" w:rsidRDefault="00301072" w:rsidP="00395C67">
            <w:pPr>
              <w:jc w:val="left"/>
            </w:pPr>
            <w:r>
              <w:rPr>
                <w:rFonts w:ascii="Calibri" w:hAnsi="Calibri" w:cs="Calibri"/>
                <w:color w:val="000000"/>
              </w:rPr>
              <w:t xml:space="preserve">Bowes 2013 </w:t>
            </w:r>
          </w:p>
        </w:tc>
        <w:tc>
          <w:tcPr>
            <w:tcW w:w="2345" w:type="dxa"/>
          </w:tcPr>
          <w:p w14:paraId="43CD7CBC" w14:textId="02F475A9" w:rsidR="00301072" w:rsidRDefault="00301072" w:rsidP="00395C67">
            <w:pPr>
              <w:jc w:val="left"/>
            </w:pPr>
            <w:r>
              <w:t>1</w:t>
            </w:r>
          </w:p>
        </w:tc>
        <w:tc>
          <w:tcPr>
            <w:tcW w:w="850" w:type="dxa"/>
            <w:vAlign w:val="bottom"/>
          </w:tcPr>
          <w:p w14:paraId="07465D4B" w14:textId="04F76308" w:rsidR="00301072" w:rsidRDefault="00301072" w:rsidP="00395C67">
            <w:pPr>
              <w:jc w:val="left"/>
            </w:pPr>
            <w:r>
              <w:rPr>
                <w:rFonts w:ascii="Calibri" w:hAnsi="Calibri" w:cs="Calibri"/>
                <w:color w:val="000000"/>
              </w:rPr>
              <w:t>1</w:t>
            </w:r>
          </w:p>
        </w:tc>
        <w:tc>
          <w:tcPr>
            <w:tcW w:w="4536" w:type="dxa"/>
            <w:vAlign w:val="bottom"/>
          </w:tcPr>
          <w:p w14:paraId="3175B2C1" w14:textId="50FDB0A4" w:rsidR="00301072" w:rsidRDefault="00301072" w:rsidP="00395C67">
            <w:pPr>
              <w:jc w:val="left"/>
            </w:pPr>
            <w:r>
              <w:rPr>
                <w:rFonts w:ascii="Calibri" w:hAnsi="Calibri" w:cs="Calibri"/>
                <w:color w:val="000000"/>
              </w:rPr>
              <w:t>Interview with children and parents</w:t>
            </w:r>
          </w:p>
        </w:tc>
      </w:tr>
      <w:tr w:rsidR="00301072" w14:paraId="75B6AEBB" w14:textId="77777777" w:rsidTr="00301072">
        <w:tc>
          <w:tcPr>
            <w:tcW w:w="1336" w:type="dxa"/>
            <w:vAlign w:val="bottom"/>
          </w:tcPr>
          <w:p w14:paraId="33D37C4C" w14:textId="6EFE3ED5" w:rsidR="00301072" w:rsidRDefault="00301072" w:rsidP="00395C67">
            <w:pPr>
              <w:jc w:val="left"/>
            </w:pPr>
            <w:r>
              <w:rPr>
                <w:rFonts w:ascii="Calibri" w:hAnsi="Calibri" w:cs="Calibri"/>
                <w:color w:val="000000"/>
              </w:rPr>
              <w:t>Connolly 2016</w:t>
            </w:r>
          </w:p>
        </w:tc>
        <w:tc>
          <w:tcPr>
            <w:tcW w:w="2345" w:type="dxa"/>
          </w:tcPr>
          <w:p w14:paraId="5354415B" w14:textId="775291FC" w:rsidR="00301072" w:rsidRDefault="00301072" w:rsidP="00395C67">
            <w:pPr>
              <w:jc w:val="left"/>
            </w:pPr>
            <w:r>
              <w:t>1</w:t>
            </w:r>
          </w:p>
        </w:tc>
        <w:tc>
          <w:tcPr>
            <w:tcW w:w="850" w:type="dxa"/>
            <w:vAlign w:val="bottom"/>
          </w:tcPr>
          <w:p w14:paraId="035472FB" w14:textId="219ED49E" w:rsidR="00301072" w:rsidRDefault="00301072" w:rsidP="00395C67">
            <w:pPr>
              <w:jc w:val="left"/>
            </w:pPr>
            <w:r>
              <w:rPr>
                <w:rFonts w:ascii="Calibri" w:hAnsi="Calibri" w:cs="Calibri"/>
                <w:color w:val="000000"/>
              </w:rPr>
              <w:t>0</w:t>
            </w:r>
          </w:p>
        </w:tc>
        <w:tc>
          <w:tcPr>
            <w:tcW w:w="4536" w:type="dxa"/>
            <w:vAlign w:val="bottom"/>
          </w:tcPr>
          <w:p w14:paraId="59CBACF2" w14:textId="7B3450AC" w:rsidR="00301072" w:rsidRDefault="00301072" w:rsidP="00395C67">
            <w:pPr>
              <w:jc w:val="left"/>
            </w:pPr>
            <w:r>
              <w:rPr>
                <w:rFonts w:ascii="Calibri" w:hAnsi="Calibri" w:cs="Calibri"/>
                <w:color w:val="000000"/>
              </w:rPr>
              <w:t>One question on bullying victimization</w:t>
            </w:r>
          </w:p>
        </w:tc>
      </w:tr>
      <w:tr w:rsidR="00301072" w14:paraId="301B6B31" w14:textId="77777777" w:rsidTr="00301072">
        <w:tc>
          <w:tcPr>
            <w:tcW w:w="1336" w:type="dxa"/>
            <w:vAlign w:val="bottom"/>
          </w:tcPr>
          <w:p w14:paraId="7C5A4593" w14:textId="2ABD5E7A" w:rsidR="00301072" w:rsidRDefault="00301072" w:rsidP="00395C67">
            <w:pPr>
              <w:jc w:val="left"/>
            </w:pPr>
            <w:r>
              <w:rPr>
                <w:rFonts w:ascii="Calibri" w:hAnsi="Calibri" w:cs="Calibri"/>
                <w:color w:val="000000"/>
              </w:rPr>
              <w:t>Dinkler 2017</w:t>
            </w:r>
          </w:p>
        </w:tc>
        <w:tc>
          <w:tcPr>
            <w:tcW w:w="2345" w:type="dxa"/>
          </w:tcPr>
          <w:p w14:paraId="2E2C0C2B" w14:textId="35B7563A" w:rsidR="00301072" w:rsidRDefault="00301072" w:rsidP="00395C67">
            <w:pPr>
              <w:jc w:val="left"/>
            </w:pPr>
            <w:r>
              <w:t>1</w:t>
            </w:r>
          </w:p>
        </w:tc>
        <w:tc>
          <w:tcPr>
            <w:tcW w:w="850" w:type="dxa"/>
            <w:vAlign w:val="bottom"/>
          </w:tcPr>
          <w:p w14:paraId="059D8399" w14:textId="654F7967" w:rsidR="00301072" w:rsidRDefault="00301072" w:rsidP="00395C67">
            <w:pPr>
              <w:jc w:val="left"/>
            </w:pPr>
            <w:r>
              <w:rPr>
                <w:rFonts w:ascii="Calibri" w:hAnsi="Calibri" w:cs="Calibri"/>
                <w:color w:val="000000"/>
              </w:rPr>
              <w:t>1</w:t>
            </w:r>
          </w:p>
        </w:tc>
        <w:tc>
          <w:tcPr>
            <w:tcW w:w="4536" w:type="dxa"/>
            <w:vAlign w:val="bottom"/>
          </w:tcPr>
          <w:p w14:paraId="06CE36DD" w14:textId="3704515A" w:rsidR="00301072" w:rsidRDefault="00301072" w:rsidP="00395C67">
            <w:pPr>
              <w:jc w:val="left"/>
            </w:pPr>
            <w:r>
              <w:rPr>
                <w:rFonts w:ascii="Calibri" w:hAnsi="Calibri" w:cs="Calibri"/>
                <w:color w:val="000000"/>
              </w:rPr>
              <w:t>Life Stressor Checklist-Revised (LSC-R)</w:t>
            </w:r>
          </w:p>
        </w:tc>
      </w:tr>
      <w:tr w:rsidR="00301072" w14:paraId="49AC98F1" w14:textId="77777777" w:rsidTr="00301072">
        <w:tc>
          <w:tcPr>
            <w:tcW w:w="1336" w:type="dxa"/>
            <w:vAlign w:val="bottom"/>
          </w:tcPr>
          <w:p w14:paraId="26EC0567" w14:textId="3DDE33C8" w:rsidR="00301072" w:rsidRDefault="00301072" w:rsidP="00395C67">
            <w:pPr>
              <w:jc w:val="left"/>
            </w:pPr>
            <w:r>
              <w:rPr>
                <w:rFonts w:ascii="Calibri" w:hAnsi="Calibri" w:cs="Calibri"/>
                <w:color w:val="000000"/>
              </w:rPr>
              <w:t>Fisher 2015</w:t>
            </w:r>
          </w:p>
        </w:tc>
        <w:tc>
          <w:tcPr>
            <w:tcW w:w="2345" w:type="dxa"/>
          </w:tcPr>
          <w:p w14:paraId="479808A6" w14:textId="5573CC35" w:rsidR="00301072" w:rsidRDefault="00301072" w:rsidP="00395C67">
            <w:pPr>
              <w:jc w:val="left"/>
            </w:pPr>
            <w:r>
              <w:t>1</w:t>
            </w:r>
          </w:p>
        </w:tc>
        <w:tc>
          <w:tcPr>
            <w:tcW w:w="850" w:type="dxa"/>
            <w:vAlign w:val="bottom"/>
          </w:tcPr>
          <w:p w14:paraId="7E3EB063" w14:textId="34F1539D" w:rsidR="00301072" w:rsidRDefault="00301072" w:rsidP="00395C67">
            <w:pPr>
              <w:jc w:val="left"/>
            </w:pPr>
            <w:r>
              <w:rPr>
                <w:rFonts w:ascii="Calibri" w:hAnsi="Calibri" w:cs="Calibri"/>
                <w:color w:val="000000"/>
              </w:rPr>
              <w:t>1</w:t>
            </w:r>
          </w:p>
        </w:tc>
        <w:tc>
          <w:tcPr>
            <w:tcW w:w="4536" w:type="dxa"/>
            <w:vAlign w:val="bottom"/>
          </w:tcPr>
          <w:p w14:paraId="4601AF3D" w14:textId="3BB1CC27" w:rsidR="00301072" w:rsidRDefault="00301072" w:rsidP="00395C67">
            <w:pPr>
              <w:jc w:val="left"/>
            </w:pPr>
            <w:r>
              <w:rPr>
                <w:rFonts w:ascii="Calibri" w:hAnsi="Calibri" w:cs="Calibri"/>
                <w:color w:val="000000"/>
              </w:rPr>
              <w:t>Juvenile Victimization Questionnaire (JVQ)</w:t>
            </w:r>
          </w:p>
        </w:tc>
      </w:tr>
      <w:tr w:rsidR="00301072" w14:paraId="650A5198" w14:textId="77777777" w:rsidTr="00301072">
        <w:tc>
          <w:tcPr>
            <w:tcW w:w="1336" w:type="dxa"/>
            <w:vAlign w:val="bottom"/>
          </w:tcPr>
          <w:p w14:paraId="416E124F" w14:textId="7D67F7CD" w:rsidR="00301072" w:rsidRDefault="00301072" w:rsidP="00395C67">
            <w:pPr>
              <w:jc w:val="left"/>
            </w:pPr>
            <w:r>
              <w:rPr>
                <w:rFonts w:ascii="Calibri" w:hAnsi="Calibri" w:cs="Calibri"/>
                <w:color w:val="000000"/>
              </w:rPr>
              <w:t>Jaffee 2004</w:t>
            </w:r>
          </w:p>
        </w:tc>
        <w:tc>
          <w:tcPr>
            <w:tcW w:w="2345" w:type="dxa"/>
          </w:tcPr>
          <w:p w14:paraId="36C12FD3" w14:textId="50028401" w:rsidR="00301072" w:rsidRDefault="00301072" w:rsidP="00395C67">
            <w:pPr>
              <w:jc w:val="left"/>
            </w:pPr>
            <w:r>
              <w:t>1</w:t>
            </w:r>
          </w:p>
        </w:tc>
        <w:tc>
          <w:tcPr>
            <w:tcW w:w="850" w:type="dxa"/>
            <w:vAlign w:val="bottom"/>
          </w:tcPr>
          <w:p w14:paraId="41643EDC" w14:textId="03D70B8A" w:rsidR="00301072" w:rsidRDefault="00301072" w:rsidP="00395C67">
            <w:pPr>
              <w:jc w:val="left"/>
            </w:pPr>
            <w:r>
              <w:rPr>
                <w:rFonts w:ascii="Calibri" w:hAnsi="Calibri" w:cs="Calibri"/>
                <w:color w:val="000000"/>
              </w:rPr>
              <w:t>1</w:t>
            </w:r>
          </w:p>
        </w:tc>
        <w:tc>
          <w:tcPr>
            <w:tcW w:w="4536" w:type="dxa"/>
            <w:vAlign w:val="bottom"/>
          </w:tcPr>
          <w:p w14:paraId="3DCC634D" w14:textId="2DF4A40B" w:rsidR="00301072" w:rsidRDefault="00301072" w:rsidP="00395C67">
            <w:pPr>
              <w:jc w:val="left"/>
            </w:pPr>
            <w:r>
              <w:rPr>
                <w:rFonts w:ascii="Calibri" w:hAnsi="Calibri" w:cs="Calibri"/>
                <w:color w:val="000000"/>
              </w:rPr>
              <w:t>Interview with mothers (from the Multi-Site Child Development Project)</w:t>
            </w:r>
          </w:p>
        </w:tc>
      </w:tr>
      <w:tr w:rsidR="00301072" w14:paraId="3EB6938F" w14:textId="77777777" w:rsidTr="00301072">
        <w:tc>
          <w:tcPr>
            <w:tcW w:w="1336" w:type="dxa"/>
            <w:vAlign w:val="bottom"/>
          </w:tcPr>
          <w:p w14:paraId="57E91F24" w14:textId="189A7540" w:rsidR="00301072" w:rsidRDefault="00301072" w:rsidP="00395C67">
            <w:pPr>
              <w:jc w:val="left"/>
            </w:pPr>
            <w:r>
              <w:rPr>
                <w:rFonts w:ascii="Calibri" w:hAnsi="Calibri" w:cs="Calibri"/>
                <w:color w:val="000000"/>
              </w:rPr>
              <w:t>Johansson 2020</w:t>
            </w:r>
          </w:p>
        </w:tc>
        <w:tc>
          <w:tcPr>
            <w:tcW w:w="2345" w:type="dxa"/>
          </w:tcPr>
          <w:p w14:paraId="255C89A3" w14:textId="0B8EF913" w:rsidR="00301072" w:rsidRDefault="00301072" w:rsidP="00395C67">
            <w:pPr>
              <w:jc w:val="left"/>
            </w:pPr>
            <w:r>
              <w:t>1</w:t>
            </w:r>
          </w:p>
        </w:tc>
        <w:tc>
          <w:tcPr>
            <w:tcW w:w="850" w:type="dxa"/>
            <w:vAlign w:val="bottom"/>
          </w:tcPr>
          <w:p w14:paraId="5B0AA81F" w14:textId="6BE24CAD" w:rsidR="00301072" w:rsidRDefault="00301072" w:rsidP="00395C67">
            <w:pPr>
              <w:jc w:val="left"/>
            </w:pPr>
            <w:r>
              <w:rPr>
                <w:rFonts w:ascii="Calibri" w:hAnsi="Calibri" w:cs="Calibri"/>
                <w:color w:val="000000"/>
              </w:rPr>
              <w:t>1</w:t>
            </w:r>
          </w:p>
        </w:tc>
        <w:tc>
          <w:tcPr>
            <w:tcW w:w="4536" w:type="dxa"/>
            <w:vAlign w:val="bottom"/>
          </w:tcPr>
          <w:p w14:paraId="42E0A213" w14:textId="729C1C97" w:rsidR="00301072" w:rsidRDefault="00301072" w:rsidP="00395C67">
            <w:pPr>
              <w:jc w:val="left"/>
            </w:pPr>
            <w:r>
              <w:rPr>
                <w:rFonts w:ascii="Calibri" w:hAnsi="Calibri" w:cs="Calibri"/>
                <w:color w:val="000000"/>
              </w:rPr>
              <w:t>Participant Role Questionnaire (PRQ; peer nomination)</w:t>
            </w:r>
          </w:p>
        </w:tc>
      </w:tr>
      <w:tr w:rsidR="00301072" w14:paraId="651774DB" w14:textId="77777777" w:rsidTr="00301072">
        <w:tc>
          <w:tcPr>
            <w:tcW w:w="1336" w:type="dxa"/>
            <w:vAlign w:val="bottom"/>
          </w:tcPr>
          <w:p w14:paraId="7D47BAEC" w14:textId="7890E2CD" w:rsidR="00301072" w:rsidRDefault="00301072" w:rsidP="00395C67">
            <w:pPr>
              <w:jc w:val="left"/>
            </w:pPr>
            <w:r>
              <w:rPr>
                <w:rFonts w:ascii="Calibri" w:hAnsi="Calibri" w:cs="Calibri"/>
                <w:color w:val="000000"/>
              </w:rPr>
              <w:t>Kretschmer 2018</w:t>
            </w:r>
          </w:p>
        </w:tc>
        <w:tc>
          <w:tcPr>
            <w:tcW w:w="2345" w:type="dxa"/>
          </w:tcPr>
          <w:p w14:paraId="43DAF81B" w14:textId="06F61829" w:rsidR="00301072" w:rsidRDefault="00301072" w:rsidP="00395C67">
            <w:pPr>
              <w:jc w:val="left"/>
            </w:pPr>
            <w:r>
              <w:t>0</w:t>
            </w:r>
          </w:p>
        </w:tc>
        <w:tc>
          <w:tcPr>
            <w:tcW w:w="850" w:type="dxa"/>
            <w:vAlign w:val="bottom"/>
          </w:tcPr>
          <w:p w14:paraId="67EA3664" w14:textId="63A474BE" w:rsidR="00301072" w:rsidRDefault="00301072" w:rsidP="00395C67">
            <w:pPr>
              <w:jc w:val="left"/>
            </w:pPr>
            <w:r>
              <w:rPr>
                <w:rFonts w:ascii="Calibri" w:hAnsi="Calibri" w:cs="Calibri"/>
                <w:color w:val="000000"/>
              </w:rPr>
              <w:t>0</w:t>
            </w:r>
          </w:p>
        </w:tc>
        <w:tc>
          <w:tcPr>
            <w:tcW w:w="4536" w:type="dxa"/>
            <w:vAlign w:val="bottom"/>
          </w:tcPr>
          <w:p w14:paraId="1F359164" w14:textId="213B7351" w:rsidR="00301072" w:rsidRDefault="00301072" w:rsidP="00395C67">
            <w:pPr>
              <w:jc w:val="left"/>
            </w:pPr>
            <w:r>
              <w:rPr>
                <w:rFonts w:ascii="Calibri" w:hAnsi="Calibri" w:cs="Calibri"/>
                <w:color w:val="000000"/>
              </w:rPr>
              <w:t>One question on bullying victimization</w:t>
            </w:r>
          </w:p>
        </w:tc>
      </w:tr>
      <w:tr w:rsidR="00301072" w14:paraId="28D3D3D6" w14:textId="77777777" w:rsidTr="00301072">
        <w:tc>
          <w:tcPr>
            <w:tcW w:w="1336" w:type="dxa"/>
            <w:vAlign w:val="bottom"/>
          </w:tcPr>
          <w:p w14:paraId="4FEAD2FE" w14:textId="09F6701A" w:rsidR="00301072" w:rsidRDefault="00301072" w:rsidP="00395C67">
            <w:pPr>
              <w:jc w:val="left"/>
            </w:pPr>
            <w:r>
              <w:rPr>
                <w:rFonts w:ascii="Calibri" w:hAnsi="Calibri" w:cs="Calibri"/>
                <w:color w:val="000000"/>
              </w:rPr>
              <w:t>Morneau-Vaillancourt 2023</w:t>
            </w:r>
          </w:p>
        </w:tc>
        <w:tc>
          <w:tcPr>
            <w:tcW w:w="2345" w:type="dxa"/>
          </w:tcPr>
          <w:p w14:paraId="7EAD4784" w14:textId="2A099099" w:rsidR="00301072" w:rsidRDefault="00301072" w:rsidP="00395C67">
            <w:pPr>
              <w:jc w:val="left"/>
            </w:pPr>
            <w:r>
              <w:t>0</w:t>
            </w:r>
          </w:p>
        </w:tc>
        <w:tc>
          <w:tcPr>
            <w:tcW w:w="850" w:type="dxa"/>
            <w:vAlign w:val="bottom"/>
          </w:tcPr>
          <w:p w14:paraId="2F2C0267" w14:textId="371F8C71" w:rsidR="00301072" w:rsidRDefault="00301072" w:rsidP="00395C67">
            <w:pPr>
              <w:jc w:val="left"/>
            </w:pPr>
            <w:r>
              <w:rPr>
                <w:rFonts w:ascii="Calibri" w:hAnsi="Calibri" w:cs="Calibri"/>
                <w:color w:val="000000"/>
              </w:rPr>
              <w:t>1</w:t>
            </w:r>
          </w:p>
        </w:tc>
        <w:tc>
          <w:tcPr>
            <w:tcW w:w="4536" w:type="dxa"/>
            <w:vAlign w:val="bottom"/>
          </w:tcPr>
          <w:p w14:paraId="4664EC8E" w14:textId="54F05524" w:rsidR="00301072" w:rsidRDefault="00301072" w:rsidP="00395C67">
            <w:pPr>
              <w:jc w:val="left"/>
            </w:pPr>
            <w:r>
              <w:rPr>
                <w:rFonts w:ascii="Calibri" w:hAnsi="Calibri" w:cs="Calibri"/>
                <w:color w:val="000000"/>
              </w:rPr>
              <w:t>Multidimensional Peer Victimization Scale (MPVS)</w:t>
            </w:r>
          </w:p>
        </w:tc>
      </w:tr>
      <w:tr w:rsidR="00C93DD2" w14:paraId="46C405E4" w14:textId="77777777" w:rsidTr="0002243B">
        <w:tc>
          <w:tcPr>
            <w:tcW w:w="1336" w:type="dxa"/>
            <w:vAlign w:val="bottom"/>
          </w:tcPr>
          <w:p w14:paraId="520AF836" w14:textId="77777777" w:rsidR="00C93DD2" w:rsidRDefault="00C93DD2" w:rsidP="0002243B">
            <w:pPr>
              <w:jc w:val="left"/>
            </w:pPr>
            <w:r w:rsidRPr="00C13F1B">
              <w:rPr>
                <w:rFonts w:ascii="Calibri" w:hAnsi="Calibri" w:cs="Calibri"/>
                <w:color w:val="000000"/>
              </w:rPr>
              <w:t>Ohlsson</w:t>
            </w:r>
            <w:r>
              <w:rPr>
                <w:rFonts w:ascii="Calibri" w:hAnsi="Calibri" w:cs="Calibri"/>
                <w:color w:val="000000"/>
              </w:rPr>
              <w:t xml:space="preserve"> Gotby 2018</w:t>
            </w:r>
          </w:p>
        </w:tc>
        <w:tc>
          <w:tcPr>
            <w:tcW w:w="2345" w:type="dxa"/>
          </w:tcPr>
          <w:p w14:paraId="09E0FEBF" w14:textId="77777777" w:rsidR="00C93DD2" w:rsidRDefault="00C93DD2" w:rsidP="0002243B">
            <w:pPr>
              <w:jc w:val="left"/>
            </w:pPr>
            <w:r>
              <w:t>0</w:t>
            </w:r>
          </w:p>
        </w:tc>
        <w:tc>
          <w:tcPr>
            <w:tcW w:w="850" w:type="dxa"/>
            <w:vAlign w:val="bottom"/>
          </w:tcPr>
          <w:p w14:paraId="179991AC" w14:textId="77777777" w:rsidR="00C93DD2" w:rsidRDefault="00C93DD2" w:rsidP="0002243B">
            <w:pPr>
              <w:jc w:val="left"/>
            </w:pPr>
            <w:r>
              <w:rPr>
                <w:rFonts w:ascii="Calibri" w:hAnsi="Calibri" w:cs="Calibri"/>
                <w:color w:val="000000"/>
              </w:rPr>
              <w:t>1</w:t>
            </w:r>
          </w:p>
        </w:tc>
        <w:tc>
          <w:tcPr>
            <w:tcW w:w="4536" w:type="dxa"/>
            <w:vAlign w:val="bottom"/>
          </w:tcPr>
          <w:p w14:paraId="7976345E" w14:textId="77777777" w:rsidR="00C93DD2" w:rsidRDefault="00C93DD2" w:rsidP="0002243B">
            <w:pPr>
              <w:jc w:val="left"/>
            </w:pPr>
            <w:r>
              <w:rPr>
                <w:rFonts w:ascii="Calibri" w:hAnsi="Calibri" w:cs="Calibri"/>
                <w:color w:val="000000"/>
              </w:rPr>
              <w:t>Life Stressor Checklist-Revised (LSC-R)</w:t>
            </w:r>
          </w:p>
        </w:tc>
      </w:tr>
      <w:tr w:rsidR="00301072" w14:paraId="2966604F" w14:textId="77777777" w:rsidTr="00301072">
        <w:tc>
          <w:tcPr>
            <w:tcW w:w="1336" w:type="dxa"/>
            <w:vAlign w:val="bottom"/>
          </w:tcPr>
          <w:p w14:paraId="617280D2" w14:textId="346A3A3D" w:rsidR="00301072" w:rsidRDefault="00301072" w:rsidP="00395C67">
            <w:pPr>
              <w:jc w:val="left"/>
            </w:pPr>
            <w:r>
              <w:rPr>
                <w:rFonts w:ascii="Calibri" w:hAnsi="Calibri" w:cs="Calibri"/>
                <w:color w:val="000000"/>
              </w:rPr>
              <w:t>Pezzoli 2019</w:t>
            </w:r>
          </w:p>
        </w:tc>
        <w:tc>
          <w:tcPr>
            <w:tcW w:w="2345" w:type="dxa"/>
          </w:tcPr>
          <w:p w14:paraId="00C4EE75" w14:textId="4BFCFDCC" w:rsidR="00301072" w:rsidRDefault="00301072" w:rsidP="00395C67">
            <w:pPr>
              <w:jc w:val="left"/>
            </w:pPr>
            <w:r>
              <w:t>1</w:t>
            </w:r>
          </w:p>
        </w:tc>
        <w:tc>
          <w:tcPr>
            <w:tcW w:w="850" w:type="dxa"/>
            <w:vAlign w:val="bottom"/>
          </w:tcPr>
          <w:p w14:paraId="7F174074" w14:textId="505BA8B6" w:rsidR="00301072" w:rsidRDefault="00301072" w:rsidP="00395C67">
            <w:pPr>
              <w:jc w:val="left"/>
            </w:pPr>
            <w:r>
              <w:rPr>
                <w:rFonts w:ascii="Calibri" w:hAnsi="Calibri" w:cs="Calibri"/>
                <w:color w:val="000000"/>
              </w:rPr>
              <w:t>1</w:t>
            </w:r>
          </w:p>
        </w:tc>
        <w:tc>
          <w:tcPr>
            <w:tcW w:w="4536" w:type="dxa"/>
            <w:vAlign w:val="bottom"/>
          </w:tcPr>
          <w:p w14:paraId="3A109664" w14:textId="7B8DC262" w:rsidR="00301072" w:rsidRDefault="00301072" w:rsidP="00395C67">
            <w:pPr>
              <w:jc w:val="left"/>
            </w:pPr>
            <w:r>
              <w:rPr>
                <w:rFonts w:ascii="Calibri" w:hAnsi="Calibri" w:cs="Calibri"/>
                <w:color w:val="000000"/>
              </w:rPr>
              <w:t>Childhood Trauma Questionnaire Short Form (CTQ-SF)</w:t>
            </w:r>
          </w:p>
        </w:tc>
      </w:tr>
      <w:tr w:rsidR="00301072" w14:paraId="3CACC978" w14:textId="77777777" w:rsidTr="00301072">
        <w:tc>
          <w:tcPr>
            <w:tcW w:w="1336" w:type="dxa"/>
            <w:vAlign w:val="bottom"/>
          </w:tcPr>
          <w:p w14:paraId="57897257" w14:textId="6A4904AF" w:rsidR="00301072" w:rsidRDefault="00301072" w:rsidP="00395C67">
            <w:pPr>
              <w:jc w:val="left"/>
            </w:pPr>
            <w:r>
              <w:rPr>
                <w:rFonts w:ascii="Calibri" w:hAnsi="Calibri" w:cs="Calibri"/>
                <w:color w:val="000000"/>
              </w:rPr>
              <w:t>Sartor 2012</w:t>
            </w:r>
          </w:p>
        </w:tc>
        <w:tc>
          <w:tcPr>
            <w:tcW w:w="2345" w:type="dxa"/>
          </w:tcPr>
          <w:p w14:paraId="4EF463EC" w14:textId="43A14823" w:rsidR="00301072" w:rsidRDefault="00301072" w:rsidP="00395C67">
            <w:pPr>
              <w:jc w:val="left"/>
            </w:pPr>
            <w:r>
              <w:t>0</w:t>
            </w:r>
          </w:p>
        </w:tc>
        <w:tc>
          <w:tcPr>
            <w:tcW w:w="850" w:type="dxa"/>
            <w:vAlign w:val="bottom"/>
          </w:tcPr>
          <w:p w14:paraId="6D649C94" w14:textId="676429E7" w:rsidR="00301072" w:rsidRDefault="00301072" w:rsidP="00395C67">
            <w:pPr>
              <w:jc w:val="left"/>
            </w:pPr>
            <w:r>
              <w:rPr>
                <w:rFonts w:ascii="Calibri" w:hAnsi="Calibri" w:cs="Calibri"/>
                <w:color w:val="000000"/>
              </w:rPr>
              <w:t>0</w:t>
            </w:r>
          </w:p>
        </w:tc>
        <w:tc>
          <w:tcPr>
            <w:tcW w:w="4536" w:type="dxa"/>
            <w:vAlign w:val="bottom"/>
          </w:tcPr>
          <w:p w14:paraId="47D7CBA8" w14:textId="6DF71498" w:rsidR="00301072" w:rsidRDefault="00301072" w:rsidP="00395C67">
            <w:pPr>
              <w:jc w:val="left"/>
            </w:pPr>
            <w:r w:rsidRPr="00020ACC">
              <w:rPr>
                <w:rFonts w:ascii="Calibri" w:hAnsi="Calibri" w:cs="Calibri"/>
              </w:rPr>
              <w:t xml:space="preserve">Trauma checklist: </w:t>
            </w:r>
            <w:r>
              <w:rPr>
                <w:rFonts w:ascii="Calibri" w:hAnsi="Calibri" w:cs="Calibri"/>
              </w:rPr>
              <w:t>‘high risk</w:t>
            </w:r>
            <w:r w:rsidRPr="00020ACC">
              <w:rPr>
                <w:rFonts w:ascii="Calibri" w:hAnsi="Calibri" w:cs="Calibri"/>
              </w:rPr>
              <w:t>'</w:t>
            </w:r>
            <w:r>
              <w:rPr>
                <w:rFonts w:ascii="Calibri" w:hAnsi="Calibri" w:cs="Calibri"/>
              </w:rPr>
              <w:t xml:space="preserve"> trauma</w:t>
            </w:r>
            <w:r w:rsidRPr="00020ACC">
              <w:rPr>
                <w:rFonts w:ascii="Calibri" w:hAnsi="Calibri" w:cs="Calibri"/>
              </w:rPr>
              <w:t xml:space="preserve"> includes maltreatment experiences</w:t>
            </w:r>
          </w:p>
        </w:tc>
      </w:tr>
      <w:tr w:rsidR="00301072" w14:paraId="0E369271" w14:textId="77777777" w:rsidTr="00301072">
        <w:tc>
          <w:tcPr>
            <w:tcW w:w="1336" w:type="dxa"/>
            <w:vAlign w:val="bottom"/>
          </w:tcPr>
          <w:p w14:paraId="4BB9C77A" w14:textId="0E459534" w:rsidR="00301072" w:rsidRDefault="00301072" w:rsidP="00395C67">
            <w:pPr>
              <w:jc w:val="left"/>
            </w:pPr>
            <w:r>
              <w:rPr>
                <w:rFonts w:ascii="Calibri" w:hAnsi="Calibri" w:cs="Calibri"/>
                <w:color w:val="000000"/>
              </w:rPr>
              <w:t>Schulz-Heik 2010</w:t>
            </w:r>
          </w:p>
        </w:tc>
        <w:tc>
          <w:tcPr>
            <w:tcW w:w="2345" w:type="dxa"/>
          </w:tcPr>
          <w:p w14:paraId="312666B7" w14:textId="1D593611" w:rsidR="00301072" w:rsidRDefault="00301072" w:rsidP="00395C67">
            <w:pPr>
              <w:jc w:val="left"/>
            </w:pPr>
            <w:r>
              <w:t>1</w:t>
            </w:r>
          </w:p>
        </w:tc>
        <w:tc>
          <w:tcPr>
            <w:tcW w:w="850" w:type="dxa"/>
            <w:vAlign w:val="bottom"/>
          </w:tcPr>
          <w:p w14:paraId="7E86F477" w14:textId="08A87051" w:rsidR="00301072" w:rsidRDefault="00301072" w:rsidP="00395C67">
            <w:pPr>
              <w:jc w:val="left"/>
            </w:pPr>
            <w:r>
              <w:rPr>
                <w:rFonts w:ascii="Calibri" w:hAnsi="Calibri" w:cs="Calibri"/>
                <w:color w:val="000000"/>
              </w:rPr>
              <w:t>0</w:t>
            </w:r>
          </w:p>
        </w:tc>
        <w:tc>
          <w:tcPr>
            <w:tcW w:w="4536" w:type="dxa"/>
            <w:vAlign w:val="bottom"/>
          </w:tcPr>
          <w:p w14:paraId="1A5D73F7" w14:textId="30E626DA" w:rsidR="00301072" w:rsidRDefault="00301072" w:rsidP="00395C67">
            <w:pPr>
              <w:jc w:val="left"/>
            </w:pPr>
            <w:r>
              <w:rPr>
                <w:rFonts w:ascii="Calibri" w:hAnsi="Calibri" w:cs="Calibri"/>
                <w:color w:val="000000"/>
              </w:rPr>
              <w:t>Four questions on maltreatment</w:t>
            </w:r>
          </w:p>
        </w:tc>
      </w:tr>
      <w:tr w:rsidR="00301072" w14:paraId="731C151F" w14:textId="77777777" w:rsidTr="00301072">
        <w:tc>
          <w:tcPr>
            <w:tcW w:w="1336" w:type="dxa"/>
            <w:vAlign w:val="bottom"/>
          </w:tcPr>
          <w:p w14:paraId="5E9CA602" w14:textId="1E79A763" w:rsidR="00301072" w:rsidRDefault="00301072" w:rsidP="00395C67">
            <w:pPr>
              <w:jc w:val="left"/>
            </w:pPr>
            <w:r>
              <w:rPr>
                <w:rFonts w:ascii="Calibri" w:hAnsi="Calibri" w:cs="Calibri"/>
                <w:color w:val="000000"/>
              </w:rPr>
              <w:t>Skaug 2022</w:t>
            </w:r>
          </w:p>
        </w:tc>
        <w:tc>
          <w:tcPr>
            <w:tcW w:w="2345" w:type="dxa"/>
          </w:tcPr>
          <w:p w14:paraId="3A9973F8" w14:textId="027BEB5E" w:rsidR="00301072" w:rsidRDefault="00301072" w:rsidP="00395C67">
            <w:pPr>
              <w:jc w:val="left"/>
            </w:pPr>
            <w:r>
              <w:t>0</w:t>
            </w:r>
          </w:p>
        </w:tc>
        <w:tc>
          <w:tcPr>
            <w:tcW w:w="850" w:type="dxa"/>
            <w:vAlign w:val="bottom"/>
          </w:tcPr>
          <w:p w14:paraId="7E5BD098" w14:textId="40E98E65" w:rsidR="00301072" w:rsidRDefault="00301072" w:rsidP="00395C67">
            <w:pPr>
              <w:jc w:val="left"/>
            </w:pPr>
            <w:r>
              <w:rPr>
                <w:rFonts w:ascii="Calibri" w:hAnsi="Calibri" w:cs="Calibri"/>
                <w:color w:val="000000"/>
              </w:rPr>
              <w:t>1</w:t>
            </w:r>
          </w:p>
        </w:tc>
        <w:tc>
          <w:tcPr>
            <w:tcW w:w="4536" w:type="dxa"/>
            <w:vAlign w:val="bottom"/>
          </w:tcPr>
          <w:p w14:paraId="235E48D0" w14:textId="0A66E11E" w:rsidR="00301072" w:rsidRDefault="00301072" w:rsidP="00395C67">
            <w:pPr>
              <w:jc w:val="left"/>
            </w:pPr>
            <w:r>
              <w:rPr>
                <w:rFonts w:ascii="Calibri" w:hAnsi="Calibri" w:cs="Calibri"/>
                <w:color w:val="000000"/>
              </w:rPr>
              <w:t>Childhood Trauma Interview (CTI)</w:t>
            </w:r>
          </w:p>
        </w:tc>
      </w:tr>
      <w:tr w:rsidR="00301072" w14:paraId="32B6F543" w14:textId="77777777" w:rsidTr="00301072">
        <w:tc>
          <w:tcPr>
            <w:tcW w:w="1336" w:type="dxa"/>
            <w:vAlign w:val="bottom"/>
          </w:tcPr>
          <w:p w14:paraId="176343FF" w14:textId="3C173CFC" w:rsidR="00301072" w:rsidRDefault="00301072" w:rsidP="00395C67">
            <w:pPr>
              <w:jc w:val="left"/>
            </w:pPr>
            <w:r>
              <w:rPr>
                <w:rFonts w:ascii="Calibri" w:hAnsi="Calibri" w:cs="Calibri"/>
                <w:color w:val="000000"/>
              </w:rPr>
              <w:t>Smith 2021</w:t>
            </w:r>
          </w:p>
        </w:tc>
        <w:tc>
          <w:tcPr>
            <w:tcW w:w="2345" w:type="dxa"/>
          </w:tcPr>
          <w:p w14:paraId="5634392B" w14:textId="670129AC" w:rsidR="00301072" w:rsidRDefault="00301072" w:rsidP="00395C67">
            <w:pPr>
              <w:jc w:val="left"/>
            </w:pPr>
            <w:r>
              <w:t>0</w:t>
            </w:r>
          </w:p>
        </w:tc>
        <w:tc>
          <w:tcPr>
            <w:tcW w:w="850" w:type="dxa"/>
            <w:vAlign w:val="bottom"/>
          </w:tcPr>
          <w:p w14:paraId="15693D3C" w14:textId="5B0890A8" w:rsidR="00301072" w:rsidRDefault="00301072" w:rsidP="00395C67">
            <w:pPr>
              <w:jc w:val="left"/>
            </w:pPr>
            <w:r>
              <w:rPr>
                <w:rFonts w:ascii="Calibri" w:hAnsi="Calibri" w:cs="Calibri"/>
                <w:color w:val="000000"/>
              </w:rPr>
              <w:t>1</w:t>
            </w:r>
          </w:p>
        </w:tc>
        <w:tc>
          <w:tcPr>
            <w:tcW w:w="4536" w:type="dxa"/>
            <w:vAlign w:val="bottom"/>
          </w:tcPr>
          <w:p w14:paraId="015EF3AD" w14:textId="27D6EEA0" w:rsidR="00301072" w:rsidRDefault="00301072" w:rsidP="00395C67">
            <w:pPr>
              <w:jc w:val="left"/>
            </w:pPr>
            <w:r>
              <w:rPr>
                <w:rFonts w:ascii="Calibri" w:hAnsi="Calibri" w:cs="Calibri"/>
                <w:color w:val="000000"/>
              </w:rPr>
              <w:t>Social experiences questionnaire (SEQ)</w:t>
            </w:r>
          </w:p>
        </w:tc>
      </w:tr>
      <w:tr w:rsidR="00301072" w14:paraId="7446CF41" w14:textId="77777777" w:rsidTr="00301072">
        <w:tc>
          <w:tcPr>
            <w:tcW w:w="1336" w:type="dxa"/>
            <w:vAlign w:val="bottom"/>
          </w:tcPr>
          <w:p w14:paraId="2FEBD4C6" w14:textId="628B55FA" w:rsidR="00301072" w:rsidRDefault="00301072" w:rsidP="00395C67">
            <w:pPr>
              <w:jc w:val="left"/>
            </w:pPr>
            <w:r>
              <w:rPr>
                <w:rFonts w:ascii="Calibri" w:hAnsi="Calibri" w:cs="Calibri"/>
                <w:color w:val="000000"/>
              </w:rPr>
              <w:t>South 2015</w:t>
            </w:r>
          </w:p>
        </w:tc>
        <w:tc>
          <w:tcPr>
            <w:tcW w:w="2345" w:type="dxa"/>
          </w:tcPr>
          <w:p w14:paraId="054E6F36" w14:textId="32A891FD" w:rsidR="00301072" w:rsidRDefault="00301072" w:rsidP="00395C67">
            <w:pPr>
              <w:jc w:val="left"/>
            </w:pPr>
            <w:r>
              <w:t>0</w:t>
            </w:r>
          </w:p>
        </w:tc>
        <w:tc>
          <w:tcPr>
            <w:tcW w:w="850" w:type="dxa"/>
            <w:vAlign w:val="bottom"/>
          </w:tcPr>
          <w:p w14:paraId="6AAE874F" w14:textId="72A2604F" w:rsidR="00301072" w:rsidRDefault="00301072" w:rsidP="00395C67">
            <w:pPr>
              <w:jc w:val="left"/>
            </w:pPr>
            <w:r>
              <w:rPr>
                <w:rFonts w:ascii="Calibri" w:hAnsi="Calibri" w:cs="Calibri"/>
                <w:color w:val="000000"/>
              </w:rPr>
              <w:t>1</w:t>
            </w:r>
          </w:p>
        </w:tc>
        <w:tc>
          <w:tcPr>
            <w:tcW w:w="4536" w:type="dxa"/>
            <w:vAlign w:val="bottom"/>
          </w:tcPr>
          <w:p w14:paraId="4489C491" w14:textId="7B8D48D6" w:rsidR="00301072" w:rsidRDefault="00301072" w:rsidP="00395C67">
            <w:pPr>
              <w:jc w:val="left"/>
            </w:pPr>
            <w:r>
              <w:rPr>
                <w:rFonts w:ascii="Calibri" w:hAnsi="Calibri" w:cs="Calibri"/>
                <w:color w:val="000000"/>
              </w:rPr>
              <w:t>Conflict Tactics Scale (CTS)</w:t>
            </w:r>
          </w:p>
        </w:tc>
      </w:tr>
      <w:tr w:rsidR="00301072" w14:paraId="2B876B0A" w14:textId="77777777" w:rsidTr="00301072">
        <w:tc>
          <w:tcPr>
            <w:tcW w:w="1336" w:type="dxa"/>
            <w:vAlign w:val="bottom"/>
          </w:tcPr>
          <w:p w14:paraId="5B89F5FC" w14:textId="166E4E23" w:rsidR="00301072" w:rsidRDefault="00301072" w:rsidP="00395C67">
            <w:pPr>
              <w:jc w:val="left"/>
            </w:pPr>
            <w:r>
              <w:rPr>
                <w:rFonts w:ascii="Calibri" w:hAnsi="Calibri" w:cs="Calibri"/>
                <w:color w:val="000000"/>
              </w:rPr>
              <w:t>Stein 2002</w:t>
            </w:r>
          </w:p>
        </w:tc>
        <w:tc>
          <w:tcPr>
            <w:tcW w:w="2345" w:type="dxa"/>
          </w:tcPr>
          <w:p w14:paraId="56AEAAAC" w14:textId="07F573FA" w:rsidR="00301072" w:rsidRDefault="00301072" w:rsidP="00395C67">
            <w:pPr>
              <w:jc w:val="left"/>
            </w:pPr>
            <w:r>
              <w:t>0</w:t>
            </w:r>
          </w:p>
        </w:tc>
        <w:tc>
          <w:tcPr>
            <w:tcW w:w="850" w:type="dxa"/>
            <w:vAlign w:val="bottom"/>
          </w:tcPr>
          <w:p w14:paraId="0FD6D5AD" w14:textId="5A55AA63" w:rsidR="00301072" w:rsidRPr="00020ACC" w:rsidRDefault="00301072" w:rsidP="00395C67">
            <w:pPr>
              <w:jc w:val="left"/>
            </w:pPr>
            <w:r w:rsidRPr="00020ACC">
              <w:rPr>
                <w:rFonts w:ascii="Calibri" w:hAnsi="Calibri" w:cs="Calibri"/>
              </w:rPr>
              <w:t>0</w:t>
            </w:r>
          </w:p>
        </w:tc>
        <w:tc>
          <w:tcPr>
            <w:tcW w:w="4536" w:type="dxa"/>
            <w:vAlign w:val="bottom"/>
          </w:tcPr>
          <w:p w14:paraId="3FD00CCA" w14:textId="45F9C74C" w:rsidR="00301072" w:rsidRPr="00020ACC" w:rsidRDefault="00301072" w:rsidP="00395C67">
            <w:pPr>
              <w:jc w:val="left"/>
            </w:pPr>
            <w:r w:rsidRPr="00020ACC">
              <w:rPr>
                <w:rFonts w:ascii="Calibri" w:hAnsi="Calibri" w:cs="Calibri"/>
              </w:rPr>
              <w:t>Trauma checklist: 'assaultive trauma' includes maltreatment experiences</w:t>
            </w:r>
          </w:p>
        </w:tc>
      </w:tr>
      <w:tr w:rsidR="00301072" w14:paraId="045D70CA" w14:textId="77777777" w:rsidTr="00301072">
        <w:tc>
          <w:tcPr>
            <w:tcW w:w="1336" w:type="dxa"/>
            <w:vAlign w:val="bottom"/>
          </w:tcPr>
          <w:p w14:paraId="7FB4E99F" w14:textId="20B840ED" w:rsidR="00301072" w:rsidRDefault="00301072" w:rsidP="00395C67">
            <w:pPr>
              <w:jc w:val="left"/>
            </w:pPr>
            <w:r>
              <w:rPr>
                <w:rFonts w:ascii="Calibri" w:hAnsi="Calibri" w:cs="Calibri"/>
                <w:color w:val="000000"/>
              </w:rPr>
              <w:t>Veldkamp 2019</w:t>
            </w:r>
          </w:p>
        </w:tc>
        <w:tc>
          <w:tcPr>
            <w:tcW w:w="2345" w:type="dxa"/>
          </w:tcPr>
          <w:p w14:paraId="5A73828E" w14:textId="6E6EE1DC" w:rsidR="00301072" w:rsidRDefault="00301072" w:rsidP="00395C67">
            <w:pPr>
              <w:jc w:val="left"/>
            </w:pPr>
            <w:r>
              <w:t>0</w:t>
            </w:r>
          </w:p>
        </w:tc>
        <w:tc>
          <w:tcPr>
            <w:tcW w:w="850" w:type="dxa"/>
            <w:vAlign w:val="bottom"/>
          </w:tcPr>
          <w:p w14:paraId="514DB3AF" w14:textId="23768330" w:rsidR="00301072" w:rsidRDefault="00301072" w:rsidP="00395C67">
            <w:pPr>
              <w:jc w:val="left"/>
            </w:pPr>
            <w:r>
              <w:rPr>
                <w:rFonts w:ascii="Calibri" w:hAnsi="Calibri" w:cs="Calibri"/>
                <w:color w:val="000000"/>
              </w:rPr>
              <w:t>0</w:t>
            </w:r>
          </w:p>
        </w:tc>
        <w:tc>
          <w:tcPr>
            <w:tcW w:w="4536" w:type="dxa"/>
            <w:vAlign w:val="bottom"/>
          </w:tcPr>
          <w:p w14:paraId="2CF31445" w14:textId="2107E17B" w:rsidR="00301072" w:rsidRDefault="00301072" w:rsidP="00395C67">
            <w:pPr>
              <w:jc w:val="left"/>
            </w:pPr>
            <w:r>
              <w:rPr>
                <w:rFonts w:ascii="Calibri" w:hAnsi="Calibri" w:cs="Calibri"/>
                <w:color w:val="000000"/>
              </w:rPr>
              <w:t xml:space="preserve">Four questions on bullying victimization </w:t>
            </w:r>
          </w:p>
        </w:tc>
      </w:tr>
      <w:tr w:rsidR="00301072" w14:paraId="3302AA68" w14:textId="77777777" w:rsidTr="00301072">
        <w:tc>
          <w:tcPr>
            <w:tcW w:w="1336" w:type="dxa"/>
            <w:vAlign w:val="bottom"/>
          </w:tcPr>
          <w:p w14:paraId="0FBCA112" w14:textId="579F7E04" w:rsidR="00301072" w:rsidRDefault="00301072" w:rsidP="00395C67">
            <w:pPr>
              <w:jc w:val="left"/>
            </w:pPr>
            <w:r>
              <w:rPr>
                <w:rFonts w:ascii="Calibri" w:hAnsi="Calibri" w:cs="Calibri"/>
                <w:color w:val="000000"/>
              </w:rPr>
              <w:t>Wright 2021</w:t>
            </w:r>
          </w:p>
        </w:tc>
        <w:tc>
          <w:tcPr>
            <w:tcW w:w="2345" w:type="dxa"/>
          </w:tcPr>
          <w:p w14:paraId="527BDF0B" w14:textId="2EDB9CEC" w:rsidR="00301072" w:rsidRDefault="00301072" w:rsidP="00395C67">
            <w:pPr>
              <w:jc w:val="left"/>
            </w:pPr>
            <w:r>
              <w:t>0</w:t>
            </w:r>
          </w:p>
        </w:tc>
        <w:tc>
          <w:tcPr>
            <w:tcW w:w="850" w:type="dxa"/>
            <w:vAlign w:val="bottom"/>
          </w:tcPr>
          <w:p w14:paraId="2F1BD2D0" w14:textId="14939F82" w:rsidR="00301072" w:rsidRDefault="00301072" w:rsidP="00395C67">
            <w:pPr>
              <w:jc w:val="left"/>
            </w:pPr>
            <w:r>
              <w:rPr>
                <w:rFonts w:ascii="Calibri" w:hAnsi="Calibri" w:cs="Calibri"/>
                <w:color w:val="000000"/>
              </w:rPr>
              <w:t>1</w:t>
            </w:r>
          </w:p>
        </w:tc>
        <w:tc>
          <w:tcPr>
            <w:tcW w:w="4536" w:type="dxa"/>
            <w:vAlign w:val="bottom"/>
          </w:tcPr>
          <w:p w14:paraId="59732FEE" w14:textId="6500F40F" w:rsidR="00301072" w:rsidRDefault="00301072" w:rsidP="00395C67">
            <w:pPr>
              <w:jc w:val="left"/>
            </w:pPr>
            <w:r>
              <w:rPr>
                <w:rFonts w:ascii="Calibri" w:hAnsi="Calibri" w:cs="Calibri"/>
                <w:color w:val="000000"/>
              </w:rPr>
              <w:t>ACE questionnaire includes maltreatment experiences</w:t>
            </w:r>
          </w:p>
        </w:tc>
      </w:tr>
      <w:tr w:rsidR="00301072" w14:paraId="52AEC627" w14:textId="77777777" w:rsidTr="00301072">
        <w:tc>
          <w:tcPr>
            <w:tcW w:w="1336" w:type="dxa"/>
            <w:vAlign w:val="bottom"/>
          </w:tcPr>
          <w:p w14:paraId="085035AC" w14:textId="1CB248F4" w:rsidR="00301072" w:rsidRDefault="00301072" w:rsidP="00395C67">
            <w:pPr>
              <w:jc w:val="left"/>
            </w:pPr>
            <w:r>
              <w:rPr>
                <w:rFonts w:ascii="Calibri" w:hAnsi="Calibri" w:cs="Calibri"/>
                <w:color w:val="000000"/>
              </w:rPr>
              <w:t>Young-Wolff 2011</w:t>
            </w:r>
          </w:p>
        </w:tc>
        <w:tc>
          <w:tcPr>
            <w:tcW w:w="2345" w:type="dxa"/>
          </w:tcPr>
          <w:p w14:paraId="0827AB74" w14:textId="3A1FE812" w:rsidR="00301072" w:rsidRDefault="00301072" w:rsidP="00395C67">
            <w:pPr>
              <w:jc w:val="left"/>
            </w:pPr>
            <w:r>
              <w:t>0</w:t>
            </w:r>
          </w:p>
        </w:tc>
        <w:tc>
          <w:tcPr>
            <w:tcW w:w="850" w:type="dxa"/>
            <w:vAlign w:val="bottom"/>
          </w:tcPr>
          <w:p w14:paraId="32A856A8" w14:textId="7E5AF43F" w:rsidR="00301072" w:rsidRDefault="00301072" w:rsidP="00395C67">
            <w:pPr>
              <w:jc w:val="left"/>
            </w:pPr>
            <w:r>
              <w:rPr>
                <w:rFonts w:ascii="Calibri" w:hAnsi="Calibri" w:cs="Calibri"/>
                <w:color w:val="000000"/>
              </w:rPr>
              <w:t>0</w:t>
            </w:r>
          </w:p>
        </w:tc>
        <w:tc>
          <w:tcPr>
            <w:tcW w:w="4536" w:type="dxa"/>
            <w:vAlign w:val="bottom"/>
          </w:tcPr>
          <w:p w14:paraId="7F11386E" w14:textId="3D58E1AB" w:rsidR="00301072" w:rsidRDefault="00301072" w:rsidP="00395C67">
            <w:pPr>
              <w:jc w:val="left"/>
            </w:pPr>
            <w:r>
              <w:rPr>
                <w:rFonts w:ascii="Calibri" w:hAnsi="Calibri" w:cs="Calibri"/>
                <w:color w:val="000000"/>
              </w:rPr>
              <w:t>Three questions on maltreatment</w:t>
            </w:r>
          </w:p>
        </w:tc>
      </w:tr>
    </w:tbl>
    <w:p w14:paraId="4BCC7F21" w14:textId="77777777" w:rsidR="00DF7AFB" w:rsidRDefault="00DF7AFB" w:rsidP="00DF7AFB">
      <w:pPr>
        <w:spacing w:line="480" w:lineRule="auto"/>
        <w:jc w:val="left"/>
      </w:pPr>
    </w:p>
    <w:p w14:paraId="0BC058CD" w14:textId="77777777" w:rsidR="00C13F1B" w:rsidRDefault="00C13F1B" w:rsidP="00DF7AFB">
      <w:pPr>
        <w:spacing w:line="480" w:lineRule="auto"/>
        <w:jc w:val="left"/>
      </w:pPr>
    </w:p>
    <w:p w14:paraId="1362E6E8" w14:textId="77777777" w:rsidR="00C13F1B" w:rsidRDefault="00C13F1B" w:rsidP="00DF7AFB">
      <w:pPr>
        <w:spacing w:line="480" w:lineRule="auto"/>
        <w:jc w:val="left"/>
      </w:pPr>
    </w:p>
    <w:p w14:paraId="5F5E1FF0" w14:textId="77777777" w:rsidR="00C13F1B" w:rsidRPr="00DF7AFB" w:rsidRDefault="00C13F1B" w:rsidP="00DF7AFB">
      <w:pPr>
        <w:spacing w:line="480" w:lineRule="auto"/>
        <w:jc w:val="left"/>
      </w:pPr>
    </w:p>
    <w:sectPr w:rsidR="00C13F1B" w:rsidRPr="00DF7AFB">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B3C82" w14:textId="77777777" w:rsidR="002264FA" w:rsidRDefault="002264FA" w:rsidP="005036E7">
      <w:r>
        <w:separator/>
      </w:r>
    </w:p>
  </w:endnote>
  <w:endnote w:type="continuationSeparator" w:id="0">
    <w:p w14:paraId="6A9A24EF" w14:textId="77777777" w:rsidR="002264FA" w:rsidRDefault="002264FA" w:rsidP="00503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2858807"/>
      <w:docPartObj>
        <w:docPartGallery w:val="Page Numbers (Bottom of Page)"/>
        <w:docPartUnique/>
      </w:docPartObj>
    </w:sdtPr>
    <w:sdtContent>
      <w:p w14:paraId="4EFD5152" w14:textId="29DC2320" w:rsidR="005036E7" w:rsidRDefault="005036E7" w:rsidP="007B29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8FFD83" w14:textId="77777777" w:rsidR="005036E7" w:rsidRDefault="005036E7" w:rsidP="005036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2700744"/>
      <w:docPartObj>
        <w:docPartGallery w:val="Page Numbers (Bottom of Page)"/>
        <w:docPartUnique/>
      </w:docPartObj>
    </w:sdtPr>
    <w:sdtContent>
      <w:p w14:paraId="171A1D0A" w14:textId="1AC94710" w:rsidR="005036E7" w:rsidRDefault="005036E7" w:rsidP="007B29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A5CF99" w14:textId="77777777" w:rsidR="005036E7" w:rsidRDefault="005036E7" w:rsidP="005036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53517" w14:textId="77777777" w:rsidR="002264FA" w:rsidRDefault="002264FA" w:rsidP="005036E7">
      <w:r>
        <w:separator/>
      </w:r>
    </w:p>
  </w:footnote>
  <w:footnote w:type="continuationSeparator" w:id="0">
    <w:p w14:paraId="2617E822" w14:textId="77777777" w:rsidR="002264FA" w:rsidRDefault="002264FA" w:rsidP="005036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22"/>
    <w:rsid w:val="00020ACC"/>
    <w:rsid w:val="00026FB4"/>
    <w:rsid w:val="000644E2"/>
    <w:rsid w:val="00075F2A"/>
    <w:rsid w:val="00086C9F"/>
    <w:rsid w:val="001211F7"/>
    <w:rsid w:val="00157E07"/>
    <w:rsid w:val="0018731A"/>
    <w:rsid w:val="001D0D0E"/>
    <w:rsid w:val="001E0222"/>
    <w:rsid w:val="002264FA"/>
    <w:rsid w:val="00231B43"/>
    <w:rsid w:val="002665DB"/>
    <w:rsid w:val="0028106D"/>
    <w:rsid w:val="002D3327"/>
    <w:rsid w:val="002E67DC"/>
    <w:rsid w:val="00301072"/>
    <w:rsid w:val="003614AA"/>
    <w:rsid w:val="00374E85"/>
    <w:rsid w:val="00395C67"/>
    <w:rsid w:val="004F098E"/>
    <w:rsid w:val="004F281F"/>
    <w:rsid w:val="005036E7"/>
    <w:rsid w:val="00525AAD"/>
    <w:rsid w:val="005372E8"/>
    <w:rsid w:val="005904DC"/>
    <w:rsid w:val="005E125A"/>
    <w:rsid w:val="0061648A"/>
    <w:rsid w:val="006523EA"/>
    <w:rsid w:val="00656DC1"/>
    <w:rsid w:val="00665402"/>
    <w:rsid w:val="006C2283"/>
    <w:rsid w:val="0071454E"/>
    <w:rsid w:val="00751A54"/>
    <w:rsid w:val="007E762E"/>
    <w:rsid w:val="007F3AB0"/>
    <w:rsid w:val="0080125A"/>
    <w:rsid w:val="0086374E"/>
    <w:rsid w:val="008A1FAE"/>
    <w:rsid w:val="009033A3"/>
    <w:rsid w:val="00917AE0"/>
    <w:rsid w:val="00921C72"/>
    <w:rsid w:val="00971707"/>
    <w:rsid w:val="00985056"/>
    <w:rsid w:val="00A22C9B"/>
    <w:rsid w:val="00A36EA0"/>
    <w:rsid w:val="00A54E0B"/>
    <w:rsid w:val="00AF0AE2"/>
    <w:rsid w:val="00B01E9D"/>
    <w:rsid w:val="00B1646F"/>
    <w:rsid w:val="00B240A7"/>
    <w:rsid w:val="00B769EB"/>
    <w:rsid w:val="00C13F1B"/>
    <w:rsid w:val="00C2122C"/>
    <w:rsid w:val="00C32EBA"/>
    <w:rsid w:val="00C83120"/>
    <w:rsid w:val="00C93DD2"/>
    <w:rsid w:val="00CB4FD7"/>
    <w:rsid w:val="00D0475E"/>
    <w:rsid w:val="00D90F24"/>
    <w:rsid w:val="00DF7AFB"/>
    <w:rsid w:val="00E35517"/>
    <w:rsid w:val="00E547EE"/>
    <w:rsid w:val="00E64270"/>
    <w:rsid w:val="00EA1542"/>
    <w:rsid w:val="00EC3FA8"/>
    <w:rsid w:val="00ED56ED"/>
    <w:rsid w:val="00F20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14C0"/>
  <w15:chartTrackingRefBased/>
  <w15:docId w15:val="{C89856B3-AD8A-1F4B-BAE4-627781AED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C9F"/>
    <w:pPr>
      <w:jc w:val="both"/>
    </w:pPr>
    <w:rPr>
      <w:rFonts w:ascii="Arial" w:eastAsiaTheme="minorEastAsia" w:hAnsi="Arial"/>
      <w:kern w:val="0"/>
      <w:sz w:val="22"/>
      <w:lang w:val="en-US"/>
      <w14:ligatures w14:val="none"/>
    </w:rPr>
  </w:style>
  <w:style w:type="paragraph" w:styleId="Heading1">
    <w:name w:val="heading 1"/>
    <w:basedOn w:val="Normal"/>
    <w:next w:val="Normal"/>
    <w:link w:val="Heading1Char"/>
    <w:uiPriority w:val="9"/>
    <w:qFormat/>
    <w:rsid w:val="001E0222"/>
    <w:pPr>
      <w:keepNext/>
      <w:keepLines/>
      <w:spacing w:before="360" w:after="80"/>
      <w:jc w:val="left"/>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1E0222"/>
    <w:pPr>
      <w:keepNext/>
      <w:keepLines/>
      <w:spacing w:before="160" w:after="80"/>
      <w:jc w:val="left"/>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1E0222"/>
    <w:pPr>
      <w:keepNext/>
      <w:keepLines/>
      <w:spacing w:before="160" w:after="80"/>
      <w:jc w:val="left"/>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1E0222"/>
    <w:pPr>
      <w:keepNext/>
      <w:keepLines/>
      <w:spacing w:before="80" w:after="40"/>
      <w:jc w:val="left"/>
      <w:outlineLvl w:val="3"/>
    </w:pPr>
    <w:rPr>
      <w:rFonts w:asciiTheme="minorHAnsi" w:eastAsiaTheme="majorEastAsia" w:hAnsiTheme="minorHAnsi" w:cstheme="majorBidi"/>
      <w:i/>
      <w:iCs/>
      <w:color w:val="0F4761" w:themeColor="accent1" w:themeShade="BF"/>
      <w:kern w:val="2"/>
      <w:sz w:val="24"/>
      <w:lang w:val="en-GB"/>
      <w14:ligatures w14:val="standardContextual"/>
    </w:rPr>
  </w:style>
  <w:style w:type="paragraph" w:styleId="Heading5">
    <w:name w:val="heading 5"/>
    <w:basedOn w:val="Normal"/>
    <w:next w:val="Normal"/>
    <w:link w:val="Heading5Char"/>
    <w:uiPriority w:val="9"/>
    <w:semiHidden/>
    <w:unhideWhenUsed/>
    <w:qFormat/>
    <w:rsid w:val="001E0222"/>
    <w:pPr>
      <w:keepNext/>
      <w:keepLines/>
      <w:spacing w:before="80" w:after="40"/>
      <w:jc w:val="left"/>
      <w:outlineLvl w:val="4"/>
    </w:pPr>
    <w:rPr>
      <w:rFonts w:asciiTheme="minorHAnsi" w:eastAsiaTheme="majorEastAsia" w:hAnsiTheme="minorHAnsi" w:cstheme="majorBidi"/>
      <w:color w:val="0F4761" w:themeColor="accent1" w:themeShade="BF"/>
      <w:kern w:val="2"/>
      <w:sz w:val="24"/>
      <w:lang w:val="en-GB"/>
      <w14:ligatures w14:val="standardContextual"/>
    </w:rPr>
  </w:style>
  <w:style w:type="paragraph" w:styleId="Heading6">
    <w:name w:val="heading 6"/>
    <w:basedOn w:val="Normal"/>
    <w:next w:val="Normal"/>
    <w:link w:val="Heading6Char"/>
    <w:uiPriority w:val="9"/>
    <w:semiHidden/>
    <w:unhideWhenUsed/>
    <w:qFormat/>
    <w:rsid w:val="001E0222"/>
    <w:pPr>
      <w:keepNext/>
      <w:keepLines/>
      <w:spacing w:before="40"/>
      <w:jc w:val="left"/>
      <w:outlineLvl w:val="5"/>
    </w:pPr>
    <w:rPr>
      <w:rFonts w:asciiTheme="minorHAnsi" w:eastAsiaTheme="majorEastAsia" w:hAnsiTheme="minorHAnsi" w:cstheme="majorBidi"/>
      <w:i/>
      <w:iCs/>
      <w:color w:val="595959" w:themeColor="text1" w:themeTint="A6"/>
      <w:kern w:val="2"/>
      <w:sz w:val="24"/>
      <w:lang w:val="en-GB"/>
      <w14:ligatures w14:val="standardContextual"/>
    </w:rPr>
  </w:style>
  <w:style w:type="paragraph" w:styleId="Heading7">
    <w:name w:val="heading 7"/>
    <w:basedOn w:val="Normal"/>
    <w:next w:val="Normal"/>
    <w:link w:val="Heading7Char"/>
    <w:uiPriority w:val="9"/>
    <w:semiHidden/>
    <w:unhideWhenUsed/>
    <w:qFormat/>
    <w:rsid w:val="001E0222"/>
    <w:pPr>
      <w:keepNext/>
      <w:keepLines/>
      <w:spacing w:before="40"/>
      <w:jc w:val="left"/>
      <w:outlineLvl w:val="6"/>
    </w:pPr>
    <w:rPr>
      <w:rFonts w:asciiTheme="minorHAnsi" w:eastAsiaTheme="majorEastAsia" w:hAnsiTheme="minorHAnsi" w:cstheme="majorBidi"/>
      <w:color w:val="595959" w:themeColor="text1" w:themeTint="A6"/>
      <w:kern w:val="2"/>
      <w:sz w:val="24"/>
      <w:lang w:val="en-GB"/>
      <w14:ligatures w14:val="standardContextual"/>
    </w:rPr>
  </w:style>
  <w:style w:type="paragraph" w:styleId="Heading8">
    <w:name w:val="heading 8"/>
    <w:basedOn w:val="Normal"/>
    <w:next w:val="Normal"/>
    <w:link w:val="Heading8Char"/>
    <w:uiPriority w:val="9"/>
    <w:semiHidden/>
    <w:unhideWhenUsed/>
    <w:qFormat/>
    <w:rsid w:val="001E0222"/>
    <w:pPr>
      <w:keepNext/>
      <w:keepLines/>
      <w:jc w:val="left"/>
      <w:outlineLvl w:val="7"/>
    </w:pPr>
    <w:rPr>
      <w:rFonts w:asciiTheme="minorHAnsi" w:eastAsiaTheme="majorEastAsia" w:hAnsiTheme="minorHAnsi" w:cstheme="majorBidi"/>
      <w:i/>
      <w:iCs/>
      <w:color w:val="272727" w:themeColor="text1" w:themeTint="D8"/>
      <w:kern w:val="2"/>
      <w:sz w:val="24"/>
      <w:lang w:val="en-GB"/>
      <w14:ligatures w14:val="standardContextual"/>
    </w:rPr>
  </w:style>
  <w:style w:type="paragraph" w:styleId="Heading9">
    <w:name w:val="heading 9"/>
    <w:basedOn w:val="Normal"/>
    <w:next w:val="Normal"/>
    <w:link w:val="Heading9Char"/>
    <w:uiPriority w:val="9"/>
    <w:semiHidden/>
    <w:unhideWhenUsed/>
    <w:qFormat/>
    <w:rsid w:val="001E0222"/>
    <w:pPr>
      <w:keepNext/>
      <w:keepLines/>
      <w:jc w:val="left"/>
      <w:outlineLvl w:val="8"/>
    </w:pPr>
    <w:rPr>
      <w:rFonts w:asciiTheme="minorHAnsi" w:eastAsiaTheme="majorEastAsia" w:hAnsiTheme="minorHAnsi" w:cstheme="majorBidi"/>
      <w:color w:val="272727" w:themeColor="text1" w:themeTint="D8"/>
      <w:kern w:val="2"/>
      <w:sz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2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2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2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2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2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222"/>
    <w:rPr>
      <w:rFonts w:eastAsiaTheme="majorEastAsia" w:cstheme="majorBidi"/>
      <w:color w:val="272727" w:themeColor="text1" w:themeTint="D8"/>
    </w:rPr>
  </w:style>
  <w:style w:type="paragraph" w:styleId="Title">
    <w:name w:val="Title"/>
    <w:basedOn w:val="Normal"/>
    <w:next w:val="Normal"/>
    <w:link w:val="TitleChar"/>
    <w:uiPriority w:val="10"/>
    <w:qFormat/>
    <w:rsid w:val="001E0222"/>
    <w:pPr>
      <w:spacing w:after="80"/>
      <w:contextualSpacing/>
      <w:jc w:val="left"/>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1E0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222"/>
    <w:pPr>
      <w:numPr>
        <w:ilvl w:val="1"/>
      </w:numPr>
      <w:spacing w:after="160"/>
      <w:jc w:val="left"/>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1E0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222"/>
    <w:pPr>
      <w:spacing w:before="160" w:after="160"/>
      <w:jc w:val="center"/>
    </w:pPr>
    <w:rPr>
      <w:rFonts w:asciiTheme="minorHAnsi" w:eastAsiaTheme="minorHAnsi" w:hAnsiTheme="minorHAnsi"/>
      <w:i/>
      <w:iCs/>
      <w:color w:val="404040" w:themeColor="text1" w:themeTint="BF"/>
      <w:kern w:val="2"/>
      <w:sz w:val="24"/>
      <w:lang w:val="en-GB"/>
      <w14:ligatures w14:val="standardContextual"/>
    </w:rPr>
  </w:style>
  <w:style w:type="character" w:customStyle="1" w:styleId="QuoteChar">
    <w:name w:val="Quote Char"/>
    <w:basedOn w:val="DefaultParagraphFont"/>
    <w:link w:val="Quote"/>
    <w:uiPriority w:val="29"/>
    <w:rsid w:val="001E0222"/>
    <w:rPr>
      <w:i/>
      <w:iCs/>
      <w:color w:val="404040" w:themeColor="text1" w:themeTint="BF"/>
    </w:rPr>
  </w:style>
  <w:style w:type="paragraph" w:styleId="ListParagraph">
    <w:name w:val="List Paragraph"/>
    <w:basedOn w:val="Normal"/>
    <w:uiPriority w:val="34"/>
    <w:qFormat/>
    <w:rsid w:val="001E0222"/>
    <w:pPr>
      <w:ind w:left="720"/>
      <w:contextualSpacing/>
      <w:jc w:val="left"/>
    </w:pPr>
    <w:rPr>
      <w:rFonts w:asciiTheme="minorHAnsi" w:eastAsiaTheme="minorHAnsi" w:hAnsiTheme="minorHAnsi"/>
      <w:kern w:val="2"/>
      <w:sz w:val="24"/>
      <w:lang w:val="en-GB"/>
      <w14:ligatures w14:val="standardContextual"/>
    </w:rPr>
  </w:style>
  <w:style w:type="character" w:styleId="IntenseEmphasis">
    <w:name w:val="Intense Emphasis"/>
    <w:basedOn w:val="DefaultParagraphFont"/>
    <w:uiPriority w:val="21"/>
    <w:qFormat/>
    <w:rsid w:val="001E0222"/>
    <w:rPr>
      <w:i/>
      <w:iCs/>
      <w:color w:val="0F4761" w:themeColor="accent1" w:themeShade="BF"/>
    </w:rPr>
  </w:style>
  <w:style w:type="paragraph" w:styleId="IntenseQuote">
    <w:name w:val="Intense Quote"/>
    <w:basedOn w:val="Normal"/>
    <w:next w:val="Normal"/>
    <w:link w:val="IntenseQuoteChar"/>
    <w:uiPriority w:val="30"/>
    <w:qFormat/>
    <w:rsid w:val="001E022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i/>
      <w:iCs/>
      <w:color w:val="0F4761" w:themeColor="accent1" w:themeShade="BF"/>
      <w:kern w:val="2"/>
      <w:sz w:val="24"/>
      <w:lang w:val="en-GB"/>
      <w14:ligatures w14:val="standardContextual"/>
    </w:rPr>
  </w:style>
  <w:style w:type="character" w:customStyle="1" w:styleId="IntenseQuoteChar">
    <w:name w:val="Intense Quote Char"/>
    <w:basedOn w:val="DefaultParagraphFont"/>
    <w:link w:val="IntenseQuote"/>
    <w:uiPriority w:val="30"/>
    <w:rsid w:val="001E0222"/>
    <w:rPr>
      <w:i/>
      <w:iCs/>
      <w:color w:val="0F4761" w:themeColor="accent1" w:themeShade="BF"/>
    </w:rPr>
  </w:style>
  <w:style w:type="character" w:styleId="IntenseReference">
    <w:name w:val="Intense Reference"/>
    <w:basedOn w:val="DefaultParagraphFont"/>
    <w:uiPriority w:val="32"/>
    <w:qFormat/>
    <w:rsid w:val="001E0222"/>
    <w:rPr>
      <w:b/>
      <w:bCs/>
      <w:smallCaps/>
      <w:color w:val="0F4761" w:themeColor="accent1" w:themeShade="BF"/>
      <w:spacing w:val="5"/>
    </w:rPr>
  </w:style>
  <w:style w:type="character" w:styleId="Hyperlink">
    <w:name w:val="Hyperlink"/>
    <w:basedOn w:val="DefaultParagraphFont"/>
    <w:uiPriority w:val="99"/>
    <w:unhideWhenUsed/>
    <w:rsid w:val="00DF7AFB"/>
    <w:rPr>
      <w:color w:val="467886" w:themeColor="hyperlink"/>
      <w:u w:val="single"/>
    </w:rPr>
  </w:style>
  <w:style w:type="character" w:styleId="UnresolvedMention">
    <w:name w:val="Unresolved Mention"/>
    <w:basedOn w:val="DefaultParagraphFont"/>
    <w:uiPriority w:val="99"/>
    <w:semiHidden/>
    <w:unhideWhenUsed/>
    <w:rsid w:val="00DF7AFB"/>
    <w:rPr>
      <w:color w:val="605E5C"/>
      <w:shd w:val="clear" w:color="auto" w:fill="E1DFDD"/>
    </w:rPr>
  </w:style>
  <w:style w:type="table" w:styleId="TableGrid">
    <w:name w:val="Table Grid"/>
    <w:basedOn w:val="TableNormal"/>
    <w:uiPriority w:val="39"/>
    <w:rsid w:val="00DF7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036E7"/>
    <w:pPr>
      <w:tabs>
        <w:tab w:val="center" w:pos="4513"/>
        <w:tab w:val="right" w:pos="9026"/>
      </w:tabs>
    </w:pPr>
  </w:style>
  <w:style w:type="character" w:customStyle="1" w:styleId="FooterChar">
    <w:name w:val="Footer Char"/>
    <w:basedOn w:val="DefaultParagraphFont"/>
    <w:link w:val="Footer"/>
    <w:uiPriority w:val="99"/>
    <w:rsid w:val="005036E7"/>
    <w:rPr>
      <w:rFonts w:ascii="Arial" w:eastAsiaTheme="minorEastAsia" w:hAnsi="Arial"/>
      <w:kern w:val="0"/>
      <w:sz w:val="22"/>
      <w:lang w:val="en-US"/>
      <w14:ligatures w14:val="none"/>
    </w:rPr>
  </w:style>
  <w:style w:type="character" w:styleId="PageNumber">
    <w:name w:val="page number"/>
    <w:basedOn w:val="DefaultParagraphFont"/>
    <w:uiPriority w:val="99"/>
    <w:semiHidden/>
    <w:unhideWhenUsed/>
    <w:rsid w:val="00503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17686">
      <w:bodyDiv w:val="1"/>
      <w:marLeft w:val="0"/>
      <w:marRight w:val="0"/>
      <w:marTop w:val="0"/>
      <w:marBottom w:val="0"/>
      <w:divBdr>
        <w:top w:val="none" w:sz="0" w:space="0" w:color="auto"/>
        <w:left w:val="none" w:sz="0" w:space="0" w:color="auto"/>
        <w:bottom w:val="none" w:sz="0" w:space="0" w:color="auto"/>
        <w:right w:val="none" w:sz="0" w:space="0" w:color="auto"/>
      </w:divBdr>
    </w:div>
    <w:div w:id="339820631">
      <w:bodyDiv w:val="1"/>
      <w:marLeft w:val="0"/>
      <w:marRight w:val="0"/>
      <w:marTop w:val="0"/>
      <w:marBottom w:val="0"/>
      <w:divBdr>
        <w:top w:val="none" w:sz="0" w:space="0" w:color="auto"/>
        <w:left w:val="none" w:sz="0" w:space="0" w:color="auto"/>
        <w:bottom w:val="none" w:sz="0" w:space="0" w:color="auto"/>
        <w:right w:val="none" w:sz="0" w:space="0" w:color="auto"/>
      </w:divBdr>
    </w:div>
    <w:div w:id="377366020">
      <w:bodyDiv w:val="1"/>
      <w:marLeft w:val="0"/>
      <w:marRight w:val="0"/>
      <w:marTop w:val="0"/>
      <w:marBottom w:val="0"/>
      <w:divBdr>
        <w:top w:val="none" w:sz="0" w:space="0" w:color="auto"/>
        <w:left w:val="none" w:sz="0" w:space="0" w:color="auto"/>
        <w:bottom w:val="none" w:sz="0" w:space="0" w:color="auto"/>
        <w:right w:val="none" w:sz="0" w:space="0" w:color="auto"/>
      </w:divBdr>
    </w:div>
    <w:div w:id="449129848">
      <w:bodyDiv w:val="1"/>
      <w:marLeft w:val="0"/>
      <w:marRight w:val="0"/>
      <w:marTop w:val="0"/>
      <w:marBottom w:val="0"/>
      <w:divBdr>
        <w:top w:val="none" w:sz="0" w:space="0" w:color="auto"/>
        <w:left w:val="none" w:sz="0" w:space="0" w:color="auto"/>
        <w:bottom w:val="none" w:sz="0" w:space="0" w:color="auto"/>
        <w:right w:val="none" w:sz="0" w:space="0" w:color="auto"/>
      </w:divBdr>
    </w:div>
    <w:div w:id="450630381">
      <w:bodyDiv w:val="1"/>
      <w:marLeft w:val="0"/>
      <w:marRight w:val="0"/>
      <w:marTop w:val="0"/>
      <w:marBottom w:val="0"/>
      <w:divBdr>
        <w:top w:val="none" w:sz="0" w:space="0" w:color="auto"/>
        <w:left w:val="none" w:sz="0" w:space="0" w:color="auto"/>
        <w:bottom w:val="none" w:sz="0" w:space="0" w:color="auto"/>
        <w:right w:val="none" w:sz="0" w:space="0" w:color="auto"/>
      </w:divBdr>
    </w:div>
    <w:div w:id="472064619">
      <w:bodyDiv w:val="1"/>
      <w:marLeft w:val="0"/>
      <w:marRight w:val="0"/>
      <w:marTop w:val="0"/>
      <w:marBottom w:val="0"/>
      <w:divBdr>
        <w:top w:val="none" w:sz="0" w:space="0" w:color="auto"/>
        <w:left w:val="none" w:sz="0" w:space="0" w:color="auto"/>
        <w:bottom w:val="none" w:sz="0" w:space="0" w:color="auto"/>
        <w:right w:val="none" w:sz="0" w:space="0" w:color="auto"/>
      </w:divBdr>
    </w:div>
    <w:div w:id="717052814">
      <w:bodyDiv w:val="1"/>
      <w:marLeft w:val="0"/>
      <w:marRight w:val="0"/>
      <w:marTop w:val="0"/>
      <w:marBottom w:val="0"/>
      <w:divBdr>
        <w:top w:val="none" w:sz="0" w:space="0" w:color="auto"/>
        <w:left w:val="none" w:sz="0" w:space="0" w:color="auto"/>
        <w:bottom w:val="none" w:sz="0" w:space="0" w:color="auto"/>
        <w:right w:val="none" w:sz="0" w:space="0" w:color="auto"/>
      </w:divBdr>
    </w:div>
    <w:div w:id="1331176132">
      <w:bodyDiv w:val="1"/>
      <w:marLeft w:val="0"/>
      <w:marRight w:val="0"/>
      <w:marTop w:val="0"/>
      <w:marBottom w:val="0"/>
      <w:divBdr>
        <w:top w:val="none" w:sz="0" w:space="0" w:color="auto"/>
        <w:left w:val="none" w:sz="0" w:space="0" w:color="auto"/>
        <w:bottom w:val="none" w:sz="0" w:space="0" w:color="auto"/>
        <w:right w:val="none" w:sz="0" w:space="0" w:color="auto"/>
      </w:divBdr>
    </w:div>
    <w:div w:id="1352679916">
      <w:bodyDiv w:val="1"/>
      <w:marLeft w:val="0"/>
      <w:marRight w:val="0"/>
      <w:marTop w:val="0"/>
      <w:marBottom w:val="0"/>
      <w:divBdr>
        <w:top w:val="none" w:sz="0" w:space="0" w:color="auto"/>
        <w:left w:val="none" w:sz="0" w:space="0" w:color="auto"/>
        <w:bottom w:val="none" w:sz="0" w:space="0" w:color="auto"/>
        <w:right w:val="none" w:sz="0" w:space="0" w:color="auto"/>
      </w:divBdr>
    </w:div>
    <w:div w:id="180473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lancet.com/journals/lanpsy/article/PIIS2215-0366(20)30569-1/fulltext"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nature.com/articles/s41398-020-0706-0"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nk.springer.com/article/10.1007/s00787-021-01727-4" TargetMode="External"/><Relationship Id="rId11" Type="http://schemas.openxmlformats.org/officeDocument/2006/relationships/hyperlink" Target="https://www.thelancet.com/journals/lanpsy/article/PIIS2215-0366(20)30569-1/fulltext"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journals.sagepub.com/doi/full/10.1177/1077559519888587" TargetMode="External"/><Relationship Id="rId4" Type="http://schemas.openxmlformats.org/officeDocument/2006/relationships/footnotes" Target="footnotes.xml"/><Relationship Id="rId9" Type="http://schemas.openxmlformats.org/officeDocument/2006/relationships/hyperlink" Target="https://www.cambridge.org/core/journals/development-and-psychopathology/article/abs/genetic-and-environmental-etiology-of-child-maltreatment-in-a-parentbased-extended-family-design/09BB06134CE8DFC11FCD3B20A4B15D7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.~WRD0003</Template>
  <TotalTime>61</TotalTime>
  <Pages>4</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Danese</dc:creator>
  <cp:keywords/>
  <dc:description/>
  <cp:lastModifiedBy>Danese, Andrea</cp:lastModifiedBy>
  <cp:revision>21</cp:revision>
  <dcterms:created xsi:type="dcterms:W3CDTF">2024-09-06T10:48:00Z</dcterms:created>
  <dcterms:modified xsi:type="dcterms:W3CDTF">2024-09-09T12:17:00Z</dcterms:modified>
</cp:coreProperties>
</file>