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A0BACA" w14:textId="71FFAB06" w:rsidR="00195E14" w:rsidRPr="00691154" w:rsidRDefault="00195E14" w:rsidP="00294B60">
      <w:pPr>
        <w:spacing w:line="276" w:lineRule="auto"/>
        <w:jc w:val="center"/>
        <w:rPr>
          <w:b/>
          <w:bCs/>
          <w:sz w:val="28"/>
          <w:szCs w:val="28"/>
        </w:rPr>
      </w:pPr>
      <w:r w:rsidRPr="00691154">
        <w:rPr>
          <w:b/>
          <w:bCs/>
          <w:sz w:val="28"/>
          <w:szCs w:val="28"/>
        </w:rPr>
        <w:t xml:space="preserve">Supplementary Materials: </w:t>
      </w:r>
      <w:r w:rsidR="000E7FF8" w:rsidRPr="00691154">
        <w:rPr>
          <w:b/>
          <w:bCs/>
          <w:sz w:val="28"/>
          <w:szCs w:val="28"/>
        </w:rPr>
        <w:t>Analysis of rare coding variants in schizophrenia-associated genes and generalised cognition in the UK Biobank</w:t>
      </w:r>
    </w:p>
    <w:sdt>
      <w:sdtPr>
        <w:rPr>
          <w:rFonts w:ascii="Times New Roman" w:eastAsia="Times New Roman" w:hAnsi="Times New Roman" w:cs="Times New Roman"/>
          <w:b w:val="0"/>
          <w:bCs w:val="0"/>
          <w:sz w:val="24"/>
          <w:szCs w:val="24"/>
        </w:rPr>
        <w:id w:val="1251922516"/>
        <w:docPartObj>
          <w:docPartGallery w:val="Table of Contents"/>
          <w:docPartUnique/>
        </w:docPartObj>
      </w:sdtPr>
      <w:sdtEndPr>
        <w:rPr>
          <w:noProof/>
          <w:sz w:val="22"/>
          <w:szCs w:val="22"/>
        </w:rPr>
      </w:sdtEndPr>
      <w:sdtContent>
        <w:p w14:paraId="6CCACAA0" w14:textId="6240332E" w:rsidR="00195E14" w:rsidRPr="00691154" w:rsidRDefault="00195E14" w:rsidP="001B23E0">
          <w:pPr>
            <w:pStyle w:val="TOCHeading"/>
          </w:pPr>
          <w:r w:rsidRPr="00691154">
            <w:t>Table of Contents</w:t>
          </w:r>
        </w:p>
        <w:p w14:paraId="11C9B56D" w14:textId="7B51B372" w:rsidR="00420753" w:rsidRDefault="00195E14">
          <w:pPr>
            <w:pStyle w:val="TOC1"/>
            <w:tabs>
              <w:tab w:val="right" w:leader="dot" w:pos="9016"/>
            </w:tabs>
            <w:rPr>
              <w:rFonts w:eastAsiaTheme="minorEastAsia" w:cstheme="minorBidi"/>
              <w:b w:val="0"/>
              <w:bCs w:val="0"/>
              <w:i w:val="0"/>
              <w:iCs w:val="0"/>
              <w:noProof/>
              <w:kern w:val="2"/>
              <w:sz w:val="24"/>
              <w14:ligatures w14:val="standardContextual"/>
            </w:rPr>
          </w:pPr>
          <w:r w:rsidRPr="00691154">
            <w:rPr>
              <w:b w:val="0"/>
              <w:bCs w:val="0"/>
            </w:rPr>
            <w:fldChar w:fldCharType="begin"/>
          </w:r>
          <w:r w:rsidRPr="00691154">
            <w:instrText xml:space="preserve"> TOC \o "1-3" \h \z \u </w:instrText>
          </w:r>
          <w:r w:rsidRPr="00691154">
            <w:rPr>
              <w:b w:val="0"/>
              <w:bCs w:val="0"/>
            </w:rPr>
            <w:fldChar w:fldCharType="separate"/>
          </w:r>
          <w:hyperlink w:anchor="_Toc225510436" w:history="1">
            <w:r w:rsidR="00420753" w:rsidRPr="008C5814">
              <w:rPr>
                <w:rStyle w:val="Hyperlink"/>
                <w:noProof/>
              </w:rPr>
              <w:t>Supplementary Materials</w:t>
            </w:r>
            <w:r w:rsidR="00420753">
              <w:rPr>
                <w:noProof/>
                <w:webHidden/>
              </w:rPr>
              <w:tab/>
            </w:r>
            <w:r w:rsidR="00420753">
              <w:rPr>
                <w:noProof/>
                <w:webHidden/>
              </w:rPr>
              <w:fldChar w:fldCharType="begin"/>
            </w:r>
            <w:r w:rsidR="00420753">
              <w:rPr>
                <w:noProof/>
                <w:webHidden/>
              </w:rPr>
              <w:instrText xml:space="preserve"> PAGEREF _Toc225510436 \h </w:instrText>
            </w:r>
            <w:r w:rsidR="00420753">
              <w:rPr>
                <w:noProof/>
                <w:webHidden/>
              </w:rPr>
            </w:r>
            <w:r w:rsidR="00420753">
              <w:rPr>
                <w:noProof/>
                <w:webHidden/>
              </w:rPr>
              <w:fldChar w:fldCharType="separate"/>
            </w:r>
            <w:r w:rsidR="00420753">
              <w:rPr>
                <w:noProof/>
                <w:webHidden/>
              </w:rPr>
              <w:t>2</w:t>
            </w:r>
            <w:r w:rsidR="00420753">
              <w:rPr>
                <w:noProof/>
                <w:webHidden/>
              </w:rPr>
              <w:fldChar w:fldCharType="end"/>
            </w:r>
          </w:hyperlink>
        </w:p>
        <w:p w14:paraId="0241CCED" w14:textId="1EBBBCB8" w:rsidR="00420753" w:rsidRDefault="00420753">
          <w:pPr>
            <w:pStyle w:val="TOC2"/>
            <w:tabs>
              <w:tab w:val="left" w:pos="960"/>
              <w:tab w:val="right" w:leader="dot" w:pos="9016"/>
            </w:tabs>
            <w:rPr>
              <w:rFonts w:eastAsiaTheme="minorEastAsia" w:cstheme="minorBidi"/>
              <w:b w:val="0"/>
              <w:bCs w:val="0"/>
              <w:noProof/>
              <w:kern w:val="2"/>
              <w:sz w:val="24"/>
              <w:szCs w:val="24"/>
              <w14:ligatures w14:val="standardContextual"/>
            </w:rPr>
          </w:pPr>
          <w:hyperlink w:anchor="_Toc225510437" w:history="1">
            <w:r w:rsidRPr="008C5814">
              <w:rPr>
                <w:rStyle w:val="Hyperlink"/>
                <w:noProof/>
              </w:rPr>
              <w:t>1.1</w:t>
            </w:r>
            <w:r>
              <w:rPr>
                <w:rFonts w:eastAsiaTheme="minorEastAsia" w:cstheme="minorBidi"/>
                <w:b w:val="0"/>
                <w:bCs w:val="0"/>
                <w:noProof/>
                <w:kern w:val="2"/>
                <w:sz w:val="24"/>
                <w:szCs w:val="24"/>
                <w14:ligatures w14:val="standardContextual"/>
              </w:rPr>
              <w:tab/>
            </w:r>
            <w:r w:rsidRPr="008C5814">
              <w:rPr>
                <w:rStyle w:val="Hyperlink"/>
                <w:noProof/>
              </w:rPr>
              <w:t>Inferring genetic sex</w:t>
            </w:r>
            <w:r>
              <w:rPr>
                <w:noProof/>
                <w:webHidden/>
              </w:rPr>
              <w:tab/>
            </w:r>
            <w:r>
              <w:rPr>
                <w:noProof/>
                <w:webHidden/>
              </w:rPr>
              <w:fldChar w:fldCharType="begin"/>
            </w:r>
            <w:r>
              <w:rPr>
                <w:noProof/>
                <w:webHidden/>
              </w:rPr>
              <w:instrText xml:space="preserve"> PAGEREF _Toc225510437 \h </w:instrText>
            </w:r>
            <w:r>
              <w:rPr>
                <w:noProof/>
                <w:webHidden/>
              </w:rPr>
            </w:r>
            <w:r>
              <w:rPr>
                <w:noProof/>
                <w:webHidden/>
              </w:rPr>
              <w:fldChar w:fldCharType="separate"/>
            </w:r>
            <w:r>
              <w:rPr>
                <w:noProof/>
                <w:webHidden/>
              </w:rPr>
              <w:t>2</w:t>
            </w:r>
            <w:r>
              <w:rPr>
                <w:noProof/>
                <w:webHidden/>
              </w:rPr>
              <w:fldChar w:fldCharType="end"/>
            </w:r>
          </w:hyperlink>
        </w:p>
        <w:p w14:paraId="315F47A9" w14:textId="72B00131" w:rsidR="00420753" w:rsidRDefault="00420753">
          <w:pPr>
            <w:pStyle w:val="TOC2"/>
            <w:tabs>
              <w:tab w:val="left" w:pos="960"/>
              <w:tab w:val="right" w:leader="dot" w:pos="9016"/>
            </w:tabs>
            <w:rPr>
              <w:rFonts w:eastAsiaTheme="minorEastAsia" w:cstheme="minorBidi"/>
              <w:b w:val="0"/>
              <w:bCs w:val="0"/>
              <w:noProof/>
              <w:kern w:val="2"/>
              <w:sz w:val="24"/>
              <w:szCs w:val="24"/>
              <w14:ligatures w14:val="standardContextual"/>
            </w:rPr>
          </w:pPr>
          <w:hyperlink w:anchor="_Toc225510438" w:history="1">
            <w:r w:rsidRPr="008C5814">
              <w:rPr>
                <w:rStyle w:val="Hyperlink"/>
                <w:noProof/>
              </w:rPr>
              <w:t>1.2</w:t>
            </w:r>
            <w:r>
              <w:rPr>
                <w:rFonts w:eastAsiaTheme="minorEastAsia" w:cstheme="minorBidi"/>
                <w:b w:val="0"/>
                <w:bCs w:val="0"/>
                <w:noProof/>
                <w:kern w:val="2"/>
                <w:sz w:val="24"/>
                <w:szCs w:val="24"/>
                <w14:ligatures w14:val="standardContextual"/>
              </w:rPr>
              <w:tab/>
            </w:r>
            <w:r w:rsidRPr="008C5814">
              <w:rPr>
                <w:rStyle w:val="Hyperlink"/>
                <w:noProof/>
              </w:rPr>
              <w:t>Genetic ancestry inference</w:t>
            </w:r>
            <w:r>
              <w:rPr>
                <w:noProof/>
                <w:webHidden/>
              </w:rPr>
              <w:tab/>
            </w:r>
            <w:r>
              <w:rPr>
                <w:noProof/>
                <w:webHidden/>
              </w:rPr>
              <w:fldChar w:fldCharType="begin"/>
            </w:r>
            <w:r>
              <w:rPr>
                <w:noProof/>
                <w:webHidden/>
              </w:rPr>
              <w:instrText xml:space="preserve"> PAGEREF _Toc225510438 \h </w:instrText>
            </w:r>
            <w:r>
              <w:rPr>
                <w:noProof/>
                <w:webHidden/>
              </w:rPr>
            </w:r>
            <w:r>
              <w:rPr>
                <w:noProof/>
                <w:webHidden/>
              </w:rPr>
              <w:fldChar w:fldCharType="separate"/>
            </w:r>
            <w:r>
              <w:rPr>
                <w:noProof/>
                <w:webHidden/>
              </w:rPr>
              <w:t>2</w:t>
            </w:r>
            <w:r>
              <w:rPr>
                <w:noProof/>
                <w:webHidden/>
              </w:rPr>
              <w:fldChar w:fldCharType="end"/>
            </w:r>
          </w:hyperlink>
        </w:p>
        <w:p w14:paraId="2F4CF4A4" w14:textId="2F3B7DE5" w:rsidR="00420753" w:rsidRDefault="00420753">
          <w:pPr>
            <w:pStyle w:val="TOC2"/>
            <w:tabs>
              <w:tab w:val="left" w:pos="960"/>
              <w:tab w:val="right" w:leader="dot" w:pos="9016"/>
            </w:tabs>
            <w:rPr>
              <w:rFonts w:eastAsiaTheme="minorEastAsia" w:cstheme="minorBidi"/>
              <w:b w:val="0"/>
              <w:bCs w:val="0"/>
              <w:noProof/>
              <w:kern w:val="2"/>
              <w:sz w:val="24"/>
              <w:szCs w:val="24"/>
              <w14:ligatures w14:val="standardContextual"/>
            </w:rPr>
          </w:pPr>
          <w:hyperlink w:anchor="_Toc225510439" w:history="1">
            <w:r w:rsidRPr="008C5814">
              <w:rPr>
                <w:rStyle w:val="Hyperlink"/>
                <w:noProof/>
              </w:rPr>
              <w:t>1.3</w:t>
            </w:r>
            <w:r>
              <w:rPr>
                <w:rFonts w:eastAsiaTheme="minorEastAsia" w:cstheme="minorBidi"/>
                <w:b w:val="0"/>
                <w:bCs w:val="0"/>
                <w:noProof/>
                <w:kern w:val="2"/>
                <w:sz w:val="24"/>
                <w:szCs w:val="24"/>
                <w14:ligatures w14:val="standardContextual"/>
              </w:rPr>
              <w:tab/>
            </w:r>
            <w:r w:rsidRPr="008C5814">
              <w:rPr>
                <w:rStyle w:val="Hyperlink"/>
                <w:noProof/>
              </w:rPr>
              <w:t>Deriving generalised cognition (</w:t>
            </w:r>
            <w:r w:rsidRPr="008C5814">
              <w:rPr>
                <w:rStyle w:val="Hyperlink"/>
                <w:i/>
                <w:iCs/>
                <w:noProof/>
              </w:rPr>
              <w:t>g</w:t>
            </w:r>
            <w:r w:rsidRPr="008C5814">
              <w:rPr>
                <w:rStyle w:val="Hyperlink"/>
                <w:noProof/>
              </w:rPr>
              <w:t>)</w:t>
            </w:r>
            <w:r>
              <w:rPr>
                <w:noProof/>
                <w:webHidden/>
              </w:rPr>
              <w:tab/>
            </w:r>
            <w:r>
              <w:rPr>
                <w:noProof/>
                <w:webHidden/>
              </w:rPr>
              <w:fldChar w:fldCharType="begin"/>
            </w:r>
            <w:r>
              <w:rPr>
                <w:noProof/>
                <w:webHidden/>
              </w:rPr>
              <w:instrText xml:space="preserve"> PAGEREF _Toc225510439 \h </w:instrText>
            </w:r>
            <w:r>
              <w:rPr>
                <w:noProof/>
                <w:webHidden/>
              </w:rPr>
            </w:r>
            <w:r>
              <w:rPr>
                <w:noProof/>
                <w:webHidden/>
              </w:rPr>
              <w:fldChar w:fldCharType="separate"/>
            </w:r>
            <w:r>
              <w:rPr>
                <w:noProof/>
                <w:webHidden/>
              </w:rPr>
              <w:t>4</w:t>
            </w:r>
            <w:r>
              <w:rPr>
                <w:noProof/>
                <w:webHidden/>
              </w:rPr>
              <w:fldChar w:fldCharType="end"/>
            </w:r>
          </w:hyperlink>
        </w:p>
        <w:p w14:paraId="365204AE" w14:textId="3D4942D5" w:rsidR="00420753" w:rsidRDefault="00420753">
          <w:pPr>
            <w:pStyle w:val="TOC2"/>
            <w:tabs>
              <w:tab w:val="left" w:pos="960"/>
              <w:tab w:val="right" w:leader="dot" w:pos="9016"/>
            </w:tabs>
            <w:rPr>
              <w:rFonts w:eastAsiaTheme="minorEastAsia" w:cstheme="minorBidi"/>
              <w:b w:val="0"/>
              <w:bCs w:val="0"/>
              <w:noProof/>
              <w:kern w:val="2"/>
              <w:sz w:val="24"/>
              <w:szCs w:val="24"/>
              <w14:ligatures w14:val="standardContextual"/>
            </w:rPr>
          </w:pPr>
          <w:hyperlink w:anchor="_Toc225510440" w:history="1">
            <w:r w:rsidRPr="008C5814">
              <w:rPr>
                <w:rStyle w:val="Hyperlink"/>
                <w:noProof/>
              </w:rPr>
              <w:t>1.4</w:t>
            </w:r>
            <w:r>
              <w:rPr>
                <w:rFonts w:eastAsiaTheme="minorEastAsia" w:cstheme="minorBidi"/>
                <w:b w:val="0"/>
                <w:bCs w:val="0"/>
                <w:noProof/>
                <w:kern w:val="2"/>
                <w:sz w:val="24"/>
                <w:szCs w:val="24"/>
                <w14:ligatures w14:val="standardContextual"/>
              </w:rPr>
              <w:tab/>
            </w:r>
            <w:r w:rsidRPr="008C5814">
              <w:rPr>
                <w:rStyle w:val="Hyperlink"/>
                <w:noProof/>
              </w:rPr>
              <w:t xml:space="preserve">Additional measures of </w:t>
            </w:r>
            <w:r w:rsidRPr="008C5814">
              <w:rPr>
                <w:rStyle w:val="Hyperlink"/>
                <w:i/>
                <w:noProof/>
              </w:rPr>
              <w:t>g</w:t>
            </w:r>
            <w:r w:rsidRPr="008C5814">
              <w:rPr>
                <w:rStyle w:val="Hyperlink"/>
                <w:noProof/>
              </w:rPr>
              <w:t xml:space="preserve"> in the UK Biobank</w:t>
            </w:r>
            <w:r>
              <w:rPr>
                <w:noProof/>
                <w:webHidden/>
              </w:rPr>
              <w:tab/>
            </w:r>
            <w:r>
              <w:rPr>
                <w:noProof/>
                <w:webHidden/>
              </w:rPr>
              <w:fldChar w:fldCharType="begin"/>
            </w:r>
            <w:r>
              <w:rPr>
                <w:noProof/>
                <w:webHidden/>
              </w:rPr>
              <w:instrText xml:space="preserve"> PAGEREF _Toc225510440 \h </w:instrText>
            </w:r>
            <w:r>
              <w:rPr>
                <w:noProof/>
                <w:webHidden/>
              </w:rPr>
            </w:r>
            <w:r>
              <w:rPr>
                <w:noProof/>
                <w:webHidden/>
              </w:rPr>
              <w:fldChar w:fldCharType="separate"/>
            </w:r>
            <w:r>
              <w:rPr>
                <w:noProof/>
                <w:webHidden/>
              </w:rPr>
              <w:t>4</w:t>
            </w:r>
            <w:r>
              <w:rPr>
                <w:noProof/>
                <w:webHidden/>
              </w:rPr>
              <w:fldChar w:fldCharType="end"/>
            </w:r>
          </w:hyperlink>
        </w:p>
        <w:p w14:paraId="038A5D88" w14:textId="10A7C699" w:rsidR="00420753" w:rsidRDefault="00420753">
          <w:pPr>
            <w:pStyle w:val="TOC1"/>
            <w:tabs>
              <w:tab w:val="right" w:leader="dot" w:pos="9016"/>
            </w:tabs>
            <w:rPr>
              <w:rFonts w:eastAsiaTheme="minorEastAsia" w:cstheme="minorBidi"/>
              <w:b w:val="0"/>
              <w:bCs w:val="0"/>
              <w:i w:val="0"/>
              <w:iCs w:val="0"/>
              <w:noProof/>
              <w:kern w:val="2"/>
              <w:sz w:val="24"/>
              <w14:ligatures w14:val="standardContextual"/>
            </w:rPr>
          </w:pPr>
          <w:hyperlink w:anchor="_Toc225510441" w:history="1">
            <w:r w:rsidRPr="008C5814">
              <w:rPr>
                <w:rStyle w:val="Hyperlink"/>
                <w:noProof/>
              </w:rPr>
              <w:t>Supplementary Figures</w:t>
            </w:r>
            <w:r>
              <w:rPr>
                <w:noProof/>
                <w:webHidden/>
              </w:rPr>
              <w:tab/>
            </w:r>
            <w:r>
              <w:rPr>
                <w:noProof/>
                <w:webHidden/>
              </w:rPr>
              <w:fldChar w:fldCharType="begin"/>
            </w:r>
            <w:r>
              <w:rPr>
                <w:noProof/>
                <w:webHidden/>
              </w:rPr>
              <w:instrText xml:space="preserve"> PAGEREF _Toc225510441 \h </w:instrText>
            </w:r>
            <w:r>
              <w:rPr>
                <w:noProof/>
                <w:webHidden/>
              </w:rPr>
            </w:r>
            <w:r>
              <w:rPr>
                <w:noProof/>
                <w:webHidden/>
              </w:rPr>
              <w:fldChar w:fldCharType="separate"/>
            </w:r>
            <w:r>
              <w:rPr>
                <w:noProof/>
                <w:webHidden/>
              </w:rPr>
              <w:t>6</w:t>
            </w:r>
            <w:r>
              <w:rPr>
                <w:noProof/>
                <w:webHidden/>
              </w:rPr>
              <w:fldChar w:fldCharType="end"/>
            </w:r>
          </w:hyperlink>
        </w:p>
        <w:p w14:paraId="6E32E778" w14:textId="6D58D267" w:rsidR="00420753" w:rsidRDefault="00420753">
          <w:pPr>
            <w:pStyle w:val="TOC1"/>
            <w:tabs>
              <w:tab w:val="right" w:leader="dot" w:pos="9016"/>
            </w:tabs>
            <w:rPr>
              <w:rFonts w:eastAsiaTheme="minorEastAsia" w:cstheme="minorBidi"/>
              <w:b w:val="0"/>
              <w:bCs w:val="0"/>
              <w:i w:val="0"/>
              <w:iCs w:val="0"/>
              <w:noProof/>
              <w:kern w:val="2"/>
              <w:sz w:val="24"/>
              <w14:ligatures w14:val="standardContextual"/>
            </w:rPr>
          </w:pPr>
          <w:hyperlink w:anchor="_Toc225510442" w:history="1">
            <w:r w:rsidRPr="008C5814">
              <w:rPr>
                <w:rStyle w:val="Hyperlink"/>
                <w:noProof/>
              </w:rPr>
              <w:t>References</w:t>
            </w:r>
            <w:r>
              <w:rPr>
                <w:noProof/>
                <w:webHidden/>
              </w:rPr>
              <w:tab/>
            </w:r>
            <w:r>
              <w:rPr>
                <w:noProof/>
                <w:webHidden/>
              </w:rPr>
              <w:fldChar w:fldCharType="begin"/>
            </w:r>
            <w:r>
              <w:rPr>
                <w:noProof/>
                <w:webHidden/>
              </w:rPr>
              <w:instrText xml:space="preserve"> PAGEREF _Toc225510442 \h </w:instrText>
            </w:r>
            <w:r>
              <w:rPr>
                <w:noProof/>
                <w:webHidden/>
              </w:rPr>
            </w:r>
            <w:r>
              <w:rPr>
                <w:noProof/>
                <w:webHidden/>
              </w:rPr>
              <w:fldChar w:fldCharType="separate"/>
            </w:r>
            <w:r>
              <w:rPr>
                <w:noProof/>
                <w:webHidden/>
              </w:rPr>
              <w:t>15</w:t>
            </w:r>
            <w:r>
              <w:rPr>
                <w:noProof/>
                <w:webHidden/>
              </w:rPr>
              <w:fldChar w:fldCharType="end"/>
            </w:r>
          </w:hyperlink>
        </w:p>
        <w:p w14:paraId="3ACC52AA" w14:textId="31E6E839" w:rsidR="00195E14" w:rsidRPr="00691154" w:rsidRDefault="00195E14">
          <w:r w:rsidRPr="00691154">
            <w:rPr>
              <w:b/>
              <w:bCs/>
              <w:noProof/>
            </w:rPr>
            <w:fldChar w:fldCharType="end"/>
          </w:r>
        </w:p>
      </w:sdtContent>
    </w:sdt>
    <w:p w14:paraId="558F740C" w14:textId="6352AD0D" w:rsidR="00121733" w:rsidRPr="00691154" w:rsidRDefault="004F4001" w:rsidP="004F4001">
      <w:pPr>
        <w:spacing w:before="0" w:after="200" w:line="276" w:lineRule="auto"/>
      </w:pPr>
      <w:r w:rsidRPr="00691154">
        <w:br w:type="page"/>
      </w:r>
    </w:p>
    <w:p w14:paraId="339E6C85" w14:textId="5A1FA1FE" w:rsidR="00A770F7" w:rsidRPr="00691154" w:rsidRDefault="00A770F7" w:rsidP="001B23E0">
      <w:pPr>
        <w:pStyle w:val="Heading1"/>
      </w:pPr>
      <w:bookmarkStart w:id="0" w:name="_Toc225510436"/>
      <w:r w:rsidRPr="00691154">
        <w:lastRenderedPageBreak/>
        <w:t>Supplementary Materials</w:t>
      </w:r>
      <w:bookmarkEnd w:id="0"/>
    </w:p>
    <w:p w14:paraId="6F652435" w14:textId="77777777" w:rsidR="005C2231" w:rsidRPr="00691154" w:rsidRDefault="005C2231" w:rsidP="005C2231">
      <w:pPr>
        <w:pStyle w:val="Heading2"/>
      </w:pPr>
      <w:bookmarkStart w:id="1" w:name="_Toc225510437"/>
      <w:r w:rsidRPr="00691154">
        <w:t>Inferring genetic sex</w:t>
      </w:r>
      <w:bookmarkEnd w:id="1"/>
    </w:p>
    <w:p w14:paraId="34C9FC62" w14:textId="6A5975D5" w:rsidR="005C2231" w:rsidRPr="00691154" w:rsidRDefault="005C2231" w:rsidP="005804EE">
      <w:pPr>
        <w:spacing w:before="480" w:after="480" w:line="480" w:lineRule="auto"/>
        <w:rPr>
          <w:color w:val="000000" w:themeColor="text1"/>
        </w:rPr>
      </w:pPr>
      <w:r w:rsidRPr="00691154">
        <w:rPr>
          <w:color w:val="000000" w:themeColor="text1"/>
        </w:rPr>
        <w:t>To infer genetic sex, high quality, common variants on the X chromosome (original n variants = 425,743) were selected by filtering variants on call rate (&gt; 0.97, n variants = 297,719) and MAF (&gt; 1%, n variants = 677). These high quality, common variants were then used to calculate the inbreeding co-efficient (F-statistic) on the X chromosome using the ‘</w:t>
      </w:r>
      <w:proofErr w:type="spellStart"/>
      <w:r w:rsidRPr="00691154">
        <w:rPr>
          <w:i/>
          <w:iCs/>
          <w:color w:val="000000" w:themeColor="text1"/>
        </w:rPr>
        <w:t>impute_sex</w:t>
      </w:r>
      <w:proofErr w:type="spellEnd"/>
      <w:r w:rsidRPr="00691154">
        <w:rPr>
          <w:i/>
          <w:iCs/>
          <w:color w:val="000000" w:themeColor="text1"/>
        </w:rPr>
        <w:t xml:space="preserve">’ </w:t>
      </w:r>
      <w:r w:rsidRPr="00691154">
        <w:rPr>
          <w:color w:val="000000" w:themeColor="text1"/>
        </w:rPr>
        <w:t>command in Hail. The Y chromosome (original n variants = 10,432) was filtered to high quality variants (non-PAR variants with a mean depth ≥ 3.5, n variants = 8,737). F-statistic and Y-depth were then used to infer genetic sex: participants with F-statistic ≤ 0.6 were classified as female (n = 215,336) and those with an F-statistic &gt; 0.6 were classified as male (n = 184,541); participants with mean Y chromosome depth ≤ 3 were inferred to not have a Y chromosome (n = 215,363), and those with mean Y chromosome depth &gt; 3 were inferred to have a Y chromosome (n = 184,514). These measures were used alongside reported sex (</w:t>
      </w:r>
      <w:r w:rsidRPr="00691154">
        <w:rPr>
          <w:color w:val="000000" w:themeColor="text1"/>
        </w:rPr>
        <w:fldChar w:fldCharType="begin"/>
      </w:r>
      <w:r w:rsidR="00FC1ACC" w:rsidRPr="00691154">
        <w:rPr>
          <w:color w:val="000000" w:themeColor="text1"/>
        </w:rPr>
        <w:instrText xml:space="preserve"> ADDIN ZOTERO_ITEM CSL_CITATION {"citationID":"12bj22Cs","properties":{"formattedCitation":"(1)","plainCitation":"(1)","noteIndex":0},"citationItems":[{"id":4685,"uris":["http://zotero.org/users/6187417/items/F5MLZRTG"],"itemData":{"id":4685,"type":"webpage","title":": Data-Field 31","URL":"https://biobank.ctsu.ox.ac.uk/crystal/field.cgi?id=31","accessed":{"date-parts":[["2024",8,16]]}}}],"schema":"https://github.com/citation-style-language/schema/raw/master/csl-citation.json"} </w:instrText>
      </w:r>
      <w:r w:rsidRPr="00691154">
        <w:rPr>
          <w:color w:val="000000" w:themeColor="text1"/>
        </w:rPr>
        <w:fldChar w:fldCharType="separate"/>
      </w:r>
      <w:r w:rsidR="00FC1ACC" w:rsidRPr="00691154">
        <w:rPr>
          <w:color w:val="000000"/>
        </w:rPr>
        <w:t>(1)</w:t>
      </w:r>
      <w:r w:rsidRPr="00691154">
        <w:rPr>
          <w:color w:val="000000" w:themeColor="text1"/>
        </w:rPr>
        <w:fldChar w:fldCharType="end"/>
      </w:r>
      <w:r w:rsidRPr="00691154">
        <w:rPr>
          <w:color w:val="000000" w:themeColor="text1"/>
        </w:rPr>
        <w:t xml:space="preserve">, sex either acquired from central registry or self-reported (215,344 (53.85%) female, and 184,533 (46.15%) male) to assign inferred sex. Concordance between reported sex, F-statistic inferred sex, and Y chromosome inference was required to identify samples as female (n = 215,235) or male (n = 184,432), and all other individuals were excluded from this analysis (n = 210, Supplementary Figure </w:t>
      </w:r>
      <w:r w:rsidR="00514400" w:rsidRPr="00691154">
        <w:rPr>
          <w:color w:val="000000" w:themeColor="text1"/>
        </w:rPr>
        <w:t>3</w:t>
      </w:r>
      <w:r w:rsidRPr="00691154">
        <w:rPr>
          <w:color w:val="000000" w:themeColor="text1"/>
        </w:rPr>
        <w:t xml:space="preserve">), as the data suggests these individuals have low quality sequencing data, chromosomal abnormalities, or are potential sample swaps. </w:t>
      </w:r>
    </w:p>
    <w:p w14:paraId="7D02260F" w14:textId="77777777" w:rsidR="00431E09" w:rsidRPr="00691154" w:rsidRDefault="00431E09" w:rsidP="00431E09">
      <w:pPr>
        <w:pStyle w:val="Heading2"/>
      </w:pPr>
      <w:bookmarkStart w:id="2" w:name="_Toc225510438"/>
      <w:r w:rsidRPr="00691154">
        <w:t>Genetic ancestry inference</w:t>
      </w:r>
      <w:bookmarkEnd w:id="2"/>
    </w:p>
    <w:p w14:paraId="567AF79F" w14:textId="69674678" w:rsidR="00431E09" w:rsidRPr="00691154" w:rsidRDefault="00431E09" w:rsidP="00431E09">
      <w:pPr>
        <w:spacing w:before="480" w:after="480" w:line="480" w:lineRule="auto"/>
        <w:rPr>
          <w:color w:val="000000" w:themeColor="text1"/>
        </w:rPr>
      </w:pPr>
      <w:r w:rsidRPr="00691154">
        <w:rPr>
          <w:color w:val="000000" w:themeColor="text1"/>
        </w:rPr>
        <w:t xml:space="preserve">Analyses for inferring genetic ancestry are based on the procedure described in </w:t>
      </w:r>
      <w:r w:rsidRPr="00691154">
        <w:rPr>
          <w:color w:val="000000" w:themeColor="text1"/>
        </w:rPr>
        <w:fldChar w:fldCharType="begin"/>
      </w:r>
      <w:r w:rsidR="00FC1ACC" w:rsidRPr="00691154">
        <w:rPr>
          <w:color w:val="000000" w:themeColor="text1"/>
        </w:rPr>
        <w:instrText xml:space="preserve"> ADDIN ZOTERO_ITEM CSL_CITATION {"citationID":"2EMxdAFF","properties":{"formattedCitation":"(2)","plainCitation":"(2)","noteIndex":0},"citationItems":[{"id":4698,"uris":["http://zotero.org/users/6187417/items/AXHTZLN6"],"itemData":{"id":4698,"type":"article-journal","abstract":"Individuals of African ancestry in the United States and Europe are at increased risk of developing schizophrenia and have poorer clinical outcomes. The antipsychotic clozapine, the only licensed medication for treatment-resistant schizophrenia, is under-prescribed and has high rates of discontinuation in individuals of African ancestry, due in part to increased rates of neutropenia. The genetic basis of lower neutrophil levels in those of African ancestry has not previously been investigated in the context of clozapine treatment. We sought to identify risk alleles in the first genome-wide association study of neutrophil levels during clozapine treatment, in 552 individuals with treatment-resistant schizophrenia and robustly inferred African genetic ancestry. Two genome-wide significant loci were associated with low neutrophil counts during clozapine treatment. The most significantly associated locus was driven by rs2814778 (β = −0.9, P = 4.21 × 10−21), a known regulatory variant in the atypical chemokine receptor 1 (ACKR1) gene. Individuals homozygous for the C allele at rs2814778 were significantly more likely to develop neutropenia and have to stop clozapine treatment (OR = 20.4, P = 3.44 × 10−7). This genotype, also termed “Duffy-null”, has previously been shown to be associated with lower neutrophil levels in those of African ancestry. Our results indicate the relevance of the rs2814778 genotype for those taking clozapine and its potential as a pharmacogenetic test, dependent on the outcome of additional safety studies, to assist decision making in the initiation and on-going management of clozapine treatment.","container-title":"Molecular Psychiatry","DOI":"10.1038/s41380-018-0335-7","ISSN":"1476-5578","issue":"3","journalAbbreviation":"Mol Psychiatry","language":"en","license":"2019 Springer Nature Limited","note":"publisher: Nature Publishing Group","page":"328-337","source":"www.nature.com","title":"A genome-wide association study in individuals of African ancestry reveals the importance of the Duffy-null genotype in the assessment of clozapine-related neutropenia","volume":"24","author":[{"family":"Legge","given":"Sophie E."},{"family":"Pardiñas","given":"Antonio F."},{"family":"Helthuis","given":"Marinka"},{"family":"Jansen","given":"John A."},{"family":"Jollie","given":"Karel"},{"family":"Knapper","given":"Steven"},{"family":"MacCabe","given":"James H."},{"family":"Rujescu","given":"Dan"},{"family":"Collier","given":"David A."},{"family":"O’Donovan","given":"Michael C."},{"family":"Owen","given":"Michael J."},{"family":"Walters","given":"James T. R."}],"issued":{"date-parts":[["2019",3]]}}}],"schema":"https://github.com/citation-style-language/schema/raw/master/csl-citation.json"} </w:instrText>
      </w:r>
      <w:r w:rsidRPr="00691154">
        <w:rPr>
          <w:color w:val="000000" w:themeColor="text1"/>
        </w:rPr>
        <w:fldChar w:fldCharType="separate"/>
      </w:r>
      <w:r w:rsidR="00FC1ACC" w:rsidRPr="00691154">
        <w:rPr>
          <w:color w:val="000000"/>
        </w:rPr>
        <w:t>(2)</w:t>
      </w:r>
      <w:r w:rsidRPr="00691154">
        <w:rPr>
          <w:color w:val="000000" w:themeColor="text1"/>
        </w:rPr>
        <w:fldChar w:fldCharType="end"/>
      </w:r>
      <w:r w:rsidRPr="00691154">
        <w:rPr>
          <w:color w:val="000000" w:themeColor="text1"/>
        </w:rPr>
        <w:t xml:space="preserve"> and updated in</w:t>
      </w:r>
      <w:r w:rsidRPr="00691154">
        <w:rPr>
          <w:color w:val="000000" w:themeColor="text1"/>
        </w:rPr>
        <w:fldChar w:fldCharType="begin"/>
      </w:r>
      <w:r w:rsidR="00FC1ACC" w:rsidRPr="00691154">
        <w:rPr>
          <w:color w:val="000000" w:themeColor="text1"/>
        </w:rPr>
        <w:instrText xml:space="preserve"> ADDIN ZOTERO_ITEM CSL_CITATION {"citationID":"N9dbfQDP","properties":{"formattedCitation":"(3)","plainCitation":"(3)","noteIndex":0},"citationItems":[{"id":4777,"uris":["http://zotero.org/users/6187417/items/7RCCI5LM"],"itemData":{"id":4777,"type":"article","abstract":"The missense SNP NC_000004.12:g.102267552C&gt;T (SLC39A8.p.(Ala391Thr), rs13107325) in SLC39A8, which encodes a zinc transporter, has been linked to schizophrenia and is the likely causal variant for one of the genome-wide association loci associated with the disorder.\nWe tested whether the schizophrenia-risk allele at p.(Ala391Thr) was associated with schizophrenia-related phenotypes, including positive, negative, and disorganised symptoms, cognitive ability, educational attainment, and age of psychosis onset, within three schizophrenia cohorts (combined N=1,232) and, with equivalent phenotypes, in a sample of population controls (UK Biobank, N=355,069). We used regression analyses controlling for age, sex, and population stratification.\nWithin the schizophrenia cohorts, after correction for multiple testing, p.(Ala391Thr) was not significantly associated with any schizophrenia-related phenotypes. In the unaffected participants from the UK Biobank, the schizophrenia-risk allele at p.(Ala391Thr) was associated with significantly poorer cognitive ability and fluid intelligence, a lower probability of obtaining GCSEs or a degree-level qualification, and fewer years in education. There was no association between p.(Ala391Thr) and self-reported psychotic experiences in this cohort.\nThe schizophrenia-risk allele was associated with poorer cognitive ability, but not psychotic experiences, in a volunteer sample drawn from of the general population. To determine whether p.(Ala391Thr) is associated with cognitive phenotypes in people with schizophrenia, and to understand the role of p.(Ala391Thr) in the aetiology of cognitive impairment in schizophrenia, larger independent samples are required.\nThe missense SNP NC_000004.12:g.102267552C&gt;T (SLC39A8.p.(Ala391Thr), rs13107325) in SLC39A8, which encodes a zinc transporter, has been linked to schizophrenia and is the likely causal variant for one of the genome-wide association loci associated with the disorder.\nWe tested whether the schizophrenia-risk allele at p.(Ala391Thr) was associated with schizophrenia-related phenotypes, including positive, negative, and disorganised symptoms, cognitive ability, educational attainment, and age of psychosis onset, within three schizophrenia cohorts (combined N=1,232) and, with equivalent phenotypes, in a sample of population controls (UK Biobank, N=355,069). We used regression analyses controlling for age, sex, and population stratification.\nWithin the schizophrenia cohorts, after correction for multiple testing, p.(Ala391Thr) was not significantly associated with any schizophrenia-related phenotypes. In the unaffected participants from the UK Biobank, the schizophrenia-risk allele at p.(Ala391Thr) was associated with significantly poorer cognitive ability and fluid intelligence, a lower probability of obtaining GCSEs or a degree-level qualification, and fewer years in education. There was no association between p.(Ala391Thr) and self-reported psychotic experiences in this cohort.\nThe schizophrenia-risk allele was associated with poorer cognitive ability, but not psychotic experiences, in a volunteer sample drawn from of the general population. To determine whether p.(Ala391Thr) is associated with cognitive phenotypes in people with schizophrenia, and to understand the role of p.(Ala391Thr) in the aetiology of cognitive impairment in schizophrenia, larger independent samples are required.","DOI":"10.1101/2024.09.18.24313865","language":"en","license":"© 2024, Posted by Cold Spring Harbor Laboratory. This pre-print is available under a Creative Commons License (Attribution-NoDerivs 4.0 International), CC BY-ND 4.0, as described at http://creativecommons.org/licenses/by-nd/4.0/","note":"page: 2024.09.18.24313865","publisher":"medRxiv","source":"medRxiv","title":"SLC39A8.p.(Ala391Thr) is associated with poorer cognitive ability: a cross-sectional study of schizophrenia and the general UK population","title-short":"SLC39A8.p.(Ala391Thr) is associated with poorer cognitive ability","URL":"https://www.medrxiv.org/content/10.1101/2024.09.18.24313865v1","author":[{"family":"Smart","given":"Sophie E."},{"family":"Legge","given":"Sophie E."},{"family":"Fenner","given":"Eilidh"},{"family":"Pardiñas","given":"Antonio F."},{"family":"Woolway","given":"Grace"},{"family":"Lynham","given":"Amy J."},{"family":"Escott-Price","given":"Valentina"},{"family":"Hall","given":"Jeremy"},{"family":"Wilkinson","given":"Lawrence"},{"family":"Holmans","given":"Peter"},{"family":"O’Donovan","given":"Michael C."},{"family":"Owen","given":"Michael J."},{"family":"Walters","given":"James T. R."}],"accessed":{"date-parts":[["2024",11,15]]},"issued":{"date-parts":[["2024",9,19]]}}}],"schema":"https://github.com/citation-style-language/schema/raw/master/csl-citation.json"} </w:instrText>
      </w:r>
      <w:r w:rsidRPr="00691154">
        <w:rPr>
          <w:color w:val="000000" w:themeColor="text1"/>
        </w:rPr>
        <w:fldChar w:fldCharType="separate"/>
      </w:r>
      <w:r w:rsidR="00FC1ACC" w:rsidRPr="00691154">
        <w:rPr>
          <w:color w:val="000000"/>
        </w:rPr>
        <w:t>(3)</w:t>
      </w:r>
      <w:r w:rsidRPr="00691154">
        <w:rPr>
          <w:color w:val="000000" w:themeColor="text1"/>
        </w:rPr>
        <w:fldChar w:fldCharType="end"/>
      </w:r>
      <w:r w:rsidRPr="00691154">
        <w:rPr>
          <w:color w:val="000000" w:themeColor="text1"/>
        </w:rPr>
        <w:t xml:space="preserve">, and were conducted using UKBB array data. This data was first quality controlled using PLINK as in </w:t>
      </w:r>
      <w:r w:rsidRPr="00691154">
        <w:rPr>
          <w:color w:val="000000" w:themeColor="text1"/>
        </w:rPr>
        <w:fldChar w:fldCharType="begin"/>
      </w:r>
      <w:r w:rsidR="00FC1ACC" w:rsidRPr="00691154">
        <w:rPr>
          <w:color w:val="000000" w:themeColor="text1"/>
        </w:rPr>
        <w:instrText xml:space="preserve"> ADDIN ZOTERO_ITEM CSL_CITATION {"citationID":"DozcURBS","properties":{"formattedCitation":"(2)","plainCitation":"(2)","noteIndex":0},"citationItems":[{"id":4698,"uris":["http://zotero.org/users/6187417/items/AXHTZLN6"],"itemData":{"id":4698,"type":"article-journal","abstract":"Individuals of African ancestry in the United States and Europe are at increased risk of developing schizophrenia and have poorer clinical outcomes. The antipsychotic clozapine, the only licensed medication for treatment-resistant schizophrenia, is under-prescribed and has high rates of discontinuation in individuals of African ancestry, due in part to increased rates of neutropenia. The genetic basis of lower neutrophil levels in those of African ancestry has not previously been investigated in the context of clozapine treatment. We sought to identify risk alleles in the first genome-wide association study of neutrophil levels during clozapine treatment, in 552 individuals with treatment-resistant schizophrenia and robustly inferred African genetic ancestry. Two genome-wide significant loci were associated with low neutrophil counts during clozapine treatment. The most significantly associated locus was driven by rs2814778 (β = −0.9, P = 4.21 × 10−21), a known regulatory variant in the atypical chemokine receptor 1 (ACKR1) gene. Individuals homozygous for the C allele at rs2814778 were significantly more likely to develop neutropenia and have to stop clozapine treatment (OR = 20.4, P = 3.44 × 10−7). This genotype, also termed “Duffy-null”, has previously been shown to be associated with lower neutrophil levels in those of African ancestry. Our results indicate the relevance of the rs2814778 genotype for those taking clozapine and its potential as a pharmacogenetic test, dependent on the outcome of additional safety studies, to assist decision making in the initiation and on-going management of clozapine treatment.","container-title":"Molecular Psychiatry","DOI":"10.1038/s41380-018-0335-7","ISSN":"1476-5578","issue":"3","journalAbbreviation":"Mol Psychiatry","language":"en","license":"2019 Springer Nature Limited","note":"publisher: Nature Publishing Group","page":"328-337","source":"www.nature.com","title":"A genome-wide association study in individuals of African ancestry reveals the importance of the Duffy-null genotype in the assessment of clozapine-related neutropenia","volume":"24","author":[{"family":"Legge","given":"Sophie E."},{"family":"Pardiñas","given":"Antonio F."},{"family":"Helthuis","given":"Marinka"},{"family":"Jansen","given":"John A."},{"family":"Jollie","given":"Karel"},{"family":"Knapper","given":"Steven"},{"family":"MacCabe","given":"James H."},{"family":"Rujescu","given":"Dan"},{"family":"Collier","given":"David A."},{"family":"O’Donovan","given":"Michael C."},{"family":"Owen","given":"Michael J."},{"family":"Walters","given":"James T. R."}],"issued":{"date-parts":[["2019",3]]}}}],"schema":"https://github.com/citation-style-language/schema/raw/master/csl-citation.json"} </w:instrText>
      </w:r>
      <w:r w:rsidRPr="00691154">
        <w:rPr>
          <w:color w:val="000000" w:themeColor="text1"/>
        </w:rPr>
        <w:fldChar w:fldCharType="separate"/>
      </w:r>
      <w:r w:rsidR="00FC1ACC" w:rsidRPr="00691154">
        <w:rPr>
          <w:color w:val="000000"/>
        </w:rPr>
        <w:t>(2)</w:t>
      </w:r>
      <w:r w:rsidRPr="00691154">
        <w:rPr>
          <w:color w:val="000000" w:themeColor="text1"/>
        </w:rPr>
        <w:fldChar w:fldCharType="end"/>
      </w:r>
      <w:r w:rsidRPr="00691154">
        <w:rPr>
          <w:color w:val="000000" w:themeColor="text1"/>
        </w:rPr>
        <w:t>. Single-nucleotide variants (SNVs) were excluded if they met any of the following: minor allele frequency (MAF) &lt; 0.01; Hardy-Weinberg equilibrium </w:t>
      </w:r>
      <w:r w:rsidRPr="00691154">
        <w:rPr>
          <w:i/>
          <w:iCs/>
          <w:color w:val="000000" w:themeColor="text1"/>
        </w:rPr>
        <w:t>P</w:t>
      </w:r>
      <w:r w:rsidRPr="00691154">
        <w:rPr>
          <w:color w:val="000000" w:themeColor="text1"/>
        </w:rPr>
        <w:t> value &lt; 1.00 × 10</w:t>
      </w:r>
      <w:r w:rsidRPr="00691154">
        <w:rPr>
          <w:color w:val="000000" w:themeColor="text1"/>
          <w:vertAlign w:val="superscript"/>
        </w:rPr>
        <w:t>−6</w:t>
      </w:r>
      <w:r w:rsidRPr="00691154">
        <w:rPr>
          <w:color w:val="000000" w:themeColor="text1"/>
        </w:rPr>
        <w:t xml:space="preserve"> (using the </w:t>
      </w:r>
      <w:proofErr w:type="spellStart"/>
      <w:r w:rsidRPr="00691154">
        <w:rPr>
          <w:color w:val="000000" w:themeColor="text1"/>
        </w:rPr>
        <w:t>midp</w:t>
      </w:r>
      <w:proofErr w:type="spellEnd"/>
      <w:r w:rsidRPr="00691154">
        <w:rPr>
          <w:color w:val="000000" w:themeColor="text1"/>
        </w:rPr>
        <w:t xml:space="preserve"> and keep-</w:t>
      </w:r>
      <w:proofErr w:type="spellStart"/>
      <w:r w:rsidRPr="00691154">
        <w:rPr>
          <w:color w:val="000000" w:themeColor="text1"/>
        </w:rPr>
        <w:t>fewhet</w:t>
      </w:r>
      <w:proofErr w:type="spellEnd"/>
      <w:r w:rsidRPr="00691154">
        <w:rPr>
          <w:color w:val="000000" w:themeColor="text1"/>
        </w:rPr>
        <w:t xml:space="preserve"> options for multi-population datasets); imputation quality information score &lt; 0.9; SNV call rate &lt; 0.95; within the MHC region; or within long-range high LD regions </w:t>
      </w:r>
      <w:r w:rsidRPr="00691154">
        <w:rPr>
          <w:color w:val="000000" w:themeColor="text1"/>
        </w:rPr>
        <w:fldChar w:fldCharType="begin"/>
      </w:r>
      <w:r w:rsidR="00FC1ACC" w:rsidRPr="00691154">
        <w:rPr>
          <w:color w:val="000000" w:themeColor="text1"/>
        </w:rPr>
        <w:instrText xml:space="preserve"> ADDIN ZOTERO_ITEM CSL_CITATION {"citationID":"rj4kylR1","properties":{"formattedCitation":"(4)","plainCitation":"(4)","noteIndex":0},"citationItems":[{"id":4704,"uris":["http://zotero.org/users/6187417/items/MARI7ZU5"],"itemData":{"id":4704,"type":"article-journal","abstract":"To the Editor: In the September 2007 issue of The Journal, Tang et al. analyzed data\nfrom 192 Puerto Ricans genotyped at 112,584 autosomal markers and identified three\nregions with a deficiency in the proportion of European ancestry. They concluded that\nrecent selection occurred at these regions after the admixture of European, African,\nand Native American ancestors.1 These signals of selection are very strong: We estimate\nthat they each correspond to selection coefficients of &gt;0.08 per generation, which\nif confirmed would represent the three most powerful selective adaptations discovered\nto date in humans.","container-title":"The American Journal of Human Genetics","DOI":"10.1016/j.ajhg.2008.06.005","ISSN":"0002-9297, 1537-6605","issue":"1","journalAbbreviation":"The American Journal of Human Genetics","language":"English","note":"publisher: Elsevier\nPMID: 18606306","page":"132-135","source":"www.cell.com","title":"Long-Range LD Can Confound Genome Scans in Admixed Populations","volume":"83","author":[{"family":"Price","given":"Alkes L."},{"family":"Weale","given":"Michael E."},{"family":"Patterson","given":"Nick"},{"family":"Myers","given":"Simon R."},{"family":"Need","given":"Anna C."},{"family":"Shianna","given":"Kevin V."},{"family":"Ge","given":"Dongliang"},{"family":"Rotter","given":"Jerome I."},{"family":"Torres","given":"Esther"},{"family":"Taylor","given":"Kent D."},{"family":"Goldstein","given":"David B."},{"family":"Reich","given":"David"}],"issued":{"date-parts":[["2008",7,11]]}}}],"schema":"https://github.com/citation-style-language/schema/raw/master/csl-citation.json"} </w:instrText>
      </w:r>
      <w:r w:rsidRPr="00691154">
        <w:rPr>
          <w:color w:val="000000" w:themeColor="text1"/>
        </w:rPr>
        <w:fldChar w:fldCharType="separate"/>
      </w:r>
      <w:r w:rsidR="00FC1ACC" w:rsidRPr="00691154">
        <w:rPr>
          <w:color w:val="000000"/>
        </w:rPr>
        <w:t>(4)</w:t>
      </w:r>
      <w:r w:rsidRPr="00691154">
        <w:rPr>
          <w:color w:val="000000" w:themeColor="text1"/>
        </w:rPr>
        <w:fldChar w:fldCharType="end"/>
      </w:r>
      <w:r w:rsidRPr="00691154">
        <w:rPr>
          <w:color w:val="000000" w:themeColor="text1"/>
        </w:rPr>
        <w:t xml:space="preserve">. Individuals with </w:t>
      </w:r>
      <w:r w:rsidRPr="00691154">
        <w:rPr>
          <w:color w:val="000000" w:themeColor="text1"/>
        </w:rPr>
        <w:lastRenderedPageBreak/>
        <w:t xml:space="preserve">SNV missingness &gt; 0.05 were excluded. The post-QC dataset was formed of 487,409 samples and included 7,074,483 variants. This data was used alongside biogeographical categories based on a standardised system </w:t>
      </w:r>
      <w:r w:rsidRPr="00691154">
        <w:rPr>
          <w:color w:val="000000" w:themeColor="text1"/>
        </w:rPr>
        <w:fldChar w:fldCharType="begin"/>
      </w:r>
      <w:r w:rsidR="00FC1ACC" w:rsidRPr="00691154">
        <w:rPr>
          <w:color w:val="000000" w:themeColor="text1"/>
        </w:rPr>
        <w:instrText xml:space="preserve"> ADDIN ZOTERO_ITEM CSL_CITATION {"citationID":"aBzu4rv7","properties":{"formattedCitation":"(5)","plainCitation":"(5)","noteIndex":0},"citationItems":[{"id":4699,"uris":["http://zotero.org/users/6187417/items/YRB26L7K"],"itemData":{"id":4699,"type":"article-journal","abstract":"The varying frequencies of pharmacogenetic alleles among populations have important implications for the impact of these alleles in different populations. Current population grouping methods to communicate these patterns are insufficient as they are inconsistent and fail to reflect the global distribution of genetic variability. To facilitate and standardize the reporting of variability in pharmacogenetic allele frequencies, we present seven geographically defined groups: American, Central/South Asian, East Asian, European, Near Eastern, Oceanian, and Sub-Saharan African, and two admixed groups: African American/Afro-Caribbean and Latino. These nine groups are defined by global autosomal genetic structure and based on data from large-scale sequencing initiatives. We recognize that broadly grouping global populations is an oversimplification of human diversity and does not capture complex social and cultural identity. However, these groups meet a key need in pharmacogenetics research by enabling consistent communication of the scale of variability in global allele frequencies and are now used by Pharmacogenomics Knowledgebase (PharmGKB).","container-title":"Clinical Pharmacology &amp; Therapeutics","DOI":"10.1002/cpt.1322","ISSN":"1532-6535","issue":"5","language":"en","license":"© 2018 The Authors Clinical Pharmacology &amp; Therapeutics © 2018 American Society for Clinical Pharmacology and Therapeutics","note":"_eprint: https://onlinelibrary.wiley.com/doi/pdf/10.1002/cpt.1322","page":"1256-1262","source":"Wiley Online Library","title":"Standardized Biogeographic Grouping System for Annotating Populations in Pharmacogenetic Research","volume":"105","author":[{"family":"Huddart","given":"Rachel"},{"family":"Fohner","given":"Alison E."},{"family":"Whirl-Carrillo","given":"Michelle"},{"family":"Wojcik","given":"Genevieve L."},{"family":"Gignoux","given":"Christopher R."},{"family":"Popejoy","given":"Alice B."},{"family":"Bustamante","given":"Carlos D."},{"family":"Altman","given":"Russ B."},{"family":"Klein","given":"Teri E."}],"issued":{"date-parts":[["2019"]]}}}],"schema":"https://github.com/citation-style-language/schema/raw/master/csl-citation.json"} </w:instrText>
      </w:r>
      <w:r w:rsidRPr="00691154">
        <w:rPr>
          <w:color w:val="000000" w:themeColor="text1"/>
        </w:rPr>
        <w:fldChar w:fldCharType="separate"/>
      </w:r>
      <w:r w:rsidR="00FC1ACC" w:rsidRPr="00691154">
        <w:rPr>
          <w:color w:val="000000"/>
        </w:rPr>
        <w:t>(5)</w:t>
      </w:r>
      <w:r w:rsidRPr="00691154">
        <w:rPr>
          <w:color w:val="000000" w:themeColor="text1"/>
        </w:rPr>
        <w:fldChar w:fldCharType="end"/>
      </w:r>
      <w:r w:rsidRPr="00691154">
        <w:rPr>
          <w:color w:val="000000" w:themeColor="text1"/>
        </w:rPr>
        <w:t xml:space="preserve"> and a 1000 Genomes Phase 3 (1KGP) reference </w:t>
      </w:r>
      <w:r w:rsidRPr="00691154">
        <w:rPr>
          <w:color w:val="000000" w:themeColor="text1"/>
        </w:rPr>
        <w:fldChar w:fldCharType="begin"/>
      </w:r>
      <w:r w:rsidR="00FC1ACC" w:rsidRPr="00691154">
        <w:rPr>
          <w:color w:val="000000" w:themeColor="text1"/>
        </w:rPr>
        <w:instrText xml:space="preserve"> ADDIN ZOTERO_ITEM CSL_CITATION {"citationID":"fEIZWpAs","properties":{"formattedCitation":"(6)","plainCitation":"(6)","noteIndex":0},"citationItems":[{"id":4702,"uris":["http://zotero.org/users/6187417/items/MGGT5FNI"],"itemData":{"id":4702,"type":"article-journal","abstract":"The 1000 Genomes Project set out to provide a comprehensive description of common human genetic variation by applying whole-genome sequencing to a diverse set of individuals from multiple populations. Here we report completion of the project, having reconstructed the genomes of 2,504 individuals from 26 populations using a combination of low-coverage whole-genome sequencing, deep exome sequencing, and dense microarray genotyping. We characterized a broad spectrum of genetic variation, in total over 88 million variants (84.7 million single nucleotide polymorphisms (SNPs), 3.6 million short insertions/deletions (indels), and 60,000 structural variants), all phased onto high-quality haplotypes. This resource includes &gt;99% of SNP variants with a frequency of &gt;1% for a variety of ancestries. We describe the distribution of genetic variation across the global sample, and discuss the implications for common disease studies.","container-title":"Nature","DOI":"10.1038/nature15393","ISSN":"1476-4687","issue":"7571","language":"en","license":"2015 The Author(s)","note":"publisher: Nature Publishing Group","page":"68-74","source":"www.nature.com","title":"A global reference for human genetic variation","volume":"526","author":[{"family":"Auton","given":"Adam"},{"family":"Abecasis","given":"Gonçalo R."},{"family":"Altshuler","given":"David M."},{"family":"Durbin","given":"Richard M."},{"family":"Abecasis","given":"Gonçalo R."},{"family":"Bentley","given":"David R."},{"family":"Chakravarti","given":"Aravinda"},{"family":"Clark","given":"Andrew G."},{"family":"Donnelly","given":"Peter"},{"family":"Eichler","given":"Evan E."},{"family":"Flicek","given":"Paul"},{"family":"Gabriel","given":"Stacey B."},{"family":"Gibbs","given":"Richard A."},{"family":"Green","given":"Eric D."},{"family":"Hurles","given":"Matthew E."},{"family":"Knoppers","given":"Bartha M."},{"family":"Korbel","given":"Jan O."},{"family":"Lander","given":"Eric S."},{"family":"Lee","given":"Charles"},{"family":"Lehrach","given":"Hans"},{"family":"Mardis","given":"Elaine R."},{"family":"Marth","given":"Gabor T."},{"family":"McVean","given":"Gil A."},{"family":"Nickerson","given":"Deborah A."},{"family":"Schmidt","given":"Jeanette P."},{"family":"Sherry","given":"Stephen T."},{"family":"Wang","given":"Jun"},{"family":"Wilson","given":"Richard K."},{"family":"Gibbs","given":"Richard A."},{"family":"Boerwinkle","given":"Eric"},{"family":"Doddapaneni","given":"Harsha"},{"family":"Han","given":"Yi"},{"family":"Korchina","given":"Viktoriya"},{"family":"Kovar","given":"Christie"},{"family":"Lee","given":"Sandra"},{"family":"Muzny","given":"Donna"},{"family":"Reid","given":"Jeffrey G."},{"family":"Zhu","given":"Yiming"},{"family":"Wang","given":"Jun"},{"family":"Chang","given":"Yuqi"},{"family":"Feng","given":"Qiang"},{"family":"Fang","given":"Xiaodong"},{"family":"Guo","given":"Xiaosen"},{"family":"Jian","given":"Min"},{"family":"Jiang","given":"Hui"},{"family":"Jin","given":"Xin"},{"family":"Lan","given":"Tianming"},{"family":"Li","given":"Guoqing"},{"family":"Li","given":"Jingxiang"},{"family":"Li","given":"Yingrui"},{"family":"Liu","given":"Shengmao"},{"family":"Liu","given":"Xiao"},{"family":"Lu","given":"Yao"},{"family":"Ma","given":"Xuedi"},{"family":"Tang","given":"Meifang"},{"family":"Wang","given":"Bo"},{"family":"Wang","given":"Guangbiao"},{"family":"Wu","given":"Honglong"},{"family":"Wu","given":"Renhua"},{"family":"Xu","given":"Xun"},{"family":"Yin","given":"Ye"},{"family":"Zhang","given":"Dandan"},{"family":"Zhang","given":"Wenwei"},{"family":"Zhao","given":"Jiao"},{"family":"Zhao","given":"Meiru"},{"family":"Zheng","given":"Xiaole"},{"family":"Lander","given":"Eric S."},{"family":"Altshuler","given":"David M."},{"family":"Gabriel","given":"Stacey B."},{"family":"Gupta","given":"Namrata"},{"family":"Gharani","given":"Neda"},{"family":"Toji","given":"Lorraine H."},{"family":"Gerry","given":"Norman P."},{"family":"Resch","given":"Alissa M."},{"family":"Flicek","given":"Paul"},{"family":"Barker","given":"Jonathan"},{"family":"Clarke","given":"Laura"},{"family":"Gil","given":"Laurent"},{"family":"Hunt","given":"Sarah E."},{"family":"Kelman","given":"Gavin"},{"family":"Kulesha","given":"Eugene"},{"family":"Leinonen","given":"Rasko"},{"family":"McLaren","given":"William M."},{"family":"Radhakrishnan","given":"Rajesh"},{"family":"Roa","given":"Asier"},{"family":"Smirnov","given":"Dmitriy"},{"family":"Smith","given":"Richard E."},{"family":"Streeter","given":"Ian"},{"family":"Thormann","given":"Anja"},{"family":"Toneva","given":"Iliana"},{"family":"Vaughan","given":"Brendan"},{"family":"Zheng-Bradley","given":"Xiangqun"},{"family":"Bentley","given":"David R."},{"family":"Grocock","given":"Russell"},{"family":"Humphray","given":"Sean"},{"family":"James","given":"Terena"},{"family":"Kingsbury","given":"Zoya"},{"family":"Lehrach","given":"Hans"},{"family":"Sudbrak","given":"Ralf"},{"family":"Albrecht","given":"Marcus W."},{"family":"Amstislavskiy","given":"Vyacheslav S."},{"family":"Borodina","given":"Tatiana A."},{"family":"Lienhard","given":"Matthias"},{"family":"Mertes","given":"Florian"},{"family":"Sultan","given":"Marc"},{"family":"Timmermann","given":"Bernd"},{"family":"Yaspo","given":"Marie-Laure"},{"family":"Mardis","given":"Elaine R."},{"family":"Wilson","given":"Richard K."},{"family":"Fulton","given":"Lucinda"},{"family":"Fulton","given":"Robert"},{"family":"Sherry","given":"Stephen T."},{"family":"Ananiev","given":"Victor"},{"family":"Belaia","given":"Zinaida"},{"family":"Beloslyudtsev","given":"Dimitriy"},{"family":"Bouk","given":"Nathan"},{"family":"Chen","given":"Chao"},{"family":"Church","given":"Deanna"},{"family":"Cohen","given":"Robert"},{"family":"Cook","given":"Charles"},{"family":"Garner","given":"John"},{"family":"Hefferon","given":"Timothy"},{"family":"Kimelman","given":"Mikhail"},{"family":"Liu","given":"Chunlei"},{"family":"Lopez","given":"John"},{"family":"Meric","given":"Peter"},{"family":"O’Sullivan","given":"Chris"},{"family":"Ostapchuk","given":"Yuri"},{"family":"Phan","given":"Lon"},{"family":"Ponomarov","given":"Sergiy"},{"family":"Schneider","given":"Valerie"},{"family":"Shekhtman","given":"Eugene"},{"family":"Sirotkin","given":"Karl"},{"family":"Slotta","given":"Douglas"},{"family":"Zhang","given":"Hua"},{"family":"McVean","given":"Gil A."},{"family":"Durbin","given":"Richard M."},{"family":"Balasubramaniam","given":"Senduran"},{"family":"Burton","given":"John"},{"family":"Danecek","given":"Petr"},{"family":"Keane","given":"Thomas M."},{"family":"Kolb-Kokocinski","given":"Anja"},{"family":"McCarthy","given":"Shane"},{"family":"Stalker","given":"James"},{"family":"Quail","given":"Michael"},{"family":"Schmidt","given":"Jeanette P."},{"family":"Davies","given":"Christopher J."},{"family":"Gollub","given":"Jeremy"},{"family":"Webster","given":"Teresa"},{"family":"Wong","given":"Brant"},{"family":"Zhan","given":"Yiping"},{"family":"Auton","given":"Adam"},{"family":"Campbell","given":"Christopher L."},{"family":"Kong","given":"Yu"},{"family":"Marcketta","given":"Anthony"},{"family":"Gibbs","given":"Richard A."},{"family":"Yu","given":"Fuli"},{"family":"Antunes","given":"Lilian"},{"family":"Bainbridge","given":"Matthew"},{"family":"Muzny","given":"Donna"},{"family":"Sabo","given":"Aniko"},{"family":"Huang","given":"Zhuoyi"},{"family":"Wang","given":"Jun"},{"family":"Coin","given":"Lachlan J. M."},{"family":"Fang","given":"Lin"},{"family":"Guo","given":"Xiaosen"},{"family":"Jin","given":"Xin"},{"family":"Li","given":"Guoqing"},{"family":"Li","given":"Qibin"},{"family":"Li","given":"Yingrui"},{"family":"Li","given":"Zhenyu"},{"family":"Lin","given":"Haoxiang"},{"family":"Liu","given":"Binghang"},{"family":"Luo","given":"Ruibang"},{"family":"Shao","given":"Haojing"},{"family":"Xie","given":"Yinlong"},{"family":"Ye","given":"Chen"},{"family":"Yu","given":"Chang"},{"family":"Zhang","given":"Fan"},{"family":"Zheng","given":"Hancheng"},{"family":"Zhu","given":"Hongmei"},{"family":"Alkan","given":"Can"},{"family":"Dal","given":"Elif"},{"family":"Kahveci","given":"Fatma"},{"family":"Marth","given":"Gabor T."},{"family":"Garrison","given":"Erik P."},{"family":"Kural","given":"Deniz"},{"family":"Lee","given":"Wan-Ping"},{"family":"Fung Leong","given":"Wen"},{"family":"Stromberg","given":"Michael"},{"family":"Ward","given":"Alistair N."},{"family":"Wu","given":"Jiantao"},{"family":"Zhang","given":"Mengyao"},{"family":"Daly","given":"Mark J."},{"family":"DePristo","given":"Mark A."},{"family":"Handsaker","given":"Robert E."},{"family":"Altshuler","given":"David M."},{"family":"Banks","given":"Eric"},{"family":"Bhatia","given":"Gaurav"},{"family":"Angel","given":"Guillermo","non-dropping-particle":"del"},{"family":"Gabriel","given":"Stacey B."},{"family":"Genovese","given":"Giulio"},{"family":"Gupta","given":"Namrata"},{"family":"Li","given":"Heng"},{"family":"Kashin","given":"Seva"},{"family":"Lander","given":"Eric S."},{"family":"McCarroll","given":"Steven A."},{"family":"Nemesh","given":"James C."},{"family":"Poplin","given":"Ryan E."},{"family":"Yoon","given":"Seungtai C."},{"family":"Lihm","given":"Jayon"},{"family":"Makarov","given":"Vladimir"},{"family":"Clark","given":"Andrew G."},{"family":"Gottipati","given":"Srikanth"},{"family":"Keinan","given":"Alon"},{"family":"Rodriguez-Flores","given":"Juan L."},{"family":"Korbel","given":"Jan O."},{"family":"Rausch","given":"Tobias"},{"family":"Fritz","given":"Markus H."},{"family":"Stütz","given":"Adrian M."},{"family":"Flicek","given":"Paul"},{"family":"Beal","given":"Kathryn"},{"family":"Clarke","given":"Laura"},{"family":"Datta","given":"Avik"},{"family":"Herrero","given":"Javier"},{"family":"McLaren","given":"William M."},{"family":"Ritchie","given":"Graham R. S."},{"family":"Smith","given":"Richard E."},{"family":"Zerbino","given":"Daniel"},{"family":"Zheng-Bradley","given":"Xiangqun"},{"family":"Sabeti","given":"Pardis C."},{"family":"Shlyakhter","given":"Ilya"},{"family":"Schaffner","given":"Stephen F."},{"family":"Vitti","given":"Joseph"},{"family":"Cooper","given":"David N."},{"family":"Ball","given":"Edward V."},{"family":"Stenson","given":"Peter D."},{"family":"Bentley","given":"David R."},{"family":"Barnes","given":"Bret"},{"family":"Bauer","given":"Markus"},{"family":"Keira Cheetham","given":"R."},{"family":"Cox","given":"Anthony"},{"family":"Eberle","given":"Michael"},{"family":"Humphray","given":"Sean"},{"family":"Kahn","given":"Scott"},{"family":"Murray","given":"Lisa"},{"family":"Peden","given":"John"},{"family":"Shaw","given":"Richard"},{"family":"Kenny","given":"Eimear E."},{"family":"Batzer","given":"Mark A."},{"family":"Konkel","given":"Miriam K."},{"family":"Walker","given":"Jerilyn A."},{"family":"MacArthur","given":"Daniel G."},{"family":"Lek","given":"Monkol"},{"family":"Sudbrak","given":"Ralf"},{"family":"Amstislavskiy","given":"Vyacheslav S."},{"family":"Herwig","given":"Ralf"},{"family":"Mardis","given":"Elaine R."},{"family":"Ding","given":"Li"},{"family":"Koboldt","given":"Daniel C."},{"family":"Larson","given":"David"},{"family":"Ye","given":"Kai"},{"family":"Gravel","given":"Simon"},{"literal":"The 1000 Genomes Project Consortium"},{"literal":"Corresponding authors"},{"literal":"Steering committee"},{"literal":"Production group"},{"literal":"Baylor College of Medicine"},{"literal":"BGI-Shenzhen"},{"literal":"Broad Institute of MIT and Harvard"},{"literal":"Coriell Institute for Medical Research"},{"family":"European Molecular Biology Laboratory","given":"European Bioinformatics Institute"},{"literal":"Illumina"},{"literal":"Max Planck Institute for Molecular Genetics"},{"literal":"McDonnell Genome Institute at Washington University"},{"literal":"US National Institutes of Health"},{"literal":"University of Oxford"},{"literal":"Wellcome Trust Sanger Institute"},{"literal":"Analysis group"},{"literal":"Affymetrix"},{"literal":"Albert Einstein College of Medicine"},{"literal":"Bilkent University"},{"literal":"Boston College"},{"literal":"Cold Spring Harbor Laboratory"},{"literal":"Cornell University"},{"literal":"European Molecular Biology Laboratory"},{"literal":"Harvard University"},{"literal":"Human Gene Mutation Database"},{"literal":"Icahn School of Medicine at Mount Sinai"},{"literal":"Louisiana State University"},{"literal":"Massachusetts General Hospital"},{"literal":"McGill University"},{"family":"National Eye Institute","given":"NIH"}],"issued":{"date-parts":[["2015",10]]}}}],"schema":"https://github.com/citation-style-language/schema/raw/master/csl-citation.json"} </w:instrText>
      </w:r>
      <w:r w:rsidRPr="00691154">
        <w:rPr>
          <w:color w:val="000000" w:themeColor="text1"/>
        </w:rPr>
        <w:fldChar w:fldCharType="separate"/>
      </w:r>
      <w:r w:rsidR="00FC1ACC" w:rsidRPr="00691154">
        <w:rPr>
          <w:color w:val="000000"/>
        </w:rPr>
        <w:t>(6)</w:t>
      </w:r>
      <w:r w:rsidRPr="00691154">
        <w:rPr>
          <w:color w:val="000000" w:themeColor="text1"/>
        </w:rPr>
        <w:fldChar w:fldCharType="end"/>
      </w:r>
      <w:r w:rsidRPr="00691154">
        <w:rPr>
          <w:color w:val="000000" w:themeColor="text1"/>
        </w:rPr>
        <w:t xml:space="preserve"> to infer 65,338 Ancestry Informative Markers (AIMs). AIMs are variants which differ greatly in terms of allele frequencies across biogeographical genetic ancestries. PC-air was used to compute the first 100 principal components (PCs) in the reference (1KGP) population, and project the UKBB samples into the reference PC co-ordinates.</w:t>
      </w:r>
    </w:p>
    <w:p w14:paraId="467A7770" w14:textId="0DA902B0" w:rsidR="00431E09" w:rsidRPr="00691154" w:rsidRDefault="00431E09" w:rsidP="00431E09">
      <w:pPr>
        <w:spacing w:before="480" w:after="480" w:line="480" w:lineRule="auto"/>
        <w:rPr>
          <w:color w:val="000000" w:themeColor="text1"/>
        </w:rPr>
      </w:pPr>
      <w:r w:rsidRPr="00691154">
        <w:rPr>
          <w:color w:val="000000" w:themeColor="text1"/>
        </w:rPr>
        <w:t xml:space="preserve">The Tracy-Widom test </w:t>
      </w:r>
      <w:r w:rsidRPr="00691154">
        <w:rPr>
          <w:color w:val="000000" w:themeColor="text1"/>
        </w:rPr>
        <w:fldChar w:fldCharType="begin"/>
      </w:r>
      <w:r w:rsidR="00FC1ACC" w:rsidRPr="00691154">
        <w:rPr>
          <w:color w:val="000000" w:themeColor="text1"/>
        </w:rPr>
        <w:instrText xml:space="preserve"> ADDIN ZOTERO_ITEM CSL_CITATION {"citationID":"uki0mkLu","properties":{"formattedCitation":"(7)","plainCitation":"(7)","noteIndex":0},"citationItems":[{"id":4718,"uris":["http://zotero.org/users/6187417/items/C7GRPCTQ"],"itemData":{"id":4718,"type":"article-journal","abstract":"Current methods for inferring population structure from genetic data do not provide formal significance tests for population differentiation. We discuss an approach to studying population structure (principal components analysis) that was first applied to genetic data by Cavalli-Sforza and colleagues. We place the method on a solid statistical footing, using results from modern statistics to develop formal significance tests. We also uncover a general “phase change” phenomenon about the ability to detect structure in genetic data, which emerges from the statistical theory we use, and has an important implication for the ability to discover structure in genetic data: for a fixed but large dataset size, divergence between two populations (as measured, for example, by a statistic like FST) below a threshold is essentially undetectable, but a little above threshold, detection will be easy. This means that we can predict the dataset size needed to detect structure.","container-title":"PLOS Genetics","DOI":"10.1371/journal.pgen.0020190","ISSN":"1553-7404","issue":"12","journalAbbreviation":"PLOS Genetics","language":"en","note":"publisher: Public Library of Science","page":"e190","source":"PLoS Journals","title":"Population Structure and Eigenanalysis","volume":"2","author":[{"family":"Patterson","given":"Nick"},{"family":"Price","given":"Alkes L."},{"family":"Reich","given":"David"}],"issued":{"date-parts":[["2006",12,22]]}}}],"schema":"https://github.com/citation-style-language/schema/raw/master/csl-citation.json"} </w:instrText>
      </w:r>
      <w:r w:rsidRPr="00691154">
        <w:rPr>
          <w:color w:val="000000" w:themeColor="text1"/>
        </w:rPr>
        <w:fldChar w:fldCharType="separate"/>
      </w:r>
      <w:r w:rsidR="00FC1ACC" w:rsidRPr="00691154">
        <w:rPr>
          <w:color w:val="000000"/>
        </w:rPr>
        <w:t>(7)</w:t>
      </w:r>
      <w:r w:rsidRPr="00691154">
        <w:rPr>
          <w:color w:val="000000" w:themeColor="text1"/>
        </w:rPr>
        <w:fldChar w:fldCharType="end"/>
      </w:r>
      <w:r w:rsidRPr="00691154">
        <w:rPr>
          <w:color w:val="000000" w:themeColor="text1"/>
        </w:rPr>
        <w:t xml:space="preserve"> selected the 34 first eigenvectors of the dataset for the ancestry inference procedure. A model based on Fisher’s Linear Discriminant Analysis (LDA) </w:t>
      </w:r>
      <w:r w:rsidRPr="00691154">
        <w:rPr>
          <w:color w:val="000000" w:themeColor="text1"/>
        </w:rPr>
        <w:fldChar w:fldCharType="begin"/>
      </w:r>
      <w:r w:rsidR="00FC1ACC" w:rsidRPr="00691154">
        <w:rPr>
          <w:color w:val="000000" w:themeColor="text1"/>
        </w:rPr>
        <w:instrText xml:space="preserve"> ADDIN ZOTERO_ITEM CSL_CITATION {"citationID":"zqozJVdm","properties":{"formattedCitation":"(8)","plainCitation":"(8)","noteIndex":0},"citationItems":[{"id":4720,"uris":["http://zotero.org/users/6187417/items/55Q5LHIS"],"itemData":{"id":4720,"type":"article-journal","abstract":"We and others have identified several hundred ancestry informative markers (AIMs) with large allele frequency differences between different major ancestral groups. For this study, a panel of 199 widely distributed AIMs was used to examine a diverse set of 796 DNA samples including self-identified European Americans, West Africans, East Asians, Amerindians, African Americans, Mexicans, Mexican Americans, Puerto Ricans and South Asians. Analysis using a Bayesian clustering algorithm (STRUCTURE) showed grouping of individuals with similar ethnic identity without any identifier other than the AIMs genotyping and showed admixture proportions that clearly distinguished different individuals of mixed ancestry. Additional analyses showed that, for the majority of samples, the predicted ethnic identity corresponded with the self-identified ethnicity at high probability (P &gt; 0.99). Overall, the study demonstrates that AIMs can provide a useful adjunct to forensic medicine, pharmacogenomics and disease studies in which major ancestry or ethnic affiliation might be linked to specific outcomes.","container-title":"Human Genetics","DOI":"10.1007/s00439-005-0012-1","ISSN":"1432-1203","issue":"3","journalAbbreviation":"Hum Genet","language":"en","page":"382-392","source":"Springer Link","title":"Examination of ancestry and ethnic affiliation using highly informative diallelic DNA markers: application to diverse and admixed populations and implications for clinical epidemiology and forensic medicine","title-short":"Examination of ancestry and ethnic affiliation using highly informative diallelic DNA markers","volume":"118","author":[{"family":"Yang","given":"Nan"},{"family":"Li","given":"Hongzhe"},{"family":"Criswell","given":"Lindsey A."},{"family":"Gregersen","given":"Peter K."},{"family":"Alarcon-Riquelme","given":"Marta E."},{"family":"Kittles","given":"Rick"},{"family":"Shigeta","given":"Russell"},{"family":"Silva","given":"Gabriel"},{"family":"Patel","given":"Pragna I."},{"family":"Belmont","given":"John W."},{"family":"Seldin","given":"Michael F."}],"issued":{"date-parts":[["2005",12,1]]}},"locator":"200"}],"schema":"https://github.com/citation-style-language/schema/raw/master/csl-citation.json"} </w:instrText>
      </w:r>
      <w:r w:rsidRPr="00691154">
        <w:rPr>
          <w:color w:val="000000" w:themeColor="text1"/>
        </w:rPr>
        <w:fldChar w:fldCharType="separate"/>
      </w:r>
      <w:r w:rsidR="00FC1ACC" w:rsidRPr="00691154">
        <w:rPr>
          <w:color w:val="000000"/>
        </w:rPr>
        <w:t>(8)</w:t>
      </w:r>
      <w:r w:rsidRPr="00691154">
        <w:rPr>
          <w:color w:val="000000" w:themeColor="text1"/>
        </w:rPr>
        <w:fldChar w:fldCharType="end"/>
      </w:r>
      <w:r w:rsidRPr="00691154">
        <w:rPr>
          <w:color w:val="000000" w:themeColor="text1"/>
        </w:rPr>
        <w:t xml:space="preserve"> was trained on the known ancestries of the reference samples with principal components as predictors. The trained LDA classification model was then applied to the principal components of the input dataset to predict the most likely genetic ancestry category of each sample. </w:t>
      </w:r>
    </w:p>
    <w:p w14:paraId="6344D402" w14:textId="71AF5C37" w:rsidR="00431E09" w:rsidRPr="00691154" w:rsidRDefault="00431E09" w:rsidP="00431E09">
      <w:pPr>
        <w:spacing w:before="480" w:after="480" w:line="480" w:lineRule="auto"/>
        <w:rPr>
          <w:color w:val="000000" w:themeColor="text1"/>
        </w:rPr>
      </w:pPr>
      <w:r w:rsidRPr="00691154">
        <w:rPr>
          <w:color w:val="000000" w:themeColor="text1"/>
        </w:rPr>
        <w:t xml:space="preserve">Genetic ancestry labels were assigned based on genetic ancestry probabilities, which reflect genetic similarity to the 1KGP reference panel used </w:t>
      </w:r>
      <w:r w:rsidRPr="00691154">
        <w:rPr>
          <w:color w:val="000000" w:themeColor="text1"/>
        </w:rPr>
        <w:fldChar w:fldCharType="begin"/>
      </w:r>
      <w:r w:rsidR="00FC1ACC" w:rsidRPr="00691154">
        <w:rPr>
          <w:color w:val="000000" w:themeColor="text1"/>
        </w:rPr>
        <w:instrText xml:space="preserve"> ADDIN ZOTERO_ITEM CSL_CITATION {"citationID":"u9xEMzTm","properties":{"formattedCitation":"(6)","plainCitation":"(6)","noteIndex":0},"citationItems":[{"id":4702,"uris":["http://zotero.org/users/6187417/items/MGGT5FNI"],"itemData":{"id":4702,"type":"article-journal","abstract":"The 1000 Genomes Project set out to provide a comprehensive description of common human genetic variation by applying whole-genome sequencing to a diverse set of individuals from multiple populations. Here we report completion of the project, having reconstructed the genomes of 2,504 individuals from 26 populations using a combination of low-coverage whole-genome sequencing, deep exome sequencing, and dense microarray genotyping. We characterized a broad spectrum of genetic variation, in total over 88 million variants (84.7 million single nucleotide polymorphisms (SNPs), 3.6 million short insertions/deletions (indels), and 60,000 structural variants), all phased onto high-quality haplotypes. This resource includes &gt;99% of SNP variants with a frequency of &gt;1% for a variety of ancestries. We describe the distribution of genetic variation across the global sample, and discuss the implications for common disease studies.","container-title":"Nature","DOI":"10.1038/nature15393","ISSN":"1476-4687","issue":"7571","language":"en","license":"2015 The Author(s)","note":"publisher: Nature Publishing Group","page":"68-74","source":"www.nature.com","title":"A global reference for human genetic variation","volume":"526","author":[{"family":"Auton","given":"Adam"},{"family":"Abecasis","given":"Gonçalo R."},{"family":"Altshuler","given":"David M."},{"family":"Durbin","given":"Richard M."},{"family":"Abecasis","given":"Gonçalo R."},{"family":"Bentley","given":"David R."},{"family":"Chakravarti","given":"Aravinda"},{"family":"Clark","given":"Andrew G."},{"family":"Donnelly","given":"Peter"},{"family":"Eichler","given":"Evan E."},{"family":"Flicek","given":"Paul"},{"family":"Gabriel","given":"Stacey B."},{"family":"Gibbs","given":"Richard A."},{"family":"Green","given":"Eric D."},{"family":"Hurles","given":"Matthew E."},{"family":"Knoppers","given":"Bartha M."},{"family":"Korbel","given":"Jan O."},{"family":"Lander","given":"Eric S."},{"family":"Lee","given":"Charles"},{"family":"Lehrach","given":"Hans"},{"family":"Mardis","given":"Elaine R."},{"family":"Marth","given":"Gabor T."},{"family":"McVean","given":"Gil A."},{"family":"Nickerson","given":"Deborah A."},{"family":"Schmidt","given":"Jeanette P."},{"family":"Sherry","given":"Stephen T."},{"family":"Wang","given":"Jun"},{"family":"Wilson","given":"Richard K."},{"family":"Gibbs","given":"Richard A."},{"family":"Boerwinkle","given":"Eric"},{"family":"Doddapaneni","given":"Harsha"},{"family":"Han","given":"Yi"},{"family":"Korchina","given":"Viktoriya"},{"family":"Kovar","given":"Christie"},{"family":"Lee","given":"Sandra"},{"family":"Muzny","given":"Donna"},{"family":"Reid","given":"Jeffrey G."},{"family":"Zhu","given":"Yiming"},{"family":"Wang","given":"Jun"},{"family":"Chang","given":"Yuqi"},{"family":"Feng","given":"Qiang"},{"family":"Fang","given":"Xiaodong"},{"family":"Guo","given":"Xiaosen"},{"family":"Jian","given":"Min"},{"family":"Jiang","given":"Hui"},{"family":"Jin","given":"Xin"},{"family":"Lan","given":"Tianming"},{"family":"Li","given":"Guoqing"},{"family":"Li","given":"Jingxiang"},{"family":"Li","given":"Yingrui"},{"family":"Liu","given":"Shengmao"},{"family":"Liu","given":"Xiao"},{"family":"Lu","given":"Yao"},{"family":"Ma","given":"Xuedi"},{"family":"Tang","given":"Meifang"},{"family":"Wang","given":"Bo"},{"family":"Wang","given":"Guangbiao"},{"family":"Wu","given":"Honglong"},{"family":"Wu","given":"Renhua"},{"family":"Xu","given":"Xun"},{"family":"Yin","given":"Ye"},{"family":"Zhang","given":"Dandan"},{"family":"Zhang","given":"Wenwei"},{"family":"Zhao","given":"Jiao"},{"family":"Zhao","given":"Meiru"},{"family":"Zheng","given":"Xiaole"},{"family":"Lander","given":"Eric S."},{"family":"Altshuler","given":"David M."},{"family":"Gabriel","given":"Stacey B."},{"family":"Gupta","given":"Namrata"},{"family":"Gharani","given":"Neda"},{"family":"Toji","given":"Lorraine H."},{"family":"Gerry","given":"Norman P."},{"family":"Resch","given":"Alissa M."},{"family":"Flicek","given":"Paul"},{"family":"Barker","given":"Jonathan"},{"family":"Clarke","given":"Laura"},{"family":"Gil","given":"Laurent"},{"family":"Hunt","given":"Sarah E."},{"family":"Kelman","given":"Gavin"},{"family":"Kulesha","given":"Eugene"},{"family":"Leinonen","given":"Rasko"},{"family":"McLaren","given":"William M."},{"family":"Radhakrishnan","given":"Rajesh"},{"family":"Roa","given":"Asier"},{"family":"Smirnov","given":"Dmitriy"},{"family":"Smith","given":"Richard E."},{"family":"Streeter","given":"Ian"},{"family":"Thormann","given":"Anja"},{"family":"Toneva","given":"Iliana"},{"family":"Vaughan","given":"Brendan"},{"family":"Zheng-Bradley","given":"Xiangqun"},{"family":"Bentley","given":"David R."},{"family":"Grocock","given":"Russell"},{"family":"Humphray","given":"Sean"},{"family":"James","given":"Terena"},{"family":"Kingsbury","given":"Zoya"},{"family":"Lehrach","given":"Hans"},{"family":"Sudbrak","given":"Ralf"},{"family":"Albrecht","given":"Marcus W."},{"family":"Amstislavskiy","given":"Vyacheslav S."},{"family":"Borodina","given":"Tatiana A."},{"family":"Lienhard","given":"Matthias"},{"family":"Mertes","given":"Florian"},{"family":"Sultan","given":"Marc"},{"family":"Timmermann","given":"Bernd"},{"family":"Yaspo","given":"Marie-Laure"},{"family":"Mardis","given":"Elaine R."},{"family":"Wilson","given":"Richard K."},{"family":"Fulton","given":"Lucinda"},{"family":"Fulton","given":"Robert"},{"family":"Sherry","given":"Stephen T."},{"family":"Ananiev","given":"Victor"},{"family":"Belaia","given":"Zinaida"},{"family":"Beloslyudtsev","given":"Dimitriy"},{"family":"Bouk","given":"Nathan"},{"family":"Chen","given":"Chao"},{"family":"Church","given":"Deanna"},{"family":"Cohen","given":"Robert"},{"family":"Cook","given":"Charles"},{"family":"Garner","given":"John"},{"family":"Hefferon","given":"Timothy"},{"family":"Kimelman","given":"Mikhail"},{"family":"Liu","given":"Chunlei"},{"family":"Lopez","given":"John"},{"family":"Meric","given":"Peter"},{"family":"O’Sullivan","given":"Chris"},{"family":"Ostapchuk","given":"Yuri"},{"family":"Phan","given":"Lon"},{"family":"Ponomarov","given":"Sergiy"},{"family":"Schneider","given":"Valerie"},{"family":"Shekhtman","given":"Eugene"},{"family":"Sirotkin","given":"Karl"},{"family":"Slotta","given":"Douglas"},{"family":"Zhang","given":"Hua"},{"family":"McVean","given":"Gil A."},{"family":"Durbin","given":"Richard M."},{"family":"Balasubramaniam","given":"Senduran"},{"family":"Burton","given":"John"},{"family":"Danecek","given":"Petr"},{"family":"Keane","given":"Thomas M."},{"family":"Kolb-Kokocinski","given":"Anja"},{"family":"McCarthy","given":"Shane"},{"family":"Stalker","given":"James"},{"family":"Quail","given":"Michael"},{"family":"Schmidt","given":"Jeanette P."},{"family":"Davies","given":"Christopher J."},{"family":"Gollub","given":"Jeremy"},{"family":"Webster","given":"Teresa"},{"family":"Wong","given":"Brant"},{"family":"Zhan","given":"Yiping"},{"family":"Auton","given":"Adam"},{"family":"Campbell","given":"Christopher L."},{"family":"Kong","given":"Yu"},{"family":"Marcketta","given":"Anthony"},{"family":"Gibbs","given":"Richard A."},{"family":"Yu","given":"Fuli"},{"family":"Antunes","given":"Lilian"},{"family":"Bainbridge","given":"Matthew"},{"family":"Muzny","given":"Donna"},{"family":"Sabo","given":"Aniko"},{"family":"Huang","given":"Zhuoyi"},{"family":"Wang","given":"Jun"},{"family":"Coin","given":"Lachlan J. M."},{"family":"Fang","given":"Lin"},{"family":"Guo","given":"Xiaosen"},{"family":"Jin","given":"Xin"},{"family":"Li","given":"Guoqing"},{"family":"Li","given":"Qibin"},{"family":"Li","given":"Yingrui"},{"family":"Li","given":"Zhenyu"},{"family":"Lin","given":"Haoxiang"},{"family":"Liu","given":"Binghang"},{"family":"Luo","given":"Ruibang"},{"family":"Shao","given":"Haojing"},{"family":"Xie","given":"Yinlong"},{"family":"Ye","given":"Chen"},{"family":"Yu","given":"Chang"},{"family":"Zhang","given":"Fan"},{"family":"Zheng","given":"Hancheng"},{"family":"Zhu","given":"Hongmei"},{"family":"Alkan","given":"Can"},{"family":"Dal","given":"Elif"},{"family":"Kahveci","given":"Fatma"},{"family":"Marth","given":"Gabor T."},{"family":"Garrison","given":"Erik P."},{"family":"Kural","given":"Deniz"},{"family":"Lee","given":"Wan-Ping"},{"family":"Fung Leong","given":"Wen"},{"family":"Stromberg","given":"Michael"},{"family":"Ward","given":"Alistair N."},{"family":"Wu","given":"Jiantao"},{"family":"Zhang","given":"Mengyao"},{"family":"Daly","given":"Mark J."},{"family":"DePristo","given":"Mark A."},{"family":"Handsaker","given":"Robert E."},{"family":"Altshuler","given":"David M."},{"family":"Banks","given":"Eric"},{"family":"Bhatia","given":"Gaurav"},{"family":"Angel","given":"Guillermo","non-dropping-particle":"del"},{"family":"Gabriel","given":"Stacey B."},{"family":"Genovese","given":"Giulio"},{"family":"Gupta","given":"Namrata"},{"family":"Li","given":"Heng"},{"family":"Kashin","given":"Seva"},{"family":"Lander","given":"Eric S."},{"family":"McCarroll","given":"Steven A."},{"family":"Nemesh","given":"James C."},{"family":"Poplin","given":"Ryan E."},{"family":"Yoon","given":"Seungtai C."},{"family":"Lihm","given":"Jayon"},{"family":"Makarov","given":"Vladimir"},{"family":"Clark","given":"Andrew G."},{"family":"Gottipati","given":"Srikanth"},{"family":"Keinan","given":"Alon"},{"family":"Rodriguez-Flores","given":"Juan L."},{"family":"Korbel","given":"Jan O."},{"family":"Rausch","given":"Tobias"},{"family":"Fritz","given":"Markus H."},{"family":"Stütz","given":"Adrian M."},{"family":"Flicek","given":"Paul"},{"family":"Beal","given":"Kathryn"},{"family":"Clarke","given":"Laura"},{"family":"Datta","given":"Avik"},{"family":"Herrero","given":"Javier"},{"family":"McLaren","given":"William M."},{"family":"Ritchie","given":"Graham R. S."},{"family":"Smith","given":"Richard E."},{"family":"Zerbino","given":"Daniel"},{"family":"Zheng-Bradley","given":"Xiangqun"},{"family":"Sabeti","given":"Pardis C."},{"family":"Shlyakhter","given":"Ilya"},{"family":"Schaffner","given":"Stephen F."},{"family":"Vitti","given":"Joseph"},{"family":"Cooper","given":"David N."},{"family":"Ball","given":"Edward V."},{"family":"Stenson","given":"Peter D."},{"family":"Bentley","given":"David R."},{"family":"Barnes","given":"Bret"},{"family":"Bauer","given":"Markus"},{"family":"Keira Cheetham","given":"R."},{"family":"Cox","given":"Anthony"},{"family":"Eberle","given":"Michael"},{"family":"Humphray","given":"Sean"},{"family":"Kahn","given":"Scott"},{"family":"Murray","given":"Lisa"},{"family":"Peden","given":"John"},{"family":"Shaw","given":"Richard"},{"family":"Kenny","given":"Eimear E."},{"family":"Batzer","given":"Mark A."},{"family":"Konkel","given":"Miriam K."},{"family":"Walker","given":"Jerilyn A."},{"family":"MacArthur","given":"Daniel G."},{"family":"Lek","given":"Monkol"},{"family":"Sudbrak","given":"Ralf"},{"family":"Amstislavskiy","given":"Vyacheslav S."},{"family":"Herwig","given":"Ralf"},{"family":"Mardis","given":"Elaine R."},{"family":"Ding","given":"Li"},{"family":"Koboldt","given":"Daniel C."},{"family":"Larson","given":"David"},{"family":"Ye","given":"Kai"},{"family":"Gravel","given":"Simon"},{"literal":"The 1000 Genomes Project Consortium"},{"literal":"Corresponding authors"},{"literal":"Steering committee"},{"literal":"Production group"},{"literal":"Baylor College of Medicine"},{"literal":"BGI-Shenzhen"},{"literal":"Broad Institute of MIT and Harvard"},{"literal":"Coriell Institute for Medical Research"},{"family":"European Molecular Biology Laboratory","given":"European Bioinformatics Institute"},{"literal":"Illumina"},{"literal":"Max Planck Institute for Molecular Genetics"},{"literal":"McDonnell Genome Institute at Washington University"},{"literal":"US National Institutes of Health"},{"literal":"University of Oxford"},{"literal":"Wellcome Trust Sanger Institute"},{"literal":"Analysis group"},{"literal":"Affymetrix"},{"literal":"Albert Einstein College of Medicine"},{"literal":"Bilkent University"},{"literal":"Boston College"},{"literal":"Cold Spring Harbor Laboratory"},{"literal":"Cornell University"},{"literal":"European Molecular Biology Laboratory"},{"literal":"Harvard University"},{"literal":"Human Gene Mutation Database"},{"literal":"Icahn School of Medicine at Mount Sinai"},{"literal":"Louisiana State University"},{"literal":"Massachusetts General Hospital"},{"literal":"McGill University"},{"family":"National Eye Institute","given":"NIH"}],"issued":{"date-parts":[["2015",10]]}}}],"schema":"https://github.com/citation-style-language/schema/raw/master/csl-citation.json"} </w:instrText>
      </w:r>
      <w:r w:rsidRPr="00691154">
        <w:rPr>
          <w:color w:val="000000" w:themeColor="text1"/>
        </w:rPr>
        <w:fldChar w:fldCharType="separate"/>
      </w:r>
      <w:r w:rsidR="00FC1ACC" w:rsidRPr="00691154">
        <w:rPr>
          <w:color w:val="000000"/>
        </w:rPr>
        <w:t>(6)</w:t>
      </w:r>
      <w:r w:rsidRPr="00691154">
        <w:rPr>
          <w:color w:val="000000" w:themeColor="text1"/>
        </w:rPr>
        <w:fldChar w:fldCharType="end"/>
      </w:r>
      <w:r w:rsidRPr="00691154">
        <w:rPr>
          <w:color w:val="000000" w:themeColor="text1"/>
        </w:rPr>
        <w:t xml:space="preserve">. For any individual, if any genetic ancestry probability was &gt; 0.8, we assigned the 1KGP-ancestry-like label to that individual. We note that these labels merely reflect genetic similarity to the reference population and do not represent discrete or biologically distinct categories. Where no genetic ancestry probabilities were &gt; 0.8, we assigned an ‘Admixed’ label to the individual. </w:t>
      </w:r>
    </w:p>
    <w:p w14:paraId="2C9743DF" w14:textId="713348AC" w:rsidR="00431E09" w:rsidRPr="00691154" w:rsidRDefault="00431E09" w:rsidP="005804EE">
      <w:pPr>
        <w:spacing w:before="480" w:after="480" w:line="480" w:lineRule="auto"/>
      </w:pPr>
      <w:r w:rsidRPr="00691154">
        <w:rPr>
          <w:color w:val="000000" w:themeColor="text1"/>
        </w:rPr>
        <w:t xml:space="preserve">For each genetic ancestry label, we derived 10 </w:t>
      </w:r>
      <w:r w:rsidR="00A726C4" w:rsidRPr="00691154">
        <w:rPr>
          <w:color w:val="000000" w:themeColor="text1"/>
        </w:rPr>
        <w:t>within-</w:t>
      </w:r>
      <w:r w:rsidRPr="00691154">
        <w:rPr>
          <w:color w:val="000000" w:themeColor="text1"/>
        </w:rPr>
        <w:t>ancestry PCs using UKBB post-QC array data for all unrelated participants with that label. Further quality control processes were applied: variants were pruned twice in PLINK to ensure limited linkage disequilibrium between SNPs (R</w:t>
      </w:r>
      <w:r w:rsidRPr="00691154">
        <w:rPr>
          <w:color w:val="000000" w:themeColor="text1"/>
          <w:vertAlign w:val="superscript"/>
        </w:rPr>
        <w:t>2</w:t>
      </w:r>
      <w:r w:rsidRPr="00691154">
        <w:rPr>
          <w:color w:val="000000" w:themeColor="text1"/>
        </w:rPr>
        <w:t xml:space="preserve"> &gt; 0.2); and rare (MAF </w:t>
      </w:r>
      <w:r w:rsidRPr="00691154">
        <w:rPr>
          <w:rFonts w:ascii="Helvetica Neue" w:hAnsi="Helvetica Neue"/>
          <w:color w:val="001D35"/>
          <w:sz w:val="27"/>
          <w:szCs w:val="27"/>
          <w:shd w:val="clear" w:color="auto" w:fill="FFFFFF"/>
        </w:rPr>
        <w:t>≤</w:t>
      </w:r>
      <w:r w:rsidRPr="00691154">
        <w:rPr>
          <w:color w:val="000000" w:themeColor="text1"/>
        </w:rPr>
        <w:t xml:space="preserve"> 0.05) variants were excluded. PC analysis was then run on remaining variants in Hail to output 10 </w:t>
      </w:r>
      <w:r w:rsidR="00A726C4" w:rsidRPr="00691154">
        <w:rPr>
          <w:color w:val="000000" w:themeColor="text1"/>
        </w:rPr>
        <w:t>within-</w:t>
      </w:r>
      <w:r w:rsidRPr="00691154">
        <w:rPr>
          <w:color w:val="000000" w:themeColor="text1"/>
        </w:rPr>
        <w:t xml:space="preserve">ancestry PCs for use as covariates in ancestry-specific analyses. </w:t>
      </w:r>
    </w:p>
    <w:p w14:paraId="3AA0D68B" w14:textId="77777777" w:rsidR="00E83DED" w:rsidRPr="00691154" w:rsidRDefault="00E83DED" w:rsidP="00E83DED">
      <w:pPr>
        <w:pStyle w:val="Heading2"/>
      </w:pPr>
      <w:bookmarkStart w:id="3" w:name="_Toc225510439"/>
      <w:r w:rsidRPr="00691154">
        <w:lastRenderedPageBreak/>
        <w:t>Deriving generalised cognition (</w:t>
      </w:r>
      <w:r w:rsidRPr="00691154">
        <w:rPr>
          <w:i/>
          <w:iCs/>
        </w:rPr>
        <w:t>g</w:t>
      </w:r>
      <w:r w:rsidRPr="00691154">
        <w:t>)</w:t>
      </w:r>
      <w:bookmarkEnd w:id="3"/>
      <w:r w:rsidRPr="00691154">
        <w:t xml:space="preserve"> </w:t>
      </w:r>
    </w:p>
    <w:p w14:paraId="36333E2B" w14:textId="07769C91" w:rsidR="00E83DED" w:rsidRPr="00691154" w:rsidRDefault="00E83DED" w:rsidP="00E83DED">
      <w:pPr>
        <w:spacing w:line="480" w:lineRule="auto"/>
        <w:rPr>
          <w:color w:val="000000" w:themeColor="text1"/>
        </w:rPr>
      </w:pPr>
      <w:r w:rsidRPr="00691154">
        <w:rPr>
          <w:color w:val="000000" w:themeColor="text1"/>
        </w:rPr>
        <w:t>We</w:t>
      </w:r>
      <w:r w:rsidRPr="00691154">
        <w:rPr>
          <w:i/>
          <w:iCs/>
          <w:color w:val="000000" w:themeColor="text1"/>
        </w:rPr>
        <w:t xml:space="preserve"> </w:t>
      </w:r>
      <w:r w:rsidRPr="00691154">
        <w:rPr>
          <w:color w:val="000000" w:themeColor="text1"/>
        </w:rPr>
        <w:t xml:space="preserve">derived </w:t>
      </w:r>
      <w:r w:rsidRPr="00691154">
        <w:rPr>
          <w:i/>
          <w:iCs/>
          <w:color w:val="000000" w:themeColor="text1"/>
        </w:rPr>
        <w:t xml:space="preserve">g </w:t>
      </w:r>
      <w:r w:rsidRPr="00691154">
        <w:rPr>
          <w:color w:val="000000" w:themeColor="text1"/>
        </w:rPr>
        <w:t xml:space="preserve">from the first principal component (PC) from a PC analysis of the following cognitive tests: </w:t>
      </w:r>
      <w:r w:rsidRPr="00691154">
        <w:rPr>
          <w:b/>
          <w:bCs/>
          <w:color w:val="000000" w:themeColor="text1"/>
        </w:rPr>
        <w:t>1)</w:t>
      </w:r>
      <w:r w:rsidRPr="00691154">
        <w:rPr>
          <w:color w:val="000000" w:themeColor="text1"/>
        </w:rPr>
        <w:t xml:space="preserve"> Numeric memory (online test battery 1), </w:t>
      </w:r>
      <w:r w:rsidRPr="00691154">
        <w:rPr>
          <w:b/>
          <w:bCs/>
          <w:color w:val="000000" w:themeColor="text1"/>
        </w:rPr>
        <w:t>2)</w:t>
      </w:r>
      <w:r w:rsidRPr="00691154">
        <w:rPr>
          <w:color w:val="000000" w:themeColor="text1"/>
        </w:rPr>
        <w:t xml:space="preserve"> Reaction time (baseline assessment), </w:t>
      </w:r>
      <w:r w:rsidRPr="00691154">
        <w:rPr>
          <w:b/>
          <w:bCs/>
          <w:color w:val="000000" w:themeColor="text1"/>
        </w:rPr>
        <w:t>3)</w:t>
      </w:r>
      <w:r w:rsidRPr="00691154">
        <w:rPr>
          <w:color w:val="000000" w:themeColor="text1"/>
        </w:rPr>
        <w:t xml:space="preserve"> Pairs matching (baseline assessment), </w:t>
      </w:r>
      <w:r w:rsidRPr="00691154">
        <w:rPr>
          <w:b/>
          <w:bCs/>
          <w:color w:val="000000" w:themeColor="text1"/>
        </w:rPr>
        <w:t>4)</w:t>
      </w:r>
      <w:r w:rsidRPr="00691154">
        <w:rPr>
          <w:color w:val="000000" w:themeColor="text1"/>
        </w:rPr>
        <w:t xml:space="preserve"> Trail making test B (online test battery 1). </w:t>
      </w:r>
      <w:r w:rsidRPr="00691154">
        <w:rPr>
          <w:i/>
          <w:iCs/>
          <w:color w:val="000000" w:themeColor="text1"/>
        </w:rPr>
        <w:t>g</w:t>
      </w:r>
      <w:r w:rsidRPr="00691154">
        <w:rPr>
          <w:color w:val="000000" w:themeColor="text1"/>
        </w:rPr>
        <w:t xml:space="preserve"> was only available for 76,783 participants who completed all four input tests. In selecting tests for use in the formation of </w:t>
      </w:r>
      <w:r w:rsidRPr="00691154">
        <w:rPr>
          <w:i/>
          <w:iCs/>
          <w:color w:val="000000" w:themeColor="text1"/>
        </w:rPr>
        <w:t>g</w:t>
      </w:r>
      <w:r w:rsidRPr="00691154">
        <w:rPr>
          <w:color w:val="000000" w:themeColor="text1"/>
        </w:rPr>
        <w:t xml:space="preserve">, we aimed to find a combination of four tests which each spanned different cognitive domains, whilst maximising sample size. Tests with low completion rates (&lt;20%) were thus not considered for inclusion. We also aimed to select tests administered as close together in time as </w:t>
      </w:r>
      <w:proofErr w:type="gramStart"/>
      <w:r w:rsidRPr="00691154">
        <w:rPr>
          <w:color w:val="000000" w:themeColor="text1"/>
        </w:rPr>
        <w:t>possible, and</w:t>
      </w:r>
      <w:proofErr w:type="gramEnd"/>
      <w:r w:rsidRPr="00691154">
        <w:rPr>
          <w:color w:val="000000" w:themeColor="text1"/>
        </w:rPr>
        <w:t xml:space="preserve"> therefore did not consider tests completed in the second online cognitive test battery for inclusion in </w:t>
      </w:r>
      <w:r w:rsidRPr="00691154">
        <w:rPr>
          <w:i/>
          <w:iCs/>
          <w:color w:val="000000" w:themeColor="text1"/>
        </w:rPr>
        <w:t>g</w:t>
      </w:r>
      <w:r w:rsidRPr="00691154">
        <w:rPr>
          <w:color w:val="000000" w:themeColor="text1"/>
        </w:rPr>
        <w:t xml:space="preserve">, as this battery was completed 11 or more years after the initial assessment centre. Our estimates </w:t>
      </w:r>
      <w:r w:rsidR="6BD8AC8D" w:rsidRPr="00691154">
        <w:rPr>
          <w:color w:val="000000" w:themeColor="text1"/>
        </w:rPr>
        <w:t>o</w:t>
      </w:r>
      <w:r w:rsidRPr="00691154">
        <w:rPr>
          <w:color w:val="000000" w:themeColor="text1"/>
        </w:rPr>
        <w:t>f</w:t>
      </w:r>
      <w:r w:rsidRPr="00691154">
        <w:rPr>
          <w:i/>
          <w:iCs/>
          <w:color w:val="000000" w:themeColor="text1"/>
        </w:rPr>
        <w:t xml:space="preserve"> g </w:t>
      </w:r>
      <w:r w:rsidRPr="00691154">
        <w:rPr>
          <w:color w:val="000000" w:themeColor="text1"/>
        </w:rPr>
        <w:t xml:space="preserve">were standardised, and outliers above and below 4 standard deviations from the mean were removed. </w:t>
      </w:r>
    </w:p>
    <w:p w14:paraId="1C3917FC" w14:textId="77777777" w:rsidR="00102589" w:rsidRPr="00691154" w:rsidRDefault="00102589" w:rsidP="00102589">
      <w:pPr>
        <w:pStyle w:val="Heading2"/>
      </w:pPr>
      <w:bookmarkStart w:id="4" w:name="_Toc189554741"/>
      <w:bookmarkStart w:id="5" w:name="_Toc189554744"/>
      <w:bookmarkStart w:id="6" w:name="_Toc225510440"/>
      <w:r w:rsidRPr="00691154">
        <w:t xml:space="preserve">Additional measures of </w:t>
      </w:r>
      <w:r w:rsidRPr="00691154">
        <w:rPr>
          <w:i/>
        </w:rPr>
        <w:t>g</w:t>
      </w:r>
      <w:r w:rsidRPr="00691154">
        <w:t xml:space="preserve"> in the UK Biobank</w:t>
      </w:r>
      <w:bookmarkEnd w:id="4"/>
      <w:bookmarkEnd w:id="6"/>
      <w:r w:rsidRPr="00691154">
        <w:t xml:space="preserve"> </w:t>
      </w:r>
    </w:p>
    <w:p w14:paraId="5559EBF2" w14:textId="3336DB04" w:rsidR="00102589" w:rsidRPr="00691154" w:rsidRDefault="00102589" w:rsidP="00102589">
      <w:pPr>
        <w:spacing w:line="480" w:lineRule="auto"/>
        <w:rPr>
          <w:color w:val="000000" w:themeColor="text1"/>
        </w:rPr>
      </w:pPr>
      <w:r w:rsidRPr="00691154">
        <w:rPr>
          <w:color w:val="000000" w:themeColor="text1"/>
        </w:rPr>
        <w:t xml:space="preserve">To investigate the impact of modifying some of the cognitive tests included in </w:t>
      </w:r>
      <w:r w:rsidR="003E4598" w:rsidRPr="00691154">
        <w:rPr>
          <w:color w:val="000000" w:themeColor="text1"/>
        </w:rPr>
        <w:t xml:space="preserve">the </w:t>
      </w:r>
      <w:r w:rsidRPr="00691154">
        <w:rPr>
          <w:color w:val="000000" w:themeColor="text1"/>
        </w:rPr>
        <w:t xml:space="preserve">formation of </w:t>
      </w:r>
      <w:r w:rsidRPr="00691154">
        <w:rPr>
          <w:i/>
          <w:iCs/>
          <w:color w:val="000000" w:themeColor="text1"/>
        </w:rPr>
        <w:t>g</w:t>
      </w:r>
      <w:r w:rsidRPr="00691154">
        <w:rPr>
          <w:color w:val="000000" w:themeColor="text1"/>
        </w:rPr>
        <w:t xml:space="preserve">, we compared four separate </w:t>
      </w:r>
      <w:r w:rsidRPr="00691154">
        <w:rPr>
          <w:i/>
          <w:iCs/>
          <w:color w:val="000000" w:themeColor="text1"/>
        </w:rPr>
        <w:t xml:space="preserve">g </w:t>
      </w:r>
      <w:r w:rsidRPr="00691154">
        <w:rPr>
          <w:color w:val="000000" w:themeColor="text1"/>
        </w:rPr>
        <w:t xml:space="preserve">scores that were formed using three of the four tests included in our original estimate of </w:t>
      </w:r>
      <w:r w:rsidRPr="00691154">
        <w:rPr>
          <w:i/>
          <w:color w:val="000000" w:themeColor="text1"/>
        </w:rPr>
        <w:t>g</w:t>
      </w:r>
      <w:r w:rsidRPr="00691154">
        <w:rPr>
          <w:color w:val="000000" w:themeColor="text1"/>
        </w:rPr>
        <w:t xml:space="preserve">, leaving one test out at a time. </w:t>
      </w:r>
      <w:r w:rsidR="004F4001" w:rsidRPr="00691154">
        <w:rPr>
          <w:color w:val="000000" w:themeColor="text1"/>
        </w:rPr>
        <w:t xml:space="preserve">All </w:t>
      </w:r>
      <w:r w:rsidR="004F4001" w:rsidRPr="00691154">
        <w:rPr>
          <w:i/>
          <w:iCs/>
          <w:color w:val="000000" w:themeColor="text1"/>
        </w:rPr>
        <w:t>g</w:t>
      </w:r>
      <w:r w:rsidR="004F4001" w:rsidRPr="00691154">
        <w:rPr>
          <w:color w:val="000000" w:themeColor="text1"/>
        </w:rPr>
        <w:t xml:space="preserve"> scores were coded so a positive score reflected better performance on the input tests. </w:t>
      </w:r>
      <w:r w:rsidRPr="00691154">
        <w:rPr>
          <w:color w:val="000000" w:themeColor="text1"/>
        </w:rPr>
        <w:t xml:space="preserve">Each of these </w:t>
      </w:r>
      <w:r w:rsidRPr="00691154">
        <w:rPr>
          <w:i/>
          <w:iCs/>
          <w:color w:val="000000" w:themeColor="text1"/>
        </w:rPr>
        <w:t>g</w:t>
      </w:r>
      <w:r w:rsidRPr="00691154">
        <w:rPr>
          <w:color w:val="000000" w:themeColor="text1"/>
        </w:rPr>
        <w:t xml:space="preserve"> scores was highly correlated with the original </w:t>
      </w:r>
      <w:r w:rsidRPr="00691154">
        <w:rPr>
          <w:i/>
          <w:iCs/>
          <w:color w:val="000000" w:themeColor="text1"/>
        </w:rPr>
        <w:t>g</w:t>
      </w:r>
      <w:r w:rsidRPr="00691154">
        <w:rPr>
          <w:color w:val="000000" w:themeColor="text1"/>
        </w:rPr>
        <w:t xml:space="preserve"> (weakest correlation co-efficient = </w:t>
      </w:r>
      <w:r w:rsidR="004F4001" w:rsidRPr="00691154">
        <w:rPr>
          <w:color w:val="000000" w:themeColor="text1"/>
        </w:rPr>
        <w:t>0.88</w:t>
      </w:r>
      <w:r w:rsidR="0083257C" w:rsidRPr="00691154">
        <w:rPr>
          <w:color w:val="000000" w:themeColor="text1"/>
        </w:rPr>
        <w:t xml:space="preserve">, Supplementary Table </w:t>
      </w:r>
      <w:r w:rsidR="0070331D" w:rsidRPr="00691154">
        <w:rPr>
          <w:color w:val="000000" w:themeColor="text1"/>
        </w:rPr>
        <w:t>7)</w:t>
      </w:r>
      <w:r w:rsidRPr="00691154">
        <w:rPr>
          <w:color w:val="000000" w:themeColor="text1"/>
        </w:rPr>
        <w:t xml:space="preserve">, suggesting our measure of </w:t>
      </w:r>
      <w:r w:rsidRPr="00691154">
        <w:rPr>
          <w:i/>
          <w:iCs/>
          <w:color w:val="000000" w:themeColor="text1"/>
        </w:rPr>
        <w:t>g</w:t>
      </w:r>
      <w:r w:rsidRPr="00691154">
        <w:rPr>
          <w:color w:val="000000" w:themeColor="text1"/>
        </w:rPr>
        <w:t xml:space="preserve"> is consistent with other possible measures, and it is not driven by any individual cognitive test</w:t>
      </w:r>
      <w:r w:rsidR="0083257C" w:rsidRPr="00691154">
        <w:rPr>
          <w:color w:val="000000" w:themeColor="text1"/>
        </w:rPr>
        <w:t xml:space="preserve">. </w:t>
      </w:r>
      <w:r w:rsidRPr="00691154">
        <w:rPr>
          <w:color w:val="000000" w:themeColor="text1"/>
        </w:rPr>
        <w:t xml:space="preserve"> </w:t>
      </w:r>
    </w:p>
    <w:p w14:paraId="56638183" w14:textId="09101CDB" w:rsidR="004F4001" w:rsidRPr="00691154" w:rsidRDefault="00102589" w:rsidP="00102589">
      <w:pPr>
        <w:spacing w:line="480" w:lineRule="auto"/>
        <w:rPr>
          <w:color w:val="498CF1" w:themeColor="background2" w:themeShade="BF"/>
        </w:rPr>
      </w:pPr>
      <w:r w:rsidRPr="00691154">
        <w:rPr>
          <w:color w:val="000000" w:themeColor="text1"/>
        </w:rPr>
        <w:t xml:space="preserve">In some studies of </w:t>
      </w:r>
      <w:r w:rsidR="00C81305" w:rsidRPr="00691154">
        <w:rPr>
          <w:i/>
          <w:iCs/>
          <w:color w:val="000000" w:themeColor="text1"/>
        </w:rPr>
        <w:t xml:space="preserve">g </w:t>
      </w:r>
      <w:r w:rsidRPr="00691154">
        <w:rPr>
          <w:color w:val="000000" w:themeColor="text1"/>
        </w:rPr>
        <w:t xml:space="preserve">in the UKBB, fluid intelligence is included in the formation of </w:t>
      </w:r>
      <w:r w:rsidRPr="00691154">
        <w:rPr>
          <w:i/>
          <w:iCs/>
          <w:color w:val="000000" w:themeColor="text1"/>
        </w:rPr>
        <w:t xml:space="preserve">g. </w:t>
      </w:r>
      <w:r w:rsidRPr="00691154">
        <w:rPr>
          <w:color w:val="000000" w:themeColor="text1"/>
        </w:rPr>
        <w:t xml:space="preserve">To investigate how similar our measure of </w:t>
      </w:r>
      <w:r w:rsidRPr="00691154">
        <w:rPr>
          <w:i/>
          <w:iCs/>
          <w:color w:val="000000" w:themeColor="text1"/>
        </w:rPr>
        <w:t>g</w:t>
      </w:r>
      <w:r w:rsidRPr="00691154">
        <w:rPr>
          <w:color w:val="000000" w:themeColor="text1"/>
        </w:rPr>
        <w:t xml:space="preserve"> is compared to other possible measures, we formed two additional </w:t>
      </w:r>
      <w:r w:rsidRPr="00691154">
        <w:rPr>
          <w:i/>
          <w:iCs/>
          <w:color w:val="000000" w:themeColor="text1"/>
        </w:rPr>
        <w:t>g</w:t>
      </w:r>
      <w:r w:rsidRPr="00691154">
        <w:rPr>
          <w:color w:val="000000" w:themeColor="text1"/>
        </w:rPr>
        <w:t xml:space="preserve"> scores: </w:t>
      </w:r>
      <w:r w:rsidRPr="00691154">
        <w:rPr>
          <w:b/>
          <w:bCs/>
          <w:color w:val="000000" w:themeColor="text1"/>
        </w:rPr>
        <w:t>1)</w:t>
      </w:r>
      <w:r w:rsidRPr="00691154">
        <w:rPr>
          <w:color w:val="000000" w:themeColor="text1"/>
        </w:rPr>
        <w:t xml:space="preserve"> adding fluid intelligence to the PCA used to form our original </w:t>
      </w:r>
      <w:r w:rsidRPr="00691154">
        <w:rPr>
          <w:i/>
          <w:iCs/>
          <w:color w:val="000000" w:themeColor="text1"/>
        </w:rPr>
        <w:t>g</w:t>
      </w:r>
      <w:r w:rsidRPr="00691154">
        <w:rPr>
          <w:color w:val="000000" w:themeColor="text1"/>
        </w:rPr>
        <w:t xml:space="preserve">; </w:t>
      </w:r>
      <w:r w:rsidRPr="00691154">
        <w:rPr>
          <w:b/>
          <w:bCs/>
          <w:color w:val="000000" w:themeColor="text1"/>
        </w:rPr>
        <w:t>2</w:t>
      </w:r>
      <w:r w:rsidRPr="00691154">
        <w:rPr>
          <w:color w:val="000000" w:themeColor="text1"/>
        </w:rPr>
        <w:t xml:space="preserve">) using the five cognitive tests (pairs matching, reaction time, prospective memory, fluid intelligence and numeric memory) used to form </w:t>
      </w:r>
      <w:r w:rsidRPr="00691154">
        <w:rPr>
          <w:i/>
          <w:iCs/>
          <w:color w:val="000000" w:themeColor="text1"/>
        </w:rPr>
        <w:t xml:space="preserve">g </w:t>
      </w:r>
      <w:r w:rsidRPr="00691154">
        <w:rPr>
          <w:color w:val="000000" w:themeColor="text1"/>
        </w:rPr>
        <w:t xml:space="preserve">in the UKBB in </w:t>
      </w:r>
      <w:r w:rsidRPr="00691154">
        <w:rPr>
          <w:color w:val="000000" w:themeColor="text1"/>
        </w:rPr>
        <w:fldChar w:fldCharType="begin"/>
      </w:r>
      <w:r w:rsidR="00FC1ACC" w:rsidRPr="00691154">
        <w:rPr>
          <w:color w:val="000000" w:themeColor="text1"/>
        </w:rPr>
        <w:instrText xml:space="preserve"> ADDIN ZOTERO_ITEM CSL_CITATION {"citationID":"gZxg9bVo","properties":{"formattedCitation":"(9)","plainCitation":"(9)","noteIndex":0},"citationItems":[{"id":670,"uris":["http://zotero.org/users/6187417/items/P4W5LWMV"],"itemData":{"id":670,"type":"article-journal","abstract":"UK Biobank is a health resource with data from over 500,000 adults. The cognitive assessment in UK Biobank is brief and bespoke, and is administered without supervision on a touchscreen computer. Psychometric information on the UK Biobank cognitive tests are limited. Despite the non-standard nature of these tests and the limited psychometric information, the UK Biobank cognitive data have been used in numerous scientific publications. The present study examined the validity and short-term test-retest reliability of the UK Biobank cognitive tests. A sample of 160 participants (mean age = 62.59, SD = 10.24) was recruited who completed the UK Biobank cognitive assessment and a range of well-validated cognitive tests (‘reference tests’). Fifty-two participants returned 4 weeks later to repeat the UK Biobank tests. Correlations were calculated between UK Biobank tests and reference tests. Two measures of general cognitive ability were created by entering scores on the UK Biobank cognitive tests, and scores on the reference tests, respectively, into separate principal component analyses and saving scores on the first principal component. Four-week test-retest correlations were calculated for UK Biobank tests. UK Biobank cognitive tests showed a range of correlations with their respective reference tests, i.e. those tests that are thought to assess the same underlying cognitive ability (mean Pearson r = 0.53, range = 0.22 to 0.83, p≤.005). The measure of general cognitive ability based on the UK Biobank cognitive tests correlated at r = 0.83 (p &lt; .001) with a measure of general cognitive ability created using the reference tests. Four-week test-retest reliability of the UK Biobank tests were moderate-to-high (mean Pearson r = 0.55, range = 0.40 to 0.89, p≤.003). Despite the brief, non-standard nature of the UK Biobank cognitive tests, some tests showed substantial concurrent validity and test-retest reliability. These psychometric results provide currently-lacking information on the validity of the UK Biobank cognitive tests.","container-title":"PLoS ONE","DOI":"10.1371/journal.pone.0231627","ISSN":"1932-6203","issue":"4","journalAbbreviation":"PLoS One","note":"PMID: 32310977\nPMCID: PMC7170235","source":"PubMed Central","title":"Reliability and validity of the UK Biobank cognitive tests","URL":"https://www.ncbi.nlm.nih.gov/pmc/articles/PMC7170235/","volume":"15","author":[{"family":"Fawns-Ritchie","given":"Chloe"},{"family":"Deary","given":"Ian J."}],"accessed":{"date-parts":[["2021",6,2]]},"issued":{"date-parts":[["2020",4,20]]}}}],"schema":"https://github.com/citation-style-language/schema/raw/master/csl-citation.json"} </w:instrText>
      </w:r>
      <w:r w:rsidRPr="00691154">
        <w:rPr>
          <w:color w:val="000000" w:themeColor="text1"/>
        </w:rPr>
        <w:fldChar w:fldCharType="separate"/>
      </w:r>
      <w:r w:rsidR="00FC1ACC" w:rsidRPr="00691154">
        <w:rPr>
          <w:color w:val="000000"/>
        </w:rPr>
        <w:t>(9)</w:t>
      </w:r>
      <w:r w:rsidRPr="00691154">
        <w:rPr>
          <w:color w:val="000000" w:themeColor="text1"/>
        </w:rPr>
        <w:fldChar w:fldCharType="end"/>
      </w:r>
      <w:r w:rsidRPr="00691154">
        <w:rPr>
          <w:color w:val="000000" w:themeColor="text1"/>
        </w:rPr>
        <w:t xml:space="preserve"> (which they termed ‘</w:t>
      </w:r>
      <w:r w:rsidRPr="00691154">
        <w:rPr>
          <w:i/>
          <w:iCs/>
          <w:color w:val="000000" w:themeColor="text1"/>
        </w:rPr>
        <w:t>g: UKB-5’</w:t>
      </w:r>
      <w:r w:rsidRPr="00691154">
        <w:rPr>
          <w:color w:val="000000" w:themeColor="text1"/>
        </w:rPr>
        <w:t xml:space="preserve">), which was shown to be highly correlated with an independent measure of </w:t>
      </w:r>
      <w:r w:rsidRPr="00691154">
        <w:rPr>
          <w:i/>
          <w:iCs/>
          <w:color w:val="000000" w:themeColor="text1"/>
        </w:rPr>
        <w:t>g</w:t>
      </w:r>
      <w:r w:rsidRPr="00691154">
        <w:rPr>
          <w:color w:val="000000" w:themeColor="text1"/>
        </w:rPr>
        <w:t xml:space="preserve"> formed from a battery of standard, well-validated cognitive measures. </w:t>
      </w:r>
      <w:proofErr w:type="gramStart"/>
      <w:r w:rsidRPr="00691154">
        <w:rPr>
          <w:color w:val="000000" w:themeColor="text1"/>
        </w:rPr>
        <w:t>Both of these</w:t>
      </w:r>
      <w:proofErr w:type="gramEnd"/>
      <w:r w:rsidRPr="00691154">
        <w:rPr>
          <w:color w:val="000000" w:themeColor="text1"/>
        </w:rPr>
        <w:t xml:space="preserve"> measures of </w:t>
      </w:r>
      <w:r w:rsidRPr="00691154">
        <w:rPr>
          <w:i/>
          <w:iCs/>
          <w:color w:val="000000" w:themeColor="text1"/>
        </w:rPr>
        <w:t xml:space="preserve">g </w:t>
      </w:r>
      <w:r w:rsidRPr="00691154">
        <w:rPr>
          <w:color w:val="000000" w:themeColor="text1"/>
        </w:rPr>
        <w:t>were highly correlated with our original measure</w:t>
      </w:r>
      <w:r w:rsidR="00CA03ED" w:rsidRPr="00691154">
        <w:rPr>
          <w:color w:val="000000" w:themeColor="text1"/>
        </w:rPr>
        <w:t xml:space="preserve"> </w:t>
      </w:r>
      <w:r w:rsidRPr="00691154">
        <w:rPr>
          <w:color w:val="000000" w:themeColor="text1"/>
        </w:rPr>
        <w:t xml:space="preserve">(respective correlation coefficients = </w:t>
      </w:r>
      <w:r w:rsidR="004F4001" w:rsidRPr="00691154">
        <w:rPr>
          <w:color w:val="000000" w:themeColor="text1"/>
        </w:rPr>
        <w:t xml:space="preserve">0.94 </w:t>
      </w:r>
      <w:r w:rsidRPr="00691154">
        <w:rPr>
          <w:color w:val="000000" w:themeColor="text1"/>
        </w:rPr>
        <w:t xml:space="preserve">and </w:t>
      </w:r>
      <w:r w:rsidR="004F4001" w:rsidRPr="00691154">
        <w:rPr>
          <w:color w:val="000000" w:themeColor="text1"/>
        </w:rPr>
        <w:t>0.80</w:t>
      </w:r>
      <w:r w:rsidRPr="00691154">
        <w:rPr>
          <w:color w:val="000000" w:themeColor="text1"/>
        </w:rPr>
        <w:t xml:space="preserve">, Supplementary Table </w:t>
      </w:r>
      <w:r w:rsidR="0070331D" w:rsidRPr="00691154">
        <w:rPr>
          <w:color w:val="000000" w:themeColor="text1"/>
        </w:rPr>
        <w:t>7</w:t>
      </w:r>
      <w:r w:rsidRPr="00691154">
        <w:rPr>
          <w:color w:val="000000" w:themeColor="text1"/>
        </w:rPr>
        <w:t xml:space="preserve">), but they were only </w:t>
      </w:r>
      <w:r w:rsidRPr="00691154">
        <w:rPr>
          <w:color w:val="000000" w:themeColor="text1"/>
        </w:rPr>
        <w:lastRenderedPageBreak/>
        <w:t xml:space="preserve">available in less than half the number of samples included in our original measure of </w:t>
      </w:r>
      <w:r w:rsidRPr="00691154">
        <w:rPr>
          <w:i/>
          <w:iCs/>
          <w:color w:val="000000" w:themeColor="text1"/>
        </w:rPr>
        <w:t>g</w:t>
      </w:r>
      <w:r w:rsidRPr="00691154">
        <w:rPr>
          <w:color w:val="000000" w:themeColor="text1"/>
        </w:rPr>
        <w:t xml:space="preserve">. Thus, to maximise our sample size, we did not use these alternative measures of </w:t>
      </w:r>
      <w:r w:rsidRPr="00691154">
        <w:rPr>
          <w:i/>
          <w:iCs/>
          <w:color w:val="000000" w:themeColor="text1"/>
        </w:rPr>
        <w:t>g</w:t>
      </w:r>
      <w:r w:rsidRPr="00691154">
        <w:rPr>
          <w:color w:val="000000" w:themeColor="text1"/>
        </w:rPr>
        <w:t xml:space="preserve"> for our primary analys</w:t>
      </w:r>
      <w:r w:rsidR="00CA03ED" w:rsidRPr="00691154">
        <w:rPr>
          <w:color w:val="000000" w:themeColor="text1"/>
        </w:rPr>
        <w:t>e</w:t>
      </w:r>
      <w:r w:rsidRPr="00691154">
        <w:rPr>
          <w:color w:val="000000" w:themeColor="text1"/>
        </w:rPr>
        <w:t>s.</w:t>
      </w:r>
    </w:p>
    <w:bookmarkEnd w:id="5"/>
    <w:p w14:paraId="5442C3FA" w14:textId="185188BF" w:rsidR="00857D91" w:rsidRPr="00691154" w:rsidRDefault="00D97BAB" w:rsidP="00D97BAB">
      <w:pPr>
        <w:spacing w:before="0" w:after="200" w:line="276" w:lineRule="auto"/>
        <w:rPr>
          <w:color w:val="000000" w:themeColor="text1"/>
        </w:rPr>
      </w:pPr>
      <w:r w:rsidRPr="00691154">
        <w:rPr>
          <w:color w:val="000000" w:themeColor="text1"/>
        </w:rPr>
        <w:br w:type="page"/>
      </w:r>
    </w:p>
    <w:p w14:paraId="3524F40D" w14:textId="5CA9B992" w:rsidR="003E45B3" w:rsidRPr="00691154" w:rsidRDefault="00A770F7" w:rsidP="00912111">
      <w:pPr>
        <w:pStyle w:val="Heading1"/>
      </w:pPr>
      <w:bookmarkStart w:id="7" w:name="_Toc193205665"/>
      <w:bookmarkStart w:id="8" w:name="_Toc225510441"/>
      <w:bookmarkEnd w:id="7"/>
      <w:r w:rsidRPr="00691154">
        <w:lastRenderedPageBreak/>
        <w:t>Supplementary Figures</w:t>
      </w:r>
      <w:bookmarkEnd w:id="8"/>
      <w:r w:rsidRPr="00691154">
        <w:t xml:space="preserve"> </w:t>
      </w:r>
    </w:p>
    <w:p w14:paraId="375B878F" w14:textId="333C15AC" w:rsidR="00302817" w:rsidRPr="00691154" w:rsidRDefault="00302817" w:rsidP="00302817">
      <w:r w:rsidRPr="00691154">
        <w:rPr>
          <w:noProof/>
        </w:rPr>
        <w:drawing>
          <wp:inline distT="0" distB="0" distL="0" distR="0" wp14:anchorId="23183D6E" wp14:editId="621790FF">
            <wp:extent cx="5731510" cy="3109053"/>
            <wp:effectExtent l="0" t="0" r="0" b="2540"/>
            <wp:docPr id="4946996" name="Picture 2" descr="A screenshot of a cell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6996" name="Picture 2" descr="A screenshot of a cell phone&#10;&#10;AI-generated content may be incorrect."/>
                    <pic:cNvPicPr/>
                  </pic:nvPicPr>
                  <pic:blipFill rotWithShape="1">
                    <a:blip r:embed="rId11" cstate="print">
                      <a:extLst>
                        <a:ext uri="{28A0092B-C50C-407E-A947-70E740481C1C}">
                          <a14:useLocalDpi xmlns:a14="http://schemas.microsoft.com/office/drawing/2010/main" val="0"/>
                        </a:ext>
                      </a:extLst>
                    </a:blip>
                    <a:srcRect r="9467" b="14142"/>
                    <a:stretch>
                      <a:fillRect/>
                    </a:stretch>
                  </pic:blipFill>
                  <pic:spPr bwMode="auto">
                    <a:xfrm>
                      <a:off x="0" y="0"/>
                      <a:ext cx="5731510" cy="3109053"/>
                    </a:xfrm>
                    <a:prstGeom prst="rect">
                      <a:avLst/>
                    </a:prstGeom>
                    <a:ln>
                      <a:noFill/>
                    </a:ln>
                    <a:extLst>
                      <a:ext uri="{53640926-AAD7-44D8-BBD7-CCE9431645EC}">
                        <a14:shadowObscured xmlns:a14="http://schemas.microsoft.com/office/drawing/2010/main"/>
                      </a:ext>
                    </a:extLst>
                  </pic:spPr>
                </pic:pic>
              </a:graphicData>
            </a:graphic>
          </wp:inline>
        </w:drawing>
      </w:r>
    </w:p>
    <w:p w14:paraId="2A44DCA2" w14:textId="4AB178AA" w:rsidR="004059D9" w:rsidRPr="00691154" w:rsidRDefault="004059D9" w:rsidP="004059D9">
      <w:pPr>
        <w:rPr>
          <w:rFonts w:ascii="Arial" w:hAnsi="Arial" w:cs="Arial"/>
          <w:szCs w:val="22"/>
        </w:rPr>
      </w:pPr>
      <w:r w:rsidRPr="00691154">
        <w:rPr>
          <w:rFonts w:ascii="Arial" w:hAnsi="Arial" w:cs="Arial"/>
          <w:b/>
          <w:szCs w:val="22"/>
        </w:rPr>
        <w:t xml:space="preserve">Supplementary Figure </w:t>
      </w:r>
      <w:r w:rsidRPr="00691154">
        <w:rPr>
          <w:rFonts w:ascii="Arial" w:hAnsi="Arial" w:cs="Arial"/>
          <w:b/>
          <w:bCs/>
          <w:szCs w:val="22"/>
        </w:rPr>
        <w:t xml:space="preserve">1 – </w:t>
      </w:r>
      <w:r w:rsidRPr="00691154">
        <w:rPr>
          <w:rFonts w:ascii="Arial" w:hAnsi="Arial" w:cs="Arial"/>
          <w:szCs w:val="22"/>
        </w:rPr>
        <w:t xml:space="preserve">Graphical summary of the paper and </w:t>
      </w:r>
      <w:r w:rsidR="00302817" w:rsidRPr="00691154">
        <w:rPr>
          <w:rFonts w:ascii="Arial" w:hAnsi="Arial" w:cs="Arial"/>
          <w:szCs w:val="22"/>
        </w:rPr>
        <w:t>its</w:t>
      </w:r>
      <w:r w:rsidRPr="00691154">
        <w:rPr>
          <w:rFonts w:ascii="Arial" w:hAnsi="Arial" w:cs="Arial"/>
          <w:szCs w:val="22"/>
        </w:rPr>
        <w:t xml:space="preserve"> main findings. </w:t>
      </w:r>
      <w:r w:rsidR="00A14F7B" w:rsidRPr="00691154">
        <w:rPr>
          <w:rFonts w:ascii="Arial" w:hAnsi="Arial" w:cs="Arial"/>
          <w:szCs w:val="22"/>
        </w:rPr>
        <w:t>RCVs = rare coding variants. QC = quality control. g = generalised cognition.</w:t>
      </w:r>
    </w:p>
    <w:p w14:paraId="0E4DC7A1" w14:textId="77777777" w:rsidR="00831661" w:rsidRPr="00691154" w:rsidRDefault="00831661" w:rsidP="00831661">
      <w:r w:rsidRPr="00691154">
        <w:rPr>
          <w:noProof/>
        </w:rPr>
        <w:lastRenderedPageBreak/>
        <w:drawing>
          <wp:inline distT="0" distB="0" distL="0" distR="0" wp14:anchorId="11701DEB" wp14:editId="153886E2">
            <wp:extent cx="5797296" cy="5920207"/>
            <wp:effectExtent l="0" t="0" r="0" b="0"/>
            <wp:docPr id="1309404199"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404199" name="Picture 1" descr="A screenshot of a graph&#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5821043" cy="5944457"/>
                    </a:xfrm>
                    <a:prstGeom prst="rect">
                      <a:avLst/>
                    </a:prstGeom>
                  </pic:spPr>
                </pic:pic>
              </a:graphicData>
            </a:graphic>
          </wp:inline>
        </w:drawing>
      </w:r>
    </w:p>
    <w:p w14:paraId="58F0300C" w14:textId="07190115" w:rsidR="00831661" w:rsidRPr="00691154" w:rsidRDefault="00831661" w:rsidP="00831661">
      <w:pPr>
        <w:pStyle w:val="NoSpacing"/>
      </w:pPr>
      <w:r w:rsidRPr="00691154">
        <w:rPr>
          <w:b/>
          <w:bCs/>
        </w:rPr>
        <w:t>Supplementary Figure 2 –</w:t>
      </w:r>
      <w:r w:rsidRPr="00691154">
        <w:t xml:space="preserve"> Plots of sample QC metrics following genotype-level quality control: a) mean call rate per sample, with a red line representing the cut-off applied at 0.8; b) mean genotype depth per sample; c) mean genotype quality per sample. </w:t>
      </w:r>
    </w:p>
    <w:p w14:paraId="65B934C8" w14:textId="77777777" w:rsidR="00F40A7D" w:rsidRPr="00691154" w:rsidRDefault="00F40A7D" w:rsidP="00FB6BBA">
      <w:pPr>
        <w:pStyle w:val="Caption"/>
      </w:pPr>
      <w:r w:rsidRPr="00691154">
        <w:rPr>
          <w:noProof/>
        </w:rPr>
        <w:lastRenderedPageBreak/>
        <w:drawing>
          <wp:inline distT="0" distB="0" distL="0" distR="0" wp14:anchorId="1FA1D4EC" wp14:editId="1E722074">
            <wp:extent cx="5731510" cy="6188710"/>
            <wp:effectExtent l="0" t="0" r="0" b="0"/>
            <wp:docPr id="1790025489"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025489" name="Picture 1" descr="A screenshot of a graph&#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6188710"/>
                    </a:xfrm>
                    <a:prstGeom prst="rect">
                      <a:avLst/>
                    </a:prstGeom>
                  </pic:spPr>
                </pic:pic>
              </a:graphicData>
            </a:graphic>
          </wp:inline>
        </w:drawing>
      </w:r>
    </w:p>
    <w:p w14:paraId="0D2ABB12" w14:textId="17675F34" w:rsidR="00F40A7D" w:rsidRPr="00691154" w:rsidRDefault="00F40A7D" w:rsidP="00F40A7D">
      <w:pPr>
        <w:pStyle w:val="NoSpacing"/>
      </w:pPr>
      <w:r w:rsidRPr="00691154">
        <w:rPr>
          <w:b/>
          <w:bCs/>
        </w:rPr>
        <w:t>Supplementary Figure 3</w:t>
      </w:r>
      <w:r w:rsidRPr="00691154">
        <w:t xml:space="preserve"> - F-statistic and mean Y chromosome variant mean depth for each participant. Participant who self-reported as male (blue dots) with F-statistics around 1 and non-zero Y chromosome depth were identified as male, and participants who self-reported as female (red dots) with low F-statistics and Y chromosome depth close to 0 were identified as female. Grey dotted lines reflect cut-offs used to define: F-statistic imputed sex (horizontal line at F-statistic = 0.6); and Y chromosome depth (vertical line at Y depth = 3).</w:t>
      </w:r>
    </w:p>
    <w:p w14:paraId="2BFE5049" w14:textId="39E45D0C" w:rsidR="00302817" w:rsidRPr="00691154" w:rsidRDefault="00F40A7D" w:rsidP="00F640D9">
      <w:pPr>
        <w:spacing w:before="0" w:after="200" w:line="276" w:lineRule="auto"/>
      </w:pPr>
      <w:r w:rsidRPr="00691154">
        <w:br w:type="page"/>
      </w:r>
    </w:p>
    <w:p w14:paraId="02ED667A" w14:textId="75E74406" w:rsidR="009B1FC0" w:rsidRPr="00691154" w:rsidRDefault="008E5970" w:rsidP="00F640D9">
      <w:pPr>
        <w:spacing w:before="0" w:after="200" w:line="276" w:lineRule="auto"/>
        <w:rPr>
          <w:rFonts w:ascii="Arial" w:eastAsiaTheme="minorHAnsi" w:hAnsi="Arial" w:cstheme="minorBidi"/>
          <w:szCs w:val="22"/>
          <w:lang w:eastAsia="en-US"/>
        </w:rPr>
      </w:pPr>
      <w:r w:rsidRPr="00691154">
        <w:rPr>
          <w:rFonts w:ascii="Arial" w:eastAsiaTheme="minorHAnsi" w:hAnsi="Arial" w:cstheme="minorBidi"/>
          <w:noProof/>
          <w:szCs w:val="22"/>
          <w:lang w:eastAsia="en-US"/>
        </w:rPr>
        <w:lastRenderedPageBreak/>
        <w:drawing>
          <wp:inline distT="0" distB="0" distL="0" distR="0" wp14:anchorId="44298D1F" wp14:editId="064AF6C1">
            <wp:extent cx="5742670" cy="3552669"/>
            <wp:effectExtent l="0" t="0" r="0" b="3810"/>
            <wp:docPr id="855876672" name="Picture 2" descr="A graph with blue and re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876672" name="Picture 2" descr="A graph with blue and red dots&#10;&#10;AI-generated content may be incorrect."/>
                    <pic:cNvPicPr/>
                  </pic:nvPicPr>
                  <pic:blipFill>
                    <a:blip r:embed="rId14">
                      <a:extLst>
                        <a:ext uri="{28A0092B-C50C-407E-A947-70E740481C1C}">
                          <a14:useLocalDpi xmlns:a14="http://schemas.microsoft.com/office/drawing/2010/main" val="0"/>
                        </a:ext>
                      </a:extLst>
                    </a:blip>
                    <a:stretch>
                      <a:fillRect/>
                    </a:stretch>
                  </pic:blipFill>
                  <pic:spPr>
                    <a:xfrm>
                      <a:off x="0" y="0"/>
                      <a:ext cx="5754554" cy="3560021"/>
                    </a:xfrm>
                    <a:prstGeom prst="rect">
                      <a:avLst/>
                    </a:prstGeom>
                  </pic:spPr>
                </pic:pic>
              </a:graphicData>
            </a:graphic>
          </wp:inline>
        </w:drawing>
      </w:r>
    </w:p>
    <w:p w14:paraId="7FC50693" w14:textId="710DE940" w:rsidR="00DC4A30" w:rsidRPr="00691154" w:rsidRDefault="009B1FC0" w:rsidP="00FB6BBA">
      <w:pPr>
        <w:pStyle w:val="Caption"/>
      </w:pPr>
      <w:r w:rsidRPr="00691154">
        <w:rPr>
          <w:b/>
          <w:bCs/>
        </w:rPr>
        <w:t>Supplementary Figure 4 -</w:t>
      </w:r>
      <w:r w:rsidRPr="00691154">
        <w:t xml:space="preserve"> </w:t>
      </w:r>
      <w:r w:rsidR="00C30217" w:rsidRPr="00691154">
        <w:t xml:space="preserve">Distribution of </w:t>
      </w:r>
      <w:r w:rsidR="00C30217" w:rsidRPr="00691154">
        <w:rPr>
          <w:i/>
          <w:iCs/>
        </w:rPr>
        <w:t>g</w:t>
      </w:r>
      <w:r w:rsidR="00C30217" w:rsidRPr="00691154">
        <w:t xml:space="preserve"> across individuals with and without a SZ (schizophrenia), ASD (autism spectrum disorder), </w:t>
      </w:r>
      <w:r w:rsidR="008E5970" w:rsidRPr="00691154">
        <w:t>and/</w:t>
      </w:r>
      <w:r w:rsidR="00C30217" w:rsidRPr="00691154">
        <w:t xml:space="preserve">or ID (intellectual disability) diagnosis. The dot displays the mean per group, and error bars display standard error of the mean. </w:t>
      </w:r>
      <w:r w:rsidR="00C30217" w:rsidRPr="00691154">
        <w:rPr>
          <w:i/>
          <w:iCs/>
        </w:rPr>
        <w:t>g</w:t>
      </w:r>
      <w:r w:rsidR="00C30217" w:rsidRPr="00691154">
        <w:t xml:space="preserve"> = generalised cognition.</w:t>
      </w:r>
    </w:p>
    <w:p w14:paraId="5E2627DE" w14:textId="0D0848EB" w:rsidR="009B1FC0" w:rsidRPr="00691154" w:rsidRDefault="00DC4A30" w:rsidP="00DC4A30">
      <w:pPr>
        <w:spacing w:before="0" w:after="200" w:line="276" w:lineRule="auto"/>
        <w:rPr>
          <w:rFonts w:ascii="Arial" w:hAnsi="Arial" w:cs="Arial"/>
          <w:color w:val="000000" w:themeColor="text1"/>
        </w:rPr>
      </w:pPr>
      <w:r w:rsidRPr="00691154">
        <w:br w:type="page"/>
      </w:r>
    </w:p>
    <w:p w14:paraId="3910C57A" w14:textId="77777777" w:rsidR="00B713C6" w:rsidRPr="00691154" w:rsidRDefault="00B713C6" w:rsidP="00CD0394">
      <w:pPr>
        <w:spacing w:before="0" w:after="0"/>
        <w:jc w:val="center"/>
        <w:rPr>
          <w:color w:val="000000" w:themeColor="text1"/>
        </w:rPr>
      </w:pPr>
      <w:r w:rsidRPr="00691154">
        <w:rPr>
          <w:noProof/>
          <w:color w:val="000000" w:themeColor="text1"/>
        </w:rPr>
        <w:lastRenderedPageBreak/>
        <w:drawing>
          <wp:inline distT="0" distB="0" distL="0" distR="0" wp14:anchorId="3E5205D8" wp14:editId="789CC677">
            <wp:extent cx="5440396" cy="2813539"/>
            <wp:effectExtent l="0" t="0" r="0" b="6350"/>
            <wp:docPr id="836561247" name="Picture 3" descr="A diagram of a scientific experi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561247" name="Picture 3" descr="A diagram of a scientific experiment&#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467679" cy="2827648"/>
                    </a:xfrm>
                    <a:prstGeom prst="rect">
                      <a:avLst/>
                    </a:prstGeom>
                  </pic:spPr>
                </pic:pic>
              </a:graphicData>
            </a:graphic>
          </wp:inline>
        </w:drawing>
      </w:r>
    </w:p>
    <w:p w14:paraId="13E04062" w14:textId="7B7E9194" w:rsidR="00DC4A30" w:rsidRPr="00691154" w:rsidRDefault="00B713C6" w:rsidP="00294B60">
      <w:pPr>
        <w:spacing w:before="0"/>
        <w:rPr>
          <w:rFonts w:ascii="Arial" w:hAnsi="Arial" w:cs="Arial"/>
          <w:szCs w:val="22"/>
        </w:rPr>
      </w:pPr>
      <w:r w:rsidRPr="00691154">
        <w:rPr>
          <w:rFonts w:ascii="Arial" w:hAnsi="Arial" w:cs="Arial"/>
          <w:b/>
          <w:szCs w:val="22"/>
        </w:rPr>
        <w:t xml:space="preserve">Supplementary Figure </w:t>
      </w:r>
      <w:r w:rsidR="00C30217" w:rsidRPr="00691154">
        <w:rPr>
          <w:rFonts w:ascii="Arial" w:hAnsi="Arial" w:cs="Arial"/>
          <w:b/>
          <w:bCs/>
          <w:szCs w:val="22"/>
        </w:rPr>
        <w:t xml:space="preserve">5 </w:t>
      </w:r>
      <w:r w:rsidRPr="00691154">
        <w:rPr>
          <w:rFonts w:ascii="Arial" w:hAnsi="Arial" w:cs="Arial"/>
          <w:szCs w:val="22"/>
        </w:rPr>
        <w:t>– Summary of analyses presented in this study.</w:t>
      </w:r>
      <w:r w:rsidR="00B0250D" w:rsidRPr="00691154">
        <w:rPr>
          <w:rFonts w:ascii="Arial" w:hAnsi="Arial" w:cs="Arial"/>
          <w:szCs w:val="22"/>
        </w:rPr>
        <w:t xml:space="preserve"> PTVs = protein truncating variants. MAC = minor allele count. RCVs = rare coding variants. CNV = copy number variant. </w:t>
      </w:r>
    </w:p>
    <w:p w14:paraId="2C89738F" w14:textId="7492954C" w:rsidR="00B271EE" w:rsidRPr="00691154" w:rsidRDefault="00DC4A30" w:rsidP="00581298">
      <w:pPr>
        <w:spacing w:before="0" w:after="200" w:line="276" w:lineRule="auto"/>
        <w:rPr>
          <w:rFonts w:ascii="Arial" w:hAnsi="Arial" w:cs="Arial"/>
          <w:szCs w:val="22"/>
        </w:rPr>
      </w:pPr>
      <w:r w:rsidRPr="00691154">
        <w:rPr>
          <w:rFonts w:ascii="Arial" w:hAnsi="Arial" w:cs="Arial"/>
          <w:szCs w:val="22"/>
        </w:rPr>
        <w:br w:type="page"/>
      </w:r>
    </w:p>
    <w:p w14:paraId="1B686381" w14:textId="578B0014" w:rsidR="00A770F7" w:rsidRPr="00691154" w:rsidRDefault="00A770F7" w:rsidP="00B959AF">
      <w:pPr>
        <w:spacing w:after="0"/>
      </w:pPr>
    </w:p>
    <w:p w14:paraId="36751CA0" w14:textId="16B635BF" w:rsidR="00EB3809" w:rsidRPr="00691154" w:rsidRDefault="00D82ED7" w:rsidP="00000F98">
      <w:pPr>
        <w:spacing w:after="0"/>
        <w:jc w:val="center"/>
      </w:pPr>
      <w:r w:rsidRPr="00691154">
        <w:rPr>
          <w:noProof/>
        </w:rPr>
        <w:drawing>
          <wp:inline distT="0" distB="0" distL="0" distR="0" wp14:anchorId="67389E6D" wp14:editId="311EF476">
            <wp:extent cx="5731510" cy="3820795"/>
            <wp:effectExtent l="0" t="0" r="0" b="1905"/>
            <wp:docPr id="19440316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031678" name="Picture 1944031678"/>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1510" cy="3820795"/>
                    </a:xfrm>
                    <a:prstGeom prst="rect">
                      <a:avLst/>
                    </a:prstGeom>
                  </pic:spPr>
                </pic:pic>
              </a:graphicData>
            </a:graphic>
          </wp:inline>
        </w:drawing>
      </w:r>
    </w:p>
    <w:p w14:paraId="42369F78" w14:textId="441A449A" w:rsidR="009475CC" w:rsidRPr="00691154" w:rsidRDefault="00885BC2" w:rsidP="00294B60">
      <w:pPr>
        <w:pStyle w:val="NoSpacing"/>
      </w:pPr>
      <w:r w:rsidRPr="00691154">
        <w:rPr>
          <w:b/>
        </w:rPr>
        <w:t xml:space="preserve">Supplementary Figure </w:t>
      </w:r>
      <w:r w:rsidR="00C30217" w:rsidRPr="00691154">
        <w:rPr>
          <w:b/>
        </w:rPr>
        <w:t>6</w:t>
      </w:r>
      <w:r w:rsidR="00D124A7" w:rsidRPr="00691154">
        <w:rPr>
          <w:b/>
        </w:rPr>
        <w:t xml:space="preserve"> </w:t>
      </w:r>
      <w:r w:rsidRPr="00691154">
        <w:t xml:space="preserve">- </w:t>
      </w:r>
      <w:r w:rsidR="00890B47" w:rsidRPr="00691154">
        <w:t xml:space="preserve">The mean of </w:t>
      </w:r>
      <w:r w:rsidR="00890B47" w:rsidRPr="00691154">
        <w:rPr>
          <w:i/>
          <w:iCs/>
        </w:rPr>
        <w:t>g</w:t>
      </w:r>
      <w:r w:rsidR="00890B47" w:rsidRPr="00691154">
        <w:t xml:space="preserve"> (a standardised measure) across individuals with different burden</w:t>
      </w:r>
      <w:r w:rsidR="00FA609B" w:rsidRPr="00691154">
        <w:t xml:space="preserve"> </w:t>
      </w:r>
      <w:r w:rsidR="00890B47" w:rsidRPr="00691154">
        <w:t>of</w:t>
      </w:r>
      <w:r w:rsidR="001059D0" w:rsidRPr="00691154">
        <w:t xml:space="preserve"> rare protein truncating variants (PTVs</w:t>
      </w:r>
      <w:r w:rsidR="00890B47" w:rsidRPr="00691154">
        <w:t>)</w:t>
      </w:r>
      <w:r w:rsidR="001059D0" w:rsidRPr="00691154">
        <w:t xml:space="preserve"> and rare deleterious missense variants</w:t>
      </w:r>
      <w:r w:rsidR="00890B47" w:rsidRPr="00691154">
        <w:t xml:space="preserve"> in </w:t>
      </w:r>
      <w:r w:rsidR="004C1A29" w:rsidRPr="00691154">
        <w:t>LoF-intolerant (</w:t>
      </w:r>
      <w:r w:rsidR="00890B47" w:rsidRPr="00691154">
        <w:t>LoFi</w:t>
      </w:r>
      <w:r w:rsidR="004C1A29" w:rsidRPr="00691154">
        <w:t xml:space="preserve">) </w:t>
      </w:r>
      <w:r w:rsidR="00890B47" w:rsidRPr="00691154">
        <w:t xml:space="preserve">genes. </w:t>
      </w:r>
      <w:r w:rsidR="006D4AF0" w:rsidRPr="00691154">
        <w:t>&lt;</w:t>
      </w:r>
      <w:r w:rsidR="00943F6C" w:rsidRPr="00691154">
        <w:t xml:space="preserve"> </w:t>
      </w:r>
      <w:r w:rsidR="00992B73" w:rsidRPr="00691154">
        <w:t>10</w:t>
      </w:r>
      <w:r w:rsidR="00AA3809" w:rsidRPr="00691154">
        <w:t xml:space="preserve"> </w:t>
      </w:r>
      <w:r w:rsidR="006D4AF0" w:rsidRPr="00691154">
        <w:t>participants</w:t>
      </w:r>
      <w:r w:rsidR="00AA3809" w:rsidRPr="00691154">
        <w:t xml:space="preserve"> carried </w:t>
      </w:r>
      <w:r w:rsidR="00377342" w:rsidRPr="00691154">
        <w:t>≥</w:t>
      </w:r>
      <w:r w:rsidR="00943F6C" w:rsidRPr="00691154">
        <w:t xml:space="preserve"> </w:t>
      </w:r>
      <w:r w:rsidR="00AA3809" w:rsidRPr="00691154">
        <w:t xml:space="preserve">4 </w:t>
      </w:r>
      <w:r w:rsidR="00846981" w:rsidRPr="00691154">
        <w:t xml:space="preserve">rare </w:t>
      </w:r>
      <w:r w:rsidR="00AA3809" w:rsidRPr="00691154">
        <w:t xml:space="preserve">PTVs or </w:t>
      </w:r>
      <w:r w:rsidR="00377342" w:rsidRPr="00691154">
        <w:t xml:space="preserve">deleterious </w:t>
      </w:r>
      <w:r w:rsidR="00AA3809" w:rsidRPr="00691154">
        <w:t>missense var</w:t>
      </w:r>
      <w:r w:rsidR="00992B73" w:rsidRPr="00691154">
        <w:t>iants</w:t>
      </w:r>
      <w:r w:rsidR="00377342" w:rsidRPr="00691154">
        <w:t xml:space="preserve"> in LoFi genes</w:t>
      </w:r>
      <w:r w:rsidR="00992B73" w:rsidRPr="00691154">
        <w:t xml:space="preserve">, and </w:t>
      </w:r>
      <w:r w:rsidR="00992B73" w:rsidRPr="00691154">
        <w:rPr>
          <w:i/>
          <w:iCs/>
        </w:rPr>
        <w:t xml:space="preserve">g </w:t>
      </w:r>
      <w:r w:rsidR="00992B73" w:rsidRPr="00691154">
        <w:t>could not be estimated accurately in this small a sample</w:t>
      </w:r>
      <w:r w:rsidR="006D4AF0" w:rsidRPr="00691154">
        <w:t>. These</w:t>
      </w:r>
      <w:r w:rsidR="00992B73" w:rsidRPr="00691154">
        <w:t xml:space="preserve"> counts are therefore not plotted here. </w:t>
      </w:r>
      <w:r w:rsidR="00CD0394" w:rsidRPr="00691154">
        <w:t xml:space="preserve">Error bars display </w:t>
      </w:r>
      <w:r w:rsidR="00331FD4" w:rsidRPr="00691154">
        <w:t xml:space="preserve">the </w:t>
      </w:r>
      <w:r w:rsidR="00F73F24" w:rsidRPr="00691154">
        <w:t>standard error.</w:t>
      </w:r>
      <w:r w:rsidR="00CD0394" w:rsidRPr="00691154">
        <w:t xml:space="preserve"> PTV = protein-truncating variant; </w:t>
      </w:r>
      <w:r w:rsidR="00CD0394" w:rsidRPr="00691154">
        <w:rPr>
          <w:i/>
          <w:iCs/>
        </w:rPr>
        <w:t>g</w:t>
      </w:r>
      <w:r w:rsidR="00CD0394" w:rsidRPr="00691154">
        <w:t xml:space="preserve"> = generalised cognition.</w:t>
      </w:r>
    </w:p>
    <w:p w14:paraId="7CA373D1" w14:textId="5D6FC687" w:rsidR="00885BC2" w:rsidRPr="00691154" w:rsidRDefault="0036656D" w:rsidP="00B959AF">
      <w:pPr>
        <w:pStyle w:val="Caption"/>
        <w:spacing w:after="0"/>
      </w:pPr>
      <w:r w:rsidRPr="00691154">
        <w:rPr>
          <w:noProof/>
        </w:rPr>
        <w:lastRenderedPageBreak/>
        <w:drawing>
          <wp:inline distT="0" distB="0" distL="0" distR="0" wp14:anchorId="2797E639" wp14:editId="7DC81F5F">
            <wp:extent cx="5727700" cy="4686300"/>
            <wp:effectExtent l="0" t="0" r="0" b="0"/>
            <wp:docPr id="671945634" name="Picture 3" descr="A graph with different colored arrow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945634" name="Picture 3" descr="A graph with different colored arrows&#10;&#10;AI-generated content may be incorrec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27700" cy="4686300"/>
                    </a:xfrm>
                    <a:prstGeom prst="rect">
                      <a:avLst/>
                    </a:prstGeom>
                  </pic:spPr>
                </pic:pic>
              </a:graphicData>
            </a:graphic>
          </wp:inline>
        </w:drawing>
      </w:r>
    </w:p>
    <w:p w14:paraId="76A8D3BE" w14:textId="3EC6A4B5" w:rsidR="00BE4FC6" w:rsidRPr="00691154" w:rsidRDefault="006E73FF" w:rsidP="00294B60">
      <w:pPr>
        <w:pStyle w:val="NoSpacing"/>
      </w:pPr>
      <w:r w:rsidRPr="00691154">
        <w:rPr>
          <w:b/>
        </w:rPr>
        <w:t xml:space="preserve">Supplementary Figure </w:t>
      </w:r>
      <w:r w:rsidR="00C30217" w:rsidRPr="00691154">
        <w:rPr>
          <w:b/>
        </w:rPr>
        <w:t>7</w:t>
      </w:r>
      <w:r w:rsidR="00CC4AF5" w:rsidRPr="00691154">
        <w:rPr>
          <w:b/>
        </w:rPr>
        <w:t xml:space="preserve"> </w:t>
      </w:r>
      <w:r w:rsidRPr="00691154">
        <w:rPr>
          <w:b/>
        </w:rPr>
        <w:t>-</w:t>
      </w:r>
      <w:r w:rsidRPr="00691154">
        <w:t xml:space="preserve"> </w:t>
      </w:r>
      <w:r w:rsidR="00D91C2A" w:rsidRPr="00691154">
        <w:t xml:space="preserve">Association of </w:t>
      </w:r>
      <w:r w:rsidR="00D91C2A" w:rsidRPr="00691154">
        <w:rPr>
          <w:i/>
          <w:iCs/>
        </w:rPr>
        <w:t xml:space="preserve">g </w:t>
      </w:r>
      <w:r w:rsidR="00D91C2A" w:rsidRPr="00691154">
        <w:t xml:space="preserve">with </w:t>
      </w:r>
      <w:r w:rsidR="00227A67" w:rsidRPr="00691154">
        <w:t xml:space="preserve">different classes of rare variants in LoFi genes. </w:t>
      </w:r>
      <w:r w:rsidR="00D91C2A" w:rsidRPr="00691154">
        <w:t xml:space="preserve"> Shapes represent the subset in which the analysis was run: all participants (circle</w:t>
      </w:r>
      <w:r w:rsidR="006F0FBF" w:rsidRPr="00691154">
        <w:t>, n = 75,18</w:t>
      </w:r>
      <w:r w:rsidR="00C80986" w:rsidRPr="00691154">
        <w:t>8</w:t>
      </w:r>
      <w:r w:rsidR="00D91C2A" w:rsidRPr="00691154">
        <w:t>); females (triangle</w:t>
      </w:r>
      <w:r w:rsidR="00273AD8" w:rsidRPr="00691154">
        <w:t xml:space="preserve">, n = </w:t>
      </w:r>
      <w:r w:rsidR="00AB54B3" w:rsidRPr="00691154">
        <w:t>40,96</w:t>
      </w:r>
      <w:r w:rsidR="00C80986" w:rsidRPr="00691154">
        <w:t>9</w:t>
      </w:r>
      <w:r w:rsidR="00D91C2A" w:rsidRPr="00691154">
        <w:t>); and males (squares</w:t>
      </w:r>
      <w:r w:rsidR="00AB54B3" w:rsidRPr="00691154">
        <w:t>, n = 34,219</w:t>
      </w:r>
      <w:r w:rsidR="00D91C2A" w:rsidRPr="00691154">
        <w:t xml:space="preserve">). Error bars display 95% confidence intervals. PTV = protein-truncating variant; </w:t>
      </w:r>
      <w:r w:rsidR="00D91C2A" w:rsidRPr="00691154">
        <w:rPr>
          <w:i/>
          <w:iCs/>
        </w:rPr>
        <w:t>g</w:t>
      </w:r>
      <w:r w:rsidR="00D91C2A" w:rsidRPr="00691154">
        <w:t xml:space="preserve"> = generalised cognition.</w:t>
      </w:r>
    </w:p>
    <w:p w14:paraId="094081F8" w14:textId="77777777" w:rsidR="005A16DA" w:rsidRPr="00691154" w:rsidRDefault="005A16DA" w:rsidP="00294B60">
      <w:pPr>
        <w:pStyle w:val="NoSpacing"/>
      </w:pPr>
    </w:p>
    <w:p w14:paraId="4447A336" w14:textId="72E66039" w:rsidR="005A16DA" w:rsidRPr="00691154" w:rsidRDefault="000D6BFD" w:rsidP="00294B60">
      <w:pPr>
        <w:pStyle w:val="NoSpacing"/>
      </w:pPr>
      <w:r w:rsidRPr="00691154">
        <w:rPr>
          <w:noProof/>
        </w:rPr>
        <w:lastRenderedPageBreak/>
        <w:drawing>
          <wp:inline distT="0" distB="0" distL="0" distR="0" wp14:anchorId="58444090" wp14:editId="389EFA16">
            <wp:extent cx="5731510" cy="4776470"/>
            <wp:effectExtent l="0" t="0" r="0" b="0"/>
            <wp:docPr id="1237220580" name="Picture 4" descr="A graph with green and red arrow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220580" name="Picture 4" descr="A graph with green and red arrows&#10;&#10;AI-generated content may be incorrec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31510" cy="4776470"/>
                    </a:xfrm>
                    <a:prstGeom prst="rect">
                      <a:avLst/>
                    </a:prstGeom>
                  </pic:spPr>
                </pic:pic>
              </a:graphicData>
            </a:graphic>
          </wp:inline>
        </w:drawing>
      </w:r>
    </w:p>
    <w:p w14:paraId="0A874C65" w14:textId="3604E4CC" w:rsidR="005A16DA" w:rsidRPr="00691154" w:rsidRDefault="005A16DA" w:rsidP="00294B60">
      <w:pPr>
        <w:pStyle w:val="NoSpacing"/>
      </w:pPr>
      <w:r w:rsidRPr="00691154">
        <w:rPr>
          <w:b/>
          <w:bCs/>
        </w:rPr>
        <w:t xml:space="preserve">Supplementary Figure 8 – </w:t>
      </w:r>
      <w:r w:rsidR="00886FA4" w:rsidRPr="00691154">
        <w:t xml:space="preserve">Association of </w:t>
      </w:r>
      <w:r w:rsidR="00886FA4" w:rsidRPr="00691154">
        <w:rPr>
          <w:i/>
          <w:iCs/>
        </w:rPr>
        <w:t xml:space="preserve">g </w:t>
      </w:r>
      <w:r w:rsidR="00886FA4" w:rsidRPr="00691154">
        <w:t xml:space="preserve">with variants </w:t>
      </w:r>
      <w:r w:rsidR="00FB6BBA" w:rsidRPr="00691154">
        <w:t>of different allele frequencies in LoFi genes. Error bars display 95% confidence intervals. PTV = protein-truncating variant; g = generalised cognition.</w:t>
      </w:r>
    </w:p>
    <w:p w14:paraId="43B7C09E" w14:textId="66B46D6B" w:rsidR="002B336B" w:rsidRPr="00691154" w:rsidRDefault="002B336B" w:rsidP="00BE4FC6"/>
    <w:p w14:paraId="4E5BF91F" w14:textId="70D47558" w:rsidR="001E77CE" w:rsidRPr="00691154" w:rsidRDefault="0033480D" w:rsidP="00B959AF">
      <w:pPr>
        <w:spacing w:after="0"/>
      </w:pPr>
      <w:r w:rsidRPr="00691154">
        <w:rPr>
          <w:noProof/>
        </w:rPr>
        <w:lastRenderedPageBreak/>
        <w:drawing>
          <wp:inline distT="0" distB="0" distL="0" distR="0" wp14:anchorId="21A69380" wp14:editId="0364B715">
            <wp:extent cx="5731510" cy="4776470"/>
            <wp:effectExtent l="0" t="0" r="0" b="0"/>
            <wp:docPr id="15046228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62285" name="Picture 150462285"/>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31510" cy="4776470"/>
                    </a:xfrm>
                    <a:prstGeom prst="rect">
                      <a:avLst/>
                    </a:prstGeom>
                  </pic:spPr>
                </pic:pic>
              </a:graphicData>
            </a:graphic>
          </wp:inline>
        </w:drawing>
      </w:r>
    </w:p>
    <w:p w14:paraId="6C0956B0" w14:textId="510BD1E5" w:rsidR="00B560B7" w:rsidRPr="00691154" w:rsidRDefault="00666D2A" w:rsidP="00ED7EDC">
      <w:pPr>
        <w:pStyle w:val="NoSpacing"/>
      </w:pPr>
      <w:r w:rsidRPr="00691154">
        <w:rPr>
          <w:b/>
        </w:rPr>
        <w:t xml:space="preserve">Supplementary Figure </w:t>
      </w:r>
      <w:r w:rsidR="005A16DA" w:rsidRPr="00691154">
        <w:rPr>
          <w:b/>
        </w:rPr>
        <w:t>9</w:t>
      </w:r>
      <w:r w:rsidR="00EF3ED6" w:rsidRPr="00691154">
        <w:rPr>
          <w:b/>
        </w:rPr>
        <w:t xml:space="preserve"> </w:t>
      </w:r>
      <w:r w:rsidRPr="00691154">
        <w:rPr>
          <w:b/>
        </w:rPr>
        <w:t>-</w:t>
      </w:r>
      <w:r w:rsidRPr="00691154">
        <w:t xml:space="preserve"> Association of </w:t>
      </w:r>
      <w:r w:rsidRPr="00691154">
        <w:rPr>
          <w:i/>
          <w:iCs/>
        </w:rPr>
        <w:t xml:space="preserve">g </w:t>
      </w:r>
      <w:r w:rsidRPr="00691154">
        <w:t xml:space="preserve">with different classes of rare variants in genes prioritised as credible causal by different methods in the schizophrenia (SZ) GWAS. Error bars display 95% confidence intervals. PTV = protein-truncating variant; </w:t>
      </w:r>
      <w:r w:rsidRPr="00691154">
        <w:rPr>
          <w:i/>
          <w:iCs/>
        </w:rPr>
        <w:t>g</w:t>
      </w:r>
      <w:r w:rsidRPr="00691154">
        <w:t xml:space="preserve"> = generalised cognition.</w:t>
      </w:r>
    </w:p>
    <w:p w14:paraId="1E98B931" w14:textId="77777777" w:rsidR="00FC1ACC" w:rsidRPr="00691154" w:rsidRDefault="00FC1ACC">
      <w:pPr>
        <w:spacing w:before="0" w:after="200" w:line="276" w:lineRule="auto"/>
        <w:rPr>
          <w:rFonts w:asciiTheme="majorHAnsi" w:eastAsiaTheme="majorEastAsia" w:hAnsiTheme="majorHAnsi" w:cstheme="majorBidi"/>
          <w:b/>
          <w:bCs/>
          <w:sz w:val="34"/>
          <w:szCs w:val="28"/>
        </w:rPr>
      </w:pPr>
      <w:r w:rsidRPr="00691154">
        <w:br w:type="page"/>
      </w:r>
    </w:p>
    <w:p w14:paraId="07B96859" w14:textId="64AB66EF" w:rsidR="00FE28BB" w:rsidRPr="00691154" w:rsidRDefault="009F1EF9" w:rsidP="00FC1ACC">
      <w:pPr>
        <w:pStyle w:val="Heading1"/>
        <w:suppressLineNumbers/>
        <w:ind w:left="0" w:firstLine="0"/>
      </w:pPr>
      <w:bookmarkStart w:id="9" w:name="_Toc225510442"/>
      <w:r w:rsidRPr="00691154">
        <w:lastRenderedPageBreak/>
        <w:t>References</w:t>
      </w:r>
      <w:bookmarkEnd w:id="9"/>
    </w:p>
    <w:p w14:paraId="69AE0BFC" w14:textId="77777777" w:rsidR="000423A4" w:rsidRPr="00691154" w:rsidRDefault="00F242D3" w:rsidP="00581298">
      <w:pPr>
        <w:pStyle w:val="Bibliography"/>
        <w:spacing w:before="0" w:after="0"/>
        <w:rPr>
          <w:rFonts w:eastAsiaTheme="minorHAnsi"/>
          <w:lang w:eastAsia="en-US"/>
        </w:rPr>
      </w:pPr>
      <w:r w:rsidRPr="00691154">
        <w:fldChar w:fldCharType="begin"/>
      </w:r>
      <w:r w:rsidR="000423A4" w:rsidRPr="00691154">
        <w:instrText xml:space="preserve"> ADDIN ZOTERO_BIBL {"uncited":[],"omitted":[],"custom":[]} CSL_BIBLIOGRAPHY </w:instrText>
      </w:r>
      <w:r w:rsidRPr="00691154">
        <w:fldChar w:fldCharType="separate"/>
      </w:r>
      <w:r w:rsidR="000423A4" w:rsidRPr="00691154">
        <w:rPr>
          <w:rFonts w:eastAsiaTheme="minorHAnsi"/>
          <w:lang w:eastAsia="en-US"/>
        </w:rPr>
        <w:t>1.:</w:t>
      </w:r>
      <w:r w:rsidR="000423A4" w:rsidRPr="00691154">
        <w:rPr>
          <w:rFonts w:eastAsiaTheme="minorHAnsi"/>
          <w:lang w:eastAsia="en-US"/>
        </w:rPr>
        <w:tab/>
        <w:t xml:space="preserve"> Data-Field 31 [Internet]. [cited 2024 Aug 16]. Available from: https://biobank.ctsu.ox.ac.uk/crystal/field.cgi?id=31</w:t>
      </w:r>
    </w:p>
    <w:p w14:paraId="550EB244" w14:textId="77777777" w:rsidR="000423A4" w:rsidRPr="00691154" w:rsidRDefault="000423A4" w:rsidP="00581298">
      <w:pPr>
        <w:pStyle w:val="Bibliography"/>
        <w:spacing w:before="0" w:after="0"/>
        <w:rPr>
          <w:rFonts w:eastAsiaTheme="minorHAnsi"/>
          <w:lang w:eastAsia="en-US"/>
        </w:rPr>
      </w:pPr>
      <w:r w:rsidRPr="00691154">
        <w:rPr>
          <w:rFonts w:eastAsiaTheme="minorHAnsi"/>
          <w:lang w:eastAsia="en-US"/>
        </w:rPr>
        <w:t>2.</w:t>
      </w:r>
      <w:r w:rsidRPr="00691154">
        <w:rPr>
          <w:rFonts w:eastAsiaTheme="minorHAnsi"/>
          <w:lang w:eastAsia="en-US"/>
        </w:rPr>
        <w:tab/>
        <w:t xml:space="preserve">Legge SE, Pardiñas AF, Helthuis M, Jansen JA, Jollie K, Knapper S, et al. A genome-wide association study in individuals of African ancestry reveals the importance of the Duffy-null genotype in the assessment of clozapine-related neutropenia. Mol Psychiatry. 2019 Mar;24(3):328–37. </w:t>
      </w:r>
    </w:p>
    <w:p w14:paraId="2FD9ADE0" w14:textId="77777777" w:rsidR="000423A4" w:rsidRPr="00691154" w:rsidRDefault="000423A4" w:rsidP="00581298">
      <w:pPr>
        <w:pStyle w:val="Bibliography"/>
        <w:spacing w:before="0" w:after="0"/>
        <w:rPr>
          <w:rFonts w:eastAsiaTheme="minorHAnsi"/>
          <w:lang w:eastAsia="en-US"/>
        </w:rPr>
      </w:pPr>
      <w:r w:rsidRPr="00691154">
        <w:rPr>
          <w:rFonts w:eastAsiaTheme="minorHAnsi"/>
          <w:lang w:eastAsia="en-US"/>
        </w:rPr>
        <w:t>3.</w:t>
      </w:r>
      <w:r w:rsidRPr="00691154">
        <w:rPr>
          <w:rFonts w:eastAsiaTheme="minorHAnsi"/>
          <w:lang w:eastAsia="en-US"/>
        </w:rPr>
        <w:tab/>
        <w:t>Smart SE, Legge SE, Fenner E, Pardiñas AF, Woolway G, Lynham AJ, et al. SLC39A8.p.(Ala391Thr) is associated with poorer cognitive ability: a cross-sectional study of schizophrenia and the general UK population [Internet]. medRxiv; 2024 [cited 2024 Nov 15]. p. 2024.09.18.24313865. Available from: https://www.medrxiv.org/content/10.1101/2024.09.18.24313865v1</w:t>
      </w:r>
    </w:p>
    <w:p w14:paraId="4CF035AD" w14:textId="77777777" w:rsidR="000423A4" w:rsidRPr="00691154" w:rsidRDefault="000423A4" w:rsidP="00581298">
      <w:pPr>
        <w:pStyle w:val="Bibliography"/>
        <w:spacing w:before="0" w:after="0"/>
        <w:rPr>
          <w:rFonts w:eastAsiaTheme="minorHAnsi"/>
          <w:lang w:eastAsia="en-US"/>
        </w:rPr>
      </w:pPr>
      <w:r w:rsidRPr="00691154">
        <w:rPr>
          <w:rFonts w:eastAsiaTheme="minorHAnsi"/>
          <w:lang w:eastAsia="en-US"/>
        </w:rPr>
        <w:t>4.</w:t>
      </w:r>
      <w:r w:rsidRPr="00691154">
        <w:rPr>
          <w:rFonts w:eastAsiaTheme="minorHAnsi"/>
          <w:lang w:eastAsia="en-US"/>
        </w:rPr>
        <w:tab/>
        <w:t xml:space="preserve">Price AL, Weale ME, Patterson N, Myers SR, Need AC, Shianna KV, et al. Long-Range LD Can Confound Genome Scans in Admixed Populations. Am J Hum Genet. 2008 July 11;83(1):132–5. </w:t>
      </w:r>
    </w:p>
    <w:p w14:paraId="36481CBE" w14:textId="77777777" w:rsidR="000423A4" w:rsidRPr="00691154" w:rsidRDefault="000423A4" w:rsidP="00581298">
      <w:pPr>
        <w:pStyle w:val="Bibliography"/>
        <w:spacing w:before="0" w:after="0"/>
        <w:rPr>
          <w:rFonts w:eastAsiaTheme="minorHAnsi"/>
          <w:lang w:eastAsia="en-US"/>
        </w:rPr>
      </w:pPr>
      <w:r w:rsidRPr="00691154">
        <w:rPr>
          <w:rFonts w:eastAsiaTheme="minorHAnsi"/>
          <w:lang w:eastAsia="en-US"/>
        </w:rPr>
        <w:t>5.</w:t>
      </w:r>
      <w:r w:rsidRPr="00691154">
        <w:rPr>
          <w:rFonts w:eastAsiaTheme="minorHAnsi"/>
          <w:lang w:eastAsia="en-US"/>
        </w:rPr>
        <w:tab/>
        <w:t xml:space="preserve">Huddart R, Fohner AE, Whirl-Carrillo M, Wojcik GL, Gignoux CR, Popejoy AB, et al. Standardized Biogeographic Grouping System for Annotating Populations in Pharmacogenetic Research. Clin Pharmacol Ther. 2019;105(5):1256–62. </w:t>
      </w:r>
    </w:p>
    <w:p w14:paraId="07837846" w14:textId="77777777" w:rsidR="000423A4" w:rsidRPr="00691154" w:rsidRDefault="000423A4" w:rsidP="00581298">
      <w:pPr>
        <w:pStyle w:val="Bibliography"/>
        <w:spacing w:before="0" w:after="0"/>
        <w:rPr>
          <w:rFonts w:eastAsiaTheme="minorHAnsi"/>
          <w:lang w:eastAsia="en-US"/>
        </w:rPr>
      </w:pPr>
      <w:r w:rsidRPr="00691154">
        <w:rPr>
          <w:rFonts w:eastAsiaTheme="minorHAnsi"/>
          <w:lang w:eastAsia="en-US"/>
        </w:rPr>
        <w:t>6.</w:t>
      </w:r>
      <w:r w:rsidRPr="00691154">
        <w:rPr>
          <w:rFonts w:eastAsiaTheme="minorHAnsi"/>
          <w:lang w:eastAsia="en-US"/>
        </w:rPr>
        <w:tab/>
        <w:t xml:space="preserve">Auton A, Abecasis GR, Altshuler DM, Durbin RM, Abecasis GR, Bentley DR, et al. A global reference for human genetic variation. Nature. 2015 Oct;526(7571):68–74. </w:t>
      </w:r>
    </w:p>
    <w:p w14:paraId="59A9C156" w14:textId="77777777" w:rsidR="000423A4" w:rsidRPr="00691154" w:rsidRDefault="000423A4" w:rsidP="00581298">
      <w:pPr>
        <w:pStyle w:val="Bibliography"/>
        <w:spacing w:before="0" w:after="0"/>
        <w:rPr>
          <w:rFonts w:eastAsiaTheme="minorHAnsi"/>
          <w:lang w:eastAsia="en-US"/>
        </w:rPr>
      </w:pPr>
      <w:r w:rsidRPr="00691154">
        <w:rPr>
          <w:rFonts w:eastAsiaTheme="minorHAnsi"/>
          <w:lang w:eastAsia="en-US"/>
        </w:rPr>
        <w:t>7.</w:t>
      </w:r>
      <w:r w:rsidRPr="00691154">
        <w:rPr>
          <w:rFonts w:eastAsiaTheme="minorHAnsi"/>
          <w:lang w:eastAsia="en-US"/>
        </w:rPr>
        <w:tab/>
        <w:t xml:space="preserve">Patterson N, Price AL, Reich D. Population Structure and Eigenanalysis. PLOS Genet. 2006 Dec 22;2(12):e190. </w:t>
      </w:r>
    </w:p>
    <w:p w14:paraId="606AEB03" w14:textId="77777777" w:rsidR="000423A4" w:rsidRPr="00691154" w:rsidRDefault="000423A4" w:rsidP="00581298">
      <w:pPr>
        <w:pStyle w:val="Bibliography"/>
        <w:spacing w:before="0" w:after="0"/>
        <w:rPr>
          <w:rFonts w:eastAsiaTheme="minorHAnsi"/>
          <w:lang w:eastAsia="en-US"/>
        </w:rPr>
      </w:pPr>
      <w:r w:rsidRPr="00691154">
        <w:rPr>
          <w:rFonts w:eastAsiaTheme="minorHAnsi"/>
          <w:lang w:eastAsia="en-US"/>
        </w:rPr>
        <w:t>8.</w:t>
      </w:r>
      <w:r w:rsidRPr="00691154">
        <w:rPr>
          <w:rFonts w:eastAsiaTheme="minorHAnsi"/>
          <w:lang w:eastAsia="en-US"/>
        </w:rPr>
        <w:tab/>
        <w:t xml:space="preserve">Yang N, Li H, Criswell LA, Gregersen PK, Alarcon-Riquelme ME, Kittles R, et al. Examination of ancestry and ethnic affiliation using highly informative diallelic DNA markers: application to diverse and admixed populations and implications for clinical epidemiology and forensic medicine. Hum Genet. 2005 Dec 1;118(3):382–92. </w:t>
      </w:r>
    </w:p>
    <w:p w14:paraId="00C6CC14" w14:textId="77777777" w:rsidR="000423A4" w:rsidRPr="00691154" w:rsidRDefault="000423A4" w:rsidP="00581298">
      <w:pPr>
        <w:pStyle w:val="Bibliography"/>
        <w:spacing w:before="0" w:after="0"/>
        <w:rPr>
          <w:rFonts w:eastAsiaTheme="minorHAnsi"/>
          <w:lang w:eastAsia="en-US"/>
        </w:rPr>
      </w:pPr>
      <w:r w:rsidRPr="00691154">
        <w:rPr>
          <w:rFonts w:eastAsiaTheme="minorHAnsi"/>
          <w:lang w:eastAsia="en-US"/>
        </w:rPr>
        <w:t>9.</w:t>
      </w:r>
      <w:r w:rsidRPr="00691154">
        <w:rPr>
          <w:rFonts w:eastAsiaTheme="minorHAnsi"/>
          <w:lang w:eastAsia="en-US"/>
        </w:rPr>
        <w:tab/>
        <w:t>Fawns-Ritchie C, Deary IJ. Reliability and validity of the UK Biobank cognitive tests. PLoS ONE [Internet]. 2020 Apr 20 [cited 2021 June 2];15(4). Available from: https://www.ncbi.nlm.nih.gov/pmc/articles/PMC7170235/</w:t>
      </w:r>
    </w:p>
    <w:p w14:paraId="32EEB141" w14:textId="658FC3A6" w:rsidR="009F1EF9" w:rsidRPr="009F1EF9" w:rsidRDefault="00F242D3" w:rsidP="00581298">
      <w:pPr>
        <w:pStyle w:val="Bibliography"/>
        <w:spacing w:before="0" w:after="0"/>
      </w:pPr>
      <w:r w:rsidRPr="00691154">
        <w:fldChar w:fldCharType="end"/>
      </w:r>
    </w:p>
    <w:sectPr w:rsidR="009F1EF9" w:rsidRPr="009F1EF9" w:rsidSect="00294B60">
      <w:pgSz w:w="11906" w:h="16838"/>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CE619C" w14:textId="77777777" w:rsidR="00D1660F" w:rsidRDefault="00D1660F" w:rsidP="000674BF">
      <w:pPr>
        <w:spacing w:before="0" w:after="0"/>
      </w:pPr>
      <w:r>
        <w:separator/>
      </w:r>
    </w:p>
  </w:endnote>
  <w:endnote w:type="continuationSeparator" w:id="0">
    <w:p w14:paraId="1FDDD8AF" w14:textId="77777777" w:rsidR="00D1660F" w:rsidRDefault="00D1660F" w:rsidP="000674B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MS PMincho">
    <w:altName w:val="ＭＳ Ｐ明朝"/>
    <w:panose1 w:val="02020600040205080304"/>
    <w:charset w:val="80"/>
    <w:family w:val="roman"/>
    <w:notTrueType/>
    <w:pitch w:val="variable"/>
    <w:sig w:usb0="E00002FF" w:usb1="6AC7FDFB" w:usb2="08000012" w:usb3="00000000" w:csb0="0002009F" w:csb1="00000000"/>
  </w:font>
  <w:font w:name="Helvetica Neue">
    <w:panose1 w:val="02000503000000020004"/>
    <w:charset w:val="00"/>
    <w:family w:val="auto"/>
    <w:pitch w:val="variable"/>
    <w:sig w:usb0="E50002FF" w:usb1="500079DB" w:usb2="0000001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4BEA6C" w14:textId="77777777" w:rsidR="00D1660F" w:rsidRDefault="00D1660F" w:rsidP="000674BF">
      <w:pPr>
        <w:spacing w:before="0" w:after="0"/>
      </w:pPr>
      <w:r>
        <w:separator/>
      </w:r>
    </w:p>
  </w:footnote>
  <w:footnote w:type="continuationSeparator" w:id="0">
    <w:p w14:paraId="410443F5" w14:textId="77777777" w:rsidR="00D1660F" w:rsidRDefault="00D1660F" w:rsidP="000674BF">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F31707"/>
    <w:multiLevelType w:val="multilevel"/>
    <w:tmpl w:val="98BC0F7A"/>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4E7A6D28"/>
    <w:multiLevelType w:val="hybridMultilevel"/>
    <w:tmpl w:val="D41024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62573C1"/>
    <w:multiLevelType w:val="multilevel"/>
    <w:tmpl w:val="B544821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1001157106">
    <w:abstractNumId w:val="2"/>
  </w:num>
  <w:num w:numId="2" w16cid:durableId="1829128527">
    <w:abstractNumId w:val="2"/>
  </w:num>
  <w:num w:numId="3" w16cid:durableId="266935850">
    <w:abstractNumId w:val="2"/>
  </w:num>
  <w:num w:numId="4" w16cid:durableId="244271459">
    <w:abstractNumId w:val="2"/>
  </w:num>
  <w:num w:numId="5" w16cid:durableId="175928226">
    <w:abstractNumId w:val="2"/>
  </w:num>
  <w:num w:numId="6" w16cid:durableId="1861433778">
    <w:abstractNumId w:val="2"/>
  </w:num>
  <w:num w:numId="7" w16cid:durableId="2058120348">
    <w:abstractNumId w:val="2"/>
  </w:num>
  <w:num w:numId="8" w16cid:durableId="302002774">
    <w:abstractNumId w:val="2"/>
  </w:num>
  <w:num w:numId="9" w16cid:durableId="857088771">
    <w:abstractNumId w:val="2"/>
  </w:num>
  <w:num w:numId="10" w16cid:durableId="2057973037">
    <w:abstractNumId w:val="2"/>
  </w:num>
  <w:num w:numId="11" w16cid:durableId="1393652020">
    <w:abstractNumId w:val="0"/>
  </w:num>
  <w:num w:numId="12" w16cid:durableId="247882943">
    <w:abstractNumId w:val="0"/>
  </w:num>
  <w:num w:numId="13" w16cid:durableId="248276543">
    <w:abstractNumId w:val="0"/>
  </w:num>
  <w:num w:numId="14" w16cid:durableId="534387181">
    <w:abstractNumId w:val="0"/>
  </w:num>
  <w:num w:numId="15" w16cid:durableId="1942369611">
    <w:abstractNumId w:val="0"/>
  </w:num>
  <w:num w:numId="16" w16cid:durableId="2095397015">
    <w:abstractNumId w:val="0"/>
  </w:num>
  <w:num w:numId="17" w16cid:durableId="219442706">
    <w:abstractNumId w:val="0"/>
  </w:num>
  <w:num w:numId="18" w16cid:durableId="146480609">
    <w:abstractNumId w:val="0"/>
  </w:num>
  <w:num w:numId="19" w16cid:durableId="1035613955">
    <w:abstractNumId w:val="0"/>
  </w:num>
  <w:num w:numId="20" w16cid:durableId="1179000851">
    <w:abstractNumId w:val="0"/>
  </w:num>
  <w:num w:numId="21" w16cid:durableId="7475342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E14"/>
    <w:rsid w:val="00000F98"/>
    <w:rsid w:val="000027A8"/>
    <w:rsid w:val="0001162C"/>
    <w:rsid w:val="00014ADF"/>
    <w:rsid w:val="00034D6A"/>
    <w:rsid w:val="00035832"/>
    <w:rsid w:val="000423A4"/>
    <w:rsid w:val="00064E6D"/>
    <w:rsid w:val="000674BF"/>
    <w:rsid w:val="00067625"/>
    <w:rsid w:val="00070392"/>
    <w:rsid w:val="0007455B"/>
    <w:rsid w:val="0008050C"/>
    <w:rsid w:val="00083D94"/>
    <w:rsid w:val="00090760"/>
    <w:rsid w:val="000928C4"/>
    <w:rsid w:val="00096E2E"/>
    <w:rsid w:val="000A0E27"/>
    <w:rsid w:val="000A38CF"/>
    <w:rsid w:val="000D11A4"/>
    <w:rsid w:val="000D366B"/>
    <w:rsid w:val="000D6BFD"/>
    <w:rsid w:val="000E6191"/>
    <w:rsid w:val="000E6ECD"/>
    <w:rsid w:val="000E7FF8"/>
    <w:rsid w:val="000F2BD6"/>
    <w:rsid w:val="000F6134"/>
    <w:rsid w:val="000F640A"/>
    <w:rsid w:val="001002ED"/>
    <w:rsid w:val="00102589"/>
    <w:rsid w:val="001059D0"/>
    <w:rsid w:val="00106B1A"/>
    <w:rsid w:val="00106E5B"/>
    <w:rsid w:val="001076AF"/>
    <w:rsid w:val="00121733"/>
    <w:rsid w:val="00130C8E"/>
    <w:rsid w:val="00145B22"/>
    <w:rsid w:val="00146E87"/>
    <w:rsid w:val="00150D98"/>
    <w:rsid w:val="00151E3E"/>
    <w:rsid w:val="00152B4F"/>
    <w:rsid w:val="0016500E"/>
    <w:rsid w:val="00167697"/>
    <w:rsid w:val="00182F78"/>
    <w:rsid w:val="001937C1"/>
    <w:rsid w:val="00195E14"/>
    <w:rsid w:val="001A3771"/>
    <w:rsid w:val="001B23E0"/>
    <w:rsid w:val="001B567B"/>
    <w:rsid w:val="001E13A0"/>
    <w:rsid w:val="001E7670"/>
    <w:rsid w:val="001E77CE"/>
    <w:rsid w:val="001F1F7E"/>
    <w:rsid w:val="001F39D8"/>
    <w:rsid w:val="001F66C0"/>
    <w:rsid w:val="002001D6"/>
    <w:rsid w:val="00200E40"/>
    <w:rsid w:val="0020282B"/>
    <w:rsid w:val="00203F2B"/>
    <w:rsid w:val="0021533D"/>
    <w:rsid w:val="002249CA"/>
    <w:rsid w:val="00227A67"/>
    <w:rsid w:val="00227EF9"/>
    <w:rsid w:val="002361FB"/>
    <w:rsid w:val="002409DC"/>
    <w:rsid w:val="002426E0"/>
    <w:rsid w:val="002503B3"/>
    <w:rsid w:val="00263970"/>
    <w:rsid w:val="0026783D"/>
    <w:rsid w:val="002706D2"/>
    <w:rsid w:val="0027077F"/>
    <w:rsid w:val="00273AD8"/>
    <w:rsid w:val="00273C2D"/>
    <w:rsid w:val="00286DF8"/>
    <w:rsid w:val="00290FB4"/>
    <w:rsid w:val="002935E0"/>
    <w:rsid w:val="00294B60"/>
    <w:rsid w:val="002A3B0B"/>
    <w:rsid w:val="002B336B"/>
    <w:rsid w:val="002B5164"/>
    <w:rsid w:val="002C38EA"/>
    <w:rsid w:val="002D150C"/>
    <w:rsid w:val="002D284D"/>
    <w:rsid w:val="002F41FE"/>
    <w:rsid w:val="002F46BA"/>
    <w:rsid w:val="00302817"/>
    <w:rsid w:val="003078D5"/>
    <w:rsid w:val="003137BC"/>
    <w:rsid w:val="0031390B"/>
    <w:rsid w:val="003150B1"/>
    <w:rsid w:val="00315B30"/>
    <w:rsid w:val="00317067"/>
    <w:rsid w:val="00331FD4"/>
    <w:rsid w:val="0033480D"/>
    <w:rsid w:val="00337200"/>
    <w:rsid w:val="00354BDE"/>
    <w:rsid w:val="00363F53"/>
    <w:rsid w:val="0036656D"/>
    <w:rsid w:val="00367E42"/>
    <w:rsid w:val="00375B19"/>
    <w:rsid w:val="00377342"/>
    <w:rsid w:val="00395763"/>
    <w:rsid w:val="003B5543"/>
    <w:rsid w:val="003C1A28"/>
    <w:rsid w:val="003C1B6D"/>
    <w:rsid w:val="003C2957"/>
    <w:rsid w:val="003D5867"/>
    <w:rsid w:val="003E3FA7"/>
    <w:rsid w:val="003E4598"/>
    <w:rsid w:val="003E45B3"/>
    <w:rsid w:val="003F688C"/>
    <w:rsid w:val="00401A67"/>
    <w:rsid w:val="004059D9"/>
    <w:rsid w:val="004112AD"/>
    <w:rsid w:val="004117D5"/>
    <w:rsid w:val="00416DAE"/>
    <w:rsid w:val="00420753"/>
    <w:rsid w:val="0042277D"/>
    <w:rsid w:val="00427DC3"/>
    <w:rsid w:val="00431E09"/>
    <w:rsid w:val="004324BF"/>
    <w:rsid w:val="00436CF7"/>
    <w:rsid w:val="00450310"/>
    <w:rsid w:val="004535DA"/>
    <w:rsid w:val="00454C78"/>
    <w:rsid w:val="0047524A"/>
    <w:rsid w:val="00477BDC"/>
    <w:rsid w:val="0048058A"/>
    <w:rsid w:val="004809A0"/>
    <w:rsid w:val="00491BAA"/>
    <w:rsid w:val="0049653D"/>
    <w:rsid w:val="004A54A0"/>
    <w:rsid w:val="004B0F43"/>
    <w:rsid w:val="004B63B9"/>
    <w:rsid w:val="004C1A29"/>
    <w:rsid w:val="004D0DB6"/>
    <w:rsid w:val="004D4742"/>
    <w:rsid w:val="004E172C"/>
    <w:rsid w:val="004E1869"/>
    <w:rsid w:val="004F192B"/>
    <w:rsid w:val="004F32CA"/>
    <w:rsid w:val="004F4001"/>
    <w:rsid w:val="004F7B46"/>
    <w:rsid w:val="00506563"/>
    <w:rsid w:val="00507C65"/>
    <w:rsid w:val="00511C70"/>
    <w:rsid w:val="00511ED4"/>
    <w:rsid w:val="005140F7"/>
    <w:rsid w:val="00514400"/>
    <w:rsid w:val="00514441"/>
    <w:rsid w:val="00514856"/>
    <w:rsid w:val="005153F0"/>
    <w:rsid w:val="005213D3"/>
    <w:rsid w:val="00532717"/>
    <w:rsid w:val="005355E4"/>
    <w:rsid w:val="0054661F"/>
    <w:rsid w:val="00573BDF"/>
    <w:rsid w:val="005748FC"/>
    <w:rsid w:val="00577601"/>
    <w:rsid w:val="005804EE"/>
    <w:rsid w:val="00581298"/>
    <w:rsid w:val="00596584"/>
    <w:rsid w:val="005A16DA"/>
    <w:rsid w:val="005A49B6"/>
    <w:rsid w:val="005A73FF"/>
    <w:rsid w:val="005B07E1"/>
    <w:rsid w:val="005B431E"/>
    <w:rsid w:val="005B5051"/>
    <w:rsid w:val="005C0440"/>
    <w:rsid w:val="005C193F"/>
    <w:rsid w:val="005C2231"/>
    <w:rsid w:val="005C2A6A"/>
    <w:rsid w:val="005C638B"/>
    <w:rsid w:val="005D0D2B"/>
    <w:rsid w:val="0060097A"/>
    <w:rsid w:val="00601682"/>
    <w:rsid w:val="00607498"/>
    <w:rsid w:val="00607ED3"/>
    <w:rsid w:val="006232C9"/>
    <w:rsid w:val="00624A9E"/>
    <w:rsid w:val="006438B2"/>
    <w:rsid w:val="006477A4"/>
    <w:rsid w:val="006508C2"/>
    <w:rsid w:val="006538F1"/>
    <w:rsid w:val="006560B8"/>
    <w:rsid w:val="00666D2A"/>
    <w:rsid w:val="00677F3B"/>
    <w:rsid w:val="00691154"/>
    <w:rsid w:val="00697613"/>
    <w:rsid w:val="006976C7"/>
    <w:rsid w:val="006A047A"/>
    <w:rsid w:val="006A2196"/>
    <w:rsid w:val="006A3BA6"/>
    <w:rsid w:val="006A512A"/>
    <w:rsid w:val="006A775F"/>
    <w:rsid w:val="006B2CAC"/>
    <w:rsid w:val="006B5CF9"/>
    <w:rsid w:val="006C2D1D"/>
    <w:rsid w:val="006C2F73"/>
    <w:rsid w:val="006C50E2"/>
    <w:rsid w:val="006D4AF0"/>
    <w:rsid w:val="006E3731"/>
    <w:rsid w:val="006E4C37"/>
    <w:rsid w:val="006E73FF"/>
    <w:rsid w:val="006F0FBF"/>
    <w:rsid w:val="0070331D"/>
    <w:rsid w:val="007265AB"/>
    <w:rsid w:val="00732D82"/>
    <w:rsid w:val="007376F0"/>
    <w:rsid w:val="0074456A"/>
    <w:rsid w:val="0075101E"/>
    <w:rsid w:val="00751E6A"/>
    <w:rsid w:val="00763A1A"/>
    <w:rsid w:val="0076615C"/>
    <w:rsid w:val="00767CE6"/>
    <w:rsid w:val="00775DDE"/>
    <w:rsid w:val="00796D38"/>
    <w:rsid w:val="007B0392"/>
    <w:rsid w:val="007C23E9"/>
    <w:rsid w:val="007C5DE3"/>
    <w:rsid w:val="007D6743"/>
    <w:rsid w:val="007F1F09"/>
    <w:rsid w:val="007F2AC1"/>
    <w:rsid w:val="007F4952"/>
    <w:rsid w:val="007F7A2A"/>
    <w:rsid w:val="0081672E"/>
    <w:rsid w:val="00817BF9"/>
    <w:rsid w:val="00831661"/>
    <w:rsid w:val="0083257C"/>
    <w:rsid w:val="008327C1"/>
    <w:rsid w:val="00832BB2"/>
    <w:rsid w:val="00846981"/>
    <w:rsid w:val="00856FC7"/>
    <w:rsid w:val="00857959"/>
    <w:rsid w:val="00857D91"/>
    <w:rsid w:val="00866392"/>
    <w:rsid w:val="00866A67"/>
    <w:rsid w:val="00885BC2"/>
    <w:rsid w:val="00886FA4"/>
    <w:rsid w:val="00890B47"/>
    <w:rsid w:val="00893A37"/>
    <w:rsid w:val="008B2C1A"/>
    <w:rsid w:val="008B2C65"/>
    <w:rsid w:val="008B502E"/>
    <w:rsid w:val="008D0697"/>
    <w:rsid w:val="008E5970"/>
    <w:rsid w:val="00900E3F"/>
    <w:rsid w:val="00912111"/>
    <w:rsid w:val="009122E1"/>
    <w:rsid w:val="00915F40"/>
    <w:rsid w:val="009303C5"/>
    <w:rsid w:val="009311E3"/>
    <w:rsid w:val="00937043"/>
    <w:rsid w:val="00940E62"/>
    <w:rsid w:val="00943F6C"/>
    <w:rsid w:val="00945812"/>
    <w:rsid w:val="009475CC"/>
    <w:rsid w:val="0095477C"/>
    <w:rsid w:val="0097270A"/>
    <w:rsid w:val="00977AFD"/>
    <w:rsid w:val="00980B67"/>
    <w:rsid w:val="00981857"/>
    <w:rsid w:val="00992B73"/>
    <w:rsid w:val="00994B60"/>
    <w:rsid w:val="00997753"/>
    <w:rsid w:val="009A69A5"/>
    <w:rsid w:val="009A716F"/>
    <w:rsid w:val="009B1FC0"/>
    <w:rsid w:val="009C0E44"/>
    <w:rsid w:val="009D4B33"/>
    <w:rsid w:val="009D72D7"/>
    <w:rsid w:val="009E3FCB"/>
    <w:rsid w:val="009E4632"/>
    <w:rsid w:val="009E75C8"/>
    <w:rsid w:val="009F1EF9"/>
    <w:rsid w:val="009F3A7E"/>
    <w:rsid w:val="00A05A94"/>
    <w:rsid w:val="00A1193A"/>
    <w:rsid w:val="00A14F7B"/>
    <w:rsid w:val="00A174F3"/>
    <w:rsid w:val="00A17CF5"/>
    <w:rsid w:val="00A23D4E"/>
    <w:rsid w:val="00A24EFB"/>
    <w:rsid w:val="00A2660E"/>
    <w:rsid w:val="00A30AAC"/>
    <w:rsid w:val="00A3634B"/>
    <w:rsid w:val="00A440C9"/>
    <w:rsid w:val="00A45235"/>
    <w:rsid w:val="00A57B11"/>
    <w:rsid w:val="00A6118C"/>
    <w:rsid w:val="00A62D9E"/>
    <w:rsid w:val="00A726C4"/>
    <w:rsid w:val="00A770F7"/>
    <w:rsid w:val="00A86D9D"/>
    <w:rsid w:val="00A87C16"/>
    <w:rsid w:val="00AA3809"/>
    <w:rsid w:val="00AB0966"/>
    <w:rsid w:val="00AB2CB7"/>
    <w:rsid w:val="00AB3C31"/>
    <w:rsid w:val="00AB54B3"/>
    <w:rsid w:val="00AB7D01"/>
    <w:rsid w:val="00AC045B"/>
    <w:rsid w:val="00AD15B2"/>
    <w:rsid w:val="00AD586F"/>
    <w:rsid w:val="00AF615D"/>
    <w:rsid w:val="00B0250D"/>
    <w:rsid w:val="00B049D3"/>
    <w:rsid w:val="00B07864"/>
    <w:rsid w:val="00B17006"/>
    <w:rsid w:val="00B20256"/>
    <w:rsid w:val="00B2268E"/>
    <w:rsid w:val="00B26324"/>
    <w:rsid w:val="00B26FEA"/>
    <w:rsid w:val="00B271EE"/>
    <w:rsid w:val="00B45E46"/>
    <w:rsid w:val="00B46591"/>
    <w:rsid w:val="00B5319B"/>
    <w:rsid w:val="00B560B7"/>
    <w:rsid w:val="00B713C6"/>
    <w:rsid w:val="00B746D2"/>
    <w:rsid w:val="00B94C8F"/>
    <w:rsid w:val="00B959AF"/>
    <w:rsid w:val="00BA2027"/>
    <w:rsid w:val="00BA70A2"/>
    <w:rsid w:val="00BB03BF"/>
    <w:rsid w:val="00BB5697"/>
    <w:rsid w:val="00BB5B4C"/>
    <w:rsid w:val="00BC423D"/>
    <w:rsid w:val="00BC7734"/>
    <w:rsid w:val="00BC7DE0"/>
    <w:rsid w:val="00BD13C4"/>
    <w:rsid w:val="00BE4FC6"/>
    <w:rsid w:val="00BF1A19"/>
    <w:rsid w:val="00BF2F8E"/>
    <w:rsid w:val="00BF57AE"/>
    <w:rsid w:val="00BF7295"/>
    <w:rsid w:val="00C13940"/>
    <w:rsid w:val="00C30217"/>
    <w:rsid w:val="00C33BA8"/>
    <w:rsid w:val="00C340A0"/>
    <w:rsid w:val="00C347FD"/>
    <w:rsid w:val="00C50133"/>
    <w:rsid w:val="00C51AEE"/>
    <w:rsid w:val="00C57BE4"/>
    <w:rsid w:val="00C66B58"/>
    <w:rsid w:val="00C72C98"/>
    <w:rsid w:val="00C80986"/>
    <w:rsid w:val="00C811D4"/>
    <w:rsid w:val="00C81305"/>
    <w:rsid w:val="00C85330"/>
    <w:rsid w:val="00CA03ED"/>
    <w:rsid w:val="00CA18FA"/>
    <w:rsid w:val="00CA44EC"/>
    <w:rsid w:val="00CA5DC5"/>
    <w:rsid w:val="00CB016A"/>
    <w:rsid w:val="00CB0E8D"/>
    <w:rsid w:val="00CC4AF5"/>
    <w:rsid w:val="00CC67AA"/>
    <w:rsid w:val="00CC778C"/>
    <w:rsid w:val="00CD0394"/>
    <w:rsid w:val="00CD219B"/>
    <w:rsid w:val="00CD2EB3"/>
    <w:rsid w:val="00CD3DBC"/>
    <w:rsid w:val="00CF6A33"/>
    <w:rsid w:val="00D124A7"/>
    <w:rsid w:val="00D132D1"/>
    <w:rsid w:val="00D1660F"/>
    <w:rsid w:val="00D23557"/>
    <w:rsid w:val="00D516BF"/>
    <w:rsid w:val="00D51BB7"/>
    <w:rsid w:val="00D53A84"/>
    <w:rsid w:val="00D565D4"/>
    <w:rsid w:val="00D57666"/>
    <w:rsid w:val="00D70135"/>
    <w:rsid w:val="00D82ED7"/>
    <w:rsid w:val="00D844EE"/>
    <w:rsid w:val="00D91C2A"/>
    <w:rsid w:val="00D9240C"/>
    <w:rsid w:val="00D93916"/>
    <w:rsid w:val="00D958CC"/>
    <w:rsid w:val="00D97BAB"/>
    <w:rsid w:val="00DB1F06"/>
    <w:rsid w:val="00DB1FBA"/>
    <w:rsid w:val="00DC4A30"/>
    <w:rsid w:val="00DC6954"/>
    <w:rsid w:val="00DD03E6"/>
    <w:rsid w:val="00DD3CD9"/>
    <w:rsid w:val="00DD7561"/>
    <w:rsid w:val="00DE52C2"/>
    <w:rsid w:val="00DF5CF0"/>
    <w:rsid w:val="00DF789B"/>
    <w:rsid w:val="00DF7FD2"/>
    <w:rsid w:val="00E056B5"/>
    <w:rsid w:val="00E05977"/>
    <w:rsid w:val="00E05B6C"/>
    <w:rsid w:val="00E11769"/>
    <w:rsid w:val="00E16368"/>
    <w:rsid w:val="00E17EDF"/>
    <w:rsid w:val="00E2369D"/>
    <w:rsid w:val="00E25024"/>
    <w:rsid w:val="00E2679D"/>
    <w:rsid w:val="00E26D73"/>
    <w:rsid w:val="00E35791"/>
    <w:rsid w:val="00E40666"/>
    <w:rsid w:val="00E42817"/>
    <w:rsid w:val="00E45DF7"/>
    <w:rsid w:val="00E52038"/>
    <w:rsid w:val="00E52A19"/>
    <w:rsid w:val="00E56765"/>
    <w:rsid w:val="00E6790A"/>
    <w:rsid w:val="00E708D0"/>
    <w:rsid w:val="00E74E5D"/>
    <w:rsid w:val="00E77CAA"/>
    <w:rsid w:val="00E81589"/>
    <w:rsid w:val="00E83660"/>
    <w:rsid w:val="00E83DED"/>
    <w:rsid w:val="00E85D1C"/>
    <w:rsid w:val="00E86137"/>
    <w:rsid w:val="00E96F20"/>
    <w:rsid w:val="00EA186A"/>
    <w:rsid w:val="00EA2E9E"/>
    <w:rsid w:val="00EB3809"/>
    <w:rsid w:val="00EB3AA5"/>
    <w:rsid w:val="00EB54D7"/>
    <w:rsid w:val="00EC1A44"/>
    <w:rsid w:val="00EC5C1A"/>
    <w:rsid w:val="00ED266D"/>
    <w:rsid w:val="00ED41FA"/>
    <w:rsid w:val="00ED7895"/>
    <w:rsid w:val="00ED7EDC"/>
    <w:rsid w:val="00EE7463"/>
    <w:rsid w:val="00EF3ED6"/>
    <w:rsid w:val="00F04BC5"/>
    <w:rsid w:val="00F072BA"/>
    <w:rsid w:val="00F215DC"/>
    <w:rsid w:val="00F2406B"/>
    <w:rsid w:val="00F242D3"/>
    <w:rsid w:val="00F25769"/>
    <w:rsid w:val="00F3084D"/>
    <w:rsid w:val="00F33916"/>
    <w:rsid w:val="00F40A7D"/>
    <w:rsid w:val="00F47262"/>
    <w:rsid w:val="00F4749C"/>
    <w:rsid w:val="00F52F11"/>
    <w:rsid w:val="00F57469"/>
    <w:rsid w:val="00F57689"/>
    <w:rsid w:val="00F625B0"/>
    <w:rsid w:val="00F640D9"/>
    <w:rsid w:val="00F73985"/>
    <w:rsid w:val="00F73F24"/>
    <w:rsid w:val="00F905F3"/>
    <w:rsid w:val="00F90E86"/>
    <w:rsid w:val="00FA1062"/>
    <w:rsid w:val="00FA609B"/>
    <w:rsid w:val="00FA66EA"/>
    <w:rsid w:val="00FB421D"/>
    <w:rsid w:val="00FB6BBA"/>
    <w:rsid w:val="00FC1ACC"/>
    <w:rsid w:val="00FC53B9"/>
    <w:rsid w:val="00FC7F47"/>
    <w:rsid w:val="00FD76A7"/>
    <w:rsid w:val="00FD7D1A"/>
    <w:rsid w:val="00FE28BB"/>
    <w:rsid w:val="00FF5E5B"/>
    <w:rsid w:val="500C9027"/>
    <w:rsid w:val="6341A256"/>
    <w:rsid w:val="6BD8AC8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E0216"/>
  <w15:chartTrackingRefBased/>
  <w15:docId w15:val="{2C5BBB94-936A-214E-8FDF-F5A45754D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15B2"/>
    <w:pPr>
      <w:spacing w:before="240" w:after="240" w:line="240" w:lineRule="auto"/>
    </w:pPr>
    <w:rPr>
      <w:rFonts w:ascii="Times New Roman" w:eastAsia="Times New Roman" w:hAnsi="Times New Roman" w:cs="Times New Roman"/>
      <w:szCs w:val="24"/>
      <w:lang w:eastAsia="en-GB"/>
    </w:rPr>
  </w:style>
  <w:style w:type="paragraph" w:styleId="Heading1">
    <w:name w:val="heading 1"/>
    <w:basedOn w:val="Normal"/>
    <w:next w:val="Normal"/>
    <w:link w:val="Heading1Char"/>
    <w:autoRedefine/>
    <w:uiPriority w:val="9"/>
    <w:qFormat/>
    <w:rsid w:val="001B23E0"/>
    <w:pPr>
      <w:keepNext/>
      <w:keepLines/>
      <w:spacing w:before="480" w:after="480"/>
      <w:ind w:left="432" w:hanging="432"/>
      <w:outlineLvl w:val="0"/>
    </w:pPr>
    <w:rPr>
      <w:rFonts w:asciiTheme="majorHAnsi" w:eastAsiaTheme="majorEastAsia" w:hAnsiTheme="majorHAnsi" w:cstheme="majorBidi"/>
      <w:b/>
      <w:bCs/>
      <w:sz w:val="34"/>
      <w:szCs w:val="28"/>
    </w:rPr>
  </w:style>
  <w:style w:type="paragraph" w:styleId="Heading2">
    <w:name w:val="heading 2"/>
    <w:basedOn w:val="Normal"/>
    <w:next w:val="Normal"/>
    <w:link w:val="Heading2Char"/>
    <w:autoRedefine/>
    <w:uiPriority w:val="9"/>
    <w:unhideWhenUsed/>
    <w:qFormat/>
    <w:rsid w:val="00FF5E5B"/>
    <w:pPr>
      <w:keepNext/>
      <w:keepLines/>
      <w:numPr>
        <w:ilvl w:val="1"/>
        <w:numId w:val="20"/>
      </w:numPr>
      <w:spacing w:after="120"/>
      <w:outlineLvl w:val="1"/>
    </w:pPr>
    <w:rPr>
      <w:rFonts w:ascii="Arial" w:eastAsiaTheme="majorEastAsia" w:hAnsi="Arial" w:cs="Arial"/>
      <w:b/>
      <w:bCs/>
      <w:color w:val="000000" w:themeColor="text1"/>
      <w:sz w:val="32"/>
      <w:szCs w:val="28"/>
    </w:rPr>
  </w:style>
  <w:style w:type="paragraph" w:styleId="Heading3">
    <w:name w:val="heading 3"/>
    <w:basedOn w:val="Normal"/>
    <w:next w:val="Normal"/>
    <w:link w:val="Heading3Char"/>
    <w:autoRedefine/>
    <w:uiPriority w:val="9"/>
    <w:unhideWhenUsed/>
    <w:qFormat/>
    <w:rsid w:val="00FF5E5B"/>
    <w:pPr>
      <w:keepNext/>
      <w:keepLines/>
      <w:numPr>
        <w:ilvl w:val="2"/>
        <w:numId w:val="20"/>
      </w:numPr>
      <w:outlineLvl w:val="2"/>
    </w:pPr>
    <w:rPr>
      <w:rFonts w:ascii="Arial" w:eastAsiaTheme="majorEastAsia" w:hAnsi="Arial" w:cs="Arial"/>
      <w:b/>
      <w:bCs/>
      <w:color w:val="000000" w:themeColor="text1"/>
      <w:sz w:val="30"/>
      <w:szCs w:val="30"/>
    </w:rPr>
  </w:style>
  <w:style w:type="paragraph" w:styleId="Heading4">
    <w:name w:val="heading 4"/>
    <w:basedOn w:val="Normal"/>
    <w:next w:val="Normal"/>
    <w:link w:val="Heading4Char"/>
    <w:uiPriority w:val="9"/>
    <w:unhideWhenUsed/>
    <w:qFormat/>
    <w:rsid w:val="00D958CC"/>
    <w:pPr>
      <w:keepNext/>
      <w:keepLines/>
      <w:numPr>
        <w:ilvl w:val="3"/>
        <w:numId w:val="20"/>
      </w:numPr>
      <w:outlineLvl w:val="3"/>
    </w:pPr>
    <w:rPr>
      <w:rFonts w:eastAsiaTheme="majorEastAsia" w:cs="Arial"/>
      <w:bCs/>
      <w:iCs/>
      <w:color w:val="000000" w:themeColor="text1"/>
      <w:sz w:val="28"/>
      <w:szCs w:val="28"/>
    </w:rPr>
  </w:style>
  <w:style w:type="paragraph" w:styleId="Heading5">
    <w:name w:val="heading 5"/>
    <w:basedOn w:val="Normal"/>
    <w:next w:val="Normal"/>
    <w:link w:val="Heading5Char"/>
    <w:uiPriority w:val="9"/>
    <w:unhideWhenUsed/>
    <w:qFormat/>
    <w:rsid w:val="00D958CC"/>
    <w:pPr>
      <w:keepNext/>
      <w:keepLines/>
      <w:numPr>
        <w:ilvl w:val="4"/>
        <w:numId w:val="20"/>
      </w:numPr>
      <w:spacing w:before="200"/>
      <w:outlineLvl w:val="4"/>
    </w:pPr>
    <w:rPr>
      <w:rFonts w:eastAsiaTheme="majorEastAsia" w:cs="Arial"/>
      <w:color w:val="000000" w:themeColor="text1"/>
      <w:sz w:val="26"/>
      <w:szCs w:val="26"/>
    </w:rPr>
  </w:style>
  <w:style w:type="paragraph" w:styleId="Heading6">
    <w:name w:val="heading 6"/>
    <w:basedOn w:val="Normal"/>
    <w:next w:val="Normal"/>
    <w:link w:val="Heading6Char"/>
    <w:uiPriority w:val="9"/>
    <w:unhideWhenUsed/>
    <w:qFormat/>
    <w:rsid w:val="00D958CC"/>
    <w:pPr>
      <w:keepNext/>
      <w:keepLines/>
      <w:numPr>
        <w:ilvl w:val="5"/>
        <w:numId w:val="20"/>
      </w:numPr>
      <w:spacing w:before="200"/>
      <w:outlineLvl w:val="5"/>
    </w:pPr>
    <w:rPr>
      <w:rFonts w:eastAsiaTheme="majorEastAsia" w:cs="Arial"/>
      <w:iCs/>
      <w:color w:val="000000" w:themeColor="text1"/>
      <w:sz w:val="25"/>
      <w:szCs w:val="25"/>
    </w:rPr>
  </w:style>
  <w:style w:type="paragraph" w:styleId="Heading7">
    <w:name w:val="heading 7"/>
    <w:basedOn w:val="Normal"/>
    <w:next w:val="Normal"/>
    <w:link w:val="Heading7Char"/>
    <w:uiPriority w:val="9"/>
    <w:unhideWhenUsed/>
    <w:qFormat/>
    <w:rsid w:val="00D958CC"/>
    <w:pPr>
      <w:keepNext/>
      <w:keepLines/>
      <w:numPr>
        <w:ilvl w:val="6"/>
        <w:numId w:val="20"/>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958CC"/>
    <w:pPr>
      <w:keepNext/>
      <w:keepLines/>
      <w:numPr>
        <w:ilvl w:val="7"/>
        <w:numId w:val="20"/>
      </w:numPr>
      <w:spacing w:before="200"/>
      <w:outlineLvl w:val="7"/>
    </w:pPr>
    <w:rPr>
      <w:rFonts w:asciiTheme="majorHAnsi" w:eastAsiaTheme="majorEastAsia" w:hAnsiTheme="majorHAnsi" w:cstheme="majorBidi"/>
      <w:color w:val="4A66AC" w:themeColor="accent1"/>
      <w:sz w:val="20"/>
      <w:szCs w:val="20"/>
    </w:rPr>
  </w:style>
  <w:style w:type="paragraph" w:styleId="Heading9">
    <w:name w:val="heading 9"/>
    <w:basedOn w:val="Normal"/>
    <w:next w:val="Normal"/>
    <w:link w:val="Heading9Char"/>
    <w:uiPriority w:val="9"/>
    <w:semiHidden/>
    <w:unhideWhenUsed/>
    <w:qFormat/>
    <w:rsid w:val="00D958CC"/>
    <w:pPr>
      <w:keepNext/>
      <w:keepLines/>
      <w:numPr>
        <w:ilvl w:val="8"/>
        <w:numId w:val="20"/>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23E0"/>
    <w:rPr>
      <w:rFonts w:asciiTheme="majorHAnsi" w:eastAsiaTheme="majorEastAsia" w:hAnsiTheme="majorHAnsi" w:cstheme="majorBidi"/>
      <w:b/>
      <w:bCs/>
      <w:sz w:val="34"/>
      <w:szCs w:val="28"/>
      <w:lang w:eastAsia="en-GB"/>
    </w:rPr>
  </w:style>
  <w:style w:type="character" w:customStyle="1" w:styleId="Heading2Char">
    <w:name w:val="Heading 2 Char"/>
    <w:basedOn w:val="DefaultParagraphFont"/>
    <w:link w:val="Heading2"/>
    <w:uiPriority w:val="9"/>
    <w:rsid w:val="00FF5E5B"/>
    <w:rPr>
      <w:rFonts w:ascii="Arial" w:eastAsiaTheme="majorEastAsia" w:hAnsi="Arial" w:cs="Arial"/>
      <w:b/>
      <w:bCs/>
      <w:color w:val="000000" w:themeColor="text1"/>
      <w:sz w:val="32"/>
      <w:szCs w:val="28"/>
      <w:lang w:eastAsia="en-GB"/>
    </w:rPr>
  </w:style>
  <w:style w:type="character" w:customStyle="1" w:styleId="Heading3Char">
    <w:name w:val="Heading 3 Char"/>
    <w:basedOn w:val="DefaultParagraphFont"/>
    <w:link w:val="Heading3"/>
    <w:uiPriority w:val="9"/>
    <w:rsid w:val="00FF5E5B"/>
    <w:rPr>
      <w:rFonts w:ascii="Arial" w:eastAsiaTheme="majorEastAsia" w:hAnsi="Arial" w:cs="Arial"/>
      <w:b/>
      <w:bCs/>
      <w:color w:val="000000" w:themeColor="text1"/>
      <w:sz w:val="30"/>
      <w:szCs w:val="30"/>
      <w:lang w:eastAsia="en-GB"/>
    </w:rPr>
  </w:style>
  <w:style w:type="character" w:customStyle="1" w:styleId="Heading4Char">
    <w:name w:val="Heading 4 Char"/>
    <w:basedOn w:val="DefaultParagraphFont"/>
    <w:link w:val="Heading4"/>
    <w:uiPriority w:val="9"/>
    <w:rsid w:val="00D958CC"/>
    <w:rPr>
      <w:rFonts w:ascii="Arial" w:eastAsiaTheme="majorEastAsia" w:hAnsi="Arial" w:cs="Arial"/>
      <w:bCs/>
      <w:iCs/>
      <w:color w:val="000000" w:themeColor="text1"/>
      <w:sz w:val="28"/>
      <w:szCs w:val="28"/>
      <w:lang w:eastAsia="en-GB"/>
    </w:rPr>
  </w:style>
  <w:style w:type="character" w:customStyle="1" w:styleId="Heading5Char">
    <w:name w:val="Heading 5 Char"/>
    <w:basedOn w:val="DefaultParagraphFont"/>
    <w:link w:val="Heading5"/>
    <w:uiPriority w:val="9"/>
    <w:rsid w:val="00D958CC"/>
    <w:rPr>
      <w:rFonts w:ascii="Arial" w:eastAsiaTheme="majorEastAsia" w:hAnsi="Arial" w:cs="Arial"/>
      <w:color w:val="000000" w:themeColor="text1"/>
      <w:sz w:val="26"/>
      <w:szCs w:val="26"/>
      <w:lang w:eastAsia="en-GB"/>
    </w:rPr>
  </w:style>
  <w:style w:type="character" w:customStyle="1" w:styleId="Heading6Char">
    <w:name w:val="Heading 6 Char"/>
    <w:basedOn w:val="DefaultParagraphFont"/>
    <w:link w:val="Heading6"/>
    <w:uiPriority w:val="9"/>
    <w:rsid w:val="00D958CC"/>
    <w:rPr>
      <w:rFonts w:ascii="Arial" w:eastAsiaTheme="majorEastAsia" w:hAnsi="Arial" w:cs="Arial"/>
      <w:iCs/>
      <w:color w:val="000000" w:themeColor="text1"/>
      <w:sz w:val="25"/>
      <w:szCs w:val="25"/>
      <w:lang w:eastAsia="en-GB"/>
    </w:rPr>
  </w:style>
  <w:style w:type="character" w:customStyle="1" w:styleId="Heading7Char">
    <w:name w:val="Heading 7 Char"/>
    <w:basedOn w:val="DefaultParagraphFont"/>
    <w:link w:val="Heading7"/>
    <w:uiPriority w:val="9"/>
    <w:rsid w:val="00D958CC"/>
    <w:rPr>
      <w:rFonts w:asciiTheme="majorHAnsi" w:eastAsiaTheme="majorEastAsia" w:hAnsiTheme="majorHAnsi" w:cstheme="majorBidi"/>
      <w:i/>
      <w:iCs/>
      <w:color w:val="404040" w:themeColor="text1" w:themeTint="BF"/>
      <w:sz w:val="24"/>
      <w:szCs w:val="24"/>
      <w:lang w:eastAsia="en-GB"/>
    </w:rPr>
  </w:style>
  <w:style w:type="character" w:customStyle="1" w:styleId="Heading8Char">
    <w:name w:val="Heading 8 Char"/>
    <w:basedOn w:val="DefaultParagraphFont"/>
    <w:link w:val="Heading8"/>
    <w:uiPriority w:val="9"/>
    <w:semiHidden/>
    <w:rsid w:val="00D958CC"/>
    <w:rPr>
      <w:rFonts w:asciiTheme="majorHAnsi" w:eastAsiaTheme="majorEastAsia" w:hAnsiTheme="majorHAnsi" w:cstheme="majorBidi"/>
      <w:color w:val="4A66AC" w:themeColor="accent1"/>
      <w:sz w:val="20"/>
      <w:szCs w:val="20"/>
      <w:lang w:eastAsia="en-GB"/>
    </w:rPr>
  </w:style>
  <w:style w:type="character" w:customStyle="1" w:styleId="Heading9Char">
    <w:name w:val="Heading 9 Char"/>
    <w:basedOn w:val="DefaultParagraphFont"/>
    <w:link w:val="Heading9"/>
    <w:uiPriority w:val="9"/>
    <w:semiHidden/>
    <w:rsid w:val="00D958CC"/>
    <w:rPr>
      <w:rFonts w:asciiTheme="majorHAnsi" w:eastAsiaTheme="majorEastAsia" w:hAnsiTheme="majorHAnsi" w:cstheme="majorBidi"/>
      <w:i/>
      <w:iCs/>
      <w:color w:val="404040" w:themeColor="text1" w:themeTint="BF"/>
      <w:sz w:val="20"/>
      <w:szCs w:val="20"/>
      <w:lang w:eastAsia="en-GB"/>
    </w:rPr>
  </w:style>
  <w:style w:type="paragraph" w:styleId="Caption">
    <w:name w:val="caption"/>
    <w:basedOn w:val="Normal"/>
    <w:next w:val="Normal"/>
    <w:link w:val="CaptionChar"/>
    <w:autoRedefine/>
    <w:uiPriority w:val="35"/>
    <w:unhideWhenUsed/>
    <w:qFormat/>
    <w:rsid w:val="00FB6BBA"/>
    <w:pPr>
      <w:tabs>
        <w:tab w:val="left" w:pos="1469"/>
      </w:tabs>
      <w:spacing w:before="0" w:after="600"/>
    </w:pPr>
    <w:rPr>
      <w:rFonts w:ascii="Arial" w:hAnsi="Arial" w:cs="Arial"/>
      <w:color w:val="000000" w:themeColor="text1"/>
    </w:rPr>
  </w:style>
  <w:style w:type="character" w:customStyle="1" w:styleId="CaptionChar">
    <w:name w:val="Caption Char"/>
    <w:basedOn w:val="DefaultParagraphFont"/>
    <w:link w:val="Caption"/>
    <w:uiPriority w:val="35"/>
    <w:rsid w:val="00FB6BBA"/>
    <w:rPr>
      <w:rFonts w:ascii="Arial" w:eastAsia="Times New Roman" w:hAnsi="Arial" w:cs="Arial"/>
      <w:color w:val="000000" w:themeColor="text1"/>
      <w:szCs w:val="24"/>
      <w:lang w:eastAsia="en-GB"/>
    </w:rPr>
  </w:style>
  <w:style w:type="paragraph" w:styleId="Title">
    <w:name w:val="Title"/>
    <w:basedOn w:val="Normal"/>
    <w:next w:val="Normal"/>
    <w:link w:val="TitleChar"/>
    <w:uiPriority w:val="10"/>
    <w:qFormat/>
    <w:rsid w:val="00D958CC"/>
    <w:pPr>
      <w:pBdr>
        <w:bottom w:val="single" w:sz="8" w:space="4" w:color="4A66AC" w:themeColor="accent1"/>
      </w:pBdr>
      <w:spacing w:after="300"/>
      <w:contextualSpacing/>
    </w:pPr>
    <w:rPr>
      <w:rFonts w:asciiTheme="majorHAnsi" w:eastAsiaTheme="majorEastAsia" w:hAnsiTheme="majorHAnsi" w:cstheme="majorBidi"/>
      <w:color w:val="1B1D3D" w:themeColor="text2" w:themeShade="BF"/>
      <w:spacing w:val="5"/>
      <w:kern w:val="28"/>
      <w:sz w:val="52"/>
      <w:szCs w:val="52"/>
    </w:rPr>
  </w:style>
  <w:style w:type="character" w:customStyle="1" w:styleId="TitleChar">
    <w:name w:val="Title Char"/>
    <w:basedOn w:val="DefaultParagraphFont"/>
    <w:link w:val="Title"/>
    <w:uiPriority w:val="10"/>
    <w:rsid w:val="00D958CC"/>
    <w:rPr>
      <w:rFonts w:asciiTheme="majorHAnsi" w:eastAsiaTheme="majorEastAsia" w:hAnsiTheme="majorHAnsi" w:cstheme="majorBidi"/>
      <w:color w:val="1B1D3D" w:themeColor="text2" w:themeShade="BF"/>
      <w:spacing w:val="5"/>
      <w:kern w:val="28"/>
      <w:sz w:val="52"/>
      <w:szCs w:val="52"/>
      <w:lang w:eastAsia="en-GB"/>
    </w:rPr>
  </w:style>
  <w:style w:type="paragraph" w:styleId="Subtitle">
    <w:name w:val="Subtitle"/>
    <w:basedOn w:val="Normal"/>
    <w:next w:val="Normal"/>
    <w:link w:val="SubtitleChar"/>
    <w:uiPriority w:val="11"/>
    <w:qFormat/>
    <w:rsid w:val="00D958CC"/>
    <w:pPr>
      <w:numPr>
        <w:ilvl w:val="1"/>
      </w:numPr>
      <w:jc w:val="center"/>
    </w:pPr>
    <w:rPr>
      <w:rFonts w:asciiTheme="majorHAnsi" w:eastAsiaTheme="majorEastAsia" w:hAnsiTheme="majorHAnsi" w:cstheme="majorBidi"/>
      <w:i/>
      <w:iCs/>
      <w:color w:val="4A66AC" w:themeColor="accent1"/>
      <w:spacing w:val="15"/>
    </w:rPr>
  </w:style>
  <w:style w:type="character" w:customStyle="1" w:styleId="SubtitleChar">
    <w:name w:val="Subtitle Char"/>
    <w:basedOn w:val="DefaultParagraphFont"/>
    <w:link w:val="Subtitle"/>
    <w:uiPriority w:val="11"/>
    <w:rsid w:val="00D958CC"/>
    <w:rPr>
      <w:rFonts w:asciiTheme="majorHAnsi" w:eastAsiaTheme="majorEastAsia" w:hAnsiTheme="majorHAnsi" w:cstheme="majorBidi"/>
      <w:i/>
      <w:iCs/>
      <w:color w:val="4A66AC" w:themeColor="accent1"/>
      <w:spacing w:val="15"/>
      <w:sz w:val="24"/>
      <w:szCs w:val="24"/>
      <w:lang w:eastAsia="en-GB"/>
    </w:rPr>
  </w:style>
  <w:style w:type="character" w:styleId="Strong">
    <w:name w:val="Strong"/>
    <w:basedOn w:val="DefaultParagraphFont"/>
    <w:uiPriority w:val="22"/>
    <w:qFormat/>
    <w:rsid w:val="00D958CC"/>
    <w:rPr>
      <w:b/>
      <w:bCs/>
    </w:rPr>
  </w:style>
  <w:style w:type="character" w:styleId="Emphasis">
    <w:name w:val="Emphasis"/>
    <w:aliases w:val="Table"/>
    <w:basedOn w:val="DefaultParagraphFont"/>
    <w:uiPriority w:val="20"/>
    <w:qFormat/>
    <w:rsid w:val="00D958CC"/>
    <w:rPr>
      <w:rFonts w:ascii="Arial" w:hAnsi="Arial"/>
      <w:i w:val="0"/>
      <w:iCs/>
      <w:sz w:val="15"/>
    </w:rPr>
  </w:style>
  <w:style w:type="paragraph" w:styleId="NoSpacing">
    <w:name w:val="No Spacing"/>
    <w:aliases w:val="Tables"/>
    <w:link w:val="NoSpacingChar"/>
    <w:uiPriority w:val="1"/>
    <w:qFormat/>
    <w:rsid w:val="00D958CC"/>
    <w:pPr>
      <w:spacing w:after="0" w:line="240" w:lineRule="auto"/>
    </w:pPr>
    <w:rPr>
      <w:rFonts w:ascii="Arial" w:hAnsi="Arial"/>
    </w:rPr>
  </w:style>
  <w:style w:type="character" w:customStyle="1" w:styleId="NoSpacingChar">
    <w:name w:val="No Spacing Char"/>
    <w:aliases w:val="Tables Char"/>
    <w:basedOn w:val="DefaultParagraphFont"/>
    <w:link w:val="NoSpacing"/>
    <w:uiPriority w:val="1"/>
    <w:rsid w:val="00D958CC"/>
    <w:rPr>
      <w:rFonts w:ascii="Arial" w:hAnsi="Arial"/>
    </w:rPr>
  </w:style>
  <w:style w:type="paragraph" w:styleId="ListParagraph">
    <w:name w:val="List Paragraph"/>
    <w:basedOn w:val="Normal"/>
    <w:uiPriority w:val="34"/>
    <w:qFormat/>
    <w:rsid w:val="00D958CC"/>
    <w:pPr>
      <w:ind w:left="720"/>
      <w:contextualSpacing/>
    </w:pPr>
  </w:style>
  <w:style w:type="paragraph" w:styleId="Quote">
    <w:name w:val="Quote"/>
    <w:basedOn w:val="Normal"/>
    <w:next w:val="Normal"/>
    <w:link w:val="QuoteChar"/>
    <w:uiPriority w:val="29"/>
    <w:qFormat/>
    <w:rsid w:val="00D958CC"/>
    <w:rPr>
      <w:i/>
      <w:iCs/>
      <w:color w:val="000000" w:themeColor="text1"/>
    </w:rPr>
  </w:style>
  <w:style w:type="character" w:customStyle="1" w:styleId="QuoteChar">
    <w:name w:val="Quote Char"/>
    <w:basedOn w:val="DefaultParagraphFont"/>
    <w:link w:val="Quote"/>
    <w:uiPriority w:val="29"/>
    <w:rsid w:val="00D958CC"/>
    <w:rPr>
      <w:rFonts w:ascii="Arial" w:eastAsia="Times New Roman" w:hAnsi="Arial" w:cs="Times New Roman"/>
      <w:i/>
      <w:iCs/>
      <w:color w:val="000000" w:themeColor="text1"/>
      <w:sz w:val="24"/>
      <w:szCs w:val="24"/>
      <w:lang w:eastAsia="en-GB"/>
    </w:rPr>
  </w:style>
  <w:style w:type="paragraph" w:styleId="IntenseQuote">
    <w:name w:val="Intense Quote"/>
    <w:basedOn w:val="Normal"/>
    <w:next w:val="Normal"/>
    <w:link w:val="IntenseQuoteChar"/>
    <w:uiPriority w:val="30"/>
    <w:qFormat/>
    <w:rsid w:val="00D958CC"/>
    <w:pPr>
      <w:pBdr>
        <w:bottom w:val="single" w:sz="4" w:space="4" w:color="4A66AC" w:themeColor="accent1"/>
      </w:pBdr>
      <w:spacing w:before="200" w:after="280"/>
      <w:ind w:left="936" w:right="936"/>
    </w:pPr>
    <w:rPr>
      <w:b/>
      <w:bCs/>
      <w:i/>
      <w:iCs/>
      <w:color w:val="4A66AC" w:themeColor="accent1"/>
    </w:rPr>
  </w:style>
  <w:style w:type="character" w:customStyle="1" w:styleId="IntenseQuoteChar">
    <w:name w:val="Intense Quote Char"/>
    <w:basedOn w:val="DefaultParagraphFont"/>
    <w:link w:val="IntenseQuote"/>
    <w:uiPriority w:val="30"/>
    <w:rsid w:val="00D958CC"/>
    <w:rPr>
      <w:rFonts w:ascii="Arial" w:eastAsia="Times New Roman" w:hAnsi="Arial" w:cs="Times New Roman"/>
      <w:b/>
      <w:bCs/>
      <w:i/>
      <w:iCs/>
      <w:color w:val="4A66AC" w:themeColor="accent1"/>
      <w:sz w:val="24"/>
      <w:szCs w:val="24"/>
      <w:lang w:eastAsia="en-GB"/>
    </w:rPr>
  </w:style>
  <w:style w:type="character" w:styleId="SubtleEmphasis">
    <w:name w:val="Subtle Emphasis"/>
    <w:basedOn w:val="DefaultParagraphFont"/>
    <w:uiPriority w:val="19"/>
    <w:qFormat/>
    <w:rsid w:val="00D958CC"/>
    <w:rPr>
      <w:i/>
      <w:iCs/>
      <w:color w:val="808080" w:themeColor="text1" w:themeTint="7F"/>
    </w:rPr>
  </w:style>
  <w:style w:type="character" w:styleId="IntenseEmphasis">
    <w:name w:val="Intense Emphasis"/>
    <w:basedOn w:val="DefaultParagraphFont"/>
    <w:uiPriority w:val="21"/>
    <w:qFormat/>
    <w:rsid w:val="00D958CC"/>
    <w:rPr>
      <w:b/>
      <w:bCs/>
      <w:i/>
      <w:iCs/>
      <w:color w:val="4A66AC" w:themeColor="accent1"/>
    </w:rPr>
  </w:style>
  <w:style w:type="character" w:styleId="SubtleReference">
    <w:name w:val="Subtle Reference"/>
    <w:basedOn w:val="DefaultParagraphFont"/>
    <w:uiPriority w:val="31"/>
    <w:qFormat/>
    <w:rsid w:val="00D958CC"/>
    <w:rPr>
      <w:smallCaps/>
      <w:color w:val="629DD1" w:themeColor="accent2"/>
      <w:u w:val="single"/>
    </w:rPr>
  </w:style>
  <w:style w:type="character" w:styleId="IntenseReference">
    <w:name w:val="Intense Reference"/>
    <w:basedOn w:val="DefaultParagraphFont"/>
    <w:uiPriority w:val="32"/>
    <w:qFormat/>
    <w:rsid w:val="00D958CC"/>
    <w:rPr>
      <w:b/>
      <w:bCs/>
      <w:smallCaps/>
      <w:color w:val="629DD1" w:themeColor="accent2"/>
      <w:spacing w:val="5"/>
      <w:u w:val="single"/>
    </w:rPr>
  </w:style>
  <w:style w:type="character" w:styleId="BookTitle">
    <w:name w:val="Book Title"/>
    <w:basedOn w:val="DefaultParagraphFont"/>
    <w:uiPriority w:val="33"/>
    <w:qFormat/>
    <w:rsid w:val="00D958CC"/>
    <w:rPr>
      <w:b/>
      <w:bCs/>
      <w:smallCaps/>
      <w:spacing w:val="5"/>
    </w:rPr>
  </w:style>
  <w:style w:type="paragraph" w:styleId="TOCHeading">
    <w:name w:val="TOC Heading"/>
    <w:basedOn w:val="Heading1"/>
    <w:next w:val="Normal"/>
    <w:uiPriority w:val="39"/>
    <w:unhideWhenUsed/>
    <w:qFormat/>
    <w:rsid w:val="00D958CC"/>
    <w:pPr>
      <w:outlineLvl w:val="9"/>
    </w:pPr>
  </w:style>
  <w:style w:type="paragraph" w:styleId="TOC1">
    <w:name w:val="toc 1"/>
    <w:basedOn w:val="Normal"/>
    <w:next w:val="Normal"/>
    <w:autoRedefine/>
    <w:uiPriority w:val="39"/>
    <w:unhideWhenUsed/>
    <w:rsid w:val="00195E14"/>
    <w:pPr>
      <w:spacing w:before="120" w:after="0"/>
    </w:pPr>
    <w:rPr>
      <w:rFonts w:asciiTheme="minorHAnsi" w:hAnsiTheme="minorHAnsi" w:cstheme="minorHAnsi"/>
      <w:b/>
      <w:bCs/>
      <w:i/>
      <w:iCs/>
    </w:rPr>
  </w:style>
  <w:style w:type="paragraph" w:styleId="TOC2">
    <w:name w:val="toc 2"/>
    <w:basedOn w:val="Normal"/>
    <w:next w:val="Normal"/>
    <w:autoRedefine/>
    <w:uiPriority w:val="39"/>
    <w:unhideWhenUsed/>
    <w:rsid w:val="00195E14"/>
    <w:pPr>
      <w:spacing w:before="120" w:after="0"/>
      <w:ind w:left="240"/>
    </w:pPr>
    <w:rPr>
      <w:rFonts w:asciiTheme="minorHAnsi" w:hAnsiTheme="minorHAnsi" w:cstheme="minorHAnsi"/>
      <w:b/>
      <w:bCs/>
      <w:szCs w:val="22"/>
    </w:rPr>
  </w:style>
  <w:style w:type="paragraph" w:styleId="TOC3">
    <w:name w:val="toc 3"/>
    <w:basedOn w:val="Normal"/>
    <w:next w:val="Normal"/>
    <w:autoRedefine/>
    <w:uiPriority w:val="39"/>
    <w:unhideWhenUsed/>
    <w:rsid w:val="00195E14"/>
    <w:pPr>
      <w:spacing w:before="0" w:after="0"/>
      <w:ind w:left="48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195E14"/>
    <w:pPr>
      <w:spacing w:before="0" w:after="0"/>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195E14"/>
    <w:pPr>
      <w:spacing w:before="0" w:after="0"/>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195E14"/>
    <w:pPr>
      <w:spacing w:before="0" w:after="0"/>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195E14"/>
    <w:pPr>
      <w:spacing w:before="0" w:after="0"/>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195E14"/>
    <w:pPr>
      <w:spacing w:before="0" w:after="0"/>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195E14"/>
    <w:pPr>
      <w:spacing w:before="0" w:after="0"/>
      <w:ind w:left="1920"/>
    </w:pPr>
    <w:rPr>
      <w:rFonts w:asciiTheme="minorHAnsi" w:hAnsiTheme="minorHAnsi" w:cstheme="minorHAnsi"/>
      <w:sz w:val="20"/>
      <w:szCs w:val="20"/>
    </w:rPr>
  </w:style>
  <w:style w:type="character" w:styleId="CommentReference">
    <w:name w:val="annotation reference"/>
    <w:basedOn w:val="DefaultParagraphFont"/>
    <w:uiPriority w:val="99"/>
    <w:semiHidden/>
    <w:unhideWhenUsed/>
    <w:rsid w:val="00857D91"/>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eastAsia="en-GB"/>
    </w:rPr>
  </w:style>
  <w:style w:type="character" w:styleId="Hyperlink">
    <w:name w:val="Hyperlink"/>
    <w:basedOn w:val="DefaultParagraphFont"/>
    <w:uiPriority w:val="99"/>
    <w:unhideWhenUsed/>
    <w:rsid w:val="00ED7895"/>
    <w:rPr>
      <w:color w:val="9454C3" w:themeColor="hyperlink"/>
      <w:u w:val="single"/>
    </w:rPr>
  </w:style>
  <w:style w:type="paragraph" w:styleId="CommentSubject">
    <w:name w:val="annotation subject"/>
    <w:basedOn w:val="CommentText"/>
    <w:next w:val="CommentText"/>
    <w:link w:val="CommentSubjectChar"/>
    <w:uiPriority w:val="99"/>
    <w:semiHidden/>
    <w:unhideWhenUsed/>
    <w:rsid w:val="007F1F09"/>
    <w:rPr>
      <w:b/>
      <w:bCs/>
    </w:rPr>
  </w:style>
  <w:style w:type="character" w:customStyle="1" w:styleId="CommentSubjectChar">
    <w:name w:val="Comment Subject Char"/>
    <w:basedOn w:val="CommentTextChar"/>
    <w:link w:val="CommentSubject"/>
    <w:uiPriority w:val="99"/>
    <w:semiHidden/>
    <w:rsid w:val="007F1F09"/>
    <w:rPr>
      <w:rFonts w:ascii="Times New Roman" w:eastAsia="Times New Roman" w:hAnsi="Times New Roman" w:cs="Times New Roman"/>
      <w:b/>
      <w:bCs/>
      <w:sz w:val="20"/>
      <w:szCs w:val="20"/>
      <w:lang w:eastAsia="en-GB"/>
    </w:rPr>
  </w:style>
  <w:style w:type="paragraph" w:styleId="Revision">
    <w:name w:val="Revision"/>
    <w:hidden/>
    <w:uiPriority w:val="99"/>
    <w:semiHidden/>
    <w:rsid w:val="000D11A4"/>
    <w:pPr>
      <w:spacing w:after="0" w:line="240" w:lineRule="auto"/>
    </w:pPr>
    <w:rPr>
      <w:rFonts w:ascii="Times New Roman" w:eastAsia="Times New Roman" w:hAnsi="Times New Roman" w:cs="Times New Roman"/>
      <w:sz w:val="24"/>
      <w:szCs w:val="24"/>
      <w:lang w:eastAsia="en-GB"/>
    </w:rPr>
  </w:style>
  <w:style w:type="paragraph" w:styleId="Bibliography">
    <w:name w:val="Bibliography"/>
    <w:basedOn w:val="Normal"/>
    <w:next w:val="Normal"/>
    <w:uiPriority w:val="37"/>
    <w:unhideWhenUsed/>
    <w:rsid w:val="00F242D3"/>
    <w:pPr>
      <w:tabs>
        <w:tab w:val="left" w:pos="380"/>
        <w:tab w:val="left" w:pos="500"/>
      </w:tabs>
      <w:ind w:left="384" w:hanging="384"/>
    </w:pPr>
  </w:style>
  <w:style w:type="paragraph" w:styleId="Header">
    <w:name w:val="header"/>
    <w:basedOn w:val="Normal"/>
    <w:link w:val="HeaderChar"/>
    <w:uiPriority w:val="99"/>
    <w:unhideWhenUsed/>
    <w:rsid w:val="000674BF"/>
    <w:pPr>
      <w:tabs>
        <w:tab w:val="center" w:pos="4513"/>
        <w:tab w:val="right" w:pos="9026"/>
      </w:tabs>
      <w:spacing w:before="0" w:after="0"/>
    </w:pPr>
  </w:style>
  <w:style w:type="character" w:customStyle="1" w:styleId="HeaderChar">
    <w:name w:val="Header Char"/>
    <w:basedOn w:val="DefaultParagraphFont"/>
    <w:link w:val="Header"/>
    <w:uiPriority w:val="99"/>
    <w:rsid w:val="000674BF"/>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0674BF"/>
    <w:pPr>
      <w:tabs>
        <w:tab w:val="center" w:pos="4513"/>
        <w:tab w:val="right" w:pos="9026"/>
      </w:tabs>
      <w:spacing w:before="0" w:after="0"/>
    </w:pPr>
  </w:style>
  <w:style w:type="character" w:customStyle="1" w:styleId="FooterChar">
    <w:name w:val="Footer Char"/>
    <w:basedOn w:val="DefaultParagraphFont"/>
    <w:link w:val="Footer"/>
    <w:uiPriority w:val="99"/>
    <w:rsid w:val="000674BF"/>
    <w:rPr>
      <w:rFonts w:ascii="Times New Roman" w:eastAsia="Times New Roman" w:hAnsi="Times New Roman" w:cs="Times New Roman"/>
      <w:sz w:val="24"/>
      <w:szCs w:val="24"/>
      <w:lang w:eastAsia="en-GB"/>
    </w:rPr>
  </w:style>
  <w:style w:type="character" w:styleId="LineNumber">
    <w:name w:val="line number"/>
    <w:basedOn w:val="DefaultParagraphFont"/>
    <w:uiPriority w:val="99"/>
    <w:semiHidden/>
    <w:unhideWhenUsed/>
    <w:rsid w:val="00CA03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518138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tiff"/><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jpeg"/><Relationship Id="rId2" Type="http://schemas.openxmlformats.org/officeDocument/2006/relationships/customXml" Target="../customXml/item2.xml"/><Relationship Id="rId16" Type="http://schemas.openxmlformats.org/officeDocument/2006/relationships/image" Target="media/image6.tif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image" Target="media/image9.tif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535044b-c6ba-4543-8adf-2aa83294eb76" xsi:nil="true"/>
    <lcf76f155ced4ddcb4097134ff3c332f xmlns="c527f524-11e1-4374-ab91-ec52936eebc0">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48ADEE6C4785945A10C8B6198DECCD2" ma:contentTypeVersion="18" ma:contentTypeDescription="Create a new document." ma:contentTypeScope="" ma:versionID="735df37aa8d8702315f71c137245f234">
  <xsd:schema xmlns:xsd="http://www.w3.org/2001/XMLSchema" xmlns:xs="http://www.w3.org/2001/XMLSchema" xmlns:p="http://schemas.microsoft.com/office/2006/metadata/properties" xmlns:ns2="c527f524-11e1-4374-ab91-ec52936eebc0" xmlns:ns3="a535044b-c6ba-4543-8adf-2aa83294eb76" targetNamespace="http://schemas.microsoft.com/office/2006/metadata/properties" ma:root="true" ma:fieldsID="184d2871e67f695623987c56d58814ab" ns2:_="" ns3:_="">
    <xsd:import namespace="c527f524-11e1-4374-ab91-ec52936eebc0"/>
    <xsd:import namespace="a535044b-c6ba-4543-8adf-2aa83294eb7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3:TaxCatchAll" minOccurs="0"/>
                <xsd:element ref="ns2:lcf76f155ced4ddcb4097134ff3c332f"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27f524-11e1-4374-ab91-ec52936eeb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354608c-5633-40c1-be57-7b60b5f02ae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35044b-c6ba-4543-8adf-2aa83294eb7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5ee830df-f3a8-44e0-9fca-8f93a26eb72e}" ma:internalName="TaxCatchAll" ma:showField="CatchAllData" ma:web="a535044b-c6ba-4543-8adf-2aa83294eb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3410F7-41F3-6E45-AD8D-61381531E44C}">
  <ds:schemaRefs>
    <ds:schemaRef ds:uri="http://schemas.openxmlformats.org/officeDocument/2006/bibliography"/>
  </ds:schemaRefs>
</ds:datastoreItem>
</file>

<file path=customXml/itemProps2.xml><?xml version="1.0" encoding="utf-8"?>
<ds:datastoreItem xmlns:ds="http://schemas.openxmlformats.org/officeDocument/2006/customXml" ds:itemID="{A57775B7-BEE6-4524-BF94-A69EFA18B5B5}">
  <ds:schemaRefs>
    <ds:schemaRef ds:uri="http://schemas.microsoft.com/sharepoint/v3/contenttype/forms"/>
  </ds:schemaRefs>
</ds:datastoreItem>
</file>

<file path=customXml/itemProps3.xml><?xml version="1.0" encoding="utf-8"?>
<ds:datastoreItem xmlns:ds="http://schemas.openxmlformats.org/officeDocument/2006/customXml" ds:itemID="{44A6BF1E-1D66-42CD-8108-D523B36131D3}">
  <ds:schemaRefs>
    <ds:schemaRef ds:uri="http://schemas.microsoft.com/office/2006/metadata/properties"/>
    <ds:schemaRef ds:uri="http://schemas.microsoft.com/office/infopath/2007/PartnerControls"/>
    <ds:schemaRef ds:uri="a535044b-c6ba-4543-8adf-2aa83294eb76"/>
    <ds:schemaRef ds:uri="c527f524-11e1-4374-ab91-ec52936eebc0"/>
  </ds:schemaRefs>
</ds:datastoreItem>
</file>

<file path=customXml/itemProps4.xml><?xml version="1.0" encoding="utf-8"?>
<ds:datastoreItem xmlns:ds="http://schemas.openxmlformats.org/officeDocument/2006/customXml" ds:itemID="{CBBB25F8-6474-4801-8712-A923A0B429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27f524-11e1-4374-ab91-ec52936eebc0"/>
    <ds:schemaRef ds:uri="a535044b-c6ba-4543-8adf-2aa83294eb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db74b30-9568-4856-bdbf-06759778fcbc}" enabled="0" method="" siteId="{bdb74b30-9568-4856-bdbf-06759778fcbc}" removed="1"/>
</clbl:labelList>
</file>

<file path=docProps/app.xml><?xml version="1.0" encoding="utf-8"?>
<Properties xmlns="http://schemas.openxmlformats.org/officeDocument/2006/extended-properties" xmlns:vt="http://schemas.openxmlformats.org/officeDocument/2006/docPropsVTypes">
  <Template>Normal.dotm</Template>
  <TotalTime>8</TotalTime>
  <Pages>15</Pages>
  <Words>1866</Words>
  <Characters>10284</Characters>
  <Application>Microsoft Office Word</Application>
  <DocSecurity>0</DocSecurity>
  <Lines>172</Lines>
  <Paragraphs>42</Paragraphs>
  <ScaleCrop>false</ScaleCrop>
  <Company/>
  <LinksUpToDate>false</LinksUpToDate>
  <CharactersWithSpaces>12127</CharactersWithSpaces>
  <SharedDoc>false</SharedDoc>
  <HLinks>
    <vt:vector size="48" baseType="variant">
      <vt:variant>
        <vt:i4>1048637</vt:i4>
      </vt:variant>
      <vt:variant>
        <vt:i4>44</vt:i4>
      </vt:variant>
      <vt:variant>
        <vt:i4>0</vt:i4>
      </vt:variant>
      <vt:variant>
        <vt:i4>5</vt:i4>
      </vt:variant>
      <vt:variant>
        <vt:lpwstr/>
      </vt:variant>
      <vt:variant>
        <vt:lpwstr>_Toc201674950</vt:lpwstr>
      </vt:variant>
      <vt:variant>
        <vt:i4>1114173</vt:i4>
      </vt:variant>
      <vt:variant>
        <vt:i4>38</vt:i4>
      </vt:variant>
      <vt:variant>
        <vt:i4>0</vt:i4>
      </vt:variant>
      <vt:variant>
        <vt:i4>5</vt:i4>
      </vt:variant>
      <vt:variant>
        <vt:lpwstr/>
      </vt:variant>
      <vt:variant>
        <vt:lpwstr>_Toc201674949</vt:lpwstr>
      </vt:variant>
      <vt:variant>
        <vt:i4>1114173</vt:i4>
      </vt:variant>
      <vt:variant>
        <vt:i4>32</vt:i4>
      </vt:variant>
      <vt:variant>
        <vt:i4>0</vt:i4>
      </vt:variant>
      <vt:variant>
        <vt:i4>5</vt:i4>
      </vt:variant>
      <vt:variant>
        <vt:lpwstr/>
      </vt:variant>
      <vt:variant>
        <vt:lpwstr>_Toc201674948</vt:lpwstr>
      </vt:variant>
      <vt:variant>
        <vt:i4>1114173</vt:i4>
      </vt:variant>
      <vt:variant>
        <vt:i4>26</vt:i4>
      </vt:variant>
      <vt:variant>
        <vt:i4>0</vt:i4>
      </vt:variant>
      <vt:variant>
        <vt:i4>5</vt:i4>
      </vt:variant>
      <vt:variant>
        <vt:lpwstr/>
      </vt:variant>
      <vt:variant>
        <vt:lpwstr>_Toc201674947</vt:lpwstr>
      </vt:variant>
      <vt:variant>
        <vt:i4>1114173</vt:i4>
      </vt:variant>
      <vt:variant>
        <vt:i4>20</vt:i4>
      </vt:variant>
      <vt:variant>
        <vt:i4>0</vt:i4>
      </vt:variant>
      <vt:variant>
        <vt:i4>5</vt:i4>
      </vt:variant>
      <vt:variant>
        <vt:lpwstr/>
      </vt:variant>
      <vt:variant>
        <vt:lpwstr>_Toc201674946</vt:lpwstr>
      </vt:variant>
      <vt:variant>
        <vt:i4>1114173</vt:i4>
      </vt:variant>
      <vt:variant>
        <vt:i4>14</vt:i4>
      </vt:variant>
      <vt:variant>
        <vt:i4>0</vt:i4>
      </vt:variant>
      <vt:variant>
        <vt:i4>5</vt:i4>
      </vt:variant>
      <vt:variant>
        <vt:lpwstr/>
      </vt:variant>
      <vt:variant>
        <vt:lpwstr>_Toc201674945</vt:lpwstr>
      </vt:variant>
      <vt:variant>
        <vt:i4>1114173</vt:i4>
      </vt:variant>
      <vt:variant>
        <vt:i4>8</vt:i4>
      </vt:variant>
      <vt:variant>
        <vt:i4>0</vt:i4>
      </vt:variant>
      <vt:variant>
        <vt:i4>5</vt:i4>
      </vt:variant>
      <vt:variant>
        <vt:lpwstr/>
      </vt:variant>
      <vt:variant>
        <vt:lpwstr>_Toc201674944</vt:lpwstr>
      </vt:variant>
      <vt:variant>
        <vt:i4>1114173</vt:i4>
      </vt:variant>
      <vt:variant>
        <vt:i4>2</vt:i4>
      </vt:variant>
      <vt:variant>
        <vt:i4>0</vt:i4>
      </vt:variant>
      <vt:variant>
        <vt:i4>5</vt:i4>
      </vt:variant>
      <vt:variant>
        <vt:lpwstr/>
      </vt:variant>
      <vt:variant>
        <vt:lpwstr>_Toc201674943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Eilidh Fenner</dc:creator>
  <cp:keywords/>
  <dc:description/>
  <cp:lastModifiedBy>Eilidh Fenner</cp:lastModifiedBy>
  <cp:revision>15</cp:revision>
  <dcterms:created xsi:type="dcterms:W3CDTF">2026-01-20T15:39:00Z</dcterms:created>
  <dcterms:modified xsi:type="dcterms:W3CDTF">2026-03-27T13:27:00Z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0x010100248ADEE6C4785945A10C8B6198DECCD2</vt:lpwstr>
  </property>
  <property fmtid="{D5CDD505-2E9C-101B-9397-08002B2CF9AE}" pid="3" name="MediaServiceImageTags">
    <vt:lpwstr/>
  </property>
  <property fmtid="{D5CDD505-2E9C-101B-9397-08002B2CF9AE}" pid="4" name="ZOTERO_PREF_1">
    <vt:lpwstr>&lt;data data-version="3" zotero-version="7.0.30"&gt;&lt;session id="9GSeBm01"/&gt;&lt;style id="http://www.zotero.org/styles/vancouver" locale="en-GB" hasBibliography="1" bibliographyStyleHasBeenSet="1"/&gt;&lt;prefs&gt;&lt;pref name="fieldType" value="Field"/&gt;&lt;pref name="automati</vt:lpwstr>
  </property>
  <property fmtid="{D5CDD505-2E9C-101B-9397-08002B2CF9AE}" pid="5" name="ZOTERO_PREF_2">
    <vt:lpwstr>cJournalAbbreviations" value="true"/&gt;&lt;/prefs&gt;&lt;/data&gt;</vt:lpwstr>
  </property>
</Properties>
</file>