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B614" w14:textId="585B2B33" w:rsidR="00B2214B" w:rsidRPr="00344376" w:rsidRDefault="00543370" w:rsidP="00027D8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noProof/>
        </w:rPr>
        <w:drawing>
          <wp:anchor distT="0" distB="0" distL="114300" distR="114300" simplePos="0" relativeHeight="251669504" behindDoc="0" locked="0" layoutInCell="1" allowOverlap="1" wp14:anchorId="6D0E87C7" wp14:editId="7D591F05">
            <wp:simplePos x="0" y="0"/>
            <wp:positionH relativeFrom="column">
              <wp:posOffset>75399</wp:posOffset>
            </wp:positionH>
            <wp:positionV relativeFrom="paragraph">
              <wp:posOffset>303</wp:posOffset>
            </wp:positionV>
            <wp:extent cx="6503670" cy="4832985"/>
            <wp:effectExtent l="0" t="0" r="0" b="5715"/>
            <wp:wrapSquare wrapText="bothSides"/>
            <wp:docPr id="787023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483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80204" w14:textId="1A8AA542" w:rsidR="00B179A2" w:rsidRPr="00344376" w:rsidRDefault="00B179A2" w:rsidP="00027D80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1C2AB2" w:rsidRPr="00344376">
        <w:rPr>
          <w:rFonts w:ascii="Arial" w:hAnsi="Arial" w:cs="Arial"/>
          <w:b/>
          <w:bCs/>
          <w:sz w:val="20"/>
          <w:szCs w:val="20"/>
        </w:rPr>
        <w:t>1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. Humanization of the </w:t>
      </w:r>
      <w:r w:rsidRPr="00344376">
        <w:rPr>
          <w:rFonts w:ascii="Arial" w:hAnsi="Arial" w:cs="Arial"/>
          <w:b/>
          <w:bCs/>
          <w:i/>
          <w:iCs/>
          <w:sz w:val="20"/>
          <w:szCs w:val="20"/>
        </w:rPr>
        <w:t>Syngap1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 locus does not alter the expression of adjacent genes. </w:t>
      </w:r>
      <w:r w:rsidRPr="00344376">
        <w:rPr>
          <w:rFonts w:ascii="Arial" w:hAnsi="Arial" w:cs="Arial"/>
          <w:sz w:val="20"/>
          <w:szCs w:val="20"/>
        </w:rPr>
        <w:t>(</w:t>
      </w:r>
      <w:r w:rsidRPr="00344376">
        <w:rPr>
          <w:rFonts w:ascii="Arial" w:hAnsi="Arial" w:cs="Arial"/>
          <w:b/>
          <w:bCs/>
          <w:sz w:val="20"/>
          <w:szCs w:val="20"/>
        </w:rPr>
        <w:t>A</w:t>
      </w:r>
      <w:r w:rsidRPr="00344376">
        <w:rPr>
          <w:rFonts w:ascii="Arial" w:hAnsi="Arial" w:cs="Arial"/>
          <w:sz w:val="20"/>
          <w:szCs w:val="20"/>
        </w:rPr>
        <w:t>)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4376">
        <w:rPr>
          <w:rFonts w:ascii="Arial" w:hAnsi="Arial" w:cs="Arial"/>
          <w:sz w:val="20"/>
          <w:szCs w:val="20"/>
        </w:rPr>
        <w:t xml:space="preserve">Cartoon depicting the partially humanized </w:t>
      </w:r>
      <w:r w:rsidRPr="00344376">
        <w:rPr>
          <w:rFonts w:ascii="Arial" w:hAnsi="Arial" w:cs="Arial"/>
          <w:i/>
          <w:iCs/>
          <w:sz w:val="20"/>
          <w:szCs w:val="20"/>
        </w:rPr>
        <w:t>Zbtb9</w:t>
      </w:r>
      <w:r w:rsidRPr="00344376">
        <w:rPr>
          <w:rFonts w:ascii="Arial" w:hAnsi="Arial" w:cs="Arial"/>
          <w:sz w:val="20"/>
          <w:szCs w:val="20"/>
        </w:rPr>
        <w:t xml:space="preserve"> gene (up to the STOP codon) in the </w:t>
      </w:r>
      <w:r w:rsidRPr="00344376">
        <w:rPr>
          <w:rFonts w:ascii="Arial" w:hAnsi="Arial" w:cs="Arial"/>
          <w:i/>
          <w:iCs/>
          <w:sz w:val="20"/>
          <w:szCs w:val="20"/>
        </w:rPr>
        <w:t>Syngap1</w:t>
      </w:r>
      <w:r w:rsidRPr="00344376">
        <w:rPr>
          <w:rFonts w:ascii="Arial" w:hAnsi="Arial" w:cs="Arial"/>
          <w:sz w:val="20"/>
          <w:szCs w:val="20"/>
        </w:rPr>
        <w:t xml:space="preserve"> humanized mouse model</w:t>
      </w:r>
      <w:r w:rsidR="00991F25" w:rsidRPr="00344376">
        <w:rPr>
          <w:rFonts w:ascii="Arial" w:hAnsi="Arial" w:cs="Arial"/>
          <w:sz w:val="20"/>
          <w:szCs w:val="20"/>
        </w:rPr>
        <w:t xml:space="preserve"> </w:t>
      </w:r>
      <w:r w:rsidRPr="00344376">
        <w:rPr>
          <w:rFonts w:ascii="Arial" w:hAnsi="Arial" w:cs="Arial"/>
          <w:sz w:val="20"/>
          <w:szCs w:val="20"/>
        </w:rPr>
        <w:t xml:space="preserve">as well as the location of the qPCR </w:t>
      </w:r>
      <w:r w:rsidR="000F07D5" w:rsidRPr="00344376">
        <w:rPr>
          <w:rFonts w:ascii="Arial" w:hAnsi="Arial" w:cs="Arial"/>
          <w:sz w:val="20"/>
          <w:szCs w:val="20"/>
        </w:rPr>
        <w:t>primer-probe set</w:t>
      </w:r>
      <w:r w:rsidRPr="00344376">
        <w:rPr>
          <w:rFonts w:ascii="Arial" w:hAnsi="Arial" w:cs="Arial"/>
          <w:sz w:val="20"/>
          <w:szCs w:val="20"/>
        </w:rPr>
        <w:t xml:space="preserve"> to measure </w:t>
      </w:r>
      <w:r w:rsidR="00741726" w:rsidRPr="00344376">
        <w:rPr>
          <w:rFonts w:ascii="Arial" w:hAnsi="Arial" w:cs="Arial"/>
          <w:sz w:val="20"/>
          <w:szCs w:val="20"/>
        </w:rPr>
        <w:t>partially humanized</w:t>
      </w:r>
      <w:r w:rsidRPr="00344376">
        <w:rPr>
          <w:rFonts w:ascii="Arial" w:hAnsi="Arial" w:cs="Arial"/>
          <w:sz w:val="20"/>
          <w:szCs w:val="20"/>
        </w:rPr>
        <w:t xml:space="preserve"> </w:t>
      </w:r>
      <w:r w:rsidRPr="00344376">
        <w:rPr>
          <w:rFonts w:ascii="Arial" w:hAnsi="Arial" w:cs="Arial"/>
          <w:i/>
          <w:iCs/>
          <w:sz w:val="20"/>
          <w:szCs w:val="20"/>
        </w:rPr>
        <w:t>Zbtb9</w:t>
      </w:r>
      <w:r w:rsidRPr="00344376">
        <w:rPr>
          <w:rFonts w:ascii="Arial" w:hAnsi="Arial" w:cs="Arial"/>
          <w:sz w:val="20"/>
          <w:szCs w:val="20"/>
        </w:rPr>
        <w:t xml:space="preserve"> mRNA levels. (</w:t>
      </w:r>
      <w:r w:rsidRPr="00344376">
        <w:rPr>
          <w:rFonts w:ascii="Arial" w:hAnsi="Arial" w:cs="Arial"/>
          <w:b/>
          <w:bCs/>
          <w:sz w:val="20"/>
          <w:szCs w:val="20"/>
        </w:rPr>
        <w:t>B</w:t>
      </w:r>
      <w:r w:rsidRPr="00344376">
        <w:rPr>
          <w:rFonts w:ascii="Arial" w:hAnsi="Arial" w:cs="Arial"/>
          <w:sz w:val="20"/>
          <w:szCs w:val="20"/>
        </w:rPr>
        <w:t xml:space="preserve">) </w:t>
      </w:r>
      <w:r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RT-qPCR from cerebral cortex tissue of </w:t>
      </w:r>
      <w:r w:rsidRPr="00344376">
        <w:rPr>
          <w:rFonts w:ascii="Arial" w:hAnsi="Arial" w:cs="Arial"/>
          <w:sz w:val="20"/>
          <w:szCs w:val="20"/>
          <w:shd w:val="clear" w:color="auto" w:fill="FFFFFF"/>
        </w:rPr>
        <w:t xml:space="preserve">9-week-old </w:t>
      </w:r>
      <w:r w:rsidRPr="00344376">
        <w:rPr>
          <w:rFonts w:ascii="Arial" w:hAnsi="Arial" w:cs="Arial"/>
          <w:i/>
          <w:iCs/>
          <w:sz w:val="20"/>
          <w:szCs w:val="20"/>
          <w:shd w:val="clear" w:color="auto" w:fill="FFFFFF"/>
        </w:rPr>
        <w:t>Syngap1</w:t>
      </w:r>
      <w:r w:rsidRPr="00344376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model mice. </w:t>
      </w:r>
      <w:r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Atp5f1</w:t>
      </w:r>
      <w:r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mRNA was used as endogenous control. </w:t>
      </w:r>
      <w:r w:rsidR="00646A3A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(</w:t>
      </w:r>
      <w:r w:rsidR="00646A3A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C</w:t>
      </w:r>
      <w:r w:rsidR="00646A3A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) </w:t>
      </w:r>
      <w:r w:rsidR="00572A0C" w:rsidRPr="00344376">
        <w:rPr>
          <w:rFonts w:ascii="Arial" w:hAnsi="Arial" w:cs="Arial"/>
          <w:sz w:val="20"/>
          <w:szCs w:val="20"/>
        </w:rPr>
        <w:t xml:space="preserve">Cartoon depicting the mouse </w:t>
      </w:r>
      <w:proofErr w:type="spellStart"/>
      <w:r w:rsidR="00572A0C" w:rsidRPr="00344376">
        <w:rPr>
          <w:rFonts w:ascii="Arial" w:hAnsi="Arial" w:cs="Arial"/>
          <w:i/>
          <w:iCs/>
          <w:sz w:val="20"/>
          <w:szCs w:val="20"/>
        </w:rPr>
        <w:t>Cuta</w:t>
      </w:r>
      <w:proofErr w:type="spellEnd"/>
      <w:r w:rsidR="00572A0C" w:rsidRPr="00344376">
        <w:rPr>
          <w:rFonts w:ascii="Arial" w:hAnsi="Arial" w:cs="Arial"/>
          <w:sz w:val="20"/>
          <w:szCs w:val="20"/>
        </w:rPr>
        <w:t xml:space="preserve"> gene located upstream of the humanized </w:t>
      </w:r>
      <w:r w:rsidR="00572A0C" w:rsidRPr="00344376">
        <w:rPr>
          <w:rFonts w:ascii="Arial" w:hAnsi="Arial" w:cs="Arial"/>
          <w:i/>
          <w:iCs/>
          <w:sz w:val="20"/>
          <w:szCs w:val="20"/>
        </w:rPr>
        <w:t>SYNGAP1</w:t>
      </w:r>
      <w:r w:rsidR="00572A0C" w:rsidRPr="00344376">
        <w:rPr>
          <w:rFonts w:ascii="Arial" w:hAnsi="Arial" w:cs="Arial"/>
          <w:sz w:val="20"/>
          <w:szCs w:val="20"/>
        </w:rPr>
        <w:t xml:space="preserve"> locus and the location of the qPCR primer–probe set used to measure mouse </w:t>
      </w:r>
      <w:proofErr w:type="spellStart"/>
      <w:r w:rsidR="00572A0C" w:rsidRPr="00344376">
        <w:rPr>
          <w:rFonts w:ascii="Arial" w:hAnsi="Arial" w:cs="Arial"/>
          <w:i/>
          <w:iCs/>
          <w:sz w:val="20"/>
          <w:szCs w:val="20"/>
        </w:rPr>
        <w:t>Cuta</w:t>
      </w:r>
      <w:proofErr w:type="spellEnd"/>
      <w:r w:rsidR="00572A0C" w:rsidRPr="00344376">
        <w:rPr>
          <w:rFonts w:ascii="Arial" w:hAnsi="Arial" w:cs="Arial"/>
          <w:sz w:val="20"/>
          <w:szCs w:val="20"/>
        </w:rPr>
        <w:t xml:space="preserve"> mRNA. </w:t>
      </w:r>
      <w:r w:rsidR="00446EA3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Data are represented as mean values ± SEM. </w:t>
      </w:r>
      <w:r w:rsidR="0071647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+/+ (</w:t>
      </w:r>
      <w:r w:rsidR="0071647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n</w:t>
      </w:r>
      <w:r w:rsidR="0071647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= 4), Hu/+ (</w:t>
      </w:r>
      <w:r w:rsidR="0071647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n</w:t>
      </w:r>
      <w:r w:rsidR="0071647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= 4), Hu/Hu (</w:t>
      </w:r>
      <w:r w:rsidR="0071647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n</w:t>
      </w:r>
      <w:r w:rsidR="0071647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= 4). </w:t>
      </w:r>
      <w:r w:rsidR="00446EA3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Data points represent independent biological replicates. </w:t>
      </w:r>
      <w:r w:rsidRPr="00344376">
        <w:rPr>
          <w:rFonts w:ascii="Arial" w:hAnsi="Arial" w:cs="Arial"/>
          <w:sz w:val="20"/>
          <w:szCs w:val="20"/>
        </w:rPr>
        <w:t xml:space="preserve">White and gray data points indicate females and males, respectively. One-way ANOVA with Dunnett’s multiple comparison test vs. </w:t>
      </w:r>
      <w:proofErr w:type="gramStart"/>
      <w:r w:rsidRPr="00344376">
        <w:rPr>
          <w:rFonts w:ascii="Arial" w:hAnsi="Arial" w:cs="Arial"/>
          <w:sz w:val="20"/>
          <w:szCs w:val="20"/>
        </w:rPr>
        <w:t>wild-type</w:t>
      </w:r>
      <w:proofErr w:type="gramEnd"/>
      <w:r w:rsidRPr="00344376">
        <w:rPr>
          <w:rFonts w:ascii="Arial" w:hAnsi="Arial" w:cs="Arial"/>
          <w:sz w:val="20"/>
          <w:szCs w:val="20"/>
        </w:rPr>
        <w:t xml:space="preserve"> (+/+).</w:t>
      </w:r>
    </w:p>
    <w:p w14:paraId="7C9A5D8E" w14:textId="77777777" w:rsidR="00B179A2" w:rsidRPr="00344376" w:rsidRDefault="00B179A2">
      <w:pPr>
        <w:rPr>
          <w:rFonts w:ascii="Arial" w:hAnsi="Arial" w:cs="Arial"/>
          <w:b/>
          <w:bCs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br w:type="page"/>
      </w:r>
    </w:p>
    <w:p w14:paraId="27C11D46" w14:textId="4964F00A" w:rsidR="007A3434" w:rsidRPr="00344376" w:rsidRDefault="00533919" w:rsidP="00B179A2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077FEE06" wp14:editId="31D342F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3195" cy="2458720"/>
            <wp:effectExtent l="0" t="0" r="1905" b="0"/>
            <wp:wrapSquare wrapText="bothSides"/>
            <wp:docPr id="19796876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5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CCC929" w14:textId="33EF9BE1" w:rsidR="00B179A2" w:rsidRPr="00344376" w:rsidRDefault="00B179A2" w:rsidP="00B179A2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1C2AB2" w:rsidRPr="00344376">
        <w:rPr>
          <w:rFonts w:ascii="Arial" w:hAnsi="Arial" w:cs="Arial"/>
          <w:b/>
          <w:bCs/>
          <w:sz w:val="20"/>
          <w:szCs w:val="20"/>
        </w:rPr>
        <w:t>2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. Humanization of the </w:t>
      </w:r>
      <w:r w:rsidRPr="00344376">
        <w:rPr>
          <w:rFonts w:ascii="Arial" w:hAnsi="Arial" w:cs="Arial"/>
          <w:b/>
          <w:bCs/>
          <w:i/>
          <w:iCs/>
          <w:sz w:val="20"/>
          <w:szCs w:val="20"/>
        </w:rPr>
        <w:t>Stxbp1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 locus mildly affects mouse </w:t>
      </w:r>
      <w:r w:rsidRPr="00344376">
        <w:rPr>
          <w:rFonts w:ascii="Arial" w:hAnsi="Arial" w:cs="Arial"/>
          <w:b/>
          <w:bCs/>
          <w:i/>
          <w:iCs/>
          <w:sz w:val="20"/>
          <w:szCs w:val="20"/>
        </w:rPr>
        <w:t>Cfap157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 expression. </w:t>
      </w:r>
      <w:r w:rsidR="00C70EDF" w:rsidRPr="00344376">
        <w:rPr>
          <w:rFonts w:ascii="Arial" w:hAnsi="Arial" w:cs="Arial"/>
          <w:sz w:val="20"/>
          <w:szCs w:val="20"/>
        </w:rPr>
        <w:t>(</w:t>
      </w:r>
      <w:r w:rsidR="00C70EDF" w:rsidRPr="00344376">
        <w:rPr>
          <w:rFonts w:ascii="Arial" w:hAnsi="Arial" w:cs="Arial"/>
          <w:b/>
          <w:bCs/>
          <w:sz w:val="20"/>
          <w:szCs w:val="20"/>
        </w:rPr>
        <w:t>A</w:t>
      </w:r>
      <w:r w:rsidR="00C70EDF" w:rsidRPr="00344376">
        <w:rPr>
          <w:rFonts w:ascii="Arial" w:hAnsi="Arial" w:cs="Arial"/>
          <w:sz w:val="20"/>
          <w:szCs w:val="20"/>
        </w:rPr>
        <w:t xml:space="preserve">) </w:t>
      </w:r>
      <w:r w:rsidR="005A228B" w:rsidRPr="00344376">
        <w:rPr>
          <w:rFonts w:ascii="Arial" w:hAnsi="Arial" w:cs="Arial"/>
          <w:sz w:val="20"/>
          <w:szCs w:val="20"/>
        </w:rPr>
        <w:t xml:space="preserve">Cartoon depicting the mouse </w:t>
      </w:r>
      <w:r w:rsidR="000F5195" w:rsidRPr="00344376">
        <w:rPr>
          <w:rFonts w:ascii="Arial" w:hAnsi="Arial" w:cs="Arial"/>
          <w:i/>
          <w:iCs/>
          <w:sz w:val="20"/>
          <w:szCs w:val="20"/>
        </w:rPr>
        <w:t>Cfap157</w:t>
      </w:r>
      <w:r w:rsidR="005A228B" w:rsidRPr="00344376">
        <w:rPr>
          <w:rFonts w:ascii="Arial" w:hAnsi="Arial" w:cs="Arial"/>
          <w:sz w:val="20"/>
          <w:szCs w:val="20"/>
        </w:rPr>
        <w:t xml:space="preserve"> gene located downstream of the </w:t>
      </w:r>
      <w:r w:rsidR="005A228B" w:rsidRPr="00344376">
        <w:rPr>
          <w:rFonts w:ascii="Arial" w:hAnsi="Arial" w:cs="Arial"/>
          <w:i/>
          <w:iCs/>
          <w:sz w:val="20"/>
          <w:szCs w:val="20"/>
        </w:rPr>
        <w:t>STXBP1</w:t>
      </w:r>
      <w:r w:rsidR="005A228B" w:rsidRPr="00344376">
        <w:rPr>
          <w:rFonts w:ascii="Arial" w:hAnsi="Arial" w:cs="Arial"/>
          <w:sz w:val="20"/>
          <w:szCs w:val="20"/>
        </w:rPr>
        <w:t xml:space="preserve"> humanized locus as well as the location of the qPCR primer-probe set to measure mouse </w:t>
      </w:r>
      <w:r w:rsidR="000F5195" w:rsidRPr="00344376">
        <w:rPr>
          <w:rFonts w:ascii="Arial" w:hAnsi="Arial" w:cs="Arial"/>
          <w:i/>
          <w:iCs/>
          <w:sz w:val="20"/>
          <w:szCs w:val="20"/>
        </w:rPr>
        <w:t xml:space="preserve">Cfap157 </w:t>
      </w:r>
      <w:r w:rsidR="005A228B" w:rsidRPr="00344376">
        <w:rPr>
          <w:rFonts w:ascii="Arial" w:hAnsi="Arial" w:cs="Arial"/>
          <w:sz w:val="20"/>
          <w:szCs w:val="20"/>
        </w:rPr>
        <w:t>mRNA.</w:t>
      </w:r>
      <w:r w:rsidR="000F5195" w:rsidRPr="00344376">
        <w:rPr>
          <w:rFonts w:ascii="Arial" w:hAnsi="Arial" w:cs="Arial"/>
          <w:sz w:val="20"/>
          <w:szCs w:val="20"/>
        </w:rPr>
        <w:t xml:space="preserve"> (</w:t>
      </w:r>
      <w:r w:rsidR="000F5195" w:rsidRPr="00344376">
        <w:rPr>
          <w:rFonts w:ascii="Arial" w:hAnsi="Arial" w:cs="Arial"/>
          <w:b/>
          <w:bCs/>
          <w:sz w:val="20"/>
          <w:szCs w:val="20"/>
        </w:rPr>
        <w:t>B</w:t>
      </w:r>
      <w:r w:rsidR="000F5195" w:rsidRPr="00344376">
        <w:rPr>
          <w:rFonts w:ascii="Arial" w:hAnsi="Arial" w:cs="Arial"/>
          <w:sz w:val="20"/>
          <w:szCs w:val="20"/>
        </w:rPr>
        <w:t xml:space="preserve">) </w:t>
      </w:r>
      <w:r w:rsidRPr="00344376">
        <w:rPr>
          <w:rFonts w:ascii="Arial" w:hAnsi="Arial" w:cs="Arial"/>
          <w:sz w:val="20"/>
          <w:szCs w:val="20"/>
        </w:rPr>
        <w:t xml:space="preserve">RT-qPCR from cerebral cortex tissue of 8-week-old </w:t>
      </w:r>
      <w:r w:rsidRPr="00344376">
        <w:rPr>
          <w:rFonts w:ascii="Arial" w:hAnsi="Arial" w:cs="Arial"/>
          <w:i/>
          <w:iCs/>
          <w:sz w:val="20"/>
          <w:szCs w:val="20"/>
        </w:rPr>
        <w:t xml:space="preserve">Stxbp1 </w:t>
      </w:r>
      <w:r w:rsidRPr="00344376">
        <w:rPr>
          <w:rFonts w:ascii="Arial" w:hAnsi="Arial" w:cs="Arial"/>
          <w:sz w:val="20"/>
          <w:szCs w:val="20"/>
        </w:rPr>
        <w:t xml:space="preserve">model mice. </w:t>
      </w:r>
      <w:r w:rsidRPr="00344376">
        <w:rPr>
          <w:rFonts w:ascii="Arial" w:hAnsi="Arial" w:cs="Arial"/>
          <w:i/>
          <w:iCs/>
          <w:sz w:val="20"/>
          <w:szCs w:val="20"/>
        </w:rPr>
        <w:t>Atp5f1</w:t>
      </w:r>
      <w:r w:rsidRPr="00344376">
        <w:rPr>
          <w:rFonts w:ascii="Arial" w:hAnsi="Arial" w:cs="Arial"/>
          <w:sz w:val="20"/>
          <w:szCs w:val="20"/>
        </w:rPr>
        <w:t xml:space="preserve"> mRNA was used as endogenous control. </w:t>
      </w:r>
      <w:r w:rsidR="00394D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+/+ (</w:t>
      </w:r>
      <w:r w:rsidR="00394DA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n</w:t>
      </w:r>
      <w:r w:rsidR="00394D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= 4), Hu/+ (</w:t>
      </w:r>
      <w:r w:rsidR="00394DA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n</w:t>
      </w:r>
      <w:r w:rsidR="00394D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= 4), Hu/Hu (</w:t>
      </w:r>
      <w:r w:rsidR="00394DA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n</w:t>
      </w:r>
      <w:r w:rsidR="00394D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= 5). Data are represented as mean values ± SEM. Data points represent independent biological replicates.</w:t>
      </w:r>
      <w:r w:rsidR="009E7525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</w:t>
      </w:r>
      <w:r w:rsidRPr="00344376">
        <w:rPr>
          <w:rFonts w:ascii="Arial" w:hAnsi="Arial" w:cs="Arial"/>
          <w:sz w:val="20"/>
          <w:szCs w:val="20"/>
        </w:rPr>
        <w:t xml:space="preserve">White and gray data points indicate females and males, respectively. One-way ANOVA with Dunnett’s multiple comparison test vs. </w:t>
      </w:r>
      <w:proofErr w:type="gramStart"/>
      <w:r w:rsidRPr="00344376">
        <w:rPr>
          <w:rFonts w:ascii="Arial" w:hAnsi="Arial" w:cs="Arial"/>
          <w:sz w:val="20"/>
          <w:szCs w:val="20"/>
        </w:rPr>
        <w:t>wild-type</w:t>
      </w:r>
      <w:proofErr w:type="gramEnd"/>
      <w:r w:rsidRPr="00344376">
        <w:rPr>
          <w:rFonts w:ascii="Arial" w:hAnsi="Arial" w:cs="Arial"/>
          <w:sz w:val="20"/>
          <w:szCs w:val="20"/>
        </w:rPr>
        <w:t xml:space="preserve"> (+/+).</w:t>
      </w:r>
      <w:r w:rsidRPr="00344376">
        <w:rPr>
          <w:rFonts w:ascii="Arial" w:hAnsi="Arial" w:cs="Arial"/>
          <w:sz w:val="20"/>
          <w:szCs w:val="20"/>
        </w:rPr>
        <w:br w:type="page"/>
      </w:r>
    </w:p>
    <w:p w14:paraId="4CC2D790" w14:textId="1CCE451D" w:rsidR="00CE205F" w:rsidRPr="00344376" w:rsidRDefault="00CE205F" w:rsidP="00CE205F">
      <w:pPr>
        <w:spacing w:line="48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44376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989CF9C" wp14:editId="21BFB57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1490" cy="1562100"/>
            <wp:effectExtent l="0" t="0" r="0" b="0"/>
            <wp:wrapSquare wrapText="bothSides"/>
            <wp:docPr id="950981277" name="Picture 1" descr="A computer screen shot of a mou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81277" name="Picture 1" descr="A computer screen shot of a mous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685" w:rsidRPr="00344376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00444F" w:rsidRPr="00344376">
        <w:rPr>
          <w:rFonts w:ascii="Arial" w:hAnsi="Arial" w:cs="Arial"/>
          <w:b/>
          <w:bCs/>
          <w:sz w:val="20"/>
          <w:szCs w:val="20"/>
        </w:rPr>
        <w:t>3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. Outcrossing the </w:t>
      </w:r>
      <w:r w:rsidRPr="00344376">
        <w:rPr>
          <w:rFonts w:ascii="Arial" w:hAnsi="Arial" w:cs="Arial"/>
          <w:b/>
          <w:bCs/>
          <w:i/>
          <w:iCs/>
          <w:sz w:val="20"/>
          <w:szCs w:val="20"/>
        </w:rPr>
        <w:t>Stxbp1</w:t>
      </w:r>
      <w:r w:rsidRPr="00344376">
        <w:rPr>
          <w:rFonts w:ascii="Arial" w:hAnsi="Arial" w:cs="Arial"/>
          <w:b/>
          <w:bCs/>
          <w:sz w:val="20"/>
          <w:szCs w:val="20"/>
        </w:rPr>
        <w:t xml:space="preserve"> humanized mice to the BALB/c strain. </w:t>
      </w:r>
      <w:r w:rsidRPr="00344376">
        <w:rPr>
          <w:rFonts w:ascii="Arial" w:hAnsi="Arial" w:cs="Arial"/>
          <w:sz w:val="20"/>
          <w:szCs w:val="20"/>
        </w:rPr>
        <w:t xml:space="preserve">Cartoon depicting the breeding scheme utilized to outcross the </w:t>
      </w:r>
      <w:r w:rsidRPr="00344376">
        <w:rPr>
          <w:rFonts w:ascii="Arial" w:hAnsi="Arial" w:cs="Arial"/>
          <w:i/>
          <w:iCs/>
          <w:sz w:val="20"/>
          <w:szCs w:val="20"/>
        </w:rPr>
        <w:t>Stxbp1</w:t>
      </w:r>
      <w:r w:rsidRPr="00344376">
        <w:rPr>
          <w:rFonts w:ascii="Arial" w:hAnsi="Arial" w:cs="Arial"/>
          <w:sz w:val="20"/>
          <w:szCs w:val="20"/>
        </w:rPr>
        <w:t xml:space="preserve"> humanized mouse model to the BALB/c strain for two additional generations as well as the corresponding genotypic ratios from the offspring of </w:t>
      </w:r>
      <w:r w:rsidRPr="00344376">
        <w:rPr>
          <w:rFonts w:ascii="Arial" w:hAnsi="Arial" w:cs="Arial"/>
          <w:i/>
          <w:iCs/>
          <w:sz w:val="20"/>
          <w:szCs w:val="20"/>
          <w:shd w:val="clear" w:color="auto" w:fill="FFFFFF"/>
        </w:rPr>
        <w:t>Stxbp1</w:t>
      </w:r>
      <w:r w:rsidRPr="00344376">
        <w:rPr>
          <w:rFonts w:ascii="Arial" w:hAnsi="Arial" w:cs="Arial"/>
          <w:i/>
          <w:iCs/>
          <w:sz w:val="20"/>
          <w:szCs w:val="20"/>
          <w:shd w:val="clear" w:color="auto" w:fill="FFFFFF"/>
          <w:vertAlign w:val="superscript"/>
        </w:rPr>
        <w:t>Hu/+</w:t>
      </w:r>
      <w:r w:rsidRPr="00344376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 xml:space="preserve"> </w:t>
      </w:r>
      <w:r w:rsidRPr="00344376">
        <w:rPr>
          <w:rFonts w:ascii="Arial" w:hAnsi="Arial" w:cs="Arial"/>
          <w:sz w:val="20"/>
          <w:szCs w:val="20"/>
          <w:shd w:val="clear" w:color="auto" w:fill="FFFFFF"/>
        </w:rPr>
        <w:t xml:space="preserve">x </w:t>
      </w:r>
      <w:r w:rsidRPr="00344376">
        <w:rPr>
          <w:rFonts w:ascii="Arial" w:hAnsi="Arial" w:cs="Arial"/>
          <w:i/>
          <w:iCs/>
          <w:sz w:val="20"/>
          <w:szCs w:val="20"/>
          <w:shd w:val="clear" w:color="auto" w:fill="FFFFFF"/>
        </w:rPr>
        <w:t>Stxbp1</w:t>
      </w:r>
      <w:r w:rsidRPr="00344376">
        <w:rPr>
          <w:rFonts w:ascii="Arial" w:hAnsi="Arial" w:cs="Arial"/>
          <w:i/>
          <w:iCs/>
          <w:sz w:val="20"/>
          <w:szCs w:val="20"/>
          <w:shd w:val="clear" w:color="auto" w:fill="FFFFFF"/>
          <w:vertAlign w:val="superscript"/>
        </w:rPr>
        <w:t>Hu/+</w:t>
      </w:r>
      <w:r w:rsidRPr="00344376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 xml:space="preserve"> </w:t>
      </w:r>
      <w:r w:rsidRPr="00344376">
        <w:rPr>
          <w:rFonts w:ascii="Arial" w:hAnsi="Arial" w:cs="Arial"/>
          <w:sz w:val="20"/>
          <w:szCs w:val="20"/>
          <w:shd w:val="clear" w:color="auto" w:fill="FFFFFF"/>
        </w:rPr>
        <w:t>matings in the 3x outcrossed background</w:t>
      </w:r>
      <w:r w:rsidRPr="00344376">
        <w:rPr>
          <w:rFonts w:ascii="Arial" w:hAnsi="Arial" w:cs="Arial"/>
          <w:sz w:val="20"/>
          <w:szCs w:val="20"/>
        </w:rPr>
        <w:t>. C</w:t>
      </w:r>
      <w:r w:rsidRPr="00344376">
        <w:rPr>
          <w:rFonts w:ascii="Arial" w:hAnsi="Arial" w:cs="Arial"/>
          <w:sz w:val="20"/>
          <w:szCs w:val="20"/>
          <w:shd w:val="clear" w:color="auto" w:fill="FFFFFF"/>
        </w:rPr>
        <w:t xml:space="preserve">reated with </w:t>
      </w:r>
      <w:proofErr w:type="spellStart"/>
      <w:r w:rsidRPr="00344376">
        <w:rPr>
          <w:rFonts w:ascii="Arial" w:hAnsi="Arial" w:cs="Arial"/>
          <w:sz w:val="20"/>
          <w:szCs w:val="20"/>
          <w:shd w:val="clear" w:color="auto" w:fill="FFFFFF"/>
        </w:rPr>
        <w:t>BioRender</w:t>
      </w:r>
      <w:proofErr w:type="spellEnd"/>
      <w:r w:rsidRPr="00344376">
        <w:rPr>
          <w:rFonts w:ascii="Arial" w:hAnsi="Arial" w:cs="Arial"/>
          <w:sz w:val="20"/>
          <w:szCs w:val="20"/>
          <w:shd w:val="clear" w:color="auto" w:fill="FFFFFF"/>
        </w:rPr>
        <w:t>. Chi-square test (</w:t>
      </w:r>
      <w:proofErr w:type="spellStart"/>
      <w:r w:rsidRPr="00344376">
        <w:rPr>
          <w:rFonts w:ascii="Arial" w:hAnsi="Arial" w:cs="Arial"/>
          <w:sz w:val="20"/>
          <w:szCs w:val="20"/>
          <w:shd w:val="clear" w:color="auto" w:fill="FFFFFF"/>
        </w:rPr>
        <w:t>df</w:t>
      </w:r>
      <w:proofErr w:type="spellEnd"/>
      <w:r w:rsidRPr="00344376">
        <w:rPr>
          <w:rFonts w:ascii="Arial" w:hAnsi="Arial" w:cs="Arial"/>
          <w:sz w:val="20"/>
          <w:szCs w:val="20"/>
          <w:shd w:val="clear" w:color="auto" w:fill="FFFFFF"/>
        </w:rPr>
        <w:t xml:space="preserve"> = 2, </w:t>
      </w:r>
      <w:r w:rsidRPr="00344376">
        <w:rPr>
          <w:rFonts w:ascii="Arial" w:hAnsi="Arial" w:cs="Arial"/>
          <w:i/>
          <w:iCs/>
          <w:sz w:val="20"/>
          <w:szCs w:val="20"/>
          <w:shd w:val="clear" w:color="auto" w:fill="FFFFFF"/>
        </w:rPr>
        <w:t xml:space="preserve">n </w:t>
      </w:r>
      <w:r w:rsidRPr="00344376">
        <w:rPr>
          <w:rFonts w:ascii="Arial" w:hAnsi="Arial" w:cs="Arial"/>
          <w:sz w:val="20"/>
          <w:szCs w:val="20"/>
          <w:shd w:val="clear" w:color="auto" w:fill="FFFFFF"/>
        </w:rPr>
        <w:t>= 38).</w:t>
      </w:r>
    </w:p>
    <w:p w14:paraId="04122A97" w14:textId="77777777" w:rsidR="002957D7" w:rsidRPr="00344376" w:rsidRDefault="002957D7" w:rsidP="00CE205F">
      <w:pPr>
        <w:spacing w:line="48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73BC616" w14:textId="3B2B0525" w:rsidR="002957D7" w:rsidRPr="00344376" w:rsidRDefault="002957D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44376">
        <w:rPr>
          <w:rFonts w:ascii="Arial" w:hAnsi="Arial" w:cs="Arial"/>
          <w:sz w:val="20"/>
          <w:szCs w:val="20"/>
          <w:shd w:val="clear" w:color="auto" w:fill="FFFFFF"/>
        </w:rPr>
        <w:br w:type="page"/>
      </w:r>
    </w:p>
    <w:p w14:paraId="4E6F1FEA" w14:textId="440F1406" w:rsidR="00A87D6C" w:rsidRPr="00344376" w:rsidRDefault="00120841" w:rsidP="00CE205F">
      <w:pPr>
        <w:spacing w:line="480" w:lineRule="auto"/>
        <w:jc w:val="both"/>
        <w:rPr>
          <w:noProof/>
        </w:rPr>
      </w:pPr>
      <w:r w:rsidRPr="00344376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F78A372" wp14:editId="56D33A13">
            <wp:simplePos x="0" y="0"/>
            <wp:positionH relativeFrom="column">
              <wp:posOffset>202018</wp:posOffset>
            </wp:positionH>
            <wp:positionV relativeFrom="paragraph">
              <wp:posOffset>0</wp:posOffset>
            </wp:positionV>
            <wp:extent cx="6549656" cy="9342257"/>
            <wp:effectExtent l="0" t="0" r="3810" b="0"/>
            <wp:wrapSquare wrapText="bothSides"/>
            <wp:docPr id="1428038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5" r="25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656" cy="934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6C25CB6" w14:textId="1A2D5384" w:rsidR="00885E30" w:rsidRPr="00344376" w:rsidRDefault="004B7685" w:rsidP="00885E30">
      <w:pPr>
        <w:spacing w:line="480" w:lineRule="auto"/>
        <w:jc w:val="both"/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  <w:r w:rsidRPr="00344376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Figure </w:t>
      </w:r>
      <w:r w:rsidR="00FE0C4F" w:rsidRPr="00344376">
        <w:rPr>
          <w:rFonts w:ascii="Arial" w:hAnsi="Arial" w:cs="Arial"/>
          <w:b/>
          <w:bCs/>
          <w:sz w:val="20"/>
          <w:szCs w:val="20"/>
        </w:rPr>
        <w:t>4</w:t>
      </w:r>
      <w:r w:rsidR="00885E30" w:rsidRPr="00344376">
        <w:rPr>
          <w:rFonts w:ascii="Arial" w:hAnsi="Arial" w:cs="Arial"/>
          <w:b/>
          <w:bCs/>
          <w:sz w:val="20"/>
          <w:szCs w:val="20"/>
        </w:rPr>
        <w:t xml:space="preserve">. Additional EEG measures from </w:t>
      </w:r>
      <w:r w:rsidR="00885E30" w:rsidRPr="00344376">
        <w:rPr>
          <w:rFonts w:ascii="Arial" w:hAnsi="Arial" w:cs="Arial"/>
          <w:b/>
          <w:bCs/>
          <w:i/>
          <w:iCs/>
          <w:sz w:val="20"/>
          <w:szCs w:val="20"/>
        </w:rPr>
        <w:t>Syngap1</w:t>
      </w:r>
      <w:r w:rsidR="00885E30" w:rsidRPr="00344376">
        <w:rPr>
          <w:rFonts w:ascii="Arial" w:hAnsi="Arial" w:cs="Arial"/>
          <w:b/>
          <w:bCs/>
          <w:sz w:val="20"/>
          <w:szCs w:val="20"/>
        </w:rPr>
        <w:t xml:space="preserve"> humanized-haploinsufficient mice. 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 xml:space="preserve"> (A) </w:t>
      </w:r>
      <w:r w:rsidR="00D71E59" w:rsidRPr="00344376">
        <w:rPr>
          <w:rFonts w:ascii="Arial" w:hAnsi="Arial" w:cs="Arial"/>
          <w:sz w:val="20"/>
          <w:szCs w:val="20"/>
        </w:rPr>
        <w:t>Daytime low frequency and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B</w:t>
      </w:r>
      <w:r w:rsidR="00D71E59" w:rsidRPr="00344376">
        <w:rPr>
          <w:rFonts w:ascii="Arial" w:hAnsi="Arial" w:cs="Arial"/>
          <w:sz w:val="20"/>
          <w:szCs w:val="20"/>
        </w:rPr>
        <w:t xml:space="preserve">) high frequency power spectral densities by brain region. Shaded gray backgrounds represent EEG frequency bands. Delta 0-4Hz, Theta 4-8Hz, Alpha 8-13Hz, Beta 13-25Hz, and Gamma 25-50-Hz. </w:t>
      </w:r>
      <w:r w:rsidR="00885E30" w:rsidRPr="00344376">
        <w:rPr>
          <w:rFonts w:ascii="Arial" w:hAnsi="Arial" w:cs="Arial"/>
          <w:sz w:val="20"/>
          <w:szCs w:val="20"/>
        </w:rPr>
        <w:t>Normalized band powers from both daytime and nighttime for the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C</w:t>
      </w:r>
      <w:r w:rsidR="00885E30" w:rsidRPr="00344376">
        <w:rPr>
          <w:rFonts w:ascii="Arial" w:hAnsi="Arial" w:cs="Arial"/>
          <w:sz w:val="20"/>
          <w:szCs w:val="20"/>
        </w:rPr>
        <w:t>) auditory cortex,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D</w:t>
      </w:r>
      <w:r w:rsidR="00885E30" w:rsidRPr="00344376">
        <w:rPr>
          <w:rFonts w:ascii="Arial" w:hAnsi="Arial" w:cs="Arial"/>
          <w:sz w:val="20"/>
          <w:szCs w:val="20"/>
        </w:rPr>
        <w:t>) barrel cortex,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E</w:t>
      </w:r>
      <w:r w:rsidR="00885E30" w:rsidRPr="00344376">
        <w:rPr>
          <w:rFonts w:ascii="Arial" w:hAnsi="Arial" w:cs="Arial"/>
          <w:sz w:val="20"/>
          <w:szCs w:val="20"/>
        </w:rPr>
        <w:t>) motor cortex,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F</w:t>
      </w:r>
      <w:r w:rsidR="00885E30" w:rsidRPr="00344376">
        <w:rPr>
          <w:rFonts w:ascii="Arial" w:hAnsi="Arial" w:cs="Arial"/>
          <w:sz w:val="20"/>
          <w:szCs w:val="20"/>
        </w:rPr>
        <w:t>) visual cortex, and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G</w:t>
      </w:r>
      <w:r w:rsidR="00D71E59" w:rsidRPr="00344376">
        <w:rPr>
          <w:rFonts w:ascii="Arial" w:hAnsi="Arial" w:cs="Arial"/>
          <w:sz w:val="20"/>
          <w:szCs w:val="20"/>
        </w:rPr>
        <w:t>)</w:t>
      </w:r>
      <w:r w:rsidR="00885E30" w:rsidRPr="00344376">
        <w:rPr>
          <w:rFonts w:ascii="Arial" w:hAnsi="Arial" w:cs="Arial"/>
          <w:sz w:val="20"/>
          <w:szCs w:val="20"/>
        </w:rPr>
        <w:t xml:space="preserve"> hippocampus</w:t>
      </w:r>
      <w:r w:rsidR="006653E4" w:rsidRPr="00344376">
        <w:rPr>
          <w:rFonts w:ascii="Arial" w:hAnsi="Arial" w:cs="Arial"/>
          <w:sz w:val="20"/>
          <w:szCs w:val="20"/>
        </w:rPr>
        <w:t xml:space="preserve">. </w:t>
      </w:r>
      <w:r w:rsidR="00D960AE" w:rsidRPr="00344376">
        <w:rPr>
          <w:rFonts w:ascii="Arial" w:hAnsi="Arial" w:cs="Arial"/>
          <w:sz w:val="20"/>
          <w:szCs w:val="20"/>
        </w:rPr>
        <w:t>Hu/+</w:t>
      </w:r>
      <w:r w:rsidR="006653E4" w:rsidRPr="00344376">
        <w:rPr>
          <w:rFonts w:ascii="Arial" w:hAnsi="Arial" w:cs="Arial"/>
          <w:sz w:val="20"/>
          <w:szCs w:val="20"/>
        </w:rPr>
        <w:t xml:space="preserve"> (</w:t>
      </w:r>
      <w:r w:rsidR="00D960A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n </w:t>
      </w:r>
      <w:r w:rsidR="00D960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=</w:t>
      </w:r>
      <w:r w:rsidR="00D960AE" w:rsidRPr="00344376">
        <w:rPr>
          <w:rFonts w:ascii="Arial" w:hAnsi="Arial" w:cs="Arial"/>
          <w:sz w:val="20"/>
          <w:szCs w:val="20"/>
        </w:rPr>
        <w:t xml:space="preserve"> </w:t>
      </w:r>
      <w:r w:rsidR="000C6F7D" w:rsidRPr="00344376">
        <w:rPr>
          <w:rFonts w:ascii="Arial" w:hAnsi="Arial" w:cs="Arial"/>
          <w:sz w:val="20"/>
          <w:szCs w:val="20"/>
        </w:rPr>
        <w:t>8</w:t>
      </w:r>
      <w:r w:rsidR="006653E4" w:rsidRPr="00344376">
        <w:rPr>
          <w:rFonts w:ascii="Arial" w:hAnsi="Arial" w:cs="Arial"/>
          <w:sz w:val="20"/>
          <w:szCs w:val="20"/>
        </w:rPr>
        <w:t>),</w:t>
      </w:r>
      <w:r w:rsidR="00D960AE" w:rsidRPr="00344376">
        <w:rPr>
          <w:rFonts w:ascii="Arial" w:hAnsi="Arial" w:cs="Arial"/>
          <w:sz w:val="20"/>
          <w:szCs w:val="20"/>
        </w:rPr>
        <w:t xml:space="preserve"> Hu/-</w:t>
      </w:r>
      <w:r w:rsidR="006653E4" w:rsidRPr="00344376">
        <w:rPr>
          <w:rFonts w:ascii="Arial" w:hAnsi="Arial" w:cs="Arial"/>
          <w:sz w:val="20"/>
          <w:szCs w:val="20"/>
        </w:rPr>
        <w:t xml:space="preserve"> (</w:t>
      </w:r>
      <w:r w:rsidR="00D960AE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n </w:t>
      </w:r>
      <w:r w:rsidR="00D960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= </w:t>
      </w:r>
      <w:r w:rsidR="000C6F7D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9</w:t>
      </w:r>
      <w:r w:rsidR="00D960AE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</w:t>
      </w:r>
      <w:r w:rsidR="00885E30" w:rsidRPr="00344376">
        <w:rPr>
          <w:rFonts w:ascii="Arial" w:hAnsi="Arial" w:cs="Arial"/>
          <w:sz w:val="20"/>
          <w:szCs w:val="20"/>
        </w:rPr>
        <w:t>. Average number of spikes per 30-minute period for each brain region during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H</w:t>
      </w:r>
      <w:r w:rsidR="00885E30" w:rsidRPr="00344376">
        <w:rPr>
          <w:rFonts w:ascii="Arial" w:hAnsi="Arial" w:cs="Arial"/>
          <w:sz w:val="20"/>
          <w:szCs w:val="20"/>
        </w:rPr>
        <w:t>) daytime and 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I</w:t>
      </w:r>
      <w:r w:rsidR="00885E30" w:rsidRPr="00344376">
        <w:rPr>
          <w:rFonts w:ascii="Arial" w:hAnsi="Arial" w:cs="Arial"/>
          <w:sz w:val="20"/>
          <w:szCs w:val="20"/>
        </w:rPr>
        <w:t xml:space="preserve">) nighttime. Data are represented as mean </w:t>
      </w:r>
      <w:r w:rsidR="00885E30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±</w:t>
      </w:r>
      <w:r w:rsidR="00885E30" w:rsidRPr="00344376">
        <w:rPr>
          <w:rFonts w:ascii="Arial" w:hAnsi="Arial" w:cs="Arial"/>
          <w:sz w:val="20"/>
          <w:szCs w:val="20"/>
        </w:rPr>
        <w:t xml:space="preserve"> SEM. Dots represent individual animals. </w:t>
      </w:r>
      <w:r w:rsidR="00D71E59" w:rsidRPr="00344376">
        <w:rPr>
          <w:rFonts w:ascii="Arial" w:hAnsi="Arial" w:cs="Arial"/>
          <w:sz w:val="20"/>
          <w:szCs w:val="20"/>
        </w:rPr>
        <w:t>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A</w:t>
      </w:r>
      <w:r w:rsidR="00D71E59" w:rsidRPr="00344376">
        <w:rPr>
          <w:rFonts w:ascii="Arial" w:hAnsi="Arial" w:cs="Arial"/>
          <w:sz w:val="20"/>
          <w:szCs w:val="20"/>
        </w:rPr>
        <w:t xml:space="preserve"> and 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B</w:t>
      </w:r>
      <w:r w:rsidR="00D71E59" w:rsidRPr="00344376">
        <w:rPr>
          <w:rFonts w:ascii="Arial" w:hAnsi="Arial" w:cs="Arial"/>
          <w:sz w:val="20"/>
          <w:szCs w:val="20"/>
        </w:rPr>
        <w:t xml:space="preserve">) </w:t>
      </w:r>
      <w:r w:rsidR="00D71E59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Area under the curve for each frequency band within each brain region was analyzed using a linear mixed-effects model with strain, frequency band, and their interaction as fixed effects, and animal included as a random effect to account for repeated measures within mice. Post hoc comparisons were corrected using Tukey’s HSD.</w:t>
      </w:r>
      <w:r w:rsidR="00D71E59" w:rsidRPr="00344376">
        <w:rPr>
          <w:rFonts w:ascii="Arial" w:hAnsi="Arial" w:cs="Arial"/>
          <w:sz w:val="20"/>
          <w:szCs w:val="20"/>
        </w:rPr>
        <w:t xml:space="preserve"> </w:t>
      </w:r>
      <w:r w:rsidR="00885E30" w:rsidRPr="00344376">
        <w:rPr>
          <w:rFonts w:ascii="Arial" w:hAnsi="Arial" w:cs="Arial"/>
          <w:sz w:val="20"/>
          <w:szCs w:val="20"/>
        </w:rPr>
        <w:t>(</w:t>
      </w:r>
      <w:r w:rsidR="00D71E59" w:rsidRPr="00344376">
        <w:rPr>
          <w:rFonts w:ascii="Arial" w:hAnsi="Arial" w:cs="Arial"/>
          <w:b/>
          <w:bCs/>
          <w:sz w:val="20"/>
          <w:szCs w:val="20"/>
        </w:rPr>
        <w:t>C-G</w:t>
      </w:r>
      <w:r w:rsidR="00885E30" w:rsidRPr="00344376">
        <w:rPr>
          <w:rFonts w:ascii="Arial" w:hAnsi="Arial" w:cs="Arial"/>
          <w:sz w:val="20"/>
          <w:szCs w:val="20"/>
        </w:rPr>
        <w:t>)</w:t>
      </w:r>
      <w:r w:rsidR="00885E30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</w:t>
      </w:r>
      <w:r w:rsidR="00D71E59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Normalized band power within each frequency band was analyzed using a mixed-effects model with frequency band, genotype, and their interaction as fixed effects. Post hoc genotype comparisons within individual frequency bands were corrected for multiple comparisons using </w:t>
      </w:r>
      <w:proofErr w:type="spellStart"/>
      <w:r w:rsidR="00D71E59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Šídák’s</w:t>
      </w:r>
      <w:proofErr w:type="spellEnd"/>
      <w:r w:rsidR="00D71E59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multiple-comparisons test; adjusted P values are reported. (</w:t>
      </w:r>
      <w:r w:rsidR="00D71E59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 xml:space="preserve">H </w:t>
      </w:r>
      <w:r w:rsidR="00D71E59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and </w:t>
      </w:r>
      <w:r w:rsidR="00D71E59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I</w:t>
      </w:r>
      <w:r w:rsidR="00D71E59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) </w:t>
      </w:r>
      <w:r w:rsidR="00885E30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Individual Mann-Whitney tests per region. *</w:t>
      </w:r>
      <w:r w:rsidR="00885E30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p </w:t>
      </w:r>
      <w:r w:rsidR="00885E30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&lt; 0.05</w:t>
      </w:r>
      <w:r w:rsidR="00D93C55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, ***</w:t>
      </w:r>
      <w:r w:rsidR="00D93C55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p</w:t>
      </w:r>
      <w:r w:rsidR="00D93C55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&lt;0.001</w:t>
      </w:r>
      <w:r w:rsidR="00885E30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.</w:t>
      </w:r>
    </w:p>
    <w:p w14:paraId="7C713D65" w14:textId="626C2D50" w:rsidR="00460F48" w:rsidRPr="00344376" w:rsidRDefault="00460F48">
      <w:pPr>
        <w:rPr>
          <w:rFonts w:ascii="Arial" w:hAnsi="Arial" w:cs="Arial"/>
          <w:b/>
          <w:bCs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br w:type="page"/>
      </w:r>
    </w:p>
    <w:p w14:paraId="5E95DB54" w14:textId="53D7D514" w:rsidR="001757D6" w:rsidRPr="00344376" w:rsidRDefault="001757D6" w:rsidP="0098292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08E15BC" wp14:editId="1A1632B0">
            <wp:simplePos x="0" y="0"/>
            <wp:positionH relativeFrom="margin">
              <wp:align>right</wp:align>
            </wp:positionH>
            <wp:positionV relativeFrom="paragraph">
              <wp:posOffset>455</wp:posOffset>
            </wp:positionV>
            <wp:extent cx="6858000" cy="2609850"/>
            <wp:effectExtent l="0" t="0" r="0" b="0"/>
            <wp:wrapSquare wrapText="bothSides"/>
            <wp:docPr id="1575375176" name="Picture 4" descr="A graph of age distribu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375176" name="Picture 4" descr="A graph of age distribut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405583D" w14:textId="4F50D535" w:rsidR="0098292E" w:rsidRPr="00344376" w:rsidRDefault="00AA1361" w:rsidP="0098292E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t xml:space="preserve">Supplementary Figure </w:t>
      </w:r>
      <w:r w:rsidR="002D626F" w:rsidRPr="00344376">
        <w:rPr>
          <w:rFonts w:ascii="Arial" w:hAnsi="Arial" w:cs="Arial"/>
          <w:b/>
          <w:bCs/>
          <w:sz w:val="20"/>
          <w:szCs w:val="20"/>
        </w:rPr>
        <w:t>5</w:t>
      </w:r>
      <w:r w:rsidR="0098292E" w:rsidRPr="00344376">
        <w:rPr>
          <w:rFonts w:ascii="Arial" w:hAnsi="Arial" w:cs="Arial"/>
          <w:b/>
          <w:bCs/>
          <w:sz w:val="20"/>
          <w:szCs w:val="20"/>
        </w:rPr>
        <w:t xml:space="preserve">. </w:t>
      </w:r>
      <w:r w:rsidR="0098292E" w:rsidRPr="00344376">
        <w:rPr>
          <w:rFonts w:ascii="Arial" w:hAnsi="Arial" w:cs="Arial"/>
          <w:sz w:val="20"/>
          <w:szCs w:val="20"/>
        </w:rPr>
        <w:t>Age distributions of (</w:t>
      </w:r>
      <w:r w:rsidR="0098292E" w:rsidRPr="00344376">
        <w:rPr>
          <w:rFonts w:ascii="Arial" w:hAnsi="Arial" w:cs="Arial"/>
          <w:b/>
          <w:bCs/>
          <w:sz w:val="20"/>
          <w:szCs w:val="20"/>
        </w:rPr>
        <w:t>A</w:t>
      </w:r>
      <w:r w:rsidR="0098292E" w:rsidRPr="00344376">
        <w:rPr>
          <w:rFonts w:ascii="Arial" w:hAnsi="Arial" w:cs="Arial"/>
          <w:sz w:val="20"/>
          <w:szCs w:val="20"/>
        </w:rPr>
        <w:t>) control</w:t>
      </w:r>
      <w:r w:rsidR="0098292E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98292E" w:rsidRPr="00344376">
        <w:rPr>
          <w:rFonts w:ascii="Arial" w:hAnsi="Arial" w:cs="Arial"/>
          <w:sz w:val="20"/>
          <w:szCs w:val="20"/>
        </w:rPr>
        <w:t>and (</w:t>
      </w:r>
      <w:r w:rsidR="0098292E" w:rsidRPr="00344376">
        <w:rPr>
          <w:rFonts w:ascii="Arial" w:hAnsi="Arial" w:cs="Arial"/>
          <w:b/>
          <w:bCs/>
          <w:sz w:val="20"/>
          <w:szCs w:val="20"/>
        </w:rPr>
        <w:t>B</w:t>
      </w:r>
      <w:r w:rsidR="0098292E" w:rsidRPr="00344376">
        <w:rPr>
          <w:rFonts w:ascii="Arial" w:hAnsi="Arial" w:cs="Arial"/>
          <w:sz w:val="20"/>
          <w:szCs w:val="20"/>
        </w:rPr>
        <w:t xml:space="preserve">) </w:t>
      </w:r>
      <w:r w:rsidR="0098292E" w:rsidRPr="00344376">
        <w:rPr>
          <w:rFonts w:ascii="Arial" w:hAnsi="Arial" w:cs="Arial"/>
          <w:i/>
          <w:iCs/>
          <w:sz w:val="20"/>
          <w:szCs w:val="20"/>
        </w:rPr>
        <w:t>SYNGAP1</w:t>
      </w:r>
      <w:r w:rsidR="0098292E" w:rsidRPr="00344376">
        <w:rPr>
          <w:rFonts w:ascii="Arial" w:hAnsi="Arial" w:cs="Arial"/>
          <w:sz w:val="20"/>
          <w:szCs w:val="20"/>
        </w:rPr>
        <w:t>-disorder participants that were analyzed in Figure 6.</w:t>
      </w:r>
    </w:p>
    <w:p w14:paraId="6B135464" w14:textId="39A7CDD9" w:rsidR="002957D7" w:rsidRPr="00344376" w:rsidRDefault="002957D7" w:rsidP="00CE205F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AA2598A" w14:textId="7A698549" w:rsidR="00834C51" w:rsidRPr="00344376" w:rsidRDefault="00834C51">
      <w:r w:rsidRPr="00344376">
        <w:br w:type="page"/>
      </w:r>
    </w:p>
    <w:p w14:paraId="3D2B33DC" w14:textId="6DF6A537" w:rsidR="002B6AAF" w:rsidRPr="00344376" w:rsidRDefault="00192101">
      <w:r w:rsidRPr="00344376">
        <w:rPr>
          <w:noProof/>
        </w:rPr>
        <w:lastRenderedPageBreak/>
        <w:drawing>
          <wp:inline distT="0" distB="0" distL="0" distR="0" wp14:anchorId="64FDE680" wp14:editId="4E070E39">
            <wp:extent cx="6858000" cy="8636000"/>
            <wp:effectExtent l="0" t="0" r="0" b="0"/>
            <wp:docPr id="1048353336" name="Picture 5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53336" name="Picture 5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CC608" w14:textId="77777777" w:rsidR="00192101" w:rsidRPr="00344376" w:rsidRDefault="00192101"/>
    <w:p w14:paraId="4E3D4258" w14:textId="5502A3CA" w:rsidR="00192101" w:rsidRPr="00344376" w:rsidRDefault="001F13B0" w:rsidP="00192101">
      <w:pPr>
        <w:spacing w:line="480" w:lineRule="auto"/>
        <w:jc w:val="both"/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  <w:r w:rsidRPr="00344376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Figure </w:t>
      </w:r>
      <w:r w:rsidR="0000661F" w:rsidRPr="00344376">
        <w:rPr>
          <w:rFonts w:ascii="Arial" w:hAnsi="Arial" w:cs="Arial"/>
          <w:b/>
          <w:bCs/>
          <w:sz w:val="20"/>
          <w:szCs w:val="20"/>
        </w:rPr>
        <w:t>6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. EEG analysis in younger (≤10 year) </w:t>
      </w:r>
      <w:r w:rsidR="00192101" w:rsidRPr="00344376">
        <w:rPr>
          <w:rFonts w:ascii="Arial" w:hAnsi="Arial" w:cs="Arial"/>
          <w:b/>
          <w:bCs/>
          <w:i/>
          <w:iCs/>
          <w:sz w:val="20"/>
          <w:szCs w:val="20"/>
        </w:rPr>
        <w:t>SYNGAP1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 participants. </w:t>
      </w:r>
      <w:r w:rsidR="00192101" w:rsidRPr="00344376">
        <w:rPr>
          <w:rFonts w:ascii="Arial" w:hAnsi="Arial" w:cs="Arial"/>
          <w:sz w:val="20"/>
          <w:szCs w:val="20"/>
        </w:rPr>
        <w:t>Age distributions of 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A</w:t>
      </w:r>
      <w:r w:rsidR="00192101" w:rsidRPr="00344376">
        <w:rPr>
          <w:rFonts w:ascii="Arial" w:hAnsi="Arial" w:cs="Arial"/>
          <w:sz w:val="20"/>
          <w:szCs w:val="20"/>
        </w:rPr>
        <w:t>) control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2101" w:rsidRPr="00344376">
        <w:rPr>
          <w:rFonts w:ascii="Arial" w:hAnsi="Arial" w:cs="Arial"/>
          <w:sz w:val="20"/>
          <w:szCs w:val="20"/>
        </w:rPr>
        <w:t>and 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B</w:t>
      </w:r>
      <w:r w:rsidR="00192101" w:rsidRPr="00344376">
        <w:rPr>
          <w:rFonts w:ascii="Arial" w:hAnsi="Arial" w:cs="Arial"/>
          <w:sz w:val="20"/>
          <w:szCs w:val="20"/>
        </w:rPr>
        <w:t xml:space="preserve">) </w:t>
      </w:r>
      <w:r w:rsidR="00192101" w:rsidRPr="00344376">
        <w:rPr>
          <w:rFonts w:ascii="Arial" w:hAnsi="Arial" w:cs="Arial"/>
          <w:i/>
          <w:iCs/>
          <w:sz w:val="20"/>
          <w:szCs w:val="20"/>
        </w:rPr>
        <w:t>SYNGAP1</w:t>
      </w:r>
      <w:r w:rsidR="00192101" w:rsidRPr="00344376">
        <w:rPr>
          <w:rFonts w:ascii="Arial" w:hAnsi="Arial" w:cs="Arial"/>
          <w:sz w:val="20"/>
          <w:szCs w:val="20"/>
        </w:rPr>
        <w:t>-disorder participants</w:t>
      </w:r>
      <w:r w:rsidR="00C13E64" w:rsidRPr="00344376">
        <w:rPr>
          <w:rFonts w:ascii="Arial" w:hAnsi="Arial" w:cs="Arial"/>
          <w:sz w:val="20"/>
          <w:szCs w:val="20"/>
        </w:rPr>
        <w:t xml:space="preserve"> (control individuals, </w:t>
      </w:r>
      <w:r w:rsidR="00C13E64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n </w:t>
      </w:r>
      <w:r w:rsidR="00C13E64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=</w:t>
      </w:r>
      <w:r w:rsidR="00C13E64" w:rsidRPr="00344376">
        <w:rPr>
          <w:rFonts w:ascii="Arial" w:hAnsi="Arial" w:cs="Arial"/>
          <w:sz w:val="20"/>
          <w:szCs w:val="20"/>
        </w:rPr>
        <w:t xml:space="preserve"> 128</w:t>
      </w:r>
      <w:r w:rsidR="00D27FEA" w:rsidRPr="00344376">
        <w:rPr>
          <w:rFonts w:ascii="Arial" w:hAnsi="Arial" w:cs="Arial"/>
          <w:sz w:val="20"/>
          <w:szCs w:val="20"/>
        </w:rPr>
        <w:t xml:space="preserve"> EEGs</w:t>
      </w:r>
      <w:r w:rsidR="00C13E64" w:rsidRPr="00344376">
        <w:rPr>
          <w:rFonts w:ascii="Arial" w:hAnsi="Arial" w:cs="Arial"/>
          <w:sz w:val="20"/>
          <w:szCs w:val="20"/>
        </w:rPr>
        <w:t xml:space="preserve">; </w:t>
      </w:r>
      <w:r w:rsidR="00C13E64" w:rsidRPr="00344376">
        <w:rPr>
          <w:rFonts w:ascii="Arial" w:hAnsi="Arial" w:cs="Arial"/>
          <w:i/>
          <w:iCs/>
          <w:sz w:val="20"/>
          <w:szCs w:val="20"/>
        </w:rPr>
        <w:t>SYNGAP1</w:t>
      </w:r>
      <w:r w:rsidR="00C13E64" w:rsidRPr="00344376">
        <w:rPr>
          <w:rFonts w:ascii="Arial" w:hAnsi="Arial" w:cs="Arial"/>
          <w:sz w:val="20"/>
          <w:szCs w:val="20"/>
        </w:rPr>
        <w:t xml:space="preserve"> participants, </w:t>
      </w:r>
      <w:r w:rsidR="00C13E64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n </w:t>
      </w:r>
      <w:r w:rsidR="00C13E64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=</w:t>
      </w:r>
      <w:r w:rsidR="00C13E64" w:rsidRPr="00344376">
        <w:rPr>
          <w:rFonts w:ascii="Arial" w:hAnsi="Arial" w:cs="Arial"/>
          <w:sz w:val="20"/>
          <w:szCs w:val="20"/>
        </w:rPr>
        <w:t xml:space="preserve"> 32</w:t>
      </w:r>
      <w:r w:rsidR="00D27FEA" w:rsidRPr="00344376">
        <w:rPr>
          <w:rFonts w:ascii="Arial" w:hAnsi="Arial" w:cs="Arial"/>
          <w:sz w:val="20"/>
          <w:szCs w:val="20"/>
        </w:rPr>
        <w:t xml:space="preserve"> EEGs)</w:t>
      </w:r>
      <w:r w:rsidR="00192101" w:rsidRPr="00344376">
        <w:rPr>
          <w:rFonts w:ascii="Arial" w:hAnsi="Arial" w:cs="Arial"/>
          <w:sz w:val="20"/>
          <w:szCs w:val="20"/>
        </w:rPr>
        <w:t>. 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C</w:t>
      </w:r>
      <w:r w:rsidR="00192101" w:rsidRPr="00344376">
        <w:rPr>
          <w:rFonts w:ascii="Arial" w:hAnsi="Arial" w:cs="Arial"/>
          <w:sz w:val="20"/>
          <w:szCs w:val="20"/>
        </w:rPr>
        <w:t>)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2101" w:rsidRPr="00344376">
        <w:rPr>
          <w:rFonts w:ascii="Arial" w:hAnsi="Arial" w:cs="Arial"/>
          <w:sz w:val="20"/>
          <w:szCs w:val="20"/>
        </w:rPr>
        <w:t>Low frequency and 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D</w:t>
      </w:r>
      <w:r w:rsidR="00192101" w:rsidRPr="00344376">
        <w:rPr>
          <w:rFonts w:ascii="Arial" w:hAnsi="Arial" w:cs="Arial"/>
          <w:sz w:val="20"/>
          <w:szCs w:val="20"/>
        </w:rPr>
        <w:t>) high frequency power spectral densities by leads/region.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2101" w:rsidRPr="00344376">
        <w:rPr>
          <w:rFonts w:ascii="Arial" w:hAnsi="Arial" w:cs="Arial"/>
          <w:sz w:val="20"/>
          <w:szCs w:val="20"/>
        </w:rPr>
        <w:t>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E</w:t>
      </w:r>
      <w:r w:rsidR="00192101" w:rsidRPr="00344376">
        <w:rPr>
          <w:rFonts w:ascii="Arial" w:hAnsi="Arial" w:cs="Arial"/>
          <w:sz w:val="20"/>
          <w:szCs w:val="20"/>
        </w:rPr>
        <w:t>) Alpha-delta ratio by leads/region.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2101" w:rsidRPr="00344376">
        <w:rPr>
          <w:rFonts w:ascii="Arial" w:hAnsi="Arial" w:cs="Arial"/>
          <w:sz w:val="20"/>
          <w:szCs w:val="20"/>
        </w:rPr>
        <w:t>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F</w:t>
      </w:r>
      <w:r w:rsidR="00192101" w:rsidRPr="00344376">
        <w:rPr>
          <w:rFonts w:ascii="Arial" w:hAnsi="Arial" w:cs="Arial"/>
          <w:sz w:val="20"/>
          <w:szCs w:val="20"/>
        </w:rPr>
        <w:t>)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192101" w:rsidRPr="00344376">
        <w:rPr>
          <w:rFonts w:ascii="Arial" w:hAnsi="Arial" w:cs="Arial"/>
          <w:sz w:val="20"/>
          <w:szCs w:val="20"/>
        </w:rPr>
        <w:t>Alpha-theta ratio by leads/region. (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 xml:space="preserve">C </w:t>
      </w:r>
      <w:r w:rsidR="00192101" w:rsidRPr="00344376">
        <w:rPr>
          <w:rFonts w:ascii="Arial" w:hAnsi="Arial" w:cs="Arial"/>
          <w:sz w:val="20"/>
          <w:szCs w:val="20"/>
        </w:rPr>
        <w:t xml:space="preserve">and </w:t>
      </w:r>
      <w:r w:rsidR="00192101" w:rsidRPr="00344376">
        <w:rPr>
          <w:rFonts w:ascii="Arial" w:hAnsi="Arial" w:cs="Arial"/>
          <w:b/>
          <w:bCs/>
          <w:sz w:val="20"/>
          <w:szCs w:val="20"/>
        </w:rPr>
        <w:t>D</w:t>
      </w:r>
      <w:r w:rsidR="00192101" w:rsidRPr="00344376">
        <w:rPr>
          <w:rFonts w:ascii="Arial" w:hAnsi="Arial" w:cs="Arial"/>
          <w:sz w:val="20"/>
          <w:szCs w:val="20"/>
        </w:rPr>
        <w:t xml:space="preserve">) Lines represent group means and shading represents 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± SEM. (</w:t>
      </w:r>
      <w:r w:rsidR="00192101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E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and </w:t>
      </w:r>
      <w:r w:rsidR="00192101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F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 Bars represent group means ± SEM.  (</w:t>
      </w:r>
      <w:r w:rsidR="00192101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 xml:space="preserve">C 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and </w:t>
      </w:r>
      <w:r w:rsidR="00192101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D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 Linear mixed model to compare area under the curve for each power spectra within each brain region as a function of group, frequency, and the interaction between group and frequency. (</w:t>
      </w:r>
      <w:r w:rsidR="00192101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 xml:space="preserve">E 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and </w:t>
      </w:r>
      <w:r w:rsidR="00192101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F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 Mann-Whitney test within regions. *</w:t>
      </w:r>
      <w:r w:rsidR="00192101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p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&lt;0.05, **</w:t>
      </w:r>
      <w:r w:rsidR="00192101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p 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&lt; 0.01, ***</w:t>
      </w:r>
      <w:r w:rsidR="00192101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p</w:t>
      </w:r>
      <w:r w:rsidR="00192101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&lt; 0.001.</w:t>
      </w:r>
    </w:p>
    <w:p w14:paraId="2E0DC727" w14:textId="77777777" w:rsidR="00EA3626" w:rsidRPr="00344376" w:rsidRDefault="00EA3626" w:rsidP="00192101">
      <w:pPr>
        <w:spacing w:line="480" w:lineRule="auto"/>
        <w:jc w:val="both"/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</w:p>
    <w:p w14:paraId="041A11C0" w14:textId="44C00609" w:rsidR="008A0462" w:rsidRPr="00344376" w:rsidRDefault="008A0462">
      <w:pPr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  <w:r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br w:type="page"/>
      </w:r>
    </w:p>
    <w:p w14:paraId="30856103" w14:textId="77777777" w:rsidR="00B72CFF" w:rsidRPr="00344376" w:rsidRDefault="00B72CFF" w:rsidP="00192101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5B46B27" w14:textId="7EF5A344" w:rsidR="00EA3626" w:rsidRPr="00344376" w:rsidRDefault="008A0462" w:rsidP="00192101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noProof/>
        </w:rPr>
        <w:drawing>
          <wp:anchor distT="0" distB="0" distL="114300" distR="114300" simplePos="0" relativeHeight="251661312" behindDoc="0" locked="0" layoutInCell="1" allowOverlap="1" wp14:anchorId="4296FC51" wp14:editId="490DA39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0" cy="8345805"/>
            <wp:effectExtent l="0" t="0" r="0" b="0"/>
            <wp:wrapSquare wrapText="bothSides"/>
            <wp:docPr id="167981687" name="Picture 6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1687" name="Picture 6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34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503FE6" w14:textId="643227ED" w:rsidR="00D16AFA" w:rsidRPr="00344376" w:rsidRDefault="00107040" w:rsidP="008D259D">
      <w:pPr>
        <w:spacing w:line="480" w:lineRule="auto"/>
        <w:jc w:val="both"/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  <w:r w:rsidRPr="00344376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Figure </w:t>
      </w:r>
      <w:r w:rsidR="0000661F" w:rsidRPr="00344376">
        <w:rPr>
          <w:rFonts w:ascii="Arial" w:hAnsi="Arial" w:cs="Arial"/>
          <w:b/>
          <w:bCs/>
          <w:sz w:val="20"/>
          <w:szCs w:val="20"/>
        </w:rPr>
        <w:t>7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. EEG analysis in older (&gt;10 year) </w:t>
      </w:r>
      <w:r w:rsidR="00B72CFF" w:rsidRPr="00344376">
        <w:rPr>
          <w:rFonts w:ascii="Arial" w:hAnsi="Arial" w:cs="Arial"/>
          <w:b/>
          <w:bCs/>
          <w:i/>
          <w:iCs/>
          <w:sz w:val="20"/>
          <w:szCs w:val="20"/>
        </w:rPr>
        <w:t>SYNGAP1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 participants. </w:t>
      </w:r>
      <w:r w:rsidR="00B72CFF" w:rsidRPr="00344376">
        <w:rPr>
          <w:rFonts w:ascii="Arial" w:hAnsi="Arial" w:cs="Arial"/>
          <w:sz w:val="20"/>
          <w:szCs w:val="20"/>
        </w:rPr>
        <w:t>Age distributions of 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A</w:t>
      </w:r>
      <w:r w:rsidR="00B72CFF" w:rsidRPr="00344376">
        <w:rPr>
          <w:rFonts w:ascii="Arial" w:hAnsi="Arial" w:cs="Arial"/>
          <w:sz w:val="20"/>
          <w:szCs w:val="20"/>
        </w:rPr>
        <w:t>) control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B72CFF" w:rsidRPr="00344376">
        <w:rPr>
          <w:rFonts w:ascii="Arial" w:hAnsi="Arial" w:cs="Arial"/>
          <w:sz w:val="20"/>
          <w:szCs w:val="20"/>
        </w:rPr>
        <w:t>and 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B</w:t>
      </w:r>
      <w:r w:rsidR="00B72CFF" w:rsidRPr="00344376">
        <w:rPr>
          <w:rFonts w:ascii="Arial" w:hAnsi="Arial" w:cs="Arial"/>
          <w:sz w:val="20"/>
          <w:szCs w:val="20"/>
        </w:rPr>
        <w:t xml:space="preserve">) </w:t>
      </w:r>
      <w:r w:rsidR="00B72CFF" w:rsidRPr="00344376">
        <w:rPr>
          <w:rFonts w:ascii="Arial" w:hAnsi="Arial" w:cs="Arial"/>
          <w:i/>
          <w:iCs/>
          <w:sz w:val="20"/>
          <w:szCs w:val="20"/>
        </w:rPr>
        <w:t>SYNGAP1</w:t>
      </w:r>
      <w:r w:rsidR="00B72CFF" w:rsidRPr="00344376">
        <w:rPr>
          <w:rFonts w:ascii="Arial" w:hAnsi="Arial" w:cs="Arial"/>
          <w:sz w:val="20"/>
          <w:szCs w:val="20"/>
        </w:rPr>
        <w:t>-disorder participants</w:t>
      </w:r>
      <w:r w:rsidR="00592A1F" w:rsidRPr="00344376">
        <w:rPr>
          <w:rFonts w:ascii="Arial" w:hAnsi="Arial" w:cs="Arial"/>
          <w:sz w:val="20"/>
          <w:szCs w:val="20"/>
        </w:rPr>
        <w:t xml:space="preserve"> (control individuals, </w:t>
      </w:r>
      <w:r w:rsidR="00592A1F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n </w:t>
      </w:r>
      <w:r w:rsidR="00592A1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=</w:t>
      </w:r>
      <w:r w:rsidR="00592A1F" w:rsidRPr="00344376">
        <w:rPr>
          <w:rFonts w:ascii="Arial" w:hAnsi="Arial" w:cs="Arial"/>
          <w:sz w:val="20"/>
          <w:szCs w:val="20"/>
        </w:rPr>
        <w:t xml:space="preserve"> 52 EEGs; </w:t>
      </w:r>
      <w:r w:rsidR="00592A1F" w:rsidRPr="00344376">
        <w:rPr>
          <w:rFonts w:ascii="Arial" w:hAnsi="Arial" w:cs="Arial"/>
          <w:i/>
          <w:iCs/>
          <w:sz w:val="20"/>
          <w:szCs w:val="20"/>
        </w:rPr>
        <w:t>SYNGAP1</w:t>
      </w:r>
      <w:r w:rsidR="00592A1F" w:rsidRPr="00344376">
        <w:rPr>
          <w:rFonts w:ascii="Arial" w:hAnsi="Arial" w:cs="Arial"/>
          <w:sz w:val="20"/>
          <w:szCs w:val="20"/>
        </w:rPr>
        <w:t xml:space="preserve"> participants, </w:t>
      </w:r>
      <w:r w:rsidR="00592A1F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n </w:t>
      </w:r>
      <w:r w:rsidR="00592A1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=</w:t>
      </w:r>
      <w:r w:rsidR="00592A1F" w:rsidRPr="00344376">
        <w:rPr>
          <w:rFonts w:ascii="Arial" w:hAnsi="Arial" w:cs="Arial"/>
          <w:sz w:val="20"/>
          <w:szCs w:val="20"/>
        </w:rPr>
        <w:t xml:space="preserve"> 13 EEGs)</w:t>
      </w:r>
      <w:r w:rsidR="00B72CFF" w:rsidRPr="00344376">
        <w:rPr>
          <w:rFonts w:ascii="Arial" w:hAnsi="Arial" w:cs="Arial"/>
          <w:sz w:val="20"/>
          <w:szCs w:val="20"/>
        </w:rPr>
        <w:t>. 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C</w:t>
      </w:r>
      <w:r w:rsidR="00B72CFF" w:rsidRPr="00344376">
        <w:rPr>
          <w:rFonts w:ascii="Arial" w:hAnsi="Arial" w:cs="Arial"/>
          <w:sz w:val="20"/>
          <w:szCs w:val="20"/>
        </w:rPr>
        <w:t>)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B72CFF" w:rsidRPr="00344376">
        <w:rPr>
          <w:rFonts w:ascii="Arial" w:hAnsi="Arial" w:cs="Arial"/>
          <w:sz w:val="20"/>
          <w:szCs w:val="20"/>
        </w:rPr>
        <w:t>Low frequency and 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D</w:t>
      </w:r>
      <w:r w:rsidR="00B72CFF" w:rsidRPr="00344376">
        <w:rPr>
          <w:rFonts w:ascii="Arial" w:hAnsi="Arial" w:cs="Arial"/>
          <w:sz w:val="20"/>
          <w:szCs w:val="20"/>
        </w:rPr>
        <w:t>) high frequency power spectral densities by leads/region.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B72CFF" w:rsidRPr="00344376">
        <w:rPr>
          <w:rFonts w:ascii="Arial" w:hAnsi="Arial" w:cs="Arial"/>
          <w:sz w:val="20"/>
          <w:szCs w:val="20"/>
        </w:rPr>
        <w:t>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E</w:t>
      </w:r>
      <w:r w:rsidR="00B72CFF" w:rsidRPr="00344376">
        <w:rPr>
          <w:rFonts w:ascii="Arial" w:hAnsi="Arial" w:cs="Arial"/>
          <w:sz w:val="20"/>
          <w:szCs w:val="20"/>
        </w:rPr>
        <w:t>) Alpha-delta ratio by leads/region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B72CFF" w:rsidRPr="00344376">
        <w:rPr>
          <w:rFonts w:ascii="Arial" w:hAnsi="Arial" w:cs="Arial"/>
          <w:sz w:val="20"/>
          <w:szCs w:val="20"/>
        </w:rPr>
        <w:t>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F</w:t>
      </w:r>
      <w:r w:rsidR="00B72CFF" w:rsidRPr="00344376">
        <w:rPr>
          <w:rFonts w:ascii="Arial" w:hAnsi="Arial" w:cs="Arial"/>
          <w:sz w:val="20"/>
          <w:szCs w:val="20"/>
        </w:rPr>
        <w:t>)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 </w:t>
      </w:r>
      <w:r w:rsidR="00B72CFF" w:rsidRPr="00344376">
        <w:rPr>
          <w:rFonts w:ascii="Arial" w:hAnsi="Arial" w:cs="Arial"/>
          <w:sz w:val="20"/>
          <w:szCs w:val="20"/>
        </w:rPr>
        <w:t>Alpha-theta ratio by leads/region. (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 xml:space="preserve">C </w:t>
      </w:r>
      <w:r w:rsidR="00B72CFF" w:rsidRPr="00344376">
        <w:rPr>
          <w:rFonts w:ascii="Arial" w:hAnsi="Arial" w:cs="Arial"/>
          <w:sz w:val="20"/>
          <w:szCs w:val="20"/>
        </w:rPr>
        <w:t xml:space="preserve">and </w:t>
      </w:r>
      <w:r w:rsidR="00B72CFF" w:rsidRPr="00344376">
        <w:rPr>
          <w:rFonts w:ascii="Arial" w:hAnsi="Arial" w:cs="Arial"/>
          <w:b/>
          <w:bCs/>
          <w:sz w:val="20"/>
          <w:szCs w:val="20"/>
        </w:rPr>
        <w:t>D</w:t>
      </w:r>
      <w:r w:rsidR="00B72CFF" w:rsidRPr="00344376">
        <w:rPr>
          <w:rFonts w:ascii="Arial" w:hAnsi="Arial" w:cs="Arial"/>
          <w:sz w:val="20"/>
          <w:szCs w:val="20"/>
        </w:rPr>
        <w:t xml:space="preserve">) Lines represent group means and shading represents 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± SEM. (</w:t>
      </w:r>
      <w:r w:rsidR="00B72CFF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E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and </w:t>
      </w:r>
      <w:r w:rsidR="00B72CFF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F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 Bars represent group means ± SEM.  (</w:t>
      </w:r>
      <w:r w:rsidR="00B72CFF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 xml:space="preserve">C 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and </w:t>
      </w:r>
      <w:r w:rsidR="00B72CFF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D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 Linear mixed model to compare area under the curve for each power spectra within each brain region as a function of group, frequency, and the interaction between group and frequency. (</w:t>
      </w:r>
      <w:r w:rsidR="00B72CFF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 xml:space="preserve">E 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and </w:t>
      </w:r>
      <w:r w:rsidR="00B72CFF" w:rsidRPr="00344376">
        <w:rPr>
          <w:rFonts w:ascii="Arial" w:hAnsi="Arial" w:cs="Arial"/>
          <w:b/>
          <w:bCs/>
          <w:color w:val="1C1D1E"/>
          <w:sz w:val="20"/>
          <w:szCs w:val="20"/>
          <w:shd w:val="clear" w:color="auto" w:fill="FFFFFF"/>
        </w:rPr>
        <w:t>F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) Mann-Whitney test within regions. *</w:t>
      </w:r>
      <w:r w:rsidR="00B72CFF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p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&lt;0.05, **</w:t>
      </w:r>
      <w:r w:rsidR="00B72CFF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 xml:space="preserve">p 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>&lt; 0.01, ***</w:t>
      </w:r>
      <w:r w:rsidR="00B72CFF" w:rsidRPr="00344376">
        <w:rPr>
          <w:rFonts w:ascii="Arial" w:hAnsi="Arial" w:cs="Arial"/>
          <w:i/>
          <w:iCs/>
          <w:color w:val="1C1D1E"/>
          <w:sz w:val="20"/>
          <w:szCs w:val="20"/>
          <w:shd w:val="clear" w:color="auto" w:fill="FFFFFF"/>
        </w:rPr>
        <w:t>p</w:t>
      </w:r>
      <w:r w:rsidR="00B72CFF"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t xml:space="preserve"> &lt; 0.001.</w:t>
      </w:r>
    </w:p>
    <w:p w14:paraId="46F33BDF" w14:textId="77777777" w:rsidR="0041626E" w:rsidRPr="00344376" w:rsidRDefault="0041626E">
      <w:pPr>
        <w:rPr>
          <w:rFonts w:ascii="Arial" w:hAnsi="Arial" w:cs="Arial"/>
          <w:color w:val="1C1D1E"/>
          <w:sz w:val="20"/>
          <w:szCs w:val="20"/>
          <w:shd w:val="clear" w:color="auto" w:fill="FFFFFF"/>
        </w:rPr>
      </w:pPr>
    </w:p>
    <w:p w14:paraId="4DA9BA74" w14:textId="36A77F15" w:rsidR="00A3332F" w:rsidRPr="00344376" w:rsidRDefault="0041626E" w:rsidP="00562C02">
      <w:pPr>
        <w:rPr>
          <w:rFonts w:ascii="Arial" w:hAnsi="Arial" w:cs="Arial"/>
          <w:sz w:val="20"/>
          <w:szCs w:val="20"/>
        </w:rPr>
        <w:sectPr w:rsidR="00A3332F" w:rsidRPr="00344376" w:rsidSect="006B628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344376">
        <w:rPr>
          <w:rFonts w:ascii="Arial" w:hAnsi="Arial" w:cs="Arial"/>
          <w:color w:val="1C1D1E"/>
          <w:sz w:val="20"/>
          <w:szCs w:val="20"/>
          <w:shd w:val="clear" w:color="auto" w:fill="FFFFFF"/>
        </w:rPr>
        <w:br w:type="page"/>
      </w:r>
    </w:p>
    <w:tbl>
      <w:tblPr>
        <w:tblStyle w:val="TableGrid"/>
        <w:tblpPr w:leftFromText="180" w:rightFromText="180" w:vertAnchor="text" w:horzAnchor="margin" w:tblpY="457"/>
        <w:tblW w:w="14395" w:type="dxa"/>
        <w:tblLook w:val="04A0" w:firstRow="1" w:lastRow="0" w:firstColumn="1" w:lastColumn="0" w:noHBand="0" w:noVBand="1"/>
      </w:tblPr>
      <w:tblGrid>
        <w:gridCol w:w="2271"/>
        <w:gridCol w:w="3078"/>
        <w:gridCol w:w="3233"/>
        <w:gridCol w:w="3375"/>
        <w:gridCol w:w="2438"/>
      </w:tblGrid>
      <w:tr w:rsidR="00903743" w:rsidRPr="00344376" w14:paraId="7C175D36" w14:textId="77777777" w:rsidTr="00903743">
        <w:trPr>
          <w:trHeight w:val="20"/>
        </w:trPr>
        <w:tc>
          <w:tcPr>
            <w:tcW w:w="14395" w:type="dxa"/>
            <w:gridSpan w:val="5"/>
            <w:noWrap/>
            <w:vAlign w:val="center"/>
            <w:hideMark/>
          </w:tcPr>
          <w:p w14:paraId="7A4D21D2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lastRenderedPageBreak/>
              <w:t xml:space="preserve">Copy number variation/Genotyping assay for </w:t>
            </w:r>
            <w:r w:rsidRPr="003443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Syngap1</w:t>
            </w: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and </w:t>
            </w:r>
            <w:r w:rsidRPr="003443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Stxbp1</w:t>
            </w: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humanized mouse models</w:t>
            </w:r>
          </w:p>
        </w:tc>
      </w:tr>
      <w:tr w:rsidR="00903743" w:rsidRPr="00344376" w14:paraId="54CDC9C8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75FDE6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078" w:type="dxa"/>
            <w:noWrap/>
            <w:vAlign w:val="center"/>
            <w:hideMark/>
          </w:tcPr>
          <w:p w14:paraId="23E4AE2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Forward (5’-&gt;3’)</w:t>
            </w:r>
          </w:p>
        </w:tc>
        <w:tc>
          <w:tcPr>
            <w:tcW w:w="3233" w:type="dxa"/>
            <w:noWrap/>
            <w:vAlign w:val="center"/>
            <w:hideMark/>
          </w:tcPr>
          <w:p w14:paraId="16FABF2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Reverse (5’-&gt;3’)</w:t>
            </w:r>
          </w:p>
        </w:tc>
        <w:tc>
          <w:tcPr>
            <w:tcW w:w="3375" w:type="dxa"/>
            <w:noWrap/>
            <w:vAlign w:val="center"/>
            <w:hideMark/>
          </w:tcPr>
          <w:p w14:paraId="2C83131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Probe (5’-&gt;3’)</w:t>
            </w:r>
          </w:p>
        </w:tc>
        <w:tc>
          <w:tcPr>
            <w:tcW w:w="2438" w:type="dxa"/>
            <w:noWrap/>
            <w:vAlign w:val="center"/>
            <w:hideMark/>
          </w:tcPr>
          <w:p w14:paraId="3B80BC8A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Assay ID (if applicable)</w:t>
            </w:r>
          </w:p>
        </w:tc>
      </w:tr>
      <w:tr w:rsidR="00903743" w:rsidRPr="00344376" w14:paraId="5CCA46D5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75C2DAB7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Mouse_Syngap1_gDNA</w:t>
            </w:r>
          </w:p>
        </w:tc>
        <w:tc>
          <w:tcPr>
            <w:tcW w:w="3078" w:type="dxa"/>
            <w:noWrap/>
            <w:vAlign w:val="center"/>
            <w:hideMark/>
          </w:tcPr>
          <w:p w14:paraId="4F4D8F3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GCAGTTGTGTGTTCATCTGTTC</w:t>
            </w:r>
          </w:p>
        </w:tc>
        <w:tc>
          <w:tcPr>
            <w:tcW w:w="3233" w:type="dxa"/>
            <w:noWrap/>
            <w:vAlign w:val="center"/>
            <w:hideMark/>
          </w:tcPr>
          <w:p w14:paraId="6D7D4BF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CAGCCCTCATTCACCTCTTT</w:t>
            </w:r>
          </w:p>
        </w:tc>
        <w:tc>
          <w:tcPr>
            <w:tcW w:w="3375" w:type="dxa"/>
            <w:noWrap/>
            <w:vAlign w:val="center"/>
            <w:hideMark/>
          </w:tcPr>
          <w:p w14:paraId="7AD801A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TGAGCATCAGTACGGGCAAAGCAT</w:t>
            </w:r>
          </w:p>
        </w:tc>
        <w:tc>
          <w:tcPr>
            <w:tcW w:w="2438" w:type="dxa"/>
            <w:noWrap/>
            <w:vAlign w:val="center"/>
            <w:hideMark/>
          </w:tcPr>
          <w:p w14:paraId="4BC4ED2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75A06AFA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570C4187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Human_SYNGAP1_gDNA</w:t>
            </w:r>
          </w:p>
        </w:tc>
        <w:tc>
          <w:tcPr>
            <w:tcW w:w="3078" w:type="dxa"/>
            <w:noWrap/>
            <w:vAlign w:val="center"/>
            <w:hideMark/>
          </w:tcPr>
          <w:p w14:paraId="0C3AC45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CCCTGACCTCTCTTCTGATAG</w:t>
            </w:r>
          </w:p>
        </w:tc>
        <w:tc>
          <w:tcPr>
            <w:tcW w:w="3233" w:type="dxa"/>
            <w:noWrap/>
            <w:vAlign w:val="center"/>
            <w:hideMark/>
          </w:tcPr>
          <w:p w14:paraId="458A1CF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CTCTGGCCTAGGGTAAATG</w:t>
            </w:r>
          </w:p>
        </w:tc>
        <w:tc>
          <w:tcPr>
            <w:tcW w:w="3375" w:type="dxa"/>
            <w:noWrap/>
            <w:vAlign w:val="center"/>
            <w:hideMark/>
          </w:tcPr>
          <w:p w14:paraId="5E85D26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CTGTTCCTGTCCAACCATCACTG</w:t>
            </w:r>
          </w:p>
        </w:tc>
        <w:tc>
          <w:tcPr>
            <w:tcW w:w="2438" w:type="dxa"/>
            <w:noWrap/>
            <w:vAlign w:val="center"/>
            <w:hideMark/>
          </w:tcPr>
          <w:p w14:paraId="4EE656E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6F174E0A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634E63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Mouse_Stxbp1_gDNA</w:t>
            </w:r>
          </w:p>
        </w:tc>
        <w:tc>
          <w:tcPr>
            <w:tcW w:w="3078" w:type="dxa"/>
            <w:noWrap/>
            <w:vAlign w:val="center"/>
            <w:hideMark/>
          </w:tcPr>
          <w:p w14:paraId="5670AD5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TCAAGAGAGTTGGTGACAGA</w:t>
            </w:r>
          </w:p>
        </w:tc>
        <w:tc>
          <w:tcPr>
            <w:tcW w:w="3233" w:type="dxa"/>
            <w:noWrap/>
            <w:vAlign w:val="center"/>
            <w:hideMark/>
          </w:tcPr>
          <w:p w14:paraId="3BB5AE07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CCCTTTGCCCCTTCAGTTTC</w:t>
            </w:r>
          </w:p>
        </w:tc>
        <w:tc>
          <w:tcPr>
            <w:tcW w:w="3375" w:type="dxa"/>
            <w:noWrap/>
            <w:vAlign w:val="center"/>
            <w:hideMark/>
          </w:tcPr>
          <w:p w14:paraId="43E225D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TTTGAAAGGAATTCTAGGGGATCG</w:t>
            </w:r>
          </w:p>
        </w:tc>
        <w:tc>
          <w:tcPr>
            <w:tcW w:w="2438" w:type="dxa"/>
            <w:noWrap/>
            <w:vAlign w:val="center"/>
            <w:hideMark/>
          </w:tcPr>
          <w:p w14:paraId="55D1DCFA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318A6787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6C19D30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Human_STXBP1_gDNA</w:t>
            </w:r>
          </w:p>
        </w:tc>
        <w:tc>
          <w:tcPr>
            <w:tcW w:w="3078" w:type="dxa"/>
            <w:noWrap/>
            <w:vAlign w:val="center"/>
            <w:hideMark/>
          </w:tcPr>
          <w:p w14:paraId="35C2E95A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CAGGATCTCAGTGTGAAGCTAAG</w:t>
            </w:r>
          </w:p>
        </w:tc>
        <w:tc>
          <w:tcPr>
            <w:tcW w:w="3233" w:type="dxa"/>
            <w:noWrap/>
            <w:vAlign w:val="center"/>
            <w:hideMark/>
          </w:tcPr>
          <w:p w14:paraId="117EE1C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GGACAGGGCTTACAATCCTAAA</w:t>
            </w:r>
          </w:p>
        </w:tc>
        <w:tc>
          <w:tcPr>
            <w:tcW w:w="3375" w:type="dxa"/>
            <w:noWrap/>
            <w:vAlign w:val="center"/>
            <w:hideMark/>
          </w:tcPr>
          <w:p w14:paraId="4BA7B4E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TCTGGTTTGGTGTGACAGGCTCAG</w:t>
            </w:r>
          </w:p>
        </w:tc>
        <w:tc>
          <w:tcPr>
            <w:tcW w:w="2438" w:type="dxa"/>
            <w:noWrap/>
            <w:vAlign w:val="center"/>
            <w:hideMark/>
          </w:tcPr>
          <w:p w14:paraId="7BD4E60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65C0BB07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5B2619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44376">
              <w:rPr>
                <w:rFonts w:ascii="Arial" w:hAnsi="Arial" w:cs="Arial"/>
                <w:sz w:val="16"/>
                <w:szCs w:val="16"/>
              </w:rPr>
              <w:t>Mouse_Tert_gDNA</w:t>
            </w:r>
            <w:proofErr w:type="spellEnd"/>
          </w:p>
        </w:tc>
        <w:tc>
          <w:tcPr>
            <w:tcW w:w="3078" w:type="dxa"/>
            <w:noWrap/>
            <w:vAlign w:val="center"/>
            <w:hideMark/>
          </w:tcPr>
          <w:p w14:paraId="4757870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GAGACAATGGGTGGCAGTAA</w:t>
            </w:r>
          </w:p>
        </w:tc>
        <w:tc>
          <w:tcPr>
            <w:tcW w:w="3233" w:type="dxa"/>
            <w:noWrap/>
            <w:vAlign w:val="center"/>
            <w:hideMark/>
          </w:tcPr>
          <w:p w14:paraId="03E3B37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GCTTGGAGTCAGAGACCATAAG</w:t>
            </w:r>
          </w:p>
        </w:tc>
        <w:tc>
          <w:tcPr>
            <w:tcW w:w="3375" w:type="dxa"/>
            <w:noWrap/>
            <w:vAlign w:val="center"/>
            <w:hideMark/>
          </w:tcPr>
          <w:p w14:paraId="5169B91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ATGCAGTCCGTGGTTGGATGAGTT</w:t>
            </w:r>
          </w:p>
        </w:tc>
        <w:tc>
          <w:tcPr>
            <w:tcW w:w="2438" w:type="dxa"/>
            <w:noWrap/>
            <w:vAlign w:val="center"/>
            <w:hideMark/>
          </w:tcPr>
          <w:p w14:paraId="5FEEC32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354E8403" w14:textId="77777777" w:rsidTr="00903743">
        <w:trPr>
          <w:trHeight w:val="20"/>
        </w:trPr>
        <w:tc>
          <w:tcPr>
            <w:tcW w:w="14395" w:type="dxa"/>
            <w:gridSpan w:val="5"/>
            <w:noWrap/>
            <w:vAlign w:val="center"/>
            <w:hideMark/>
          </w:tcPr>
          <w:p w14:paraId="2DD3E6E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Genotyping assays to detect the presence of </w:t>
            </w:r>
            <w:r w:rsidRPr="003443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Syngap1</w:t>
            </w: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or </w:t>
            </w:r>
            <w:r w:rsidRPr="0034437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Stxbp1</w:t>
            </w: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 null alleles</w:t>
            </w:r>
          </w:p>
        </w:tc>
      </w:tr>
      <w:tr w:rsidR="00903743" w:rsidRPr="00344376" w14:paraId="7A7DFC86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02B3B3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078" w:type="dxa"/>
            <w:noWrap/>
            <w:vAlign w:val="center"/>
            <w:hideMark/>
          </w:tcPr>
          <w:p w14:paraId="358C45F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Forward (5’-&gt;3’)</w:t>
            </w:r>
          </w:p>
        </w:tc>
        <w:tc>
          <w:tcPr>
            <w:tcW w:w="3233" w:type="dxa"/>
            <w:noWrap/>
            <w:vAlign w:val="center"/>
            <w:hideMark/>
          </w:tcPr>
          <w:p w14:paraId="6164CE0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Reverse (5’-&gt;3’)</w:t>
            </w:r>
          </w:p>
        </w:tc>
        <w:tc>
          <w:tcPr>
            <w:tcW w:w="3375" w:type="dxa"/>
            <w:noWrap/>
            <w:vAlign w:val="center"/>
            <w:hideMark/>
          </w:tcPr>
          <w:p w14:paraId="7341A0D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Probe (5’-&gt;3’)</w:t>
            </w:r>
          </w:p>
        </w:tc>
        <w:tc>
          <w:tcPr>
            <w:tcW w:w="2438" w:type="dxa"/>
            <w:noWrap/>
            <w:vAlign w:val="center"/>
            <w:hideMark/>
          </w:tcPr>
          <w:p w14:paraId="37C422F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Assay ID (if applicable)</w:t>
            </w:r>
          </w:p>
        </w:tc>
      </w:tr>
      <w:tr w:rsidR="00903743" w:rsidRPr="00344376" w14:paraId="17894A88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4E4D939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Mouse_Stxbp1_WT_gDNA</w:t>
            </w:r>
          </w:p>
        </w:tc>
        <w:tc>
          <w:tcPr>
            <w:tcW w:w="3078" w:type="dxa"/>
            <w:noWrap/>
            <w:vAlign w:val="center"/>
            <w:hideMark/>
          </w:tcPr>
          <w:p w14:paraId="112506D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CCCTGAGCTCTCCTCTTCCTT</w:t>
            </w:r>
          </w:p>
        </w:tc>
        <w:tc>
          <w:tcPr>
            <w:tcW w:w="3233" w:type="dxa"/>
            <w:noWrap/>
            <w:vAlign w:val="center"/>
            <w:hideMark/>
          </w:tcPr>
          <w:p w14:paraId="5483416A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GCAGCAGGAGGACAGCAT</w:t>
            </w:r>
          </w:p>
        </w:tc>
        <w:tc>
          <w:tcPr>
            <w:tcW w:w="3375" w:type="dxa"/>
            <w:noWrap/>
            <w:vAlign w:val="center"/>
            <w:hideMark/>
          </w:tcPr>
          <w:p w14:paraId="4A714FE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CCACCACCAGCACCTG</w:t>
            </w:r>
          </w:p>
        </w:tc>
        <w:tc>
          <w:tcPr>
            <w:tcW w:w="2438" w:type="dxa"/>
            <w:noWrap/>
            <w:vAlign w:val="center"/>
            <w:hideMark/>
          </w:tcPr>
          <w:p w14:paraId="78134D4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729B9FAA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08FD08D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Mouse_Stxbp1_null_gDNA</w:t>
            </w:r>
          </w:p>
        </w:tc>
        <w:tc>
          <w:tcPr>
            <w:tcW w:w="3078" w:type="dxa"/>
            <w:noWrap/>
            <w:vAlign w:val="center"/>
            <w:hideMark/>
          </w:tcPr>
          <w:p w14:paraId="6E49EEB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GCTTATCGAGCTTGATATCGAATTCCT</w:t>
            </w:r>
          </w:p>
        </w:tc>
        <w:tc>
          <w:tcPr>
            <w:tcW w:w="3233" w:type="dxa"/>
            <w:noWrap/>
            <w:vAlign w:val="center"/>
            <w:hideMark/>
          </w:tcPr>
          <w:p w14:paraId="2558841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CTCAAGTTCAGAATTTGCCTACTTCACC</w:t>
            </w:r>
          </w:p>
        </w:tc>
        <w:tc>
          <w:tcPr>
            <w:tcW w:w="3375" w:type="dxa"/>
            <w:noWrap/>
            <w:vAlign w:val="center"/>
            <w:hideMark/>
          </w:tcPr>
          <w:p w14:paraId="4FCFCEC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CAGCCGTGTCACACAC</w:t>
            </w:r>
          </w:p>
        </w:tc>
        <w:tc>
          <w:tcPr>
            <w:tcW w:w="2438" w:type="dxa"/>
            <w:noWrap/>
            <w:vAlign w:val="center"/>
            <w:hideMark/>
          </w:tcPr>
          <w:p w14:paraId="723B93A2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6F2F643B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574939AA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Mouse_Syngap1_WT_gDNA</w:t>
            </w:r>
          </w:p>
        </w:tc>
        <w:tc>
          <w:tcPr>
            <w:tcW w:w="3078" w:type="dxa"/>
            <w:noWrap/>
            <w:vAlign w:val="center"/>
            <w:hideMark/>
          </w:tcPr>
          <w:p w14:paraId="2F3600C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ACCTCAAATCCACACTCCTCTCCAG</w:t>
            </w:r>
          </w:p>
        </w:tc>
        <w:tc>
          <w:tcPr>
            <w:tcW w:w="3233" w:type="dxa"/>
            <w:noWrap/>
            <w:vAlign w:val="center"/>
            <w:hideMark/>
          </w:tcPr>
          <w:p w14:paraId="45C9B4B4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AGGGAACATAAGTCTTGGCTCTGTC</w:t>
            </w:r>
          </w:p>
        </w:tc>
        <w:tc>
          <w:tcPr>
            <w:tcW w:w="3375" w:type="dxa"/>
            <w:noWrap/>
            <w:vAlign w:val="center"/>
            <w:hideMark/>
          </w:tcPr>
          <w:p w14:paraId="66263D5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Not applicable</w:t>
            </w:r>
          </w:p>
        </w:tc>
        <w:tc>
          <w:tcPr>
            <w:tcW w:w="2438" w:type="dxa"/>
            <w:noWrap/>
            <w:vAlign w:val="center"/>
            <w:hideMark/>
          </w:tcPr>
          <w:p w14:paraId="640D598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1E3392B1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08251862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Mouse_Syngap1_null_gDNA</w:t>
            </w:r>
          </w:p>
        </w:tc>
        <w:tc>
          <w:tcPr>
            <w:tcW w:w="3078" w:type="dxa"/>
            <w:noWrap/>
            <w:vAlign w:val="center"/>
            <w:hideMark/>
          </w:tcPr>
          <w:p w14:paraId="12251F47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ATGCTCCAGACTGCCTTGGGAAAAG</w:t>
            </w:r>
          </w:p>
        </w:tc>
        <w:tc>
          <w:tcPr>
            <w:tcW w:w="3233" w:type="dxa"/>
            <w:noWrap/>
            <w:vAlign w:val="center"/>
            <w:hideMark/>
          </w:tcPr>
          <w:p w14:paraId="352D98B2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AGGGAACATAAGTCTTGGCTCTGTC</w:t>
            </w:r>
          </w:p>
        </w:tc>
        <w:tc>
          <w:tcPr>
            <w:tcW w:w="3375" w:type="dxa"/>
            <w:noWrap/>
            <w:vAlign w:val="center"/>
            <w:hideMark/>
          </w:tcPr>
          <w:p w14:paraId="3147BD7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Not applicable</w:t>
            </w:r>
          </w:p>
        </w:tc>
        <w:tc>
          <w:tcPr>
            <w:tcW w:w="2438" w:type="dxa"/>
            <w:noWrap/>
            <w:vAlign w:val="center"/>
            <w:hideMark/>
          </w:tcPr>
          <w:p w14:paraId="283BEE5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0560F5DA" w14:textId="77777777" w:rsidTr="00903743">
        <w:trPr>
          <w:trHeight w:val="20"/>
        </w:trPr>
        <w:tc>
          <w:tcPr>
            <w:tcW w:w="14395" w:type="dxa"/>
            <w:gridSpan w:val="5"/>
            <w:noWrap/>
            <w:vAlign w:val="center"/>
            <w:hideMark/>
          </w:tcPr>
          <w:p w14:paraId="3B8F594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>RT-qPCR assays for molecular characterizations</w:t>
            </w:r>
          </w:p>
        </w:tc>
      </w:tr>
      <w:tr w:rsidR="00903743" w:rsidRPr="00344376" w14:paraId="5EFA52F0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73C465B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078" w:type="dxa"/>
            <w:noWrap/>
            <w:vAlign w:val="center"/>
            <w:hideMark/>
          </w:tcPr>
          <w:p w14:paraId="507FF0A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Forward (5’-&gt;3’)</w:t>
            </w:r>
          </w:p>
        </w:tc>
        <w:tc>
          <w:tcPr>
            <w:tcW w:w="3233" w:type="dxa"/>
            <w:noWrap/>
            <w:vAlign w:val="center"/>
            <w:hideMark/>
          </w:tcPr>
          <w:p w14:paraId="5741282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Reverse (5’-&gt;3’)</w:t>
            </w:r>
          </w:p>
        </w:tc>
        <w:tc>
          <w:tcPr>
            <w:tcW w:w="3375" w:type="dxa"/>
            <w:noWrap/>
            <w:vAlign w:val="center"/>
            <w:hideMark/>
          </w:tcPr>
          <w:p w14:paraId="79ADBA4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Probe (5’-&gt;3’)</w:t>
            </w:r>
          </w:p>
        </w:tc>
        <w:tc>
          <w:tcPr>
            <w:tcW w:w="2438" w:type="dxa"/>
            <w:noWrap/>
            <w:vAlign w:val="center"/>
            <w:hideMark/>
          </w:tcPr>
          <w:p w14:paraId="18CF2CE7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Assay ID (if applicable)</w:t>
            </w:r>
          </w:p>
        </w:tc>
      </w:tr>
      <w:tr w:rsidR="00903743" w:rsidRPr="00344376" w14:paraId="169F328B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444CA3C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Mouse_Syngap1_mRNA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4B347E1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GAGTGAGAAGCGCTTGAGA</w:t>
            </w:r>
          </w:p>
        </w:tc>
        <w:tc>
          <w:tcPr>
            <w:tcW w:w="3233" w:type="dxa"/>
            <w:noWrap/>
            <w:vAlign w:val="center"/>
            <w:hideMark/>
          </w:tcPr>
          <w:p w14:paraId="37D5D594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TTCTTGGGCTCAGGCAG</w:t>
            </w:r>
          </w:p>
        </w:tc>
        <w:tc>
          <w:tcPr>
            <w:tcW w:w="3375" w:type="dxa"/>
            <w:noWrap/>
            <w:vAlign w:val="center"/>
            <w:hideMark/>
          </w:tcPr>
          <w:p w14:paraId="216F627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CAGCAGCAGGTGGAGAAGGACT</w:t>
            </w:r>
          </w:p>
        </w:tc>
        <w:tc>
          <w:tcPr>
            <w:tcW w:w="2438" w:type="dxa"/>
            <w:noWrap/>
            <w:vAlign w:val="center"/>
            <w:hideMark/>
          </w:tcPr>
          <w:p w14:paraId="49211E9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4DCC0AAF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7462ADF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Human_SYNGAP1_mRNA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08BA15F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GCAGAGTGAGAAGAGGCTA</w:t>
            </w:r>
          </w:p>
        </w:tc>
        <w:tc>
          <w:tcPr>
            <w:tcW w:w="3233" w:type="dxa"/>
            <w:noWrap/>
            <w:vAlign w:val="center"/>
            <w:hideMark/>
          </w:tcPr>
          <w:p w14:paraId="65EA323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TCCTCCACCAGCATCAG</w:t>
            </w:r>
          </w:p>
        </w:tc>
        <w:tc>
          <w:tcPr>
            <w:tcW w:w="3375" w:type="dxa"/>
            <w:noWrap/>
            <w:vAlign w:val="center"/>
            <w:hideMark/>
          </w:tcPr>
          <w:p w14:paraId="6496829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TCCCAGATCAAGAGCATCATTGGCA</w:t>
            </w:r>
          </w:p>
        </w:tc>
        <w:tc>
          <w:tcPr>
            <w:tcW w:w="2438" w:type="dxa"/>
            <w:noWrap/>
            <w:vAlign w:val="center"/>
            <w:hideMark/>
          </w:tcPr>
          <w:p w14:paraId="7D1C9D5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58061DB4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7C2C8E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Total_SYNGAP1_mRNA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76A1D38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GCTGGATGAGGATGAGATACAC</w:t>
            </w:r>
          </w:p>
        </w:tc>
        <w:tc>
          <w:tcPr>
            <w:tcW w:w="3233" w:type="dxa"/>
            <w:noWrap/>
            <w:vAlign w:val="center"/>
            <w:hideMark/>
          </w:tcPr>
          <w:p w14:paraId="393DCAA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GAGCGACCCAAGTGGTATT</w:t>
            </w:r>
          </w:p>
        </w:tc>
        <w:tc>
          <w:tcPr>
            <w:tcW w:w="3375" w:type="dxa"/>
            <w:noWrap/>
            <w:vAlign w:val="center"/>
            <w:hideMark/>
          </w:tcPr>
          <w:p w14:paraId="12950B7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AACAAACTGCTGAGACGCAC</w:t>
            </w:r>
          </w:p>
        </w:tc>
        <w:tc>
          <w:tcPr>
            <w:tcW w:w="2438" w:type="dxa"/>
            <w:noWrap/>
            <w:vAlign w:val="center"/>
            <w:hideMark/>
          </w:tcPr>
          <w:p w14:paraId="7AE5AC0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1ED6A946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7DAE580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Human_SYNGAP1_Ex16-17</w:t>
            </w:r>
          </w:p>
        </w:tc>
        <w:tc>
          <w:tcPr>
            <w:tcW w:w="3078" w:type="dxa"/>
            <w:noWrap/>
            <w:vAlign w:val="center"/>
            <w:hideMark/>
          </w:tcPr>
          <w:p w14:paraId="24741C5A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3233" w:type="dxa"/>
            <w:noWrap/>
            <w:vAlign w:val="center"/>
            <w:hideMark/>
          </w:tcPr>
          <w:p w14:paraId="15705C7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3375" w:type="dxa"/>
            <w:noWrap/>
            <w:vAlign w:val="center"/>
            <w:hideMark/>
          </w:tcPr>
          <w:p w14:paraId="12985524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2438" w:type="dxa"/>
            <w:noWrap/>
            <w:vAlign w:val="center"/>
            <w:hideMark/>
          </w:tcPr>
          <w:p w14:paraId="79070EF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IDT (Hs.PT.58.4622325)</w:t>
            </w:r>
          </w:p>
        </w:tc>
      </w:tr>
      <w:tr w:rsidR="00903743" w:rsidRPr="00344376" w14:paraId="4F08A810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C28A01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Mouse_Stxbp1_mRNA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2D92A55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CGTATCAGTGAGCAGACCTA</w:t>
            </w:r>
          </w:p>
        </w:tc>
        <w:tc>
          <w:tcPr>
            <w:tcW w:w="3233" w:type="dxa"/>
            <w:noWrap/>
            <w:vAlign w:val="center"/>
            <w:hideMark/>
          </w:tcPr>
          <w:p w14:paraId="6DDEC92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GGTAGTGCTTTGTATCCAGC</w:t>
            </w:r>
          </w:p>
        </w:tc>
        <w:tc>
          <w:tcPr>
            <w:tcW w:w="3375" w:type="dxa"/>
            <w:noWrap/>
            <w:vAlign w:val="center"/>
            <w:hideMark/>
          </w:tcPr>
          <w:p w14:paraId="16D804B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AGACATTATGGAGGACACTATCGAAGACA</w:t>
            </w:r>
          </w:p>
        </w:tc>
        <w:tc>
          <w:tcPr>
            <w:tcW w:w="2438" w:type="dxa"/>
            <w:noWrap/>
            <w:vAlign w:val="center"/>
            <w:hideMark/>
          </w:tcPr>
          <w:p w14:paraId="7839734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5B3538AE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1A24410F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Human_STXBP1_mRNA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7BE0AEB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CATCAGCGAGCAGACCTA</w:t>
            </w:r>
          </w:p>
        </w:tc>
        <w:tc>
          <w:tcPr>
            <w:tcW w:w="3233" w:type="dxa"/>
            <w:noWrap/>
            <w:vAlign w:val="center"/>
            <w:hideMark/>
          </w:tcPr>
          <w:p w14:paraId="759BB39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GGTAGTGTTTGGTGTCAAGT</w:t>
            </w:r>
          </w:p>
        </w:tc>
        <w:tc>
          <w:tcPr>
            <w:tcW w:w="3375" w:type="dxa"/>
            <w:noWrap/>
            <w:vAlign w:val="center"/>
            <w:hideMark/>
          </w:tcPr>
          <w:p w14:paraId="71468817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AGGACATCATGGAGGACACTATTGAGGA</w:t>
            </w:r>
          </w:p>
        </w:tc>
        <w:tc>
          <w:tcPr>
            <w:tcW w:w="2438" w:type="dxa"/>
            <w:noWrap/>
            <w:vAlign w:val="center"/>
            <w:hideMark/>
          </w:tcPr>
          <w:p w14:paraId="39DFD68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5E92565F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3CC43E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Total_STXBP1_mRNA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6E56B75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ACAAGCACATCGCAGAGG</w:t>
            </w:r>
          </w:p>
        </w:tc>
        <w:tc>
          <w:tcPr>
            <w:tcW w:w="3233" w:type="dxa"/>
            <w:noWrap/>
            <w:vAlign w:val="center"/>
            <w:hideMark/>
          </w:tcPr>
          <w:p w14:paraId="0FC428B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TTCTTCAGCATCTGGGACAG</w:t>
            </w:r>
          </w:p>
        </w:tc>
        <w:tc>
          <w:tcPr>
            <w:tcW w:w="3375" w:type="dxa"/>
            <w:noWrap/>
            <w:vAlign w:val="center"/>
            <w:hideMark/>
          </w:tcPr>
          <w:p w14:paraId="735B09F6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AGGAAGTCACCCGGTCTCTGAA</w:t>
            </w:r>
          </w:p>
        </w:tc>
        <w:tc>
          <w:tcPr>
            <w:tcW w:w="2438" w:type="dxa"/>
            <w:noWrap/>
            <w:vAlign w:val="center"/>
            <w:hideMark/>
          </w:tcPr>
          <w:p w14:paraId="069A0A8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77C1BD60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2F08745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Mouse_Atp5f1_mRNA</w:t>
            </w:r>
          </w:p>
        </w:tc>
        <w:tc>
          <w:tcPr>
            <w:tcW w:w="3078" w:type="dxa"/>
            <w:noWrap/>
            <w:vAlign w:val="center"/>
            <w:hideMark/>
          </w:tcPr>
          <w:p w14:paraId="72643B24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3233" w:type="dxa"/>
            <w:noWrap/>
            <w:vAlign w:val="center"/>
            <w:hideMark/>
          </w:tcPr>
          <w:p w14:paraId="0A3DD8D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3375" w:type="dxa"/>
            <w:noWrap/>
            <w:vAlign w:val="center"/>
            <w:hideMark/>
          </w:tcPr>
          <w:p w14:paraId="01B4F7F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2438" w:type="dxa"/>
            <w:noWrap/>
            <w:vAlign w:val="center"/>
            <w:hideMark/>
          </w:tcPr>
          <w:p w14:paraId="16989CB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44376">
              <w:rPr>
                <w:rFonts w:ascii="Arial" w:hAnsi="Arial" w:cs="Arial"/>
                <w:sz w:val="16"/>
                <w:szCs w:val="16"/>
              </w:rPr>
              <w:t>Thermo</w:t>
            </w:r>
            <w:proofErr w:type="spellEnd"/>
            <w:r w:rsidRPr="00344376">
              <w:rPr>
                <w:rFonts w:ascii="Arial" w:hAnsi="Arial" w:cs="Arial"/>
                <w:sz w:val="16"/>
                <w:szCs w:val="16"/>
              </w:rPr>
              <w:t xml:space="preserve"> (Mm05814774_g1)</w:t>
            </w:r>
          </w:p>
        </w:tc>
      </w:tr>
      <w:tr w:rsidR="00903743" w:rsidRPr="00344376" w14:paraId="2614887B" w14:textId="77777777" w:rsidTr="00903743">
        <w:trPr>
          <w:trHeight w:val="20"/>
        </w:trPr>
        <w:tc>
          <w:tcPr>
            <w:tcW w:w="2271" w:type="dxa"/>
            <w:noWrap/>
            <w:vAlign w:val="center"/>
            <w:hideMark/>
          </w:tcPr>
          <w:p w14:paraId="5E8AFDFD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44376">
              <w:rPr>
                <w:rFonts w:ascii="Arial" w:hAnsi="Arial" w:cs="Arial"/>
                <w:sz w:val="16"/>
                <w:szCs w:val="16"/>
              </w:rPr>
              <w:t>Mouse_Actinb_mRNA</w:t>
            </w:r>
            <w:proofErr w:type="spellEnd"/>
          </w:p>
        </w:tc>
        <w:tc>
          <w:tcPr>
            <w:tcW w:w="3078" w:type="dxa"/>
            <w:noWrap/>
            <w:vAlign w:val="center"/>
            <w:hideMark/>
          </w:tcPr>
          <w:p w14:paraId="153EC554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3233" w:type="dxa"/>
            <w:noWrap/>
            <w:vAlign w:val="center"/>
            <w:hideMark/>
          </w:tcPr>
          <w:p w14:paraId="2424E90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3375" w:type="dxa"/>
            <w:noWrap/>
            <w:vAlign w:val="center"/>
            <w:hideMark/>
          </w:tcPr>
          <w:p w14:paraId="370B9BC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Proprietary</w:t>
            </w:r>
          </w:p>
        </w:tc>
        <w:tc>
          <w:tcPr>
            <w:tcW w:w="2438" w:type="dxa"/>
            <w:noWrap/>
            <w:vAlign w:val="center"/>
            <w:hideMark/>
          </w:tcPr>
          <w:p w14:paraId="53635DD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44376">
              <w:rPr>
                <w:rFonts w:ascii="Arial" w:hAnsi="Arial" w:cs="Arial"/>
                <w:sz w:val="16"/>
                <w:szCs w:val="16"/>
              </w:rPr>
              <w:t>Thermo</w:t>
            </w:r>
            <w:proofErr w:type="spellEnd"/>
            <w:r w:rsidRPr="00344376">
              <w:rPr>
                <w:rFonts w:ascii="Arial" w:hAnsi="Arial" w:cs="Arial"/>
                <w:sz w:val="16"/>
                <w:szCs w:val="16"/>
              </w:rPr>
              <w:t xml:space="preserve"> (Mm02619580_g1)</w:t>
            </w:r>
          </w:p>
        </w:tc>
      </w:tr>
      <w:tr w:rsidR="00903743" w:rsidRPr="00344376" w14:paraId="2068BFCE" w14:textId="77777777" w:rsidTr="00903743">
        <w:trPr>
          <w:trHeight w:val="20"/>
        </w:trPr>
        <w:tc>
          <w:tcPr>
            <w:tcW w:w="2271" w:type="dxa"/>
            <w:noWrap/>
            <w:vAlign w:val="center"/>
          </w:tcPr>
          <w:p w14:paraId="7CC49C1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Mouse_Cfap157_mRNA</w:t>
            </w:r>
          </w:p>
        </w:tc>
        <w:tc>
          <w:tcPr>
            <w:tcW w:w="3078" w:type="dxa"/>
            <w:noWrap/>
            <w:vAlign w:val="center"/>
          </w:tcPr>
          <w:p w14:paraId="1DA419A9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GAGGGCGAGTACAAGGAATAC </w:t>
            </w:r>
          </w:p>
        </w:tc>
        <w:tc>
          <w:tcPr>
            <w:tcW w:w="3233" w:type="dxa"/>
            <w:noWrap/>
            <w:vAlign w:val="center"/>
          </w:tcPr>
          <w:p w14:paraId="3B792802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CAGGTTCACACGCTGGATAA</w:t>
            </w:r>
          </w:p>
        </w:tc>
        <w:tc>
          <w:tcPr>
            <w:tcW w:w="3375" w:type="dxa"/>
            <w:noWrap/>
            <w:vAlign w:val="center"/>
          </w:tcPr>
          <w:p w14:paraId="3200B6B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AACCTGGAGAAGAAGTCTGTGCTGG</w:t>
            </w:r>
          </w:p>
        </w:tc>
        <w:tc>
          <w:tcPr>
            <w:tcW w:w="2438" w:type="dxa"/>
            <w:noWrap/>
            <w:vAlign w:val="center"/>
          </w:tcPr>
          <w:p w14:paraId="606F144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12BF7D53" w14:textId="77777777" w:rsidTr="00903743">
        <w:trPr>
          <w:trHeight w:val="20"/>
        </w:trPr>
        <w:tc>
          <w:tcPr>
            <w:tcW w:w="2271" w:type="dxa"/>
            <w:noWrap/>
            <w:vAlign w:val="center"/>
          </w:tcPr>
          <w:p w14:paraId="6D931288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Mouse_Zbtb9-3UTR_mRNA</w:t>
            </w:r>
          </w:p>
        </w:tc>
        <w:tc>
          <w:tcPr>
            <w:tcW w:w="3078" w:type="dxa"/>
            <w:noWrap/>
            <w:vAlign w:val="center"/>
          </w:tcPr>
          <w:p w14:paraId="3E3ADD4C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AATGGATCTGATGCCCTCTTC</w:t>
            </w:r>
          </w:p>
        </w:tc>
        <w:tc>
          <w:tcPr>
            <w:tcW w:w="3233" w:type="dxa"/>
            <w:noWrap/>
            <w:vAlign w:val="center"/>
          </w:tcPr>
          <w:p w14:paraId="73488A0B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CTGCCTCCTCTGTGTTGTAAT</w:t>
            </w:r>
          </w:p>
        </w:tc>
        <w:tc>
          <w:tcPr>
            <w:tcW w:w="3375" w:type="dxa"/>
            <w:noWrap/>
            <w:vAlign w:val="center"/>
          </w:tcPr>
          <w:p w14:paraId="40E4B53E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ACATGCAACAAGTGTGGTGCACAC</w:t>
            </w:r>
          </w:p>
        </w:tc>
        <w:tc>
          <w:tcPr>
            <w:tcW w:w="2438" w:type="dxa"/>
            <w:noWrap/>
            <w:vAlign w:val="center"/>
          </w:tcPr>
          <w:p w14:paraId="2109DF12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NA</w:t>
            </w:r>
          </w:p>
        </w:tc>
      </w:tr>
      <w:tr w:rsidR="00903743" w:rsidRPr="00344376" w14:paraId="0FE8B350" w14:textId="77777777" w:rsidTr="00903743">
        <w:trPr>
          <w:trHeight w:val="20"/>
        </w:trPr>
        <w:tc>
          <w:tcPr>
            <w:tcW w:w="2271" w:type="dxa"/>
            <w:noWrap/>
            <w:vAlign w:val="center"/>
          </w:tcPr>
          <w:p w14:paraId="57378D14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44376">
              <w:rPr>
                <w:rFonts w:ascii="Arial" w:hAnsi="Arial" w:cs="Arial"/>
                <w:sz w:val="16"/>
                <w:szCs w:val="16"/>
              </w:rPr>
              <w:t>Mouse_Cuta_mRNA</w:t>
            </w:r>
            <w:proofErr w:type="spellEnd"/>
          </w:p>
        </w:tc>
        <w:tc>
          <w:tcPr>
            <w:tcW w:w="3078" w:type="dxa"/>
            <w:noWrap/>
            <w:vAlign w:val="center"/>
          </w:tcPr>
          <w:p w14:paraId="092C0D63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CCGCAGATCACATCCATCTATG</w:t>
            </w:r>
          </w:p>
        </w:tc>
        <w:tc>
          <w:tcPr>
            <w:tcW w:w="3233" w:type="dxa"/>
            <w:noWrap/>
            <w:vAlign w:val="center"/>
          </w:tcPr>
          <w:p w14:paraId="7A0A4FA0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OLE_LINK1"/>
            <w:r w:rsidRPr="00344376">
              <w:rPr>
                <w:rFonts w:ascii="Arial" w:hAnsi="Arial" w:cs="Arial"/>
                <w:sz w:val="16"/>
                <w:szCs w:val="16"/>
              </w:rPr>
              <w:t>TGCACAGATCGAACAAACTCT</w:t>
            </w:r>
            <w:bookmarkEnd w:id="0"/>
          </w:p>
        </w:tc>
        <w:tc>
          <w:tcPr>
            <w:tcW w:w="3375" w:type="dxa"/>
            <w:noWrap/>
            <w:vAlign w:val="center"/>
          </w:tcPr>
          <w:p w14:paraId="789DA3F5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TAAAACCCAAAGCTCCCTGGTCCC</w:t>
            </w:r>
          </w:p>
        </w:tc>
        <w:tc>
          <w:tcPr>
            <w:tcW w:w="2438" w:type="dxa"/>
            <w:noWrap/>
            <w:vAlign w:val="center"/>
          </w:tcPr>
          <w:p w14:paraId="52A7F181" w14:textId="77777777" w:rsidR="00903743" w:rsidRPr="00344376" w:rsidRDefault="00903743" w:rsidP="00903743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IDT (Mm.PT.58.30301475)</w:t>
            </w:r>
          </w:p>
        </w:tc>
      </w:tr>
    </w:tbl>
    <w:p w14:paraId="4C89D054" w14:textId="233E008C" w:rsidR="003A50BC" w:rsidRPr="00344376" w:rsidRDefault="00903743" w:rsidP="00903743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t>Supplementary Table 1. qPCR assays used in this study.</w:t>
      </w:r>
    </w:p>
    <w:p w14:paraId="3C54A468" w14:textId="7F9EF8CE" w:rsidR="0084118C" w:rsidRPr="00344376" w:rsidRDefault="004A2CB4" w:rsidP="0084118C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44376">
        <w:rPr>
          <w:rFonts w:ascii="Arial" w:hAnsi="Arial" w:cs="Arial"/>
          <w:b/>
          <w:bCs/>
          <w:sz w:val="20"/>
          <w:szCs w:val="20"/>
        </w:rPr>
        <w:lastRenderedPageBreak/>
        <w:t>Supplementary Table 2</w:t>
      </w:r>
      <w:r w:rsidR="0084118C" w:rsidRPr="00344376">
        <w:rPr>
          <w:rFonts w:ascii="Arial" w:hAnsi="Arial" w:cs="Arial"/>
          <w:b/>
          <w:bCs/>
          <w:sz w:val="20"/>
          <w:szCs w:val="20"/>
        </w:rPr>
        <w:t>. ASOs used in this study.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5"/>
        <w:gridCol w:w="1080"/>
        <w:gridCol w:w="2380"/>
        <w:gridCol w:w="1057"/>
        <w:gridCol w:w="4860"/>
        <w:gridCol w:w="3308"/>
      </w:tblGrid>
      <w:tr w:rsidR="0003195E" w:rsidRPr="00344376" w14:paraId="63C763CC" w14:textId="77777777" w:rsidTr="0003195E">
        <w:trPr>
          <w:trHeight w:val="276"/>
          <w:jc w:val="center"/>
        </w:trPr>
        <w:tc>
          <w:tcPr>
            <w:tcW w:w="1705" w:type="dxa"/>
            <w:noWrap/>
            <w:vAlign w:val="center"/>
            <w:hideMark/>
          </w:tcPr>
          <w:p w14:paraId="61A56646" w14:textId="77777777" w:rsidR="0003195E" w:rsidRPr="00344376" w:rsidRDefault="0003195E" w:rsidP="0003195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Target</w:t>
            </w:r>
          </w:p>
        </w:tc>
        <w:tc>
          <w:tcPr>
            <w:tcW w:w="1080" w:type="dxa"/>
            <w:noWrap/>
            <w:vAlign w:val="center"/>
            <w:hideMark/>
          </w:tcPr>
          <w:p w14:paraId="2151815E" w14:textId="77777777" w:rsidR="0003195E" w:rsidRPr="00344376" w:rsidRDefault="0003195E" w:rsidP="0003195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2380" w:type="dxa"/>
            <w:noWrap/>
            <w:vAlign w:val="center"/>
            <w:hideMark/>
          </w:tcPr>
          <w:p w14:paraId="4EDCC93E" w14:textId="77777777" w:rsidR="0003195E" w:rsidRPr="00344376" w:rsidRDefault="0003195E" w:rsidP="0003195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ASO (5'-&gt;3')</w:t>
            </w:r>
          </w:p>
        </w:tc>
        <w:tc>
          <w:tcPr>
            <w:tcW w:w="1057" w:type="dxa"/>
            <w:noWrap/>
            <w:vAlign w:val="center"/>
            <w:hideMark/>
          </w:tcPr>
          <w:p w14:paraId="07211E0D" w14:textId="77777777" w:rsidR="0003195E" w:rsidRPr="00344376" w:rsidRDefault="0003195E" w:rsidP="0003195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Length (</w:t>
            </w:r>
            <w:proofErr w:type="spellStart"/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  <w:proofErr w:type="spellEnd"/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860" w:type="dxa"/>
            <w:noWrap/>
            <w:vAlign w:val="center"/>
            <w:hideMark/>
          </w:tcPr>
          <w:p w14:paraId="1C8A99FD" w14:textId="77777777" w:rsidR="0003195E" w:rsidRPr="00344376" w:rsidRDefault="0003195E" w:rsidP="0003195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Chemistry</w:t>
            </w:r>
          </w:p>
        </w:tc>
        <w:tc>
          <w:tcPr>
            <w:tcW w:w="3308" w:type="dxa"/>
            <w:noWrap/>
            <w:vAlign w:val="center"/>
            <w:hideMark/>
          </w:tcPr>
          <w:p w14:paraId="0C423A68" w14:textId="77777777" w:rsidR="0003195E" w:rsidRPr="00344376" w:rsidRDefault="0003195E" w:rsidP="0003195E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4376">
              <w:rPr>
                <w:rFonts w:ascii="Arial" w:hAnsi="Arial" w:cs="Arial"/>
                <w:b/>
                <w:bCs/>
                <w:sz w:val="16"/>
                <w:szCs w:val="16"/>
              </w:rPr>
              <w:t>Comments</w:t>
            </w:r>
          </w:p>
        </w:tc>
      </w:tr>
      <w:tr w:rsidR="0003195E" w:rsidRPr="00344376" w14:paraId="3512C04B" w14:textId="77777777" w:rsidTr="008539F2">
        <w:trPr>
          <w:trHeight w:val="276"/>
          <w:jc w:val="center"/>
        </w:trPr>
        <w:tc>
          <w:tcPr>
            <w:tcW w:w="1705" w:type="dxa"/>
            <w:noWrap/>
            <w:vAlign w:val="center"/>
            <w:hideMark/>
          </w:tcPr>
          <w:p w14:paraId="734C75E7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Non-targeting control</w:t>
            </w:r>
          </w:p>
        </w:tc>
        <w:tc>
          <w:tcPr>
            <w:tcW w:w="1080" w:type="dxa"/>
            <w:noWrap/>
            <w:vAlign w:val="center"/>
            <w:hideMark/>
          </w:tcPr>
          <w:p w14:paraId="5754153B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ET-SC2</w:t>
            </w:r>
          </w:p>
        </w:tc>
        <w:tc>
          <w:tcPr>
            <w:tcW w:w="2380" w:type="dxa"/>
            <w:noWrap/>
            <w:vAlign w:val="center"/>
            <w:hideMark/>
          </w:tcPr>
          <w:p w14:paraId="4FBF4B14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AGGTCGGTGACAGTTGCA</w:t>
            </w:r>
          </w:p>
        </w:tc>
        <w:tc>
          <w:tcPr>
            <w:tcW w:w="1057" w:type="dxa"/>
            <w:noWrap/>
            <w:vAlign w:val="center"/>
            <w:hideMark/>
          </w:tcPr>
          <w:p w14:paraId="78B02584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60" w:type="dxa"/>
            <w:noWrap/>
            <w:vAlign w:val="center"/>
            <w:hideMark/>
          </w:tcPr>
          <w:p w14:paraId="189C1E55" w14:textId="04B3D741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2'-Methoxyethyl (2'MOE) with full phosphorothioate (PS) backbone</w:t>
            </w:r>
          </w:p>
        </w:tc>
        <w:tc>
          <w:tcPr>
            <w:tcW w:w="3308" w:type="dxa"/>
            <w:noWrap/>
            <w:vAlign w:val="center"/>
            <w:hideMark/>
          </w:tcPr>
          <w:p w14:paraId="38447394" w14:textId="575FA3E5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195E" w:rsidRPr="00344376" w14:paraId="220AF0CF" w14:textId="77777777" w:rsidTr="008539F2">
        <w:trPr>
          <w:trHeight w:val="276"/>
          <w:jc w:val="center"/>
        </w:trPr>
        <w:tc>
          <w:tcPr>
            <w:tcW w:w="1705" w:type="dxa"/>
            <w:noWrap/>
            <w:vAlign w:val="center"/>
            <w:hideMark/>
          </w:tcPr>
          <w:p w14:paraId="2B67DAAF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 SYNGAP1</w:t>
            </w:r>
          </w:p>
        </w:tc>
        <w:tc>
          <w:tcPr>
            <w:tcW w:w="1080" w:type="dxa"/>
            <w:noWrap/>
            <w:vAlign w:val="center"/>
            <w:hideMark/>
          </w:tcPr>
          <w:p w14:paraId="4A3D3275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Gap-SYN</w:t>
            </w:r>
          </w:p>
        </w:tc>
        <w:tc>
          <w:tcPr>
            <w:tcW w:w="2380" w:type="dxa"/>
            <w:noWrap/>
            <w:vAlign w:val="center"/>
            <w:hideMark/>
          </w:tcPr>
          <w:p w14:paraId="28C585E7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CGGTGTTTCGGAACTCGC</w:t>
            </w:r>
          </w:p>
        </w:tc>
        <w:tc>
          <w:tcPr>
            <w:tcW w:w="1057" w:type="dxa"/>
            <w:noWrap/>
            <w:vAlign w:val="center"/>
            <w:hideMark/>
          </w:tcPr>
          <w:p w14:paraId="3CAEA8C3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60" w:type="dxa"/>
            <w:noWrap/>
            <w:vAlign w:val="center"/>
            <w:hideMark/>
          </w:tcPr>
          <w:p w14:paraId="138D2360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Locked nucleic acid (LNA)-DNA-LNA (4-10-4). All PS.</w:t>
            </w:r>
          </w:p>
        </w:tc>
        <w:tc>
          <w:tcPr>
            <w:tcW w:w="3308" w:type="dxa"/>
            <w:noWrap/>
            <w:vAlign w:val="center"/>
            <w:hideMark/>
          </w:tcPr>
          <w:p w14:paraId="2892C7E2" w14:textId="0B1F706C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195E" w:rsidRPr="00344376" w14:paraId="276E52C9" w14:textId="77777777" w:rsidTr="008539F2">
        <w:trPr>
          <w:trHeight w:val="276"/>
          <w:jc w:val="center"/>
        </w:trPr>
        <w:tc>
          <w:tcPr>
            <w:tcW w:w="1705" w:type="dxa"/>
            <w:noWrap/>
            <w:vAlign w:val="center"/>
            <w:hideMark/>
          </w:tcPr>
          <w:p w14:paraId="18C50886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 SYNGAP1</w:t>
            </w:r>
          </w:p>
        </w:tc>
        <w:tc>
          <w:tcPr>
            <w:tcW w:w="1080" w:type="dxa"/>
            <w:noWrap/>
            <w:vAlign w:val="center"/>
            <w:hideMark/>
          </w:tcPr>
          <w:p w14:paraId="59E4AF8E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ET-019</w:t>
            </w:r>
          </w:p>
        </w:tc>
        <w:tc>
          <w:tcPr>
            <w:tcW w:w="2380" w:type="dxa"/>
            <w:noWrap/>
            <w:vAlign w:val="center"/>
            <w:hideMark/>
          </w:tcPr>
          <w:p w14:paraId="352FC13D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CACGTGGGAGAGAGATGG</w:t>
            </w:r>
          </w:p>
        </w:tc>
        <w:tc>
          <w:tcPr>
            <w:tcW w:w="1057" w:type="dxa"/>
            <w:noWrap/>
            <w:vAlign w:val="center"/>
            <w:hideMark/>
          </w:tcPr>
          <w:p w14:paraId="04151529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60" w:type="dxa"/>
            <w:noWrap/>
            <w:vAlign w:val="center"/>
            <w:hideMark/>
          </w:tcPr>
          <w:p w14:paraId="37D96AC3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2'MOE-PS</w:t>
            </w:r>
          </w:p>
        </w:tc>
        <w:tc>
          <w:tcPr>
            <w:tcW w:w="3308" w:type="dxa"/>
            <w:noWrap/>
            <w:vAlign w:val="center"/>
            <w:hideMark/>
          </w:tcPr>
          <w:p w14:paraId="2AE17C67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From McKenna and Felix et. al. 2023</w:t>
            </w:r>
          </w:p>
        </w:tc>
      </w:tr>
      <w:tr w:rsidR="0003195E" w:rsidRPr="0003195E" w14:paraId="2B938F90" w14:textId="77777777" w:rsidTr="008539F2">
        <w:trPr>
          <w:trHeight w:val="276"/>
          <w:jc w:val="center"/>
        </w:trPr>
        <w:tc>
          <w:tcPr>
            <w:tcW w:w="1705" w:type="dxa"/>
            <w:noWrap/>
            <w:vAlign w:val="center"/>
            <w:hideMark/>
          </w:tcPr>
          <w:p w14:paraId="4E6ABAEA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Human SYNGAP1</w:t>
            </w:r>
          </w:p>
        </w:tc>
        <w:tc>
          <w:tcPr>
            <w:tcW w:w="1080" w:type="dxa"/>
            <w:noWrap/>
            <w:vAlign w:val="center"/>
            <w:hideMark/>
          </w:tcPr>
          <w:p w14:paraId="6F91914D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ET-085</w:t>
            </w:r>
          </w:p>
        </w:tc>
        <w:tc>
          <w:tcPr>
            <w:tcW w:w="2380" w:type="dxa"/>
            <w:noWrap/>
            <w:vAlign w:val="center"/>
            <w:hideMark/>
          </w:tcPr>
          <w:p w14:paraId="3E801F33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TCCAGGGAACATGCTGAG</w:t>
            </w:r>
          </w:p>
        </w:tc>
        <w:tc>
          <w:tcPr>
            <w:tcW w:w="1057" w:type="dxa"/>
            <w:noWrap/>
            <w:vAlign w:val="center"/>
            <w:hideMark/>
          </w:tcPr>
          <w:p w14:paraId="5439B47A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860" w:type="dxa"/>
            <w:noWrap/>
            <w:vAlign w:val="center"/>
            <w:hideMark/>
          </w:tcPr>
          <w:p w14:paraId="44CD9B10" w14:textId="77777777" w:rsidR="0003195E" w:rsidRPr="00344376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2'MOE-PS</w:t>
            </w:r>
          </w:p>
        </w:tc>
        <w:tc>
          <w:tcPr>
            <w:tcW w:w="3308" w:type="dxa"/>
            <w:noWrap/>
            <w:vAlign w:val="center"/>
            <w:hideMark/>
          </w:tcPr>
          <w:p w14:paraId="1EC2A07D" w14:textId="77777777" w:rsidR="0003195E" w:rsidRPr="0003195E" w:rsidRDefault="0003195E" w:rsidP="008539F2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4376">
              <w:rPr>
                <w:rFonts w:ascii="Arial" w:hAnsi="Arial" w:cs="Arial"/>
                <w:sz w:val="16"/>
                <w:szCs w:val="16"/>
              </w:rPr>
              <w:t>From McKenna and Felix et. al. 2023</w:t>
            </w:r>
          </w:p>
        </w:tc>
      </w:tr>
    </w:tbl>
    <w:p w14:paraId="1DFCD6F8" w14:textId="77777777" w:rsidR="00452939" w:rsidRDefault="00452939" w:rsidP="008D259D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F96C820" w14:textId="2311A291" w:rsidR="006B60CA" w:rsidRDefault="006B60CA" w:rsidP="006B60CA">
      <w:pPr>
        <w:spacing w:line="480" w:lineRule="auto"/>
        <w:rPr>
          <w:rFonts w:ascii="Arial" w:hAnsi="Arial" w:cs="Arial"/>
          <w:b/>
          <w:bCs/>
          <w:sz w:val="20"/>
          <w:szCs w:val="20"/>
        </w:rPr>
      </w:pPr>
    </w:p>
    <w:sectPr w:rsidR="006B60CA" w:rsidSect="009037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5F"/>
    <w:rsid w:val="0000444F"/>
    <w:rsid w:val="00005C5E"/>
    <w:rsid w:val="0000661F"/>
    <w:rsid w:val="00024FBA"/>
    <w:rsid w:val="00026B11"/>
    <w:rsid w:val="00027D80"/>
    <w:rsid w:val="0003195E"/>
    <w:rsid w:val="000405EA"/>
    <w:rsid w:val="00051EA3"/>
    <w:rsid w:val="00057BB4"/>
    <w:rsid w:val="000637B4"/>
    <w:rsid w:val="0006470B"/>
    <w:rsid w:val="000B5C78"/>
    <w:rsid w:val="000C6F7D"/>
    <w:rsid w:val="000C7A4B"/>
    <w:rsid w:val="000D060B"/>
    <w:rsid w:val="000D65A0"/>
    <w:rsid w:val="000E4DA6"/>
    <w:rsid w:val="000F07D5"/>
    <w:rsid w:val="000F5195"/>
    <w:rsid w:val="000F6B32"/>
    <w:rsid w:val="00107040"/>
    <w:rsid w:val="00117554"/>
    <w:rsid w:val="00120841"/>
    <w:rsid w:val="001424B4"/>
    <w:rsid w:val="0015003A"/>
    <w:rsid w:val="0015514D"/>
    <w:rsid w:val="0016254A"/>
    <w:rsid w:val="00165A7E"/>
    <w:rsid w:val="001757D6"/>
    <w:rsid w:val="00191C45"/>
    <w:rsid w:val="00192101"/>
    <w:rsid w:val="00192122"/>
    <w:rsid w:val="00197A5F"/>
    <w:rsid w:val="001A0EA3"/>
    <w:rsid w:val="001B2078"/>
    <w:rsid w:val="001C1562"/>
    <w:rsid w:val="001C2AB2"/>
    <w:rsid w:val="001C3EB9"/>
    <w:rsid w:val="001C6BD9"/>
    <w:rsid w:val="001F13B0"/>
    <w:rsid w:val="002033D5"/>
    <w:rsid w:val="00211DC3"/>
    <w:rsid w:val="00243537"/>
    <w:rsid w:val="00264896"/>
    <w:rsid w:val="00266E49"/>
    <w:rsid w:val="002771B7"/>
    <w:rsid w:val="002957D7"/>
    <w:rsid w:val="002B46AA"/>
    <w:rsid w:val="002B6A47"/>
    <w:rsid w:val="002B6AAF"/>
    <w:rsid w:val="002C551E"/>
    <w:rsid w:val="002D1E77"/>
    <w:rsid w:val="002D626F"/>
    <w:rsid w:val="002E37D8"/>
    <w:rsid w:val="003069B3"/>
    <w:rsid w:val="00310D30"/>
    <w:rsid w:val="00314290"/>
    <w:rsid w:val="00324516"/>
    <w:rsid w:val="0032704C"/>
    <w:rsid w:val="00341E70"/>
    <w:rsid w:val="00344376"/>
    <w:rsid w:val="0034626A"/>
    <w:rsid w:val="00383E6C"/>
    <w:rsid w:val="00394DAE"/>
    <w:rsid w:val="003A50BC"/>
    <w:rsid w:val="003B78FE"/>
    <w:rsid w:val="003C7601"/>
    <w:rsid w:val="004027E4"/>
    <w:rsid w:val="00406B6C"/>
    <w:rsid w:val="00411CE5"/>
    <w:rsid w:val="0041626E"/>
    <w:rsid w:val="00421A20"/>
    <w:rsid w:val="00435ABD"/>
    <w:rsid w:val="004437AE"/>
    <w:rsid w:val="00446EA3"/>
    <w:rsid w:val="00452939"/>
    <w:rsid w:val="00456E5D"/>
    <w:rsid w:val="00460F48"/>
    <w:rsid w:val="004862B6"/>
    <w:rsid w:val="00490A0F"/>
    <w:rsid w:val="004914D6"/>
    <w:rsid w:val="004A2CB4"/>
    <w:rsid w:val="004A3281"/>
    <w:rsid w:val="004B1935"/>
    <w:rsid w:val="004B3801"/>
    <w:rsid w:val="004B4641"/>
    <w:rsid w:val="004B7685"/>
    <w:rsid w:val="004C7525"/>
    <w:rsid w:val="004D638E"/>
    <w:rsid w:val="004F5D66"/>
    <w:rsid w:val="00500B39"/>
    <w:rsid w:val="00506877"/>
    <w:rsid w:val="005144A3"/>
    <w:rsid w:val="00530C5E"/>
    <w:rsid w:val="00533919"/>
    <w:rsid w:val="0054255F"/>
    <w:rsid w:val="00542C72"/>
    <w:rsid w:val="00543370"/>
    <w:rsid w:val="005447F7"/>
    <w:rsid w:val="00552A04"/>
    <w:rsid w:val="0056206C"/>
    <w:rsid w:val="00562C02"/>
    <w:rsid w:val="00572A0C"/>
    <w:rsid w:val="00592A1F"/>
    <w:rsid w:val="00597162"/>
    <w:rsid w:val="005A228B"/>
    <w:rsid w:val="005A3038"/>
    <w:rsid w:val="005B0222"/>
    <w:rsid w:val="005B317D"/>
    <w:rsid w:val="005D12C5"/>
    <w:rsid w:val="005D3EC0"/>
    <w:rsid w:val="005E4526"/>
    <w:rsid w:val="005F1E35"/>
    <w:rsid w:val="006012DF"/>
    <w:rsid w:val="00646A3A"/>
    <w:rsid w:val="00647078"/>
    <w:rsid w:val="006617B4"/>
    <w:rsid w:val="006653E4"/>
    <w:rsid w:val="00665824"/>
    <w:rsid w:val="00690A00"/>
    <w:rsid w:val="00692EC6"/>
    <w:rsid w:val="006A674E"/>
    <w:rsid w:val="006B4541"/>
    <w:rsid w:val="006B60CA"/>
    <w:rsid w:val="006B6288"/>
    <w:rsid w:val="006C5B04"/>
    <w:rsid w:val="006C5B65"/>
    <w:rsid w:val="006C61DD"/>
    <w:rsid w:val="0071647E"/>
    <w:rsid w:val="007379AD"/>
    <w:rsid w:val="00741726"/>
    <w:rsid w:val="00760204"/>
    <w:rsid w:val="007A3434"/>
    <w:rsid w:val="007B31FC"/>
    <w:rsid w:val="007C2201"/>
    <w:rsid w:val="007C39D4"/>
    <w:rsid w:val="007C7957"/>
    <w:rsid w:val="007E6C43"/>
    <w:rsid w:val="008035FD"/>
    <w:rsid w:val="0081078D"/>
    <w:rsid w:val="00810D43"/>
    <w:rsid w:val="008129CE"/>
    <w:rsid w:val="00834C51"/>
    <w:rsid w:val="008353BE"/>
    <w:rsid w:val="0084118C"/>
    <w:rsid w:val="008539F2"/>
    <w:rsid w:val="00885E30"/>
    <w:rsid w:val="008868B4"/>
    <w:rsid w:val="008A0462"/>
    <w:rsid w:val="008C32C6"/>
    <w:rsid w:val="008C455B"/>
    <w:rsid w:val="008D259D"/>
    <w:rsid w:val="008E4ED0"/>
    <w:rsid w:val="00902617"/>
    <w:rsid w:val="00903743"/>
    <w:rsid w:val="00910DEF"/>
    <w:rsid w:val="00927C67"/>
    <w:rsid w:val="00947358"/>
    <w:rsid w:val="009556E2"/>
    <w:rsid w:val="00956B88"/>
    <w:rsid w:val="00965CD8"/>
    <w:rsid w:val="00966EE9"/>
    <w:rsid w:val="00977696"/>
    <w:rsid w:val="0098292E"/>
    <w:rsid w:val="00991F25"/>
    <w:rsid w:val="0099223F"/>
    <w:rsid w:val="009A1816"/>
    <w:rsid w:val="009A1A7A"/>
    <w:rsid w:val="009A1AB3"/>
    <w:rsid w:val="009B0C83"/>
    <w:rsid w:val="009B5ECE"/>
    <w:rsid w:val="009B6BF0"/>
    <w:rsid w:val="009C2CC4"/>
    <w:rsid w:val="009D64D7"/>
    <w:rsid w:val="009E62AF"/>
    <w:rsid w:val="009E7525"/>
    <w:rsid w:val="009F4D4B"/>
    <w:rsid w:val="00A174C3"/>
    <w:rsid w:val="00A24CDC"/>
    <w:rsid w:val="00A2666E"/>
    <w:rsid w:val="00A3332F"/>
    <w:rsid w:val="00A35956"/>
    <w:rsid w:val="00A55283"/>
    <w:rsid w:val="00A664F9"/>
    <w:rsid w:val="00A74D8B"/>
    <w:rsid w:val="00A778AE"/>
    <w:rsid w:val="00A84982"/>
    <w:rsid w:val="00A87D6C"/>
    <w:rsid w:val="00A90499"/>
    <w:rsid w:val="00A94422"/>
    <w:rsid w:val="00AA1361"/>
    <w:rsid w:val="00AA1487"/>
    <w:rsid w:val="00AE15A8"/>
    <w:rsid w:val="00AF33FD"/>
    <w:rsid w:val="00AF50DF"/>
    <w:rsid w:val="00B0139C"/>
    <w:rsid w:val="00B1567C"/>
    <w:rsid w:val="00B179A2"/>
    <w:rsid w:val="00B2214B"/>
    <w:rsid w:val="00B4755F"/>
    <w:rsid w:val="00B54354"/>
    <w:rsid w:val="00B61DFC"/>
    <w:rsid w:val="00B62C01"/>
    <w:rsid w:val="00B72CFF"/>
    <w:rsid w:val="00B74F57"/>
    <w:rsid w:val="00B76A81"/>
    <w:rsid w:val="00BB50F0"/>
    <w:rsid w:val="00BC10CA"/>
    <w:rsid w:val="00BC405D"/>
    <w:rsid w:val="00BE47A0"/>
    <w:rsid w:val="00BF337E"/>
    <w:rsid w:val="00C00BF4"/>
    <w:rsid w:val="00C05A65"/>
    <w:rsid w:val="00C13E64"/>
    <w:rsid w:val="00C22DB0"/>
    <w:rsid w:val="00C31FB2"/>
    <w:rsid w:val="00C33A4A"/>
    <w:rsid w:val="00C52B32"/>
    <w:rsid w:val="00C52DAD"/>
    <w:rsid w:val="00C532E8"/>
    <w:rsid w:val="00C53ABB"/>
    <w:rsid w:val="00C70EDF"/>
    <w:rsid w:val="00C750C9"/>
    <w:rsid w:val="00CC5AF4"/>
    <w:rsid w:val="00CD24AB"/>
    <w:rsid w:val="00CE205F"/>
    <w:rsid w:val="00D02687"/>
    <w:rsid w:val="00D14893"/>
    <w:rsid w:val="00D16AFA"/>
    <w:rsid w:val="00D2492C"/>
    <w:rsid w:val="00D27FEA"/>
    <w:rsid w:val="00D56CDC"/>
    <w:rsid w:val="00D65910"/>
    <w:rsid w:val="00D71E59"/>
    <w:rsid w:val="00D828AC"/>
    <w:rsid w:val="00D84F61"/>
    <w:rsid w:val="00D86C01"/>
    <w:rsid w:val="00D93C55"/>
    <w:rsid w:val="00D960AE"/>
    <w:rsid w:val="00DA5143"/>
    <w:rsid w:val="00DF1DEE"/>
    <w:rsid w:val="00E14FAF"/>
    <w:rsid w:val="00E15D4F"/>
    <w:rsid w:val="00E21D04"/>
    <w:rsid w:val="00E22D76"/>
    <w:rsid w:val="00E259A5"/>
    <w:rsid w:val="00E4115E"/>
    <w:rsid w:val="00E414EB"/>
    <w:rsid w:val="00E61C31"/>
    <w:rsid w:val="00E706EE"/>
    <w:rsid w:val="00E70D7D"/>
    <w:rsid w:val="00E7295C"/>
    <w:rsid w:val="00EA3626"/>
    <w:rsid w:val="00F01C5A"/>
    <w:rsid w:val="00F05A6E"/>
    <w:rsid w:val="00F36117"/>
    <w:rsid w:val="00F41553"/>
    <w:rsid w:val="00F43664"/>
    <w:rsid w:val="00F557CB"/>
    <w:rsid w:val="00F70CC4"/>
    <w:rsid w:val="00F7277A"/>
    <w:rsid w:val="00F76686"/>
    <w:rsid w:val="00F94F1E"/>
    <w:rsid w:val="00F954BD"/>
    <w:rsid w:val="00FA1AD9"/>
    <w:rsid w:val="00FA1C47"/>
    <w:rsid w:val="00FA3643"/>
    <w:rsid w:val="00FB368B"/>
    <w:rsid w:val="00FB7888"/>
    <w:rsid w:val="00FD5CFE"/>
    <w:rsid w:val="00FE0C4F"/>
    <w:rsid w:val="00FF30EB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3340"/>
  <w15:chartTrackingRefBased/>
  <w15:docId w15:val="{D1497EAA-4971-46B0-A724-A5129DC2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05F"/>
    <w:rPr>
      <w:rFonts w:asciiTheme="minorHAnsi" w:hAnsiTheme="minorHAnsi" w:cstheme="minorBidi"/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0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0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0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0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0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0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05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0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05F"/>
    <w:pPr>
      <w:spacing w:before="160"/>
      <w:jc w:val="center"/>
    </w:pPr>
    <w:rPr>
      <w:rFonts w:ascii="Arial" w:hAnsi="Arial" w:cs="Arial"/>
      <w:i/>
      <w:iCs/>
      <w:color w:val="404040" w:themeColor="text1" w:themeTint="BF"/>
      <w:kern w:val="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CE20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05F"/>
    <w:pPr>
      <w:ind w:left="720"/>
      <w:contextualSpacing/>
    </w:pPr>
    <w:rPr>
      <w:rFonts w:ascii="Arial" w:hAnsi="Arial" w:cs="Arial"/>
      <w:kern w:val="0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sid w:val="00CE20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 w:cs="Arial"/>
      <w:i/>
      <w:iCs/>
      <w:color w:val="0F4761" w:themeColor="accent1" w:themeShade="BF"/>
      <w:kern w:val="0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0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05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1C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C5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B60CA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B61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1D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1DFC"/>
    <w:rPr>
      <w:rFonts w:asciiTheme="minorHAnsi" w:hAnsiTheme="minorHAnsi" w:cstheme="minorBidi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DFC"/>
    <w:rPr>
      <w:rFonts w:asciiTheme="minorHAnsi" w:hAnsiTheme="minorHAnsi" w:cstheme="minorBidi"/>
      <w:b/>
      <w:bCs/>
      <w:kern w:val="2"/>
    </w:rPr>
  </w:style>
  <w:style w:type="paragraph" w:styleId="Revision">
    <w:name w:val="Revision"/>
    <w:hidden/>
    <w:uiPriority w:val="99"/>
    <w:semiHidden/>
    <w:rsid w:val="000C6F7D"/>
    <w:pPr>
      <w:spacing w:after="0" w:line="240" w:lineRule="auto"/>
    </w:pPr>
    <w:rPr>
      <w:rFonts w:asciiTheme="minorHAnsi" w:hAnsiTheme="minorHAnsi" w:cstheme="min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296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222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248">
      <w:marLeft w:val="6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2968A3-A00C-4E8E-90DF-41128484EA8D}">
  <we:reference id="wa104382081" version="1.55.1.0" store="en-US" storeType="OMEX"/>
  <we:alternateReferences>
    <we:reference id="wa104382081" version="1.55.1.0" store="" storeType="OMEX"/>
  </we:alternateReferences>
  <we:properties>
    <we:property name="MENDELEY_BIBLIOGRAPHY_IS_DIRTY" value="true"/>
    <we:property name="MENDELEY_BIBLIOGRAPHY_LAST_MODIFIED" value="1771205838919"/>
    <we:property name="MENDELEY_CITATIONS" value="[]"/>
    <we:property name="MENDELEY_CITATIONS_LOCALE_CODE" value="&quot;en-GB&quot;"/>
    <we:property name="MENDELEY_CITATIONS_STYLE" value="{&quot;id&quot;:&quot;https://www.zotero.org/styles/molecular-psychiatry&quot;,&quot;title&quot;:&quot;Molecular Psychiatry&quot;,&quot;format&quot;:&quot;author-date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E2AD8-3EA8-46FC-93E6-0EE6A49EE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JF</dc:creator>
  <cp:keywords/>
  <dc:description/>
  <cp:lastModifiedBy>Alex JF</cp:lastModifiedBy>
  <cp:revision>9</cp:revision>
  <dcterms:created xsi:type="dcterms:W3CDTF">2026-03-13T13:36:00Z</dcterms:created>
  <dcterms:modified xsi:type="dcterms:W3CDTF">2026-05-19T14:58:00Z</dcterms:modified>
</cp:coreProperties>
</file>