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1BBA" w14:textId="77777777" w:rsidR="00C20FBE" w:rsidRDefault="00C20FBE" w:rsidP="00C20FBE">
      <w:pPr>
        <w:spacing w:line="480" w:lineRule="auto"/>
        <w:rPr>
          <w:sz w:val="24"/>
          <w:szCs w:val="24"/>
        </w:rPr>
      </w:pPr>
      <w:r w:rsidRPr="0024203A">
        <w:rPr>
          <w:b/>
          <w:bCs/>
          <w:sz w:val="24"/>
          <w:szCs w:val="24"/>
        </w:rPr>
        <w:t>Supplemental Figure S1. Localizing atrophy in preclinical Alzheimer’s disease. A</w:t>
      </w:r>
      <w:r w:rsidRPr="0024203A">
        <w:rPr>
          <w:sz w:val="24"/>
          <w:szCs w:val="24"/>
        </w:rPr>
        <w:t xml:space="preserve">. Average cortical thickness map for </w:t>
      </w:r>
      <w:r w:rsidRPr="0024203A">
        <w:rPr>
          <w:b/>
          <w:bCs/>
          <w:sz w:val="24"/>
          <w:szCs w:val="24"/>
        </w:rPr>
        <w:t>A</w:t>
      </w:r>
      <w:r w:rsidRPr="0024203A">
        <w:rPr>
          <w:b/>
          <w:bCs/>
          <w:sz w:val="24"/>
          <w:szCs w:val="24"/>
        </w:rPr>
        <w:sym w:font="Symbol" w:char="F062"/>
      </w:r>
      <w:r w:rsidRPr="0024203A">
        <w:rPr>
          <w:b/>
          <w:bCs/>
          <w:sz w:val="24"/>
          <w:szCs w:val="24"/>
        </w:rPr>
        <w:t>–</w:t>
      </w:r>
      <w:r w:rsidRPr="0024203A">
        <w:rPr>
          <w:sz w:val="24"/>
          <w:szCs w:val="24"/>
        </w:rPr>
        <w:t xml:space="preserve"> group. </w:t>
      </w:r>
      <w:r w:rsidRPr="0024203A">
        <w:rPr>
          <w:b/>
          <w:bCs/>
          <w:sz w:val="24"/>
          <w:szCs w:val="24"/>
        </w:rPr>
        <w:t>B</w:t>
      </w:r>
      <w:r w:rsidRPr="0024203A">
        <w:rPr>
          <w:sz w:val="24"/>
          <w:szCs w:val="24"/>
        </w:rPr>
        <w:t xml:space="preserve">. Average cortical thickness map for </w:t>
      </w:r>
      <w:r w:rsidRPr="0024203A">
        <w:rPr>
          <w:b/>
          <w:bCs/>
          <w:sz w:val="24"/>
          <w:szCs w:val="24"/>
        </w:rPr>
        <w:t>A</w:t>
      </w:r>
      <w:r w:rsidRPr="0024203A">
        <w:rPr>
          <w:b/>
          <w:bCs/>
          <w:sz w:val="24"/>
          <w:szCs w:val="24"/>
        </w:rPr>
        <w:sym w:font="Symbol" w:char="F062"/>
      </w:r>
      <w:r w:rsidRPr="0024203A">
        <w:rPr>
          <w:b/>
          <w:bCs/>
          <w:sz w:val="24"/>
          <w:szCs w:val="24"/>
        </w:rPr>
        <w:t>+</w:t>
      </w:r>
      <w:r w:rsidRPr="0024203A">
        <w:rPr>
          <w:sz w:val="24"/>
          <w:szCs w:val="24"/>
        </w:rPr>
        <w:t xml:space="preserve"> group. </w:t>
      </w:r>
      <w:r w:rsidRPr="0024203A">
        <w:rPr>
          <w:b/>
          <w:bCs/>
          <w:sz w:val="24"/>
          <w:szCs w:val="24"/>
        </w:rPr>
        <w:t>C</w:t>
      </w:r>
      <w:r w:rsidRPr="0024203A">
        <w:rPr>
          <w:sz w:val="24"/>
          <w:szCs w:val="24"/>
        </w:rPr>
        <w:t xml:space="preserve">. </w:t>
      </w:r>
      <w:r w:rsidRPr="0024203A">
        <w:rPr>
          <w:sz w:val="24"/>
          <w:szCs w:val="24"/>
          <w:u w:val="single"/>
        </w:rPr>
        <w:t xml:space="preserve">Vertex-wise ANOVA of cortical thickness </w:t>
      </w:r>
      <w:r w:rsidRPr="0024203A">
        <w:rPr>
          <w:sz w:val="24"/>
          <w:szCs w:val="24"/>
        </w:rPr>
        <w:t xml:space="preserve">between </w:t>
      </w:r>
      <w:r w:rsidRPr="0024203A">
        <w:rPr>
          <w:b/>
          <w:bCs/>
          <w:sz w:val="24"/>
          <w:szCs w:val="24"/>
          <w:u w:val="single"/>
        </w:rPr>
        <w:t>A</w:t>
      </w:r>
      <w:r w:rsidRPr="0024203A">
        <w:rPr>
          <w:b/>
          <w:bCs/>
          <w:sz w:val="24"/>
          <w:szCs w:val="24"/>
          <w:u w:val="single"/>
        </w:rPr>
        <w:sym w:font="Symbol" w:char="F062"/>
      </w:r>
      <w:r w:rsidRPr="0024203A">
        <w:rPr>
          <w:b/>
          <w:bCs/>
          <w:sz w:val="24"/>
          <w:szCs w:val="24"/>
          <w:u w:val="single"/>
        </w:rPr>
        <w:t>+ Vs. A</w:t>
      </w:r>
      <w:r w:rsidRPr="0024203A">
        <w:rPr>
          <w:b/>
          <w:bCs/>
          <w:sz w:val="24"/>
          <w:szCs w:val="24"/>
          <w:u w:val="single"/>
        </w:rPr>
        <w:sym w:font="Symbol" w:char="F062"/>
      </w:r>
      <w:r w:rsidRPr="0024203A">
        <w:rPr>
          <w:b/>
          <w:bCs/>
          <w:sz w:val="24"/>
          <w:szCs w:val="24"/>
          <w:u w:val="single"/>
        </w:rPr>
        <w:t>-</w:t>
      </w:r>
      <w:r w:rsidRPr="0024203A">
        <w:rPr>
          <w:sz w:val="24"/>
          <w:szCs w:val="24"/>
        </w:rPr>
        <w:t xml:space="preserve"> controlling for age and sex. No vertex remained significant after family-wise error (FWE) correction (p&lt;0.05). </w:t>
      </w:r>
      <w:r w:rsidRPr="0024203A">
        <w:rPr>
          <w:b/>
          <w:bCs/>
          <w:sz w:val="24"/>
          <w:szCs w:val="24"/>
        </w:rPr>
        <w:t>D.</w:t>
      </w:r>
      <w:r w:rsidRPr="0024203A">
        <w:rPr>
          <w:sz w:val="24"/>
          <w:szCs w:val="24"/>
        </w:rPr>
        <w:t xml:space="preserve"> </w:t>
      </w:r>
      <w:r w:rsidRPr="0024203A">
        <w:rPr>
          <w:sz w:val="24"/>
          <w:szCs w:val="24"/>
          <w:u w:val="single"/>
        </w:rPr>
        <w:t xml:space="preserve">Vertex-wise regression of cortical thickness </w:t>
      </w:r>
      <w:r w:rsidRPr="0024203A">
        <w:rPr>
          <w:sz w:val="24"/>
          <w:szCs w:val="24"/>
        </w:rPr>
        <w:t xml:space="preserve">with </w:t>
      </w:r>
      <w:r w:rsidRPr="0024203A">
        <w:rPr>
          <w:b/>
          <w:bCs/>
          <w:sz w:val="24"/>
          <w:szCs w:val="24"/>
          <w:u w:val="single"/>
        </w:rPr>
        <w:t>continuous FBP (A</w:t>
      </w:r>
      <w:r w:rsidRPr="0024203A">
        <w:rPr>
          <w:b/>
          <w:bCs/>
          <w:sz w:val="24"/>
          <w:szCs w:val="24"/>
          <w:u w:val="single"/>
        </w:rPr>
        <w:sym w:font="Symbol" w:char="F062"/>
      </w:r>
      <w:r w:rsidRPr="0024203A">
        <w:rPr>
          <w:b/>
          <w:bCs/>
          <w:sz w:val="24"/>
          <w:szCs w:val="24"/>
          <w:u w:val="single"/>
        </w:rPr>
        <w:t>) SUVr</w:t>
      </w:r>
      <w:r w:rsidRPr="0024203A">
        <w:rPr>
          <w:sz w:val="24"/>
          <w:szCs w:val="24"/>
        </w:rPr>
        <w:t xml:space="preserve">, adjusting for age and sex (FWE-corrected p&lt;0.05), showing small, scattered clusters of cortical thinning. </w:t>
      </w:r>
      <w:r w:rsidRPr="0024203A">
        <w:rPr>
          <w:b/>
          <w:bCs/>
          <w:sz w:val="24"/>
          <w:szCs w:val="24"/>
        </w:rPr>
        <w:t>E.</w:t>
      </w:r>
      <w:r w:rsidRPr="0024203A">
        <w:rPr>
          <w:sz w:val="24"/>
          <w:szCs w:val="24"/>
        </w:rPr>
        <w:t xml:space="preserve"> </w:t>
      </w:r>
      <w:r w:rsidRPr="0024203A">
        <w:rPr>
          <w:b/>
          <w:bCs/>
          <w:sz w:val="24"/>
          <w:szCs w:val="24"/>
        </w:rPr>
        <w:t xml:space="preserve">Atrophy network mapping </w:t>
      </w:r>
      <w:r w:rsidRPr="0024203A">
        <w:rPr>
          <w:sz w:val="24"/>
          <w:szCs w:val="24"/>
        </w:rPr>
        <w:t xml:space="preserve">was performed by voxel-wise ANOVA of atrophy connectivity between </w:t>
      </w:r>
      <w:r w:rsidRPr="0024203A">
        <w:rPr>
          <w:b/>
          <w:bCs/>
          <w:sz w:val="24"/>
          <w:szCs w:val="24"/>
          <w:u w:val="single"/>
        </w:rPr>
        <w:t>A</w:t>
      </w:r>
      <w:r w:rsidRPr="0024203A">
        <w:rPr>
          <w:b/>
          <w:bCs/>
          <w:sz w:val="24"/>
          <w:szCs w:val="24"/>
          <w:u w:val="single"/>
        </w:rPr>
        <w:sym w:font="Symbol" w:char="F062"/>
      </w:r>
      <w:r w:rsidRPr="0024203A">
        <w:rPr>
          <w:b/>
          <w:bCs/>
          <w:sz w:val="24"/>
          <w:szCs w:val="24"/>
          <w:u w:val="single"/>
        </w:rPr>
        <w:t>+ Vs. A</w:t>
      </w:r>
      <w:r w:rsidRPr="0024203A">
        <w:rPr>
          <w:b/>
          <w:bCs/>
          <w:sz w:val="24"/>
          <w:szCs w:val="24"/>
          <w:u w:val="single"/>
        </w:rPr>
        <w:sym w:font="Symbol" w:char="F062"/>
      </w:r>
      <w:r w:rsidRPr="0024203A">
        <w:rPr>
          <w:b/>
          <w:bCs/>
          <w:sz w:val="24"/>
          <w:szCs w:val="24"/>
          <w:u w:val="single"/>
        </w:rPr>
        <w:t>-,</w:t>
      </w:r>
      <w:r w:rsidRPr="0024203A">
        <w:rPr>
          <w:sz w:val="24"/>
          <w:szCs w:val="24"/>
        </w:rPr>
        <w:t xml:space="preserve"> adjusting for age and sex. A</w:t>
      </w:r>
      <w:r w:rsidRPr="0024203A">
        <w:rPr>
          <w:sz w:val="24"/>
          <w:szCs w:val="24"/>
          <w:lang w:val="el-GR"/>
        </w:rPr>
        <w:t xml:space="preserve">β+ </w:t>
      </w:r>
      <w:r w:rsidRPr="0024203A">
        <w:rPr>
          <w:sz w:val="24"/>
          <w:szCs w:val="24"/>
        </w:rPr>
        <w:t>group had greater atrophy connectivity in the right prefrontal lobe, precuneus, and right temporoparietal junction (FWE-corrected p&lt;0.05).</w:t>
      </w:r>
    </w:p>
    <w:p w14:paraId="22249F44" w14:textId="77777777" w:rsidR="00C20FBE" w:rsidRDefault="00C20FBE" w:rsidP="00C20FB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FEAE5F" w14:textId="77777777" w:rsidR="00C20FBE" w:rsidRDefault="00C20FBE" w:rsidP="00C20FBE">
      <w:pPr>
        <w:spacing w:line="480" w:lineRule="auto"/>
        <w:rPr>
          <w:sz w:val="24"/>
          <w:szCs w:val="24"/>
        </w:rPr>
      </w:pPr>
      <w:r w:rsidRPr="0024203A">
        <w:rPr>
          <w:b/>
          <w:bCs/>
          <w:sz w:val="24"/>
          <w:szCs w:val="24"/>
        </w:rPr>
        <w:lastRenderedPageBreak/>
        <w:t xml:space="preserve">Supplemental Figure 2. Localizing network-level atrophy in preclinical Alzheimer’s disease (AD) using Atrophy Network Mapping (ANM) for tau in the meta-temporal region-of-interests (ROIs) (entorhinal, amygdala, parahippocampal, fusiform, and middle temporal). </w:t>
      </w:r>
      <w:r w:rsidRPr="0024203A">
        <w:rPr>
          <w:sz w:val="24"/>
          <w:szCs w:val="24"/>
        </w:rPr>
        <w:t xml:space="preserve">Voxel-wise linear regression of functional connectivity to atrophy and average </w:t>
      </w:r>
      <w:r w:rsidRPr="0024203A">
        <w:rPr>
          <w:b/>
          <w:bCs/>
          <w:sz w:val="24"/>
          <w:szCs w:val="24"/>
          <w:u w:val="single"/>
        </w:rPr>
        <w:t>tau</w:t>
      </w:r>
      <w:r w:rsidRPr="0024203A">
        <w:rPr>
          <w:sz w:val="24"/>
          <w:szCs w:val="24"/>
        </w:rPr>
        <w:t xml:space="preserve"> SUVr across the ROIs using Pearson correlation, adjusting for age and sex. The bottom row are family-wise-error (FWE)-corrected maps (</w:t>
      </w:r>
      <w:r w:rsidRPr="0024203A">
        <w:rPr>
          <w:i/>
          <w:iCs/>
          <w:sz w:val="24"/>
          <w:szCs w:val="24"/>
        </w:rPr>
        <w:t>P</w:t>
      </w:r>
      <w:r w:rsidRPr="0024203A">
        <w:rPr>
          <w:sz w:val="24"/>
          <w:szCs w:val="24"/>
        </w:rPr>
        <w:t xml:space="preserve">&lt;0.05). </w:t>
      </w:r>
    </w:p>
    <w:p w14:paraId="527454F7" w14:textId="77777777" w:rsidR="00C20FBE" w:rsidRDefault="00C20FBE" w:rsidP="00C20FB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3EC7B7E" w14:textId="77777777" w:rsidR="00C20FBE" w:rsidRPr="0024203A" w:rsidRDefault="00C20FBE" w:rsidP="00C20FBE">
      <w:pPr>
        <w:spacing w:line="480" w:lineRule="auto"/>
        <w:rPr>
          <w:sz w:val="24"/>
          <w:szCs w:val="24"/>
        </w:rPr>
      </w:pPr>
      <w:r w:rsidRPr="0024203A">
        <w:rPr>
          <w:b/>
          <w:bCs/>
          <w:sz w:val="24"/>
          <w:szCs w:val="24"/>
        </w:rPr>
        <w:lastRenderedPageBreak/>
        <w:t>Supplemental Figure 3. Longitudinal Associations of Network Atrophy with Cognitive and Functional Decline</w:t>
      </w:r>
    </w:p>
    <w:p w14:paraId="324A82F7" w14:textId="77777777" w:rsidR="00C20FBE" w:rsidRDefault="00C20FBE" w:rsidP="00C20FBE">
      <w:pPr>
        <w:spacing w:line="480" w:lineRule="auto"/>
        <w:rPr>
          <w:sz w:val="24"/>
          <w:szCs w:val="24"/>
        </w:rPr>
      </w:pPr>
      <w:r w:rsidRPr="0024203A">
        <w:rPr>
          <w:b/>
          <w:bCs/>
          <w:sz w:val="24"/>
          <w:szCs w:val="24"/>
        </w:rPr>
        <w:t xml:space="preserve">A. </w:t>
      </w:r>
      <w:r w:rsidRPr="0024203A">
        <w:rPr>
          <w:sz w:val="24"/>
          <w:szCs w:val="24"/>
        </w:rPr>
        <w:t xml:space="preserve">Semi-partial marginal R² (Nakagawa &amp; </w:t>
      </w:r>
      <w:proofErr w:type="spellStart"/>
      <w:r w:rsidRPr="0024203A">
        <w:rPr>
          <w:sz w:val="24"/>
          <w:szCs w:val="24"/>
        </w:rPr>
        <w:t>Schielzer</w:t>
      </w:r>
      <w:proofErr w:type="spellEnd"/>
      <w:r w:rsidRPr="0024203A">
        <w:rPr>
          <w:sz w:val="24"/>
          <w:szCs w:val="24"/>
        </w:rPr>
        <w:t>, 2013) for each predictor in the full LME, computed as the loss in marginal R² when that predictor's main effect and time interaction were removed. Side-by-side bars compare the full cohort (A4 + LEARN; dark gray), the A</w:t>
      </w:r>
      <w:r w:rsidRPr="0024203A">
        <w:rPr>
          <w:sz w:val="24"/>
          <w:szCs w:val="24"/>
          <w:lang w:val="el-GR"/>
        </w:rPr>
        <w:t xml:space="preserve">β+ </w:t>
      </w:r>
      <w:r w:rsidRPr="0024203A">
        <w:rPr>
          <w:sz w:val="24"/>
          <w:szCs w:val="24"/>
        </w:rPr>
        <w:t>subgroup (medium gray), and the A</w:t>
      </w:r>
      <w:r w:rsidRPr="0024203A">
        <w:rPr>
          <w:sz w:val="24"/>
          <w:szCs w:val="24"/>
          <w:lang w:val="el-GR"/>
        </w:rPr>
        <w:t xml:space="preserve">β− </w:t>
      </w:r>
      <w:r w:rsidRPr="0024203A">
        <w:rPr>
          <w:sz w:val="24"/>
          <w:szCs w:val="24"/>
        </w:rPr>
        <w:t>subgroup (light gray). In A</w:t>
      </w:r>
      <w:r w:rsidRPr="0024203A">
        <w:rPr>
          <w:sz w:val="24"/>
          <w:szCs w:val="24"/>
          <w:lang w:val="el-GR"/>
        </w:rPr>
        <w:t xml:space="preserve">β+ </w:t>
      </w:r>
      <w:r w:rsidRPr="0024203A">
        <w:rPr>
          <w:sz w:val="24"/>
          <w:szCs w:val="24"/>
        </w:rPr>
        <w:t xml:space="preserve">individuals, network atrophy uniquely accounted for 0.86% of variance in PACC trajectories beyond age, sex, education, </w:t>
      </w:r>
      <w:r w:rsidRPr="0024203A">
        <w:rPr>
          <w:i/>
          <w:iCs/>
          <w:sz w:val="24"/>
          <w:szCs w:val="24"/>
        </w:rPr>
        <w:t>APOE</w:t>
      </w:r>
      <w:r w:rsidRPr="0024203A">
        <w:rPr>
          <w:sz w:val="24"/>
          <w:szCs w:val="24"/>
        </w:rPr>
        <w:t xml:space="preserve"> </w:t>
      </w:r>
      <w:r w:rsidRPr="0024203A">
        <w:rPr>
          <w:sz w:val="24"/>
          <w:szCs w:val="24"/>
          <w:lang w:val="el-GR"/>
        </w:rPr>
        <w:t xml:space="preserve">ε4, </w:t>
      </w:r>
      <w:r w:rsidRPr="0024203A">
        <w:rPr>
          <w:sz w:val="24"/>
          <w:szCs w:val="24"/>
        </w:rPr>
        <w:t>mean cortical thickness, and A</w:t>
      </w:r>
      <w:r w:rsidRPr="0024203A">
        <w:rPr>
          <w:sz w:val="24"/>
          <w:szCs w:val="24"/>
          <w:lang w:val="el-GR"/>
        </w:rPr>
        <w:t xml:space="preserve">β </w:t>
      </w:r>
      <w:r w:rsidRPr="0024203A">
        <w:rPr>
          <w:sz w:val="24"/>
          <w:szCs w:val="24"/>
        </w:rPr>
        <w:t xml:space="preserve">PET SUVr — exceeding the unique contribution of </w:t>
      </w:r>
      <w:r w:rsidRPr="0024203A">
        <w:rPr>
          <w:i/>
          <w:iCs/>
          <w:sz w:val="24"/>
          <w:szCs w:val="24"/>
        </w:rPr>
        <w:t>APOE</w:t>
      </w:r>
      <w:r w:rsidRPr="0024203A">
        <w:rPr>
          <w:sz w:val="24"/>
          <w:szCs w:val="24"/>
        </w:rPr>
        <w:t xml:space="preserve"> </w:t>
      </w:r>
      <w:r w:rsidRPr="0024203A">
        <w:rPr>
          <w:sz w:val="24"/>
          <w:szCs w:val="24"/>
          <w:lang w:val="el-GR"/>
        </w:rPr>
        <w:t xml:space="preserve">ε4 (0.77%); </w:t>
      </w:r>
      <w:r w:rsidRPr="0024203A">
        <w:rPr>
          <w:sz w:val="24"/>
          <w:szCs w:val="24"/>
        </w:rPr>
        <w:t>the contribution was negligible in A</w:t>
      </w:r>
      <w:r w:rsidRPr="0024203A">
        <w:rPr>
          <w:sz w:val="24"/>
          <w:szCs w:val="24"/>
          <w:lang w:val="el-GR"/>
        </w:rPr>
        <w:t xml:space="preserve">β− </w:t>
      </w:r>
      <w:r w:rsidRPr="0024203A">
        <w:rPr>
          <w:sz w:val="24"/>
          <w:szCs w:val="24"/>
        </w:rPr>
        <w:t xml:space="preserve">individuals (0.03%). </w:t>
      </w:r>
      <w:r w:rsidRPr="0024203A">
        <w:rPr>
          <w:b/>
          <w:bCs/>
          <w:sz w:val="24"/>
          <w:szCs w:val="24"/>
        </w:rPr>
        <w:t>B.</w:t>
      </w:r>
      <w:r w:rsidRPr="0024203A">
        <w:rPr>
          <w:sz w:val="24"/>
          <w:szCs w:val="24"/>
        </w:rPr>
        <w:t xml:space="preserve"> Forest plot of hazard ratios (95% confidence intervals, log scale) from the same Cox model shown in (C). Each row corresponds to one covariate; the vertical dashed line marks the null (HR = 1). Predictors are ordered with the primary exposure of interest (network atrophy) first, followed by the AD-relevant biomarkers, demographics, and treatment.</w:t>
      </w:r>
    </w:p>
    <w:p w14:paraId="6F8F10AC" w14:textId="77777777" w:rsidR="00C20FBE" w:rsidRPr="0024203A" w:rsidRDefault="00C20FBE" w:rsidP="00C20FBE">
      <w:pPr>
        <w:spacing w:line="480" w:lineRule="auto"/>
        <w:rPr>
          <w:sz w:val="24"/>
          <w:szCs w:val="24"/>
        </w:rPr>
      </w:pPr>
      <w:r w:rsidRPr="0024203A">
        <w:rPr>
          <w:sz w:val="24"/>
          <w:szCs w:val="24"/>
        </w:rPr>
        <w:t xml:space="preserve">Abbreviations: PACC, Preclinical Alzheimer's Cognitive Composite; CDR, Clinical Dementia Rating; LME, linear </w:t>
      </w:r>
      <w:proofErr w:type="gramStart"/>
      <w:r w:rsidRPr="0024203A">
        <w:rPr>
          <w:sz w:val="24"/>
          <w:szCs w:val="24"/>
        </w:rPr>
        <w:t>mixed-effects</w:t>
      </w:r>
      <w:proofErr w:type="gramEnd"/>
      <w:r w:rsidRPr="0024203A">
        <w:rPr>
          <w:sz w:val="24"/>
          <w:szCs w:val="24"/>
        </w:rPr>
        <w:t xml:space="preserve">; SD, standard deviation; HR, hazard ratio; SUVr, standardized uptake value ratio; </w:t>
      </w:r>
      <w:r w:rsidRPr="0024203A">
        <w:rPr>
          <w:i/>
          <w:iCs/>
          <w:sz w:val="24"/>
          <w:szCs w:val="24"/>
        </w:rPr>
        <w:t>APOE</w:t>
      </w:r>
      <w:r w:rsidRPr="0024203A">
        <w:rPr>
          <w:sz w:val="24"/>
          <w:szCs w:val="24"/>
        </w:rPr>
        <w:t xml:space="preserve"> </w:t>
      </w:r>
      <w:r w:rsidRPr="0024203A">
        <w:rPr>
          <w:sz w:val="24"/>
          <w:szCs w:val="24"/>
          <w:lang w:val="el-GR"/>
        </w:rPr>
        <w:t xml:space="preserve">ε4, </w:t>
      </w:r>
      <w:r w:rsidRPr="0024203A">
        <w:rPr>
          <w:sz w:val="24"/>
          <w:szCs w:val="24"/>
        </w:rPr>
        <w:t xml:space="preserve">apolipoprotein E </w:t>
      </w:r>
      <w:r w:rsidRPr="0024203A">
        <w:rPr>
          <w:sz w:val="24"/>
          <w:szCs w:val="24"/>
          <w:lang w:val="el-GR"/>
        </w:rPr>
        <w:t xml:space="preserve">ε4 </w:t>
      </w:r>
      <w:r w:rsidRPr="0024203A">
        <w:rPr>
          <w:sz w:val="24"/>
          <w:szCs w:val="24"/>
        </w:rPr>
        <w:t>allele</w:t>
      </w:r>
    </w:p>
    <w:p w14:paraId="00124BF6" w14:textId="77777777" w:rsidR="000717ED" w:rsidRDefault="000717ED"/>
    <w:sectPr w:rsidR="000717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FBE"/>
    <w:rsid w:val="0002017A"/>
    <w:rsid w:val="000247FA"/>
    <w:rsid w:val="00031041"/>
    <w:rsid w:val="00053C70"/>
    <w:rsid w:val="00061D2F"/>
    <w:rsid w:val="00061DDB"/>
    <w:rsid w:val="000717ED"/>
    <w:rsid w:val="00083AD5"/>
    <w:rsid w:val="00091354"/>
    <w:rsid w:val="000A0CCF"/>
    <w:rsid w:val="000B5A84"/>
    <w:rsid w:val="000E133A"/>
    <w:rsid w:val="000F1C87"/>
    <w:rsid w:val="000F60FA"/>
    <w:rsid w:val="000F6890"/>
    <w:rsid w:val="00103062"/>
    <w:rsid w:val="0011661B"/>
    <w:rsid w:val="001179D1"/>
    <w:rsid w:val="00140820"/>
    <w:rsid w:val="001652E6"/>
    <w:rsid w:val="001665D2"/>
    <w:rsid w:val="0016797C"/>
    <w:rsid w:val="001A30FB"/>
    <w:rsid w:val="001B11CC"/>
    <w:rsid w:val="001C2ACF"/>
    <w:rsid w:val="001D5E76"/>
    <w:rsid w:val="001E29FD"/>
    <w:rsid w:val="001F4C7F"/>
    <w:rsid w:val="001F5100"/>
    <w:rsid w:val="001F77EF"/>
    <w:rsid w:val="00201C31"/>
    <w:rsid w:val="00202647"/>
    <w:rsid w:val="00213E32"/>
    <w:rsid w:val="00225F62"/>
    <w:rsid w:val="00225F9B"/>
    <w:rsid w:val="00232CD1"/>
    <w:rsid w:val="00241474"/>
    <w:rsid w:val="002416AF"/>
    <w:rsid w:val="002673A1"/>
    <w:rsid w:val="00287190"/>
    <w:rsid w:val="002A2F81"/>
    <w:rsid w:val="002D2545"/>
    <w:rsid w:val="002D7631"/>
    <w:rsid w:val="002E423F"/>
    <w:rsid w:val="002E5B2C"/>
    <w:rsid w:val="00303B0D"/>
    <w:rsid w:val="00314879"/>
    <w:rsid w:val="00323956"/>
    <w:rsid w:val="0032485A"/>
    <w:rsid w:val="00327615"/>
    <w:rsid w:val="003306B3"/>
    <w:rsid w:val="00334477"/>
    <w:rsid w:val="00344112"/>
    <w:rsid w:val="00344BAD"/>
    <w:rsid w:val="0036600F"/>
    <w:rsid w:val="00373128"/>
    <w:rsid w:val="0038319B"/>
    <w:rsid w:val="00383509"/>
    <w:rsid w:val="003A572A"/>
    <w:rsid w:val="003C77EB"/>
    <w:rsid w:val="003D7593"/>
    <w:rsid w:val="003F7EEB"/>
    <w:rsid w:val="004110E3"/>
    <w:rsid w:val="0041704C"/>
    <w:rsid w:val="00433798"/>
    <w:rsid w:val="00433D51"/>
    <w:rsid w:val="00461464"/>
    <w:rsid w:val="00486CB5"/>
    <w:rsid w:val="00492F7D"/>
    <w:rsid w:val="0049774E"/>
    <w:rsid w:val="004A04AF"/>
    <w:rsid w:val="004C5971"/>
    <w:rsid w:val="004D4F03"/>
    <w:rsid w:val="00502412"/>
    <w:rsid w:val="005062F0"/>
    <w:rsid w:val="00506949"/>
    <w:rsid w:val="00521CBE"/>
    <w:rsid w:val="00526C37"/>
    <w:rsid w:val="00526D79"/>
    <w:rsid w:val="00530663"/>
    <w:rsid w:val="005537B8"/>
    <w:rsid w:val="00554896"/>
    <w:rsid w:val="00557557"/>
    <w:rsid w:val="00587BED"/>
    <w:rsid w:val="006078F7"/>
    <w:rsid w:val="00614285"/>
    <w:rsid w:val="00641AB5"/>
    <w:rsid w:val="00642511"/>
    <w:rsid w:val="006511DE"/>
    <w:rsid w:val="00652538"/>
    <w:rsid w:val="006526D2"/>
    <w:rsid w:val="00664F9E"/>
    <w:rsid w:val="00671087"/>
    <w:rsid w:val="00676ECB"/>
    <w:rsid w:val="00680438"/>
    <w:rsid w:val="006A4041"/>
    <w:rsid w:val="006A7E55"/>
    <w:rsid w:val="006B17D0"/>
    <w:rsid w:val="006B40AE"/>
    <w:rsid w:val="006B6351"/>
    <w:rsid w:val="006D3C69"/>
    <w:rsid w:val="006E0947"/>
    <w:rsid w:val="006E5197"/>
    <w:rsid w:val="006E5D60"/>
    <w:rsid w:val="006E6CCD"/>
    <w:rsid w:val="006F22EB"/>
    <w:rsid w:val="00701D58"/>
    <w:rsid w:val="00706ECD"/>
    <w:rsid w:val="0070715F"/>
    <w:rsid w:val="007113FE"/>
    <w:rsid w:val="00716A5E"/>
    <w:rsid w:val="00726C95"/>
    <w:rsid w:val="00727B7B"/>
    <w:rsid w:val="00730479"/>
    <w:rsid w:val="00755EEC"/>
    <w:rsid w:val="00774799"/>
    <w:rsid w:val="007C3BAD"/>
    <w:rsid w:val="007E6C4A"/>
    <w:rsid w:val="00805A98"/>
    <w:rsid w:val="00807CC3"/>
    <w:rsid w:val="00820B89"/>
    <w:rsid w:val="00823D4F"/>
    <w:rsid w:val="00831C01"/>
    <w:rsid w:val="008331A0"/>
    <w:rsid w:val="008563E4"/>
    <w:rsid w:val="0086712D"/>
    <w:rsid w:val="00867CD2"/>
    <w:rsid w:val="00877C9C"/>
    <w:rsid w:val="00882D71"/>
    <w:rsid w:val="008A3629"/>
    <w:rsid w:val="008B5962"/>
    <w:rsid w:val="008F13DE"/>
    <w:rsid w:val="008F56E1"/>
    <w:rsid w:val="00900C19"/>
    <w:rsid w:val="00903505"/>
    <w:rsid w:val="00905B6F"/>
    <w:rsid w:val="0090715B"/>
    <w:rsid w:val="009111C5"/>
    <w:rsid w:val="00923109"/>
    <w:rsid w:val="00965E7A"/>
    <w:rsid w:val="00983CB9"/>
    <w:rsid w:val="00991BB3"/>
    <w:rsid w:val="009A2C51"/>
    <w:rsid w:val="009A314A"/>
    <w:rsid w:val="009A7C18"/>
    <w:rsid w:val="009B5C37"/>
    <w:rsid w:val="009C027C"/>
    <w:rsid w:val="009C3250"/>
    <w:rsid w:val="00A065FC"/>
    <w:rsid w:val="00A10675"/>
    <w:rsid w:val="00A40DCE"/>
    <w:rsid w:val="00A64EA6"/>
    <w:rsid w:val="00A764B6"/>
    <w:rsid w:val="00AA2946"/>
    <w:rsid w:val="00AA3184"/>
    <w:rsid w:val="00AA7006"/>
    <w:rsid w:val="00AD0730"/>
    <w:rsid w:val="00B14B58"/>
    <w:rsid w:val="00B17BE1"/>
    <w:rsid w:val="00B20546"/>
    <w:rsid w:val="00B22865"/>
    <w:rsid w:val="00B61344"/>
    <w:rsid w:val="00B64926"/>
    <w:rsid w:val="00BB7FBF"/>
    <w:rsid w:val="00BF227F"/>
    <w:rsid w:val="00C11F68"/>
    <w:rsid w:val="00C15CC9"/>
    <w:rsid w:val="00C20FBE"/>
    <w:rsid w:val="00C25102"/>
    <w:rsid w:val="00C414B2"/>
    <w:rsid w:val="00C51143"/>
    <w:rsid w:val="00C55F3C"/>
    <w:rsid w:val="00C75DB2"/>
    <w:rsid w:val="00C91C1C"/>
    <w:rsid w:val="00CA1E91"/>
    <w:rsid w:val="00CD725B"/>
    <w:rsid w:val="00CF016A"/>
    <w:rsid w:val="00D01DED"/>
    <w:rsid w:val="00D24681"/>
    <w:rsid w:val="00D26B74"/>
    <w:rsid w:val="00D275DC"/>
    <w:rsid w:val="00D3082C"/>
    <w:rsid w:val="00D37895"/>
    <w:rsid w:val="00D4033B"/>
    <w:rsid w:val="00D50C5B"/>
    <w:rsid w:val="00D61A79"/>
    <w:rsid w:val="00D626D4"/>
    <w:rsid w:val="00D734E8"/>
    <w:rsid w:val="00D8208A"/>
    <w:rsid w:val="00D821FC"/>
    <w:rsid w:val="00D91E5C"/>
    <w:rsid w:val="00DD2318"/>
    <w:rsid w:val="00DE2ACE"/>
    <w:rsid w:val="00DF1AA5"/>
    <w:rsid w:val="00E1243E"/>
    <w:rsid w:val="00E21DA3"/>
    <w:rsid w:val="00E51761"/>
    <w:rsid w:val="00E54DA2"/>
    <w:rsid w:val="00E64011"/>
    <w:rsid w:val="00E64C88"/>
    <w:rsid w:val="00E7390F"/>
    <w:rsid w:val="00E80F0C"/>
    <w:rsid w:val="00E862BD"/>
    <w:rsid w:val="00E93974"/>
    <w:rsid w:val="00EA4A69"/>
    <w:rsid w:val="00EA6FA4"/>
    <w:rsid w:val="00EB5DBC"/>
    <w:rsid w:val="00EC32A5"/>
    <w:rsid w:val="00ED45CE"/>
    <w:rsid w:val="00ED66F6"/>
    <w:rsid w:val="00EE29B3"/>
    <w:rsid w:val="00EE634D"/>
    <w:rsid w:val="00F2309A"/>
    <w:rsid w:val="00F43C05"/>
    <w:rsid w:val="00F758A9"/>
    <w:rsid w:val="00F96BB1"/>
    <w:rsid w:val="00FB3992"/>
    <w:rsid w:val="00FD5226"/>
    <w:rsid w:val="00FD689B"/>
    <w:rsid w:val="00FE1ED4"/>
    <w:rsid w:val="00FE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DE8ABA"/>
  <w15:chartTrackingRefBased/>
  <w15:docId w15:val="{043AABCE-291E-484B-8AC6-3A05E742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FBE"/>
    <w:pPr>
      <w:spacing w:line="240" w:lineRule="auto"/>
    </w:pPr>
    <w:rPr>
      <w:rFonts w:ascii="Times New Roman" w:eastAsia="Batang" w:hAnsi="Times New Roman" w:cs="Times New Roman"/>
      <w:kern w:val="0"/>
      <w:sz w:val="20"/>
      <w:szCs w:val="2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F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F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F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F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F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F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F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F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0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F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0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FB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0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FBE"/>
    <w:pPr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0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F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Soyoung,MD</dc:creator>
  <cp:keywords/>
  <dc:description/>
  <cp:lastModifiedBy>Lee, Soyoung,MD</cp:lastModifiedBy>
  <cp:revision>1</cp:revision>
  <dcterms:created xsi:type="dcterms:W3CDTF">2026-05-11T17:33:00Z</dcterms:created>
  <dcterms:modified xsi:type="dcterms:W3CDTF">2026-05-11T17:35:00Z</dcterms:modified>
</cp:coreProperties>
</file>